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Default="00114CB2" w:rsidP="0094219E">
      <w:pPr>
        <w:rPr>
          <w:noProof/>
        </w:rPr>
      </w:pPr>
    </w:p>
    <w:p w:rsidR="00114CB2" w:rsidRPr="00141674" w:rsidRDefault="00114CB2" w:rsidP="0094219E">
      <w:pPr>
        <w:spacing w:after="80"/>
        <w:jc w:val="center"/>
        <w:rPr>
          <w:rFonts w:ascii="Arial" w:hAnsi="Arial" w:cs="Arial"/>
          <w:b/>
          <w:sz w:val="18"/>
          <w:szCs w:val="18"/>
        </w:rPr>
      </w:pPr>
      <w:r w:rsidRPr="00141674">
        <w:rPr>
          <w:rFonts w:ascii="Arial" w:hAnsi="Arial" w:cs="Arial"/>
          <w:b/>
          <w:sz w:val="18"/>
          <w:szCs w:val="18"/>
        </w:rPr>
        <w:t>COMMISSIONER OF TAXATION</w:t>
      </w:r>
    </w:p>
    <w:p w:rsidR="00114CB2" w:rsidRDefault="00114CB2" w:rsidP="0094219E">
      <w:pPr>
        <w:spacing w:after="120"/>
        <w:rPr>
          <w:rFonts w:ascii="Arial" w:hAnsi="Arial" w:cs="Arial"/>
          <w:sz w:val="18"/>
          <w:szCs w:val="18"/>
        </w:rPr>
      </w:pPr>
      <w:r w:rsidRPr="00141674">
        <w:rPr>
          <w:rFonts w:ascii="Arial" w:hAnsi="Arial" w:cs="Arial"/>
          <w:sz w:val="18"/>
          <w:szCs w:val="18"/>
        </w:rPr>
        <w:t xml:space="preserve">The Commissioner of Taxation, </w:t>
      </w:r>
      <w:smartTag w:uri="urn:schemas:contacts" w:element="GivenName">
        <w:smartTag w:uri="urn:schemas-microsoft-com:office:smarttags" w:element="PersonName">
          <w:r>
            <w:rPr>
              <w:rFonts w:ascii="Arial" w:hAnsi="Arial" w:cs="Arial"/>
              <w:sz w:val="18"/>
              <w:szCs w:val="18"/>
            </w:rPr>
            <w:t>Chris</w:t>
          </w:r>
        </w:smartTag>
        <w:r>
          <w:rPr>
            <w:rFonts w:ascii="Arial" w:hAnsi="Arial" w:cs="Arial"/>
            <w:sz w:val="18"/>
            <w:szCs w:val="18"/>
          </w:rPr>
          <w:t xml:space="preserve"> </w:t>
        </w:r>
        <w:smartTag w:uri="urn:schemas-microsoft-com:office:smarttags" w:element="country-region">
          <w:smartTag w:uri="urn:schemas:contacts" w:element="Sn">
            <w:r>
              <w:rPr>
                <w:rFonts w:ascii="Arial" w:hAnsi="Arial" w:cs="Arial"/>
                <w:sz w:val="18"/>
                <w:szCs w:val="18"/>
              </w:rPr>
              <w:t>Jordan</w:t>
            </w:r>
          </w:smartTag>
        </w:smartTag>
      </w:smartTag>
      <w:r>
        <w:rPr>
          <w:rFonts w:ascii="Arial" w:hAnsi="Arial" w:cs="Arial"/>
          <w:sz w:val="18"/>
          <w:szCs w:val="18"/>
        </w:rPr>
        <w:t>,</w:t>
      </w:r>
      <w:r w:rsidRPr="00141674">
        <w:rPr>
          <w:rFonts w:ascii="Arial" w:hAnsi="Arial" w:cs="Arial"/>
          <w:sz w:val="18"/>
          <w:szCs w:val="18"/>
        </w:rPr>
        <w:t xml:space="preserve"> gives notice of the following Rulings, copies of which can be obtained from Branches of the Australian Taxation Office or at </w:t>
      </w:r>
      <w:hyperlink r:id="rId9" w:history="1">
        <w:r w:rsidRPr="00141674">
          <w:rPr>
            <w:rStyle w:val="Hyperlink"/>
            <w:rFonts w:ascii="Arial" w:hAnsi="Arial" w:cs="Arial"/>
            <w:sz w:val="18"/>
            <w:szCs w:val="18"/>
          </w:rPr>
          <w:t>http://law.ato.gov.au</w:t>
        </w:r>
      </w:hyperlink>
      <w:r w:rsidRPr="00141674">
        <w:rPr>
          <w:rFonts w:ascii="Arial" w:hAnsi="Arial" w:cs="Arial"/>
          <w:sz w:val="18"/>
          <w:szCs w:val="18"/>
        </w:rPr>
        <w:t>.</w:t>
      </w: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 xml:space="preserve">NOTICE OF </w:t>
            </w:r>
            <w:r>
              <w:rPr>
                <w:sz w:val="22"/>
                <w:szCs w:val="22"/>
              </w:rPr>
              <w:t>RULINGS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114CB2" w:rsidRPr="00A11E52" w:rsidRDefault="00A11E52" w:rsidP="008D17C9">
            <w:pPr>
              <w:spacing w:after="120"/>
              <w:rPr>
                <w:rFonts w:ascii="Arial" w:hAnsi="Arial" w:cs="Arial"/>
                <w:sz w:val="20"/>
                <w:szCs w:val="20"/>
              </w:rPr>
            </w:pPr>
            <w:r w:rsidRPr="00A11E52">
              <w:rPr>
                <w:rFonts w:ascii="Arial" w:hAnsi="Arial" w:cs="Arial"/>
                <w:sz w:val="20"/>
                <w:szCs w:val="20"/>
              </w:rPr>
              <w:t>CR 2014/10</w:t>
            </w:r>
          </w:p>
        </w:tc>
        <w:tc>
          <w:tcPr>
            <w:tcW w:w="3780" w:type="dxa"/>
            <w:tcBorders>
              <w:top w:val="single" w:sz="6" w:space="0" w:color="auto"/>
              <w:left w:val="single" w:sz="6" w:space="0" w:color="auto"/>
              <w:bottom w:val="single" w:sz="6" w:space="0" w:color="auto"/>
              <w:right w:val="single" w:sz="6" w:space="0" w:color="auto"/>
            </w:tcBorders>
          </w:tcPr>
          <w:p w:rsidR="00A11E52" w:rsidRPr="00A11E52" w:rsidRDefault="00A11E52" w:rsidP="00A11E52">
            <w:pPr>
              <w:pStyle w:val="Header"/>
              <w:rPr>
                <w:rFonts w:ascii="Arial" w:hAnsi="Arial" w:cs="Arial"/>
                <w:color w:val="000000"/>
                <w:sz w:val="20"/>
                <w:szCs w:val="20"/>
              </w:rPr>
            </w:pPr>
            <w:bookmarkStart w:id="0" w:name="GTopicHeader"/>
            <w:r w:rsidRPr="00A11E52">
              <w:rPr>
                <w:rFonts w:ascii="Arial" w:hAnsi="Arial" w:cs="Arial"/>
                <w:color w:val="000000"/>
                <w:sz w:val="20"/>
                <w:szCs w:val="20"/>
              </w:rPr>
              <w:t>Income tax:</w:t>
            </w:r>
            <w:bookmarkEnd w:id="0"/>
            <w:r w:rsidRPr="00A11E52">
              <w:rPr>
                <w:rFonts w:ascii="Arial" w:hAnsi="Arial" w:cs="Arial"/>
                <w:color w:val="000000"/>
                <w:sz w:val="20"/>
                <w:szCs w:val="20"/>
              </w:rPr>
              <w:t xml:space="preserve"> </w:t>
            </w:r>
            <w:r w:rsidR="00E71AEA">
              <w:rPr>
                <w:rFonts w:ascii="Arial" w:hAnsi="Arial" w:cs="Arial"/>
                <w:color w:val="000000"/>
                <w:sz w:val="20"/>
                <w:szCs w:val="20"/>
              </w:rPr>
              <w:t xml:space="preserve"> </w:t>
            </w:r>
            <w:r w:rsidRPr="00A11E52">
              <w:rPr>
                <w:rFonts w:ascii="Arial" w:hAnsi="Arial" w:cs="Arial"/>
                <w:color w:val="000000"/>
                <w:sz w:val="20"/>
                <w:szCs w:val="20"/>
              </w:rPr>
              <w:t>share consolidation and in specie distribution:</w:t>
            </w:r>
            <w:r w:rsidR="00E71AEA">
              <w:rPr>
                <w:rFonts w:ascii="Arial" w:hAnsi="Arial" w:cs="Arial"/>
                <w:color w:val="000000"/>
                <w:sz w:val="20"/>
                <w:szCs w:val="20"/>
              </w:rPr>
              <w:t xml:space="preserve"> </w:t>
            </w:r>
            <w:r w:rsidRPr="00A11E52">
              <w:rPr>
                <w:rFonts w:ascii="Arial" w:hAnsi="Arial" w:cs="Arial"/>
                <w:color w:val="000000"/>
                <w:sz w:val="20"/>
                <w:szCs w:val="20"/>
              </w:rPr>
              <w:t xml:space="preserve"> Macquarie Group Limited</w:t>
            </w:r>
          </w:p>
          <w:p w:rsidR="00114CB2" w:rsidRPr="00A11E52" w:rsidDel="00F44FF5" w:rsidRDefault="00114CB2" w:rsidP="00E823AE">
            <w:pPr>
              <w:pStyle w:val="Header"/>
              <w:rPr>
                <w:rFonts w:ascii="Arial" w:hAnsi="Arial" w:cs="Arial"/>
                <w:sz w:val="20"/>
                <w:szCs w:val="20"/>
              </w:rPr>
            </w:pPr>
          </w:p>
        </w:tc>
        <w:tc>
          <w:tcPr>
            <w:tcW w:w="4140" w:type="dxa"/>
            <w:tcBorders>
              <w:top w:val="single" w:sz="6" w:space="0" w:color="auto"/>
              <w:left w:val="single" w:sz="6" w:space="0" w:color="auto"/>
              <w:bottom w:val="single" w:sz="6" w:space="0" w:color="auto"/>
              <w:right w:val="single" w:sz="6" w:space="0" w:color="auto"/>
            </w:tcBorders>
          </w:tcPr>
          <w:p w:rsidR="00E823AE" w:rsidRPr="00A11E52" w:rsidRDefault="00E71AEA" w:rsidP="00E823AE">
            <w:pPr>
              <w:spacing w:after="120"/>
              <w:rPr>
                <w:rStyle w:val="Italic"/>
                <w:rFonts w:ascii="Arial" w:hAnsi="Arial" w:cs="Arial"/>
                <w:i w:val="0"/>
                <w:sz w:val="20"/>
                <w:szCs w:val="20"/>
              </w:rPr>
            </w:pPr>
            <w:r w:rsidRPr="001D4801">
              <w:rPr>
                <w:rFonts w:ascii="Arial" w:hAnsi="Arial" w:cs="Arial"/>
                <w:sz w:val="20"/>
                <w:szCs w:val="20"/>
              </w:rPr>
              <w:t>The Ruling sets out the Commissioner’s opinion for</w:t>
            </w:r>
            <w:r>
              <w:rPr>
                <w:rFonts w:ascii="Arial" w:hAnsi="Arial" w:cs="Arial"/>
                <w:sz w:val="20"/>
                <w:szCs w:val="20"/>
              </w:rPr>
              <w:t xml:space="preserve"> holders of</w:t>
            </w:r>
            <w:r w:rsidRPr="001D4801">
              <w:rPr>
                <w:rFonts w:ascii="Arial" w:hAnsi="Arial" w:cs="Arial"/>
                <w:sz w:val="20"/>
                <w:szCs w:val="20"/>
              </w:rPr>
              <w:t xml:space="preserve"> </w:t>
            </w:r>
            <w:r w:rsidR="00A11E52" w:rsidRPr="00A11E52">
              <w:rPr>
                <w:rFonts w:ascii="Arial" w:hAnsi="Arial" w:cs="Arial"/>
                <w:sz w:val="20"/>
                <w:szCs w:val="20"/>
              </w:rPr>
              <w:t xml:space="preserve">ordinary shares in </w:t>
            </w:r>
            <w:r w:rsidR="00A11E52" w:rsidRPr="00A11E52">
              <w:rPr>
                <w:rStyle w:val="Italic"/>
                <w:rFonts w:ascii="Arial" w:hAnsi="Arial" w:cs="Arial"/>
                <w:i w:val="0"/>
                <w:sz w:val="20"/>
                <w:szCs w:val="20"/>
              </w:rPr>
              <w:t>Macquarie Group Limited.</w:t>
            </w:r>
          </w:p>
          <w:p w:rsidR="00A11E52" w:rsidRPr="00A11E52" w:rsidRDefault="00A11E52" w:rsidP="00E823AE">
            <w:pPr>
              <w:spacing w:after="120"/>
              <w:rPr>
                <w:rStyle w:val="Italic"/>
                <w:rFonts w:ascii="Arial" w:hAnsi="Arial" w:cs="Arial"/>
                <w:i w:val="0"/>
                <w:sz w:val="20"/>
                <w:szCs w:val="20"/>
              </w:rPr>
            </w:pPr>
          </w:p>
          <w:p w:rsidR="00A11E52" w:rsidRPr="00A11E52" w:rsidRDefault="00A11E52" w:rsidP="00A11E52">
            <w:pPr>
              <w:spacing w:after="120"/>
              <w:rPr>
                <w:rFonts w:ascii="Arial" w:hAnsi="Arial" w:cs="Arial"/>
                <w:sz w:val="20"/>
                <w:szCs w:val="20"/>
              </w:rPr>
            </w:pPr>
            <w:r w:rsidRPr="00A11E52">
              <w:rPr>
                <w:rFonts w:ascii="Arial" w:hAnsi="Arial" w:cs="Arial"/>
                <w:sz w:val="20"/>
                <w:szCs w:val="20"/>
              </w:rPr>
              <w:t xml:space="preserve">The Ruling applies </w:t>
            </w:r>
            <w:r w:rsidR="00893D79">
              <w:rPr>
                <w:rFonts w:ascii="Arial" w:hAnsi="Arial" w:cs="Arial"/>
                <w:sz w:val="20"/>
                <w:szCs w:val="20"/>
              </w:rPr>
              <w:t xml:space="preserve">from </w:t>
            </w:r>
            <w:r w:rsidRPr="00A11E52">
              <w:rPr>
                <w:rFonts w:ascii="Arial" w:hAnsi="Arial" w:cs="Arial"/>
                <w:sz w:val="20"/>
                <w:szCs w:val="20"/>
              </w:rPr>
              <w:t>1 July 2013 to 30 June 2014.</w:t>
            </w:r>
          </w:p>
        </w:tc>
      </w:tr>
      <w:tr w:rsidR="00E823AE"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823AE" w:rsidRPr="00A11E52" w:rsidRDefault="00A11E52" w:rsidP="00581F3D">
            <w:pPr>
              <w:pStyle w:val="Header"/>
              <w:spacing w:after="120"/>
              <w:rPr>
                <w:rFonts w:ascii="Arial" w:hAnsi="Arial" w:cs="Arial"/>
                <w:sz w:val="20"/>
                <w:szCs w:val="20"/>
              </w:rPr>
            </w:pPr>
            <w:r w:rsidRPr="00A11E52">
              <w:rPr>
                <w:rFonts w:ascii="Arial" w:hAnsi="Arial" w:cs="Arial"/>
                <w:sz w:val="20"/>
                <w:szCs w:val="20"/>
              </w:rPr>
              <w:t>CR 2014/11</w:t>
            </w:r>
          </w:p>
        </w:tc>
        <w:tc>
          <w:tcPr>
            <w:tcW w:w="3780" w:type="dxa"/>
            <w:tcBorders>
              <w:top w:val="single" w:sz="6" w:space="0" w:color="auto"/>
              <w:left w:val="single" w:sz="6" w:space="0" w:color="auto"/>
              <w:bottom w:val="single" w:sz="6" w:space="0" w:color="auto"/>
              <w:right w:val="single" w:sz="6" w:space="0" w:color="auto"/>
            </w:tcBorders>
          </w:tcPr>
          <w:p w:rsidR="00A11E52" w:rsidRPr="00BB2FFA" w:rsidRDefault="00A11E52" w:rsidP="00BB2FFA">
            <w:pPr>
              <w:pStyle w:val="Header"/>
              <w:rPr>
                <w:rFonts w:ascii="Arial" w:hAnsi="Arial" w:cs="Arial"/>
                <w:b/>
                <w:color w:val="000000"/>
                <w:sz w:val="20"/>
                <w:szCs w:val="20"/>
              </w:rPr>
            </w:pPr>
            <w:r w:rsidRPr="00BB2FFA">
              <w:rPr>
                <w:rFonts w:ascii="Arial" w:hAnsi="Arial" w:cs="Arial"/>
                <w:color w:val="000000"/>
                <w:sz w:val="20"/>
                <w:szCs w:val="20"/>
              </w:rPr>
              <w:t xml:space="preserve">Income tax: </w:t>
            </w:r>
            <w:r w:rsidR="00E71AEA" w:rsidRPr="00BB2FFA">
              <w:rPr>
                <w:rFonts w:ascii="Arial" w:hAnsi="Arial" w:cs="Arial"/>
                <w:color w:val="000000"/>
                <w:sz w:val="20"/>
                <w:szCs w:val="20"/>
              </w:rPr>
              <w:t xml:space="preserve"> d</w:t>
            </w:r>
            <w:r w:rsidRPr="00BB2FFA">
              <w:rPr>
                <w:rFonts w:ascii="Arial" w:hAnsi="Arial" w:cs="Arial"/>
                <w:color w:val="000000"/>
                <w:sz w:val="20"/>
                <w:szCs w:val="20"/>
              </w:rPr>
              <w:t>emerger of Orora Limited by Amcor Limited</w:t>
            </w:r>
          </w:p>
          <w:p w:rsidR="00E823AE" w:rsidRPr="00BB2FFA" w:rsidRDefault="00E823AE" w:rsidP="00BB2FFA">
            <w:pPr>
              <w:pStyle w:val="Header"/>
              <w:rPr>
                <w:rFonts w:ascii="Arial" w:hAnsi="Arial" w:cs="Arial"/>
                <w:color w:val="000000"/>
                <w:sz w:val="20"/>
                <w:szCs w:val="20"/>
              </w:rPr>
            </w:pPr>
          </w:p>
        </w:tc>
        <w:tc>
          <w:tcPr>
            <w:tcW w:w="4140" w:type="dxa"/>
            <w:tcBorders>
              <w:top w:val="single" w:sz="6" w:space="0" w:color="auto"/>
              <w:left w:val="single" w:sz="6" w:space="0" w:color="auto"/>
              <w:bottom w:val="single" w:sz="6" w:space="0" w:color="auto"/>
              <w:right w:val="single" w:sz="6" w:space="0" w:color="auto"/>
            </w:tcBorders>
          </w:tcPr>
          <w:p w:rsidR="00E823AE" w:rsidRPr="00A11E52" w:rsidRDefault="00E71AEA" w:rsidP="00E823AE">
            <w:pPr>
              <w:spacing w:after="120"/>
              <w:rPr>
                <w:rFonts w:ascii="Arial" w:hAnsi="Arial" w:cs="Arial"/>
                <w:sz w:val="20"/>
                <w:szCs w:val="20"/>
              </w:rPr>
            </w:pPr>
            <w:r w:rsidRPr="001D4801">
              <w:rPr>
                <w:rFonts w:ascii="Arial" w:hAnsi="Arial" w:cs="Arial"/>
                <w:sz w:val="20"/>
                <w:szCs w:val="20"/>
              </w:rPr>
              <w:t xml:space="preserve">The Ruling sets out the Commissioner’s opinion for </w:t>
            </w:r>
            <w:r w:rsidR="00A11E52" w:rsidRPr="00A11E52">
              <w:rPr>
                <w:rFonts w:ascii="Arial" w:hAnsi="Arial" w:cs="Arial"/>
                <w:sz w:val="20"/>
                <w:szCs w:val="20"/>
              </w:rPr>
              <w:t>shareholders of Amcor Limited.</w:t>
            </w:r>
          </w:p>
          <w:p w:rsidR="00A11E52" w:rsidRPr="00A11E52" w:rsidRDefault="00A11E52" w:rsidP="00E823AE">
            <w:pPr>
              <w:spacing w:after="120"/>
              <w:rPr>
                <w:rFonts w:ascii="Arial" w:hAnsi="Arial" w:cs="Arial"/>
                <w:sz w:val="20"/>
                <w:szCs w:val="20"/>
              </w:rPr>
            </w:pPr>
          </w:p>
          <w:p w:rsidR="00A11E52" w:rsidRPr="00A11E52" w:rsidRDefault="00A11E52" w:rsidP="00A11E52">
            <w:pPr>
              <w:spacing w:after="120"/>
              <w:rPr>
                <w:rFonts w:ascii="Arial" w:hAnsi="Arial" w:cs="Arial"/>
                <w:sz w:val="20"/>
                <w:szCs w:val="20"/>
              </w:rPr>
            </w:pPr>
            <w:r w:rsidRPr="00A11E52">
              <w:rPr>
                <w:rFonts w:ascii="Arial" w:hAnsi="Arial" w:cs="Arial"/>
                <w:sz w:val="20"/>
                <w:szCs w:val="20"/>
              </w:rPr>
              <w:t xml:space="preserve">The Ruling applies from </w:t>
            </w:r>
            <w:r w:rsidRPr="00A11E52">
              <w:rPr>
                <w:rStyle w:val="Italic"/>
                <w:rFonts w:ascii="Arial" w:hAnsi="Arial" w:cs="Arial"/>
                <w:i w:val="0"/>
                <w:sz w:val="20"/>
                <w:szCs w:val="20"/>
              </w:rPr>
              <w:t>1 July 2013 to 30 June 2014</w:t>
            </w:r>
            <w:r w:rsidRPr="00A11E52">
              <w:rPr>
                <w:rFonts w:ascii="Arial" w:hAnsi="Arial" w:cs="Arial"/>
                <w:sz w:val="20"/>
                <w:szCs w:val="20"/>
              </w:rPr>
              <w:t>.</w:t>
            </w:r>
          </w:p>
        </w:tc>
      </w:tr>
      <w:tr w:rsidR="00E823AE"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E823AE" w:rsidRPr="00A11E52" w:rsidRDefault="00A11E52" w:rsidP="00581F3D">
            <w:pPr>
              <w:pStyle w:val="Header"/>
              <w:spacing w:after="120"/>
              <w:rPr>
                <w:rFonts w:ascii="Arial" w:hAnsi="Arial" w:cs="Arial"/>
                <w:sz w:val="20"/>
                <w:szCs w:val="20"/>
              </w:rPr>
            </w:pPr>
            <w:r w:rsidRPr="00A11E52">
              <w:rPr>
                <w:rFonts w:ascii="Arial" w:hAnsi="Arial" w:cs="Arial"/>
                <w:sz w:val="20"/>
                <w:szCs w:val="20"/>
              </w:rPr>
              <w:t>CR 2014/12</w:t>
            </w:r>
          </w:p>
        </w:tc>
        <w:tc>
          <w:tcPr>
            <w:tcW w:w="3780" w:type="dxa"/>
            <w:tcBorders>
              <w:top w:val="single" w:sz="6" w:space="0" w:color="auto"/>
              <w:left w:val="single" w:sz="6" w:space="0" w:color="auto"/>
              <w:bottom w:val="single" w:sz="6" w:space="0" w:color="auto"/>
              <w:right w:val="single" w:sz="6" w:space="0" w:color="auto"/>
            </w:tcBorders>
          </w:tcPr>
          <w:p w:rsidR="00A11E52" w:rsidRPr="00A11E52" w:rsidRDefault="00A11E52" w:rsidP="00A11E52">
            <w:pPr>
              <w:pStyle w:val="Header"/>
              <w:rPr>
                <w:rFonts w:ascii="Arial" w:hAnsi="Arial" w:cs="Arial"/>
                <w:sz w:val="20"/>
                <w:szCs w:val="20"/>
              </w:rPr>
            </w:pPr>
            <w:r w:rsidRPr="00A11E52">
              <w:rPr>
                <w:rFonts w:ascii="Arial" w:hAnsi="Arial" w:cs="Arial"/>
                <w:color w:val="000000"/>
                <w:sz w:val="20"/>
                <w:szCs w:val="20"/>
              </w:rPr>
              <w:t>Income tax:</w:t>
            </w:r>
            <w:r w:rsidR="00E71AEA">
              <w:rPr>
                <w:rFonts w:ascii="Arial" w:hAnsi="Arial" w:cs="Arial"/>
                <w:color w:val="000000"/>
                <w:sz w:val="20"/>
                <w:szCs w:val="20"/>
              </w:rPr>
              <w:t xml:space="preserve"> </w:t>
            </w:r>
            <w:r w:rsidRPr="00A11E52">
              <w:rPr>
                <w:rFonts w:ascii="Arial" w:hAnsi="Arial" w:cs="Arial"/>
                <w:color w:val="000000"/>
                <w:sz w:val="20"/>
                <w:szCs w:val="20"/>
              </w:rPr>
              <w:t xml:space="preserve"> </w:t>
            </w:r>
            <w:r w:rsidRPr="00A11E52">
              <w:rPr>
                <w:rFonts w:ascii="Arial" w:hAnsi="Arial" w:cs="Arial"/>
                <w:sz w:val="20"/>
                <w:szCs w:val="20"/>
              </w:rPr>
              <w:t>demerger of Recall Holdings Limited by Brambles Limited</w:t>
            </w:r>
          </w:p>
          <w:p w:rsidR="00E823AE" w:rsidRPr="00A11E52" w:rsidRDefault="00E823AE" w:rsidP="00581F3D">
            <w:pPr>
              <w:pStyle w:val="Header"/>
              <w:spacing w:after="120"/>
              <w:rPr>
                <w:rFonts w:ascii="Arial" w:hAnsi="Arial" w:cs="Arial"/>
                <w:sz w:val="20"/>
                <w:szCs w:val="20"/>
              </w:rPr>
            </w:pPr>
          </w:p>
        </w:tc>
        <w:tc>
          <w:tcPr>
            <w:tcW w:w="4140" w:type="dxa"/>
            <w:tcBorders>
              <w:top w:val="single" w:sz="6" w:space="0" w:color="auto"/>
              <w:left w:val="single" w:sz="6" w:space="0" w:color="auto"/>
              <w:bottom w:val="single" w:sz="6" w:space="0" w:color="auto"/>
              <w:right w:val="single" w:sz="6" w:space="0" w:color="auto"/>
            </w:tcBorders>
          </w:tcPr>
          <w:p w:rsidR="00E823AE" w:rsidRPr="00A11E52" w:rsidRDefault="00E71AEA" w:rsidP="00E823AE">
            <w:pPr>
              <w:spacing w:after="120"/>
              <w:rPr>
                <w:rFonts w:ascii="Arial" w:hAnsi="Arial" w:cs="Arial"/>
                <w:sz w:val="20"/>
                <w:szCs w:val="20"/>
              </w:rPr>
            </w:pPr>
            <w:r w:rsidRPr="001D4801">
              <w:rPr>
                <w:rFonts w:ascii="Arial" w:hAnsi="Arial" w:cs="Arial"/>
                <w:sz w:val="20"/>
                <w:szCs w:val="20"/>
              </w:rPr>
              <w:t xml:space="preserve">The Ruling sets out the Commissioner’s opinion for </w:t>
            </w:r>
            <w:r w:rsidR="00A11E52" w:rsidRPr="00A11E52">
              <w:rPr>
                <w:rFonts w:ascii="Arial" w:hAnsi="Arial" w:cs="Arial"/>
                <w:sz w:val="20"/>
                <w:szCs w:val="20"/>
              </w:rPr>
              <w:t>holders of ordinary shares in Brambles Limited.</w:t>
            </w:r>
          </w:p>
          <w:p w:rsidR="00A11E52" w:rsidRPr="00A11E52" w:rsidRDefault="00A11E52" w:rsidP="00E823AE">
            <w:pPr>
              <w:spacing w:after="120"/>
              <w:rPr>
                <w:rFonts w:ascii="Arial" w:hAnsi="Arial" w:cs="Arial"/>
                <w:sz w:val="20"/>
                <w:szCs w:val="20"/>
              </w:rPr>
            </w:pPr>
          </w:p>
          <w:p w:rsidR="00A11E52" w:rsidRPr="00A11E52" w:rsidRDefault="00A11E52" w:rsidP="00A11E52">
            <w:pPr>
              <w:spacing w:after="120"/>
              <w:rPr>
                <w:rFonts w:ascii="Arial" w:hAnsi="Arial" w:cs="Arial"/>
                <w:sz w:val="20"/>
                <w:szCs w:val="20"/>
              </w:rPr>
            </w:pPr>
            <w:r w:rsidRPr="00A11E52">
              <w:rPr>
                <w:rFonts w:ascii="Arial" w:hAnsi="Arial" w:cs="Arial"/>
                <w:sz w:val="20"/>
                <w:szCs w:val="20"/>
              </w:rPr>
              <w:t>The Ruling applies from 1 July 2013 to 30 June 2014.</w:t>
            </w:r>
          </w:p>
        </w:tc>
      </w:tr>
      <w:tr w:rsidR="00A11E5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A11E52" w:rsidRPr="00A11E52" w:rsidRDefault="00A11E52" w:rsidP="00581F3D">
            <w:pPr>
              <w:pStyle w:val="Header"/>
              <w:spacing w:after="120"/>
              <w:rPr>
                <w:rFonts w:ascii="Arial" w:hAnsi="Arial" w:cs="Arial"/>
                <w:sz w:val="20"/>
                <w:szCs w:val="20"/>
              </w:rPr>
            </w:pPr>
            <w:r w:rsidRPr="00A11E52">
              <w:rPr>
                <w:rFonts w:ascii="Arial" w:hAnsi="Arial" w:cs="Arial"/>
                <w:sz w:val="20"/>
                <w:szCs w:val="20"/>
              </w:rPr>
              <w:lastRenderedPageBreak/>
              <w:t>CR 2014/13</w:t>
            </w:r>
          </w:p>
        </w:tc>
        <w:tc>
          <w:tcPr>
            <w:tcW w:w="3780" w:type="dxa"/>
            <w:tcBorders>
              <w:top w:val="single" w:sz="6" w:space="0" w:color="auto"/>
              <w:left w:val="single" w:sz="6" w:space="0" w:color="auto"/>
              <w:bottom w:val="single" w:sz="6" w:space="0" w:color="auto"/>
              <w:right w:val="single" w:sz="6" w:space="0" w:color="auto"/>
            </w:tcBorders>
          </w:tcPr>
          <w:p w:rsidR="00A11E52" w:rsidRPr="00A11E52" w:rsidRDefault="00A11E52" w:rsidP="00893D79">
            <w:pPr>
              <w:pStyle w:val="Header"/>
              <w:rPr>
                <w:rFonts w:ascii="Arial" w:hAnsi="Arial" w:cs="Arial"/>
                <w:sz w:val="20"/>
                <w:szCs w:val="20"/>
              </w:rPr>
            </w:pPr>
            <w:r w:rsidRPr="00A11E52">
              <w:rPr>
                <w:rFonts w:ascii="Arial" w:hAnsi="Arial" w:cs="Arial"/>
                <w:color w:val="000000"/>
                <w:sz w:val="20"/>
                <w:szCs w:val="20"/>
              </w:rPr>
              <w:t xml:space="preserve">Income tax:  </w:t>
            </w:r>
            <w:r w:rsidR="00893D79">
              <w:rPr>
                <w:rFonts w:ascii="Arial" w:hAnsi="Arial" w:cs="Arial"/>
                <w:color w:val="000000"/>
                <w:sz w:val="20"/>
                <w:szCs w:val="20"/>
              </w:rPr>
              <w:t>f</w:t>
            </w:r>
            <w:r w:rsidR="00893D79" w:rsidRPr="00A11E52">
              <w:rPr>
                <w:rFonts w:ascii="Arial" w:hAnsi="Arial" w:cs="Arial"/>
                <w:color w:val="000000"/>
                <w:sz w:val="20"/>
                <w:szCs w:val="20"/>
              </w:rPr>
              <w:t xml:space="preserve">ormat </w:t>
            </w:r>
            <w:r w:rsidRPr="00A11E52">
              <w:rPr>
                <w:rFonts w:ascii="Arial" w:hAnsi="Arial" w:cs="Arial"/>
                <w:color w:val="000000"/>
                <w:sz w:val="20"/>
                <w:szCs w:val="20"/>
              </w:rPr>
              <w:t>of mobile phone invoice as evidence for donations to World Wide Fund for Nature via SMS.</w:t>
            </w:r>
          </w:p>
        </w:tc>
        <w:tc>
          <w:tcPr>
            <w:tcW w:w="4140" w:type="dxa"/>
            <w:tcBorders>
              <w:top w:val="single" w:sz="6" w:space="0" w:color="auto"/>
              <w:left w:val="single" w:sz="6" w:space="0" w:color="auto"/>
              <w:bottom w:val="single" w:sz="6" w:space="0" w:color="auto"/>
              <w:right w:val="single" w:sz="6" w:space="0" w:color="auto"/>
            </w:tcBorders>
          </w:tcPr>
          <w:p w:rsidR="00A11E52" w:rsidRPr="00A11E52" w:rsidRDefault="00E71AEA" w:rsidP="00E71AEA">
            <w:pPr>
              <w:spacing w:after="120" w:line="240" w:lineRule="auto"/>
              <w:rPr>
                <w:rFonts w:ascii="Arial" w:hAnsi="Arial" w:cs="Arial"/>
                <w:sz w:val="20"/>
                <w:szCs w:val="20"/>
              </w:rPr>
            </w:pPr>
            <w:r w:rsidRPr="001D4801">
              <w:rPr>
                <w:rFonts w:ascii="Arial" w:hAnsi="Arial" w:cs="Arial"/>
                <w:sz w:val="20"/>
                <w:szCs w:val="20"/>
              </w:rPr>
              <w:t xml:space="preserve">The Ruling sets out the Commissioner’s opinion for </w:t>
            </w:r>
            <w:r w:rsidR="00A11E52" w:rsidRPr="00A11E52">
              <w:rPr>
                <w:rFonts w:ascii="Arial" w:hAnsi="Arial" w:cs="Arial"/>
                <w:sz w:val="20"/>
                <w:szCs w:val="20"/>
              </w:rPr>
              <w:t xml:space="preserve">mobile phone subscribers who: </w:t>
            </w:r>
          </w:p>
          <w:p w:rsidR="00A11E52" w:rsidRPr="00A11E52" w:rsidRDefault="00A11E52" w:rsidP="00E71AEA">
            <w:pPr>
              <w:numPr>
                <w:ilvl w:val="0"/>
                <w:numId w:val="3"/>
              </w:numPr>
              <w:spacing w:after="120" w:line="240" w:lineRule="auto"/>
              <w:ind w:left="446" w:hanging="304"/>
              <w:rPr>
                <w:rFonts w:ascii="Arial" w:hAnsi="Arial" w:cs="Arial"/>
                <w:sz w:val="20"/>
                <w:szCs w:val="20"/>
              </w:rPr>
            </w:pPr>
            <w:r w:rsidRPr="00A11E52">
              <w:rPr>
                <w:rFonts w:ascii="Arial" w:hAnsi="Arial" w:cs="Arial"/>
                <w:sz w:val="20"/>
                <w:szCs w:val="20"/>
              </w:rPr>
              <w:t xml:space="preserve">are residents of Australia within the meaning of subsection 6(1) of the </w:t>
            </w:r>
            <w:r w:rsidRPr="00A11E52">
              <w:rPr>
                <w:rFonts w:ascii="Arial" w:hAnsi="Arial" w:cs="Arial"/>
                <w:i/>
                <w:sz w:val="20"/>
                <w:szCs w:val="20"/>
              </w:rPr>
              <w:t>Income Tax Assessment Act 1936</w:t>
            </w:r>
            <w:r w:rsidRPr="00A11E52">
              <w:rPr>
                <w:rFonts w:ascii="Arial" w:hAnsi="Arial" w:cs="Arial"/>
                <w:sz w:val="20"/>
                <w:szCs w:val="20"/>
              </w:rPr>
              <w:t>;</w:t>
            </w:r>
          </w:p>
          <w:p w:rsidR="00A11E52" w:rsidRPr="00A11E52" w:rsidRDefault="00A11E52" w:rsidP="00E71AEA">
            <w:pPr>
              <w:numPr>
                <w:ilvl w:val="0"/>
                <w:numId w:val="3"/>
              </w:numPr>
              <w:spacing w:after="120" w:line="240" w:lineRule="auto"/>
              <w:ind w:left="446" w:hanging="304"/>
              <w:rPr>
                <w:rFonts w:ascii="Arial" w:hAnsi="Arial" w:cs="Arial"/>
                <w:sz w:val="20"/>
                <w:szCs w:val="20"/>
              </w:rPr>
            </w:pPr>
            <w:r w:rsidRPr="00A11E52">
              <w:rPr>
                <w:rFonts w:ascii="Arial" w:hAnsi="Arial" w:cs="Arial"/>
                <w:sz w:val="20"/>
                <w:szCs w:val="20"/>
              </w:rPr>
              <w:t>make a tax deductible gift to the World Wide Fund for Nature (WWF) by way of SMS to a designated mobile phone number operated by a Mobile Phone Carrier (MPC);</w:t>
            </w:r>
          </w:p>
          <w:p w:rsidR="00A11E52" w:rsidRPr="00A11E52" w:rsidRDefault="00A11E52" w:rsidP="00E71AEA">
            <w:pPr>
              <w:numPr>
                <w:ilvl w:val="0"/>
                <w:numId w:val="3"/>
              </w:numPr>
              <w:spacing w:after="120" w:line="240" w:lineRule="auto"/>
              <w:ind w:left="446" w:hanging="304"/>
              <w:rPr>
                <w:rFonts w:ascii="Arial" w:hAnsi="Arial" w:cs="Arial"/>
                <w:sz w:val="20"/>
                <w:szCs w:val="20"/>
              </w:rPr>
            </w:pPr>
            <w:r w:rsidRPr="00A11E52">
              <w:rPr>
                <w:rFonts w:ascii="Arial" w:hAnsi="Arial" w:cs="Arial"/>
                <w:sz w:val="20"/>
                <w:szCs w:val="20"/>
              </w:rPr>
              <w:t xml:space="preserve">receive a mobile phone invoice with the relevant details of the donation from the MPC; and </w:t>
            </w:r>
          </w:p>
          <w:p w:rsidR="00A11E52" w:rsidRPr="00A11E52" w:rsidRDefault="00A11E52" w:rsidP="00E71AEA">
            <w:pPr>
              <w:numPr>
                <w:ilvl w:val="0"/>
                <w:numId w:val="3"/>
              </w:numPr>
              <w:spacing w:after="120" w:line="240" w:lineRule="auto"/>
              <w:ind w:left="446" w:hanging="304"/>
              <w:rPr>
                <w:rFonts w:ascii="Arial" w:hAnsi="Arial" w:cs="Arial"/>
                <w:sz w:val="20"/>
                <w:szCs w:val="20"/>
              </w:rPr>
            </w:pPr>
            <w:bookmarkStart w:id="1" w:name="_GoBack"/>
            <w:bookmarkEnd w:id="1"/>
            <w:proofErr w:type="gramStart"/>
            <w:r w:rsidRPr="00A11E52">
              <w:rPr>
                <w:rFonts w:ascii="Arial" w:hAnsi="Arial" w:cs="Arial"/>
                <w:sz w:val="20"/>
                <w:szCs w:val="20"/>
              </w:rPr>
              <w:t>use</w:t>
            </w:r>
            <w:proofErr w:type="gramEnd"/>
            <w:r w:rsidRPr="00A11E52">
              <w:rPr>
                <w:rFonts w:ascii="Arial" w:hAnsi="Arial" w:cs="Arial"/>
                <w:sz w:val="20"/>
                <w:szCs w:val="20"/>
              </w:rPr>
              <w:t xml:space="preserve"> the mobile phone invoice as evidence to claim the donation as an allowable deduction under Division 30</w:t>
            </w:r>
            <w:r w:rsidR="00260AB4">
              <w:rPr>
                <w:rFonts w:ascii="Arial" w:hAnsi="Arial" w:cs="Arial"/>
                <w:sz w:val="20"/>
                <w:szCs w:val="20"/>
              </w:rPr>
              <w:t xml:space="preserve"> of the </w:t>
            </w:r>
            <w:r w:rsidR="00260AB4">
              <w:rPr>
                <w:rFonts w:ascii="Arial" w:hAnsi="Arial" w:cs="Arial"/>
                <w:i/>
                <w:sz w:val="20"/>
                <w:szCs w:val="20"/>
              </w:rPr>
              <w:t>Income Tax Assessment Act 1997</w:t>
            </w:r>
            <w:r w:rsidRPr="00A11E52">
              <w:rPr>
                <w:rFonts w:ascii="Arial" w:hAnsi="Arial" w:cs="Arial"/>
                <w:sz w:val="20"/>
                <w:szCs w:val="20"/>
              </w:rPr>
              <w:t>.</w:t>
            </w:r>
          </w:p>
          <w:p w:rsidR="00A11E52" w:rsidRPr="00A11E52" w:rsidRDefault="00A11E52" w:rsidP="00E823AE">
            <w:pPr>
              <w:spacing w:after="120"/>
              <w:rPr>
                <w:rFonts w:ascii="Arial" w:hAnsi="Arial" w:cs="Arial"/>
                <w:sz w:val="20"/>
                <w:szCs w:val="20"/>
              </w:rPr>
            </w:pPr>
          </w:p>
          <w:p w:rsidR="00A11E52" w:rsidRPr="00A11E52" w:rsidRDefault="00A11E52" w:rsidP="00A11E52">
            <w:pPr>
              <w:spacing w:after="120"/>
              <w:rPr>
                <w:rFonts w:ascii="Arial" w:hAnsi="Arial" w:cs="Arial"/>
                <w:sz w:val="20"/>
                <w:szCs w:val="20"/>
              </w:rPr>
            </w:pPr>
            <w:r w:rsidRPr="00A11E52">
              <w:rPr>
                <w:rFonts w:ascii="Arial" w:hAnsi="Arial" w:cs="Arial"/>
                <w:sz w:val="20"/>
                <w:szCs w:val="20"/>
              </w:rPr>
              <w:t>The Ruling applies from 1 February 2014 until 30 June 2019.</w:t>
            </w:r>
          </w:p>
        </w:tc>
      </w:tr>
      <w:tr w:rsidR="00A11E5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tcPr>
          <w:p w:rsidR="00A11E52" w:rsidRPr="00A11E52" w:rsidRDefault="00A11E52" w:rsidP="00581F3D">
            <w:pPr>
              <w:pStyle w:val="Header"/>
              <w:spacing w:after="120"/>
              <w:rPr>
                <w:rFonts w:ascii="Arial" w:hAnsi="Arial" w:cs="Arial"/>
                <w:sz w:val="20"/>
                <w:szCs w:val="20"/>
              </w:rPr>
            </w:pPr>
            <w:r w:rsidRPr="00A11E52">
              <w:rPr>
                <w:rFonts w:ascii="Arial" w:hAnsi="Arial" w:cs="Arial"/>
                <w:sz w:val="20"/>
                <w:szCs w:val="20"/>
              </w:rPr>
              <w:t>CR 2014/14</w:t>
            </w:r>
          </w:p>
        </w:tc>
        <w:tc>
          <w:tcPr>
            <w:tcW w:w="3780" w:type="dxa"/>
            <w:tcBorders>
              <w:top w:val="single" w:sz="6" w:space="0" w:color="auto"/>
              <w:left w:val="single" w:sz="6" w:space="0" w:color="auto"/>
              <w:bottom w:val="single" w:sz="6" w:space="0" w:color="auto"/>
              <w:right w:val="single" w:sz="6" w:space="0" w:color="auto"/>
            </w:tcBorders>
          </w:tcPr>
          <w:p w:rsidR="00A11E52" w:rsidRPr="00A11E52" w:rsidRDefault="00A11E52" w:rsidP="00E71AEA">
            <w:pPr>
              <w:pStyle w:val="Header"/>
              <w:rPr>
                <w:rFonts w:ascii="Arial" w:hAnsi="Arial" w:cs="Arial"/>
                <w:sz w:val="20"/>
                <w:szCs w:val="20"/>
              </w:rPr>
            </w:pPr>
            <w:r w:rsidRPr="00A11E52">
              <w:rPr>
                <w:rFonts w:ascii="Arial" w:hAnsi="Arial" w:cs="Arial"/>
                <w:color w:val="000000"/>
                <w:sz w:val="20"/>
                <w:szCs w:val="20"/>
              </w:rPr>
              <w:t xml:space="preserve">Income tax: </w:t>
            </w:r>
            <w:r w:rsidR="00E71AEA">
              <w:rPr>
                <w:rFonts w:ascii="Arial" w:hAnsi="Arial" w:cs="Arial"/>
                <w:color w:val="000000"/>
                <w:sz w:val="20"/>
                <w:szCs w:val="20"/>
              </w:rPr>
              <w:t xml:space="preserve"> </w:t>
            </w:r>
            <w:r w:rsidRPr="00A11E52">
              <w:rPr>
                <w:rFonts w:ascii="Arial" w:hAnsi="Arial" w:cs="Arial"/>
                <w:sz w:val="20"/>
                <w:szCs w:val="20"/>
              </w:rPr>
              <w:t xml:space="preserve">Macquarie Group Employee Retained Equity Plan: </w:t>
            </w:r>
            <w:r w:rsidR="00E71AEA">
              <w:rPr>
                <w:rFonts w:ascii="Arial" w:hAnsi="Arial" w:cs="Arial"/>
                <w:sz w:val="20"/>
                <w:szCs w:val="20"/>
              </w:rPr>
              <w:t xml:space="preserve"> </w:t>
            </w:r>
            <w:r w:rsidRPr="00A11E52">
              <w:rPr>
                <w:rFonts w:ascii="Arial" w:hAnsi="Arial" w:cs="Arial"/>
                <w:sz w:val="20"/>
                <w:szCs w:val="20"/>
              </w:rPr>
              <w:t>share consolidation and in specie distribution: Macquarie Group Limited</w:t>
            </w:r>
          </w:p>
        </w:tc>
        <w:tc>
          <w:tcPr>
            <w:tcW w:w="4140" w:type="dxa"/>
            <w:tcBorders>
              <w:top w:val="single" w:sz="6" w:space="0" w:color="auto"/>
              <w:left w:val="single" w:sz="6" w:space="0" w:color="auto"/>
              <w:bottom w:val="single" w:sz="6" w:space="0" w:color="auto"/>
              <w:right w:val="single" w:sz="6" w:space="0" w:color="auto"/>
            </w:tcBorders>
          </w:tcPr>
          <w:p w:rsidR="00A11E52" w:rsidRPr="00A11E52" w:rsidRDefault="00E71AEA" w:rsidP="00E823AE">
            <w:pPr>
              <w:spacing w:after="120"/>
              <w:rPr>
                <w:rFonts w:ascii="Arial" w:hAnsi="Arial" w:cs="Arial"/>
                <w:sz w:val="20"/>
                <w:szCs w:val="20"/>
              </w:rPr>
            </w:pPr>
            <w:r w:rsidRPr="001D4801">
              <w:rPr>
                <w:rFonts w:ascii="Arial" w:hAnsi="Arial" w:cs="Arial"/>
                <w:sz w:val="20"/>
                <w:szCs w:val="20"/>
              </w:rPr>
              <w:t xml:space="preserve">The Ruling sets out the Commissioner’s opinion for </w:t>
            </w:r>
            <w:r w:rsidR="00A11E52" w:rsidRPr="00A11E52">
              <w:rPr>
                <w:rFonts w:ascii="Arial" w:hAnsi="Arial" w:cs="Arial"/>
                <w:sz w:val="20"/>
                <w:szCs w:val="20"/>
              </w:rPr>
              <w:t>employees (including directors) of Macquarie Group Limited or its subsidiaries.</w:t>
            </w:r>
          </w:p>
          <w:p w:rsidR="00A11E52" w:rsidRPr="00A11E52" w:rsidRDefault="00A11E52" w:rsidP="00E823AE">
            <w:pPr>
              <w:spacing w:after="120"/>
              <w:rPr>
                <w:rFonts w:ascii="Arial" w:hAnsi="Arial" w:cs="Arial"/>
                <w:sz w:val="20"/>
                <w:szCs w:val="20"/>
              </w:rPr>
            </w:pPr>
          </w:p>
          <w:p w:rsidR="00A11E52" w:rsidRPr="00A11E52" w:rsidRDefault="00A11E52" w:rsidP="00A11E52">
            <w:pPr>
              <w:spacing w:after="120"/>
              <w:rPr>
                <w:rFonts w:ascii="Arial" w:hAnsi="Arial" w:cs="Arial"/>
                <w:sz w:val="20"/>
                <w:szCs w:val="20"/>
              </w:rPr>
            </w:pPr>
            <w:r w:rsidRPr="00A11E52">
              <w:rPr>
                <w:rFonts w:ascii="Arial" w:hAnsi="Arial" w:cs="Arial"/>
                <w:sz w:val="20"/>
                <w:szCs w:val="20"/>
              </w:rPr>
              <w:t xml:space="preserve">The Ruling applies </w:t>
            </w:r>
            <w:r w:rsidR="00893D79">
              <w:rPr>
                <w:rFonts w:ascii="Arial" w:hAnsi="Arial" w:cs="Arial"/>
                <w:sz w:val="20"/>
                <w:szCs w:val="20"/>
              </w:rPr>
              <w:t xml:space="preserve">from </w:t>
            </w:r>
            <w:r w:rsidRPr="00A11E52">
              <w:rPr>
                <w:rFonts w:ascii="Arial" w:hAnsi="Arial" w:cs="Arial"/>
                <w:sz w:val="20"/>
                <w:szCs w:val="20"/>
              </w:rPr>
              <w:t>1 July 2013 to 30 June 2014.</w:t>
            </w:r>
          </w:p>
        </w:tc>
      </w:tr>
    </w:tbl>
    <w:p w:rsidR="00114CB2" w:rsidRDefault="00114CB2" w:rsidP="0094219E">
      <w:pPr>
        <w:spacing w:after="120"/>
        <w:rPr>
          <w:rFonts w:ascii="Arial" w:hAnsi="Arial" w:cs="Arial"/>
          <w:sz w:val="18"/>
          <w:szCs w:val="18"/>
        </w:rPr>
      </w:pPr>
    </w:p>
    <w:tbl>
      <w:tblPr>
        <w:tblW w:w="9648" w:type="dxa"/>
        <w:tblLayout w:type="fixed"/>
        <w:tblLook w:val="0000" w:firstRow="0" w:lastRow="0" w:firstColumn="0" w:lastColumn="0" w:noHBand="0" w:noVBand="0"/>
      </w:tblPr>
      <w:tblGrid>
        <w:gridCol w:w="1728"/>
        <w:gridCol w:w="3780"/>
        <w:gridCol w:w="4140"/>
      </w:tblGrid>
      <w:tr w:rsidR="00114CB2" w:rsidRPr="00773255" w:rsidTr="008D17C9">
        <w:trPr>
          <w:cantSplit/>
          <w:trHeight w:val="72"/>
          <w:tblHeader/>
        </w:trPr>
        <w:tc>
          <w:tcPr>
            <w:tcW w:w="9648" w:type="dxa"/>
            <w:gridSpan w:val="3"/>
            <w:tcBorders>
              <w:top w:val="single" w:sz="6" w:space="0" w:color="auto"/>
              <w:left w:val="single" w:sz="6" w:space="0" w:color="auto"/>
              <w:bottom w:val="single" w:sz="6" w:space="0" w:color="auto"/>
              <w:right w:val="single" w:sz="6" w:space="0" w:color="auto"/>
            </w:tcBorders>
          </w:tcPr>
          <w:p w:rsidR="00114CB2" w:rsidRPr="00773255" w:rsidRDefault="00114CB2" w:rsidP="008D17C9">
            <w:pPr>
              <w:pStyle w:val="Heading3"/>
              <w:keepLines/>
              <w:spacing w:before="80" w:after="80"/>
              <w:jc w:val="center"/>
              <w:rPr>
                <w:sz w:val="22"/>
                <w:szCs w:val="22"/>
              </w:rPr>
            </w:pPr>
            <w:r w:rsidRPr="00773255">
              <w:rPr>
                <w:sz w:val="22"/>
                <w:szCs w:val="22"/>
              </w:rPr>
              <w:t>NOTICE OF</w:t>
            </w:r>
            <w:r>
              <w:rPr>
                <w:sz w:val="22"/>
                <w:szCs w:val="22"/>
              </w:rPr>
              <w:t xml:space="preserve"> WITHDRAWALS</w:t>
            </w:r>
          </w:p>
        </w:tc>
      </w:tr>
      <w:tr w:rsidR="00114CB2" w:rsidRPr="00773255" w:rsidTr="008D17C9">
        <w:trPr>
          <w:cantSplit/>
          <w:trHeight w:val="72"/>
          <w:tblHeader/>
        </w:trPr>
        <w:tc>
          <w:tcPr>
            <w:tcW w:w="1728"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Ruling Number</w:t>
            </w:r>
          </w:p>
        </w:tc>
        <w:tc>
          <w:tcPr>
            <w:tcW w:w="378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Subject</w:t>
            </w:r>
          </w:p>
        </w:tc>
        <w:tc>
          <w:tcPr>
            <w:tcW w:w="4140" w:type="dxa"/>
            <w:tcBorders>
              <w:top w:val="single" w:sz="6" w:space="0" w:color="auto"/>
              <w:left w:val="single" w:sz="6" w:space="0" w:color="auto"/>
              <w:bottom w:val="single" w:sz="6" w:space="0" w:color="auto"/>
              <w:right w:val="single" w:sz="6" w:space="0" w:color="auto"/>
            </w:tcBorders>
            <w:vAlign w:val="center"/>
          </w:tcPr>
          <w:p w:rsidR="00114CB2" w:rsidRPr="00773255" w:rsidRDefault="00114CB2" w:rsidP="008D17C9">
            <w:pPr>
              <w:pStyle w:val="Heading3"/>
              <w:keepLines/>
              <w:spacing w:before="80" w:after="80"/>
              <w:jc w:val="center"/>
              <w:rPr>
                <w:sz w:val="22"/>
                <w:szCs w:val="22"/>
              </w:rPr>
            </w:pPr>
            <w:r w:rsidRPr="00773255">
              <w:rPr>
                <w:sz w:val="22"/>
                <w:szCs w:val="22"/>
              </w:rPr>
              <w:t>Brief Description</w:t>
            </w:r>
          </w:p>
        </w:tc>
      </w:tr>
      <w:tr w:rsidR="00272161" w:rsidRPr="00842B28"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97/1</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1997</w:t>
            </w:r>
            <w:r w:rsidRPr="00BB2FFA">
              <w:rPr>
                <w:rFonts w:ascii="Arial" w:hAnsi="Arial" w:cs="Arial"/>
                <w:sz w:val="20"/>
                <w:szCs w:val="20"/>
              </w:rPr>
              <w:noBreakHyphen/>
              <w:t xml:space="preserve">98 financial year under the </w:t>
            </w:r>
            <w:r w:rsidRPr="00BB2FFA">
              <w:rPr>
                <w:rFonts w:ascii="Arial" w:hAnsi="Arial" w:cs="Arial"/>
                <w:i/>
                <w:sz w:val="20"/>
                <w:szCs w:val="20"/>
              </w:rPr>
              <w:t>Superannuation Contributions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842B28" w:rsidRDefault="00272161" w:rsidP="00A83BCC">
            <w:pPr>
              <w:spacing w:after="120"/>
              <w:rPr>
                <w:rFonts w:ascii="Arial" w:hAnsi="Arial" w:cs="Arial"/>
                <w:sz w:val="20"/>
                <w:szCs w:val="20"/>
              </w:rPr>
            </w:pPr>
            <w:r w:rsidRPr="00BB2FFA">
              <w:rPr>
                <w:rFonts w:ascii="Arial" w:hAnsi="Arial" w:cs="Arial"/>
                <w:sz w:val="20"/>
                <w:szCs w:val="20"/>
              </w:rPr>
              <w:t>Withdrawn without replacement.</w:t>
            </w:r>
          </w:p>
        </w:tc>
      </w:tr>
      <w:tr w:rsidR="00272161" w:rsidRPr="00842B28" w:rsidTr="008D17C9">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97/2</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are the indexable amounts for the 1997</w:t>
            </w:r>
            <w:r w:rsidRPr="00BB2FFA">
              <w:rPr>
                <w:rFonts w:ascii="Arial" w:hAnsi="Arial" w:cs="Arial"/>
                <w:sz w:val="20"/>
                <w:szCs w:val="20"/>
              </w:rPr>
              <w:noBreakHyphen/>
              <w:t xml:space="preserve">98 financial year under the </w:t>
            </w:r>
            <w:r w:rsidRPr="00BB2FFA">
              <w:rPr>
                <w:rFonts w:ascii="Arial" w:hAnsi="Arial" w:cs="Arial"/>
                <w:i/>
                <w:sz w:val="20"/>
                <w:szCs w:val="20"/>
              </w:rPr>
              <w:t>Termination Payments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97/3</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1997</w:t>
            </w:r>
            <w:r w:rsidRPr="00BB2FFA">
              <w:rPr>
                <w:rFonts w:ascii="Arial" w:hAnsi="Arial" w:cs="Arial"/>
                <w:sz w:val="20"/>
                <w:szCs w:val="20"/>
              </w:rPr>
              <w:noBreakHyphen/>
              <w:t xml:space="preserve">98 financial year under the </w:t>
            </w:r>
            <w:r w:rsidRPr="00BB2FFA">
              <w:rPr>
                <w:rFonts w:ascii="Arial" w:hAnsi="Arial" w:cs="Arial"/>
                <w:i/>
                <w:sz w:val="20"/>
                <w:szCs w:val="20"/>
              </w:rPr>
              <w:t>Termination Payments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lastRenderedPageBreak/>
              <w:t>SCD 97/4</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are the surchargeable contributions threshold and the indexable amounts for the 1997</w:t>
            </w:r>
            <w:r w:rsidRPr="00BB2FFA">
              <w:rPr>
                <w:rFonts w:ascii="Arial" w:hAnsi="Arial" w:cs="Arial"/>
                <w:sz w:val="20"/>
                <w:szCs w:val="20"/>
              </w:rPr>
              <w:noBreakHyphen/>
              <w:t xml:space="preserve">98 financial year under the </w:t>
            </w:r>
            <w:r w:rsidRPr="00BB2FFA">
              <w:rPr>
                <w:rFonts w:ascii="Arial" w:hAnsi="Arial" w:cs="Arial"/>
                <w:i/>
                <w:sz w:val="20"/>
                <w:szCs w:val="20"/>
              </w:rPr>
              <w:t>Superannuation Contributions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98/3</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1998</w:t>
            </w:r>
            <w:r w:rsidRPr="00BB2FFA">
              <w:rPr>
                <w:rFonts w:ascii="Arial" w:hAnsi="Arial" w:cs="Arial"/>
                <w:sz w:val="20"/>
                <w:szCs w:val="20"/>
              </w:rPr>
              <w:noBreakHyphen/>
              <w:t xml:space="preserve">99 financial year under the </w:t>
            </w:r>
            <w:r w:rsidRPr="00BB2FFA">
              <w:rPr>
                <w:rFonts w:ascii="Arial" w:hAnsi="Arial" w:cs="Arial"/>
                <w:i/>
                <w:sz w:val="20"/>
                <w:szCs w:val="20"/>
              </w:rPr>
              <w:t>Superannuation Contributions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 xml:space="preserve">SCD 98/4 </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are the indexable amounts for the 1998</w:t>
            </w:r>
            <w:r w:rsidRPr="00BB2FFA">
              <w:rPr>
                <w:rFonts w:ascii="Arial" w:hAnsi="Arial" w:cs="Arial"/>
                <w:sz w:val="20"/>
                <w:szCs w:val="20"/>
              </w:rPr>
              <w:noBreakHyphen/>
              <w:t xml:space="preserve">99 financial year under the </w:t>
            </w:r>
            <w:r w:rsidRPr="00BB2FFA">
              <w:rPr>
                <w:rFonts w:ascii="Arial" w:hAnsi="Arial" w:cs="Arial"/>
                <w:i/>
                <w:sz w:val="20"/>
                <w:szCs w:val="20"/>
              </w:rPr>
              <w:t>Termination Payments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98/5</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1998</w:t>
            </w:r>
            <w:r w:rsidRPr="00BB2FFA">
              <w:rPr>
                <w:rFonts w:ascii="Arial" w:hAnsi="Arial" w:cs="Arial"/>
                <w:sz w:val="20"/>
                <w:szCs w:val="20"/>
              </w:rPr>
              <w:noBreakHyphen/>
              <w:t xml:space="preserve">99 financial year under the </w:t>
            </w:r>
            <w:r w:rsidRPr="00BB2FFA">
              <w:rPr>
                <w:rFonts w:ascii="Arial" w:hAnsi="Arial" w:cs="Arial"/>
                <w:i/>
                <w:sz w:val="20"/>
                <w:szCs w:val="20"/>
              </w:rPr>
              <w:t>Termination Payments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98/6</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are the surchargeable contributions threshold and the indexable amounts for the 1998</w:t>
            </w:r>
            <w:r w:rsidRPr="00BB2FFA">
              <w:rPr>
                <w:rFonts w:ascii="Arial" w:hAnsi="Arial" w:cs="Arial"/>
                <w:sz w:val="20"/>
                <w:szCs w:val="20"/>
              </w:rPr>
              <w:noBreakHyphen/>
              <w:t xml:space="preserve">99 financial year under the </w:t>
            </w:r>
            <w:r w:rsidRPr="00BB2FFA">
              <w:rPr>
                <w:rFonts w:ascii="Arial" w:hAnsi="Arial" w:cs="Arial"/>
                <w:i/>
                <w:sz w:val="20"/>
                <w:szCs w:val="20"/>
              </w:rPr>
              <w:t>Superannuation Contributions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99/1</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1999</w:t>
            </w:r>
            <w:r w:rsidRPr="00BB2FFA">
              <w:rPr>
                <w:rFonts w:ascii="Arial" w:hAnsi="Arial" w:cs="Arial"/>
                <w:sz w:val="20"/>
                <w:szCs w:val="20"/>
              </w:rPr>
              <w:noBreakHyphen/>
              <w:t xml:space="preserve">2000 financial year under the </w:t>
            </w:r>
            <w:r w:rsidRPr="00BB2FFA">
              <w:rPr>
                <w:rFonts w:ascii="Arial" w:hAnsi="Arial" w:cs="Arial"/>
                <w:i/>
                <w:sz w:val="20"/>
                <w:szCs w:val="20"/>
              </w:rPr>
              <w:t>Superannuation Contributions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99/2</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 xml:space="preserve">Superannuation contributions:  what are the indexable amounts for the 1999-2000 financial </w:t>
            </w:r>
            <w:proofErr w:type="gramStart"/>
            <w:r w:rsidRPr="00BB2FFA">
              <w:rPr>
                <w:rFonts w:ascii="Arial" w:hAnsi="Arial" w:cs="Arial"/>
                <w:sz w:val="20"/>
                <w:szCs w:val="20"/>
              </w:rPr>
              <w:t>year</w:t>
            </w:r>
            <w:proofErr w:type="gramEnd"/>
            <w:r w:rsidRPr="00BB2FFA">
              <w:rPr>
                <w:rFonts w:ascii="Arial" w:hAnsi="Arial" w:cs="Arial"/>
                <w:sz w:val="20"/>
                <w:szCs w:val="20"/>
              </w:rPr>
              <w:t xml:space="preserve"> under the </w:t>
            </w:r>
            <w:r w:rsidRPr="00BB2FFA">
              <w:rPr>
                <w:rFonts w:ascii="Arial" w:hAnsi="Arial" w:cs="Arial"/>
                <w:i/>
                <w:sz w:val="20"/>
                <w:szCs w:val="20"/>
              </w:rPr>
              <w:t>Termination Payments Tax Imposition Act 1997?</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99/3</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b/>
                <w:sz w:val="20"/>
                <w:szCs w:val="20"/>
              </w:rPr>
            </w:pPr>
            <w:r w:rsidRPr="00BB2FFA">
              <w:rPr>
                <w:rFonts w:ascii="Arial" w:hAnsi="Arial" w:cs="Arial"/>
                <w:sz w:val="20"/>
                <w:szCs w:val="20"/>
              </w:rPr>
              <w:t>Superannuation contributions:  what is the surcharge threshold for the 1999</w:t>
            </w:r>
            <w:r w:rsidRPr="00BB2FFA">
              <w:rPr>
                <w:rFonts w:ascii="Arial" w:hAnsi="Arial" w:cs="Arial"/>
                <w:sz w:val="20"/>
                <w:szCs w:val="20"/>
              </w:rPr>
              <w:noBreakHyphen/>
              <w:t xml:space="preserve">2000 financial year under the </w:t>
            </w:r>
            <w:r w:rsidRPr="00BB2FFA">
              <w:rPr>
                <w:rFonts w:ascii="Arial" w:hAnsi="Arial" w:cs="Arial"/>
                <w:i/>
                <w:sz w:val="20"/>
                <w:szCs w:val="20"/>
              </w:rPr>
              <w:t>Termination Payments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99/4</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are the surchargeable contributions threshold and the indexable amounts for the 1999</w:t>
            </w:r>
            <w:r w:rsidRPr="00BB2FFA">
              <w:rPr>
                <w:rFonts w:ascii="Arial" w:hAnsi="Arial" w:cs="Arial"/>
                <w:sz w:val="20"/>
                <w:szCs w:val="20"/>
              </w:rPr>
              <w:noBreakHyphen/>
              <w:t xml:space="preserve">2000 financial year under the </w:t>
            </w:r>
            <w:r w:rsidRPr="00BB2FFA">
              <w:rPr>
                <w:rFonts w:ascii="Arial" w:hAnsi="Arial" w:cs="Arial"/>
                <w:i/>
                <w:sz w:val="20"/>
                <w:szCs w:val="20"/>
              </w:rPr>
              <w:t>Superannuation Contributions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2000/1</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b/>
                <w:sz w:val="20"/>
                <w:szCs w:val="20"/>
              </w:rPr>
            </w:pPr>
            <w:r w:rsidRPr="00BB2FFA">
              <w:rPr>
                <w:rFonts w:ascii="Arial" w:hAnsi="Arial" w:cs="Arial"/>
                <w:sz w:val="20"/>
                <w:szCs w:val="20"/>
              </w:rPr>
              <w:t>Superannuation contributions:  what is the surcharge threshold for the 2000</w:t>
            </w:r>
            <w:r w:rsidRPr="00BB2FFA">
              <w:rPr>
                <w:rFonts w:ascii="Arial" w:hAnsi="Arial" w:cs="Arial"/>
                <w:sz w:val="20"/>
                <w:szCs w:val="20"/>
              </w:rPr>
              <w:noBreakHyphen/>
              <w:t xml:space="preserve">2001 financial year under the </w:t>
            </w:r>
            <w:r w:rsidRPr="00BB2FFA">
              <w:rPr>
                <w:rFonts w:ascii="Arial" w:hAnsi="Arial" w:cs="Arial"/>
                <w:i/>
                <w:sz w:val="20"/>
                <w:szCs w:val="20"/>
              </w:rPr>
              <w:t>Superannuation Contributions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lastRenderedPageBreak/>
              <w:t>SCD 2000/2</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are the indexable amounts for the 2000</w:t>
            </w:r>
            <w:r w:rsidRPr="00BB2FFA">
              <w:rPr>
                <w:rFonts w:ascii="Arial" w:hAnsi="Arial" w:cs="Arial"/>
                <w:sz w:val="20"/>
                <w:szCs w:val="20"/>
              </w:rPr>
              <w:noBreakHyphen/>
              <w:t xml:space="preserve">2001 financial year under the </w:t>
            </w:r>
            <w:r w:rsidRPr="00BB2FFA">
              <w:rPr>
                <w:rFonts w:ascii="Arial" w:hAnsi="Arial" w:cs="Arial"/>
                <w:i/>
                <w:sz w:val="20"/>
                <w:szCs w:val="20"/>
              </w:rPr>
              <w:t>Termination Payments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2000/3</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2000</w:t>
            </w:r>
            <w:r w:rsidRPr="00BB2FFA">
              <w:rPr>
                <w:rFonts w:ascii="Arial" w:hAnsi="Arial" w:cs="Arial"/>
                <w:sz w:val="20"/>
                <w:szCs w:val="20"/>
              </w:rPr>
              <w:noBreakHyphen/>
              <w:t xml:space="preserve">2001 financial year under the </w:t>
            </w:r>
            <w:r w:rsidRPr="00BB2FFA">
              <w:rPr>
                <w:rFonts w:ascii="Arial" w:hAnsi="Arial" w:cs="Arial"/>
                <w:i/>
                <w:sz w:val="20"/>
                <w:szCs w:val="20"/>
              </w:rPr>
              <w:t>Termination Payments Tax (Assessment and Collection) Act 1997</w:t>
            </w:r>
            <w:r w:rsidRPr="00BB2FFA">
              <w:rPr>
                <w:rFonts w:ascii="Arial" w:hAnsi="Arial" w:cs="Arial"/>
                <w:sz w:val="20"/>
                <w:szCs w:val="20"/>
              </w:rPr>
              <w:t xml:space="preserve">? </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2000/4</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are the surchargeable contributions threshold and the indexable amounts for the 2000</w:t>
            </w:r>
            <w:r w:rsidRPr="00BB2FFA">
              <w:rPr>
                <w:rFonts w:ascii="Arial" w:hAnsi="Arial" w:cs="Arial"/>
                <w:sz w:val="20"/>
                <w:szCs w:val="20"/>
              </w:rPr>
              <w:noBreakHyphen/>
              <w:t xml:space="preserve">2001 financial year under the </w:t>
            </w:r>
            <w:r w:rsidRPr="00BB2FFA">
              <w:rPr>
                <w:rFonts w:ascii="Arial" w:hAnsi="Arial" w:cs="Arial"/>
                <w:i/>
                <w:sz w:val="20"/>
                <w:szCs w:val="20"/>
              </w:rPr>
              <w:t>Superannuation Contributions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2001/1</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2001</w:t>
            </w:r>
            <w:r w:rsidRPr="00BB2FFA">
              <w:rPr>
                <w:rFonts w:ascii="Arial" w:hAnsi="Arial" w:cs="Arial"/>
                <w:sz w:val="20"/>
                <w:szCs w:val="20"/>
              </w:rPr>
              <w:noBreakHyphen/>
              <w:t xml:space="preserve">2002 financial year under the </w:t>
            </w:r>
            <w:r w:rsidRPr="00BB2FFA">
              <w:rPr>
                <w:rFonts w:ascii="Arial" w:hAnsi="Arial" w:cs="Arial"/>
                <w:i/>
                <w:sz w:val="20"/>
                <w:szCs w:val="20"/>
              </w:rPr>
              <w:t>Superannuation Contributions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2001/2</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are the indexable amounts for the 2001</w:t>
            </w:r>
            <w:r w:rsidRPr="00BB2FFA">
              <w:rPr>
                <w:rFonts w:ascii="Arial" w:hAnsi="Arial" w:cs="Arial"/>
                <w:sz w:val="20"/>
                <w:szCs w:val="20"/>
              </w:rPr>
              <w:noBreakHyphen/>
              <w:t xml:space="preserve">2002 financial year under the </w:t>
            </w:r>
            <w:r w:rsidRPr="00BB2FFA">
              <w:rPr>
                <w:rFonts w:ascii="Arial" w:hAnsi="Arial" w:cs="Arial"/>
                <w:i/>
                <w:sz w:val="20"/>
                <w:szCs w:val="20"/>
              </w:rPr>
              <w:t>Termination Payments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2001/3</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2001</w:t>
            </w:r>
            <w:r w:rsidRPr="00BB2FFA">
              <w:rPr>
                <w:rFonts w:ascii="Arial" w:hAnsi="Arial" w:cs="Arial"/>
                <w:sz w:val="20"/>
                <w:szCs w:val="20"/>
              </w:rPr>
              <w:noBreakHyphen/>
              <w:t xml:space="preserve">2002 financial year under the </w:t>
            </w:r>
            <w:r w:rsidRPr="00BB2FFA">
              <w:rPr>
                <w:rFonts w:ascii="Arial" w:hAnsi="Arial" w:cs="Arial"/>
                <w:i/>
                <w:sz w:val="20"/>
                <w:szCs w:val="20"/>
              </w:rPr>
              <w:t>Termination Payments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272161"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SCD 2001/4</w:t>
            </w:r>
          </w:p>
        </w:tc>
        <w:tc>
          <w:tcPr>
            <w:tcW w:w="3780" w:type="dxa"/>
            <w:tcBorders>
              <w:top w:val="single" w:sz="6" w:space="0" w:color="auto"/>
              <w:left w:val="single" w:sz="6" w:space="0" w:color="auto"/>
              <w:bottom w:val="single" w:sz="6" w:space="0" w:color="auto"/>
              <w:right w:val="single" w:sz="6" w:space="0" w:color="auto"/>
            </w:tcBorders>
          </w:tcPr>
          <w:p w:rsidR="00272161" w:rsidRPr="00BB2FFA" w:rsidRDefault="00272161" w:rsidP="003F57DC">
            <w:pPr>
              <w:pStyle w:val="Header"/>
              <w:spacing w:after="120"/>
              <w:rPr>
                <w:rFonts w:ascii="Arial" w:hAnsi="Arial" w:cs="Arial"/>
                <w:sz w:val="20"/>
                <w:szCs w:val="20"/>
              </w:rPr>
            </w:pPr>
            <w:r w:rsidRPr="00BB2FFA">
              <w:rPr>
                <w:rFonts w:ascii="Arial" w:hAnsi="Arial" w:cs="Arial"/>
                <w:sz w:val="20"/>
                <w:szCs w:val="20"/>
              </w:rPr>
              <w:t>Superannuation contributions:  what are the surchargeable contributions threshold and the indexable amounts for the 2001</w:t>
            </w:r>
            <w:r w:rsidRPr="00BB2FFA">
              <w:rPr>
                <w:rFonts w:ascii="Arial" w:hAnsi="Arial" w:cs="Arial"/>
                <w:sz w:val="20"/>
                <w:szCs w:val="20"/>
              </w:rPr>
              <w:noBreakHyphen/>
              <w:t xml:space="preserve">2002 financial year under the </w:t>
            </w:r>
            <w:r w:rsidRPr="00BB2FFA">
              <w:rPr>
                <w:rFonts w:ascii="Arial" w:hAnsi="Arial" w:cs="Arial"/>
                <w:i/>
                <w:sz w:val="20"/>
                <w:szCs w:val="20"/>
              </w:rPr>
              <w:t>Superannuation Contributions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272161" w:rsidRPr="00BB2FFA" w:rsidRDefault="00272161">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352BB3">
            <w:pPr>
              <w:rPr>
                <w:rFonts w:ascii="Arial" w:hAnsi="Arial" w:cs="Arial"/>
                <w:sz w:val="20"/>
                <w:szCs w:val="20"/>
              </w:rPr>
            </w:pPr>
            <w:r w:rsidRPr="00BB2FFA">
              <w:rPr>
                <w:rFonts w:ascii="Arial" w:hAnsi="Arial" w:cs="Arial"/>
                <w:sz w:val="20"/>
                <w:szCs w:val="20"/>
              </w:rPr>
              <w:t>SCD 2002/1</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352BB3">
            <w:pPr>
              <w:rPr>
                <w:rFonts w:ascii="Arial" w:hAnsi="Arial" w:cs="Arial"/>
                <w:sz w:val="20"/>
                <w:szCs w:val="20"/>
              </w:rPr>
            </w:pPr>
            <w:r w:rsidRPr="00BB2FFA">
              <w:rPr>
                <w:rFonts w:ascii="Arial" w:hAnsi="Arial" w:cs="Arial"/>
                <w:sz w:val="20"/>
                <w:szCs w:val="20"/>
              </w:rPr>
              <w:t>Superannuation contributions:  what is the surcharge threshold for the 2002</w:t>
            </w:r>
            <w:r w:rsidRPr="00BB2FFA">
              <w:rPr>
                <w:rFonts w:ascii="Arial" w:hAnsi="Arial" w:cs="Arial"/>
                <w:sz w:val="20"/>
                <w:szCs w:val="20"/>
              </w:rPr>
              <w:noBreakHyphen/>
              <w:t xml:space="preserve">2003 financial year under the </w:t>
            </w:r>
            <w:r w:rsidRPr="00BB2FFA">
              <w:rPr>
                <w:rFonts w:ascii="Arial" w:hAnsi="Arial" w:cs="Arial"/>
                <w:i/>
                <w:sz w:val="20"/>
                <w:szCs w:val="20"/>
              </w:rPr>
              <w:t>Superannuation Contributions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5020B8">
            <w:pPr>
              <w:pStyle w:val="Header"/>
              <w:spacing w:after="120"/>
              <w:rPr>
                <w:rFonts w:ascii="Arial" w:hAnsi="Arial" w:cs="Arial"/>
                <w:sz w:val="20"/>
                <w:szCs w:val="20"/>
              </w:rPr>
            </w:pPr>
            <w:r w:rsidRPr="00BB2FFA">
              <w:rPr>
                <w:rFonts w:ascii="Arial" w:hAnsi="Arial" w:cs="Arial"/>
                <w:sz w:val="20"/>
                <w:szCs w:val="20"/>
              </w:rPr>
              <w:t>SCD 2002/2</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5020B8">
            <w:pPr>
              <w:pStyle w:val="Header"/>
              <w:spacing w:after="120"/>
              <w:rPr>
                <w:rFonts w:ascii="Arial" w:hAnsi="Arial" w:cs="Arial"/>
                <w:sz w:val="20"/>
                <w:szCs w:val="20"/>
              </w:rPr>
            </w:pPr>
            <w:r w:rsidRPr="00BB2FFA">
              <w:rPr>
                <w:rFonts w:ascii="Arial" w:hAnsi="Arial" w:cs="Arial"/>
                <w:sz w:val="20"/>
                <w:szCs w:val="20"/>
              </w:rPr>
              <w:t>Superannuation contributions:  what are the indexable amounts for the 2002</w:t>
            </w:r>
            <w:r w:rsidRPr="00BB2FFA">
              <w:rPr>
                <w:rFonts w:ascii="Arial" w:hAnsi="Arial" w:cs="Arial"/>
                <w:sz w:val="20"/>
                <w:szCs w:val="20"/>
              </w:rPr>
              <w:noBreakHyphen/>
              <w:t xml:space="preserve">2003 financial year under the </w:t>
            </w:r>
            <w:r w:rsidRPr="00BB2FFA">
              <w:rPr>
                <w:rFonts w:ascii="Arial" w:hAnsi="Arial" w:cs="Arial"/>
                <w:i/>
                <w:sz w:val="20"/>
                <w:szCs w:val="20"/>
              </w:rPr>
              <w:t>Termination Payments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0A1361">
            <w:pPr>
              <w:pStyle w:val="Header"/>
              <w:spacing w:after="120"/>
              <w:rPr>
                <w:rFonts w:ascii="Arial" w:hAnsi="Arial" w:cs="Arial"/>
                <w:sz w:val="20"/>
                <w:szCs w:val="20"/>
              </w:rPr>
            </w:pPr>
            <w:r w:rsidRPr="00BB2FFA">
              <w:rPr>
                <w:rFonts w:ascii="Arial" w:hAnsi="Arial" w:cs="Arial"/>
                <w:sz w:val="20"/>
                <w:szCs w:val="20"/>
              </w:rPr>
              <w:lastRenderedPageBreak/>
              <w:t>SCD 2002/3</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0A1361">
            <w:pPr>
              <w:pStyle w:val="Header"/>
              <w:spacing w:after="120"/>
              <w:rPr>
                <w:rFonts w:ascii="Arial" w:hAnsi="Arial" w:cs="Arial"/>
                <w:b/>
                <w:sz w:val="20"/>
                <w:szCs w:val="20"/>
              </w:rPr>
            </w:pPr>
            <w:r w:rsidRPr="00BB2FFA">
              <w:rPr>
                <w:rFonts w:ascii="Arial" w:hAnsi="Arial" w:cs="Arial"/>
                <w:sz w:val="20"/>
                <w:szCs w:val="20"/>
              </w:rPr>
              <w:t>Superannuation contributions:  what is the surcharge threshold for the 2002</w:t>
            </w:r>
            <w:r w:rsidRPr="00BB2FFA">
              <w:rPr>
                <w:rFonts w:ascii="Arial" w:hAnsi="Arial" w:cs="Arial"/>
                <w:sz w:val="20"/>
                <w:szCs w:val="20"/>
              </w:rPr>
              <w:noBreakHyphen/>
              <w:t xml:space="preserve">2003 financial year under the </w:t>
            </w:r>
            <w:r w:rsidRPr="00BB2FFA">
              <w:rPr>
                <w:rFonts w:ascii="Arial" w:hAnsi="Arial" w:cs="Arial"/>
                <w:i/>
                <w:sz w:val="20"/>
                <w:szCs w:val="20"/>
              </w:rPr>
              <w:t>Termination Payments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C5545E">
            <w:pPr>
              <w:pStyle w:val="Header"/>
              <w:spacing w:after="120"/>
              <w:rPr>
                <w:rFonts w:ascii="Arial" w:hAnsi="Arial" w:cs="Arial"/>
                <w:sz w:val="20"/>
                <w:szCs w:val="20"/>
              </w:rPr>
            </w:pPr>
            <w:r w:rsidRPr="00BB2FFA">
              <w:rPr>
                <w:rFonts w:ascii="Arial" w:hAnsi="Arial" w:cs="Arial"/>
                <w:sz w:val="20"/>
                <w:szCs w:val="20"/>
              </w:rPr>
              <w:t>SCD 2002/4</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C5545E">
            <w:pPr>
              <w:pStyle w:val="Header"/>
              <w:spacing w:after="120"/>
              <w:rPr>
                <w:rFonts w:ascii="Arial" w:hAnsi="Arial" w:cs="Arial"/>
                <w:sz w:val="20"/>
                <w:szCs w:val="20"/>
              </w:rPr>
            </w:pPr>
            <w:r w:rsidRPr="00BB2FFA">
              <w:rPr>
                <w:rFonts w:ascii="Arial" w:hAnsi="Arial" w:cs="Arial"/>
                <w:sz w:val="20"/>
                <w:szCs w:val="20"/>
              </w:rPr>
              <w:t>Superannuation contributions:  what are the surchargeable contributions threshold and the indexable amounts for the 2002</w:t>
            </w:r>
            <w:r w:rsidRPr="00BB2FFA">
              <w:rPr>
                <w:rFonts w:ascii="Arial" w:hAnsi="Arial" w:cs="Arial"/>
                <w:sz w:val="20"/>
                <w:szCs w:val="20"/>
              </w:rPr>
              <w:noBreakHyphen/>
              <w:t xml:space="preserve">2003 financial year under the </w:t>
            </w:r>
            <w:r w:rsidRPr="00BB2FFA">
              <w:rPr>
                <w:rFonts w:ascii="Arial" w:hAnsi="Arial" w:cs="Arial"/>
                <w:i/>
                <w:sz w:val="20"/>
                <w:szCs w:val="20"/>
              </w:rPr>
              <w:t>Superannuation Contributions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976C7D">
            <w:pPr>
              <w:pStyle w:val="Header"/>
              <w:spacing w:after="120"/>
              <w:rPr>
                <w:rFonts w:ascii="Arial" w:hAnsi="Arial" w:cs="Arial"/>
                <w:sz w:val="20"/>
                <w:szCs w:val="20"/>
              </w:rPr>
            </w:pPr>
            <w:r w:rsidRPr="00BB2FFA">
              <w:rPr>
                <w:rFonts w:ascii="Arial" w:hAnsi="Arial" w:cs="Arial"/>
                <w:sz w:val="20"/>
                <w:szCs w:val="20"/>
              </w:rPr>
              <w:t>SCD 2003/1</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976C7D">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2003</w:t>
            </w:r>
            <w:r w:rsidRPr="00BB2FFA">
              <w:rPr>
                <w:rFonts w:ascii="Arial" w:hAnsi="Arial" w:cs="Arial"/>
                <w:sz w:val="20"/>
                <w:szCs w:val="20"/>
              </w:rPr>
              <w:noBreakHyphen/>
              <w:t xml:space="preserve">2004 financial year under the </w:t>
            </w:r>
            <w:r w:rsidRPr="00BB2FFA">
              <w:rPr>
                <w:rFonts w:ascii="Arial" w:hAnsi="Arial" w:cs="Arial"/>
                <w:i/>
                <w:sz w:val="20"/>
                <w:szCs w:val="20"/>
              </w:rPr>
              <w:t>Superannuation Contributions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0E11F8">
            <w:pPr>
              <w:pStyle w:val="Header"/>
              <w:spacing w:after="120"/>
              <w:rPr>
                <w:rFonts w:ascii="Arial" w:hAnsi="Arial" w:cs="Arial"/>
                <w:sz w:val="20"/>
                <w:szCs w:val="20"/>
              </w:rPr>
            </w:pPr>
            <w:r w:rsidRPr="00BB2FFA">
              <w:rPr>
                <w:rFonts w:ascii="Arial" w:hAnsi="Arial" w:cs="Arial"/>
                <w:sz w:val="20"/>
                <w:szCs w:val="20"/>
              </w:rPr>
              <w:t>SCD 2003/2</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0E11F8">
            <w:pPr>
              <w:pStyle w:val="Header"/>
              <w:spacing w:after="120"/>
              <w:rPr>
                <w:rFonts w:ascii="Arial" w:hAnsi="Arial" w:cs="Arial"/>
                <w:sz w:val="20"/>
                <w:szCs w:val="20"/>
              </w:rPr>
            </w:pPr>
            <w:r w:rsidRPr="00BB2FFA">
              <w:rPr>
                <w:rFonts w:ascii="Arial" w:hAnsi="Arial" w:cs="Arial"/>
                <w:sz w:val="20"/>
                <w:szCs w:val="20"/>
              </w:rPr>
              <w:t>Superannuation contributions:  what are the indexable amounts for the 2003</w:t>
            </w:r>
            <w:r w:rsidRPr="00BB2FFA">
              <w:rPr>
                <w:rFonts w:ascii="Arial" w:hAnsi="Arial" w:cs="Arial"/>
                <w:sz w:val="20"/>
                <w:szCs w:val="20"/>
              </w:rPr>
              <w:noBreakHyphen/>
              <w:t xml:space="preserve">2004 financial year under the </w:t>
            </w:r>
            <w:r w:rsidRPr="00BB2FFA">
              <w:rPr>
                <w:rFonts w:ascii="Arial" w:hAnsi="Arial" w:cs="Arial"/>
                <w:i/>
                <w:sz w:val="20"/>
                <w:szCs w:val="20"/>
              </w:rPr>
              <w:t>Termination Payments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0B3DA2">
            <w:pPr>
              <w:pStyle w:val="Header"/>
              <w:spacing w:after="120"/>
              <w:rPr>
                <w:rFonts w:ascii="Arial" w:hAnsi="Arial" w:cs="Arial"/>
                <w:sz w:val="20"/>
                <w:szCs w:val="20"/>
              </w:rPr>
            </w:pPr>
            <w:r w:rsidRPr="00BB2FFA">
              <w:rPr>
                <w:rFonts w:ascii="Arial" w:hAnsi="Arial" w:cs="Arial"/>
                <w:sz w:val="20"/>
                <w:szCs w:val="20"/>
              </w:rPr>
              <w:t>SCD 2003/3</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0B3DA2">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2003</w:t>
            </w:r>
            <w:r w:rsidRPr="00BB2FFA">
              <w:rPr>
                <w:rFonts w:ascii="Arial" w:hAnsi="Arial" w:cs="Arial"/>
                <w:sz w:val="20"/>
                <w:szCs w:val="20"/>
              </w:rPr>
              <w:noBreakHyphen/>
              <w:t xml:space="preserve">2004 financial year under the </w:t>
            </w:r>
            <w:r w:rsidRPr="00BB2FFA">
              <w:rPr>
                <w:rFonts w:ascii="Arial" w:hAnsi="Arial" w:cs="Arial"/>
                <w:i/>
                <w:sz w:val="20"/>
                <w:szCs w:val="20"/>
              </w:rPr>
              <w:t>Termination Payments Tax (Assessment and Collection) Act 1997</w:t>
            </w:r>
            <w:r w:rsidRPr="00BB2FFA">
              <w:rPr>
                <w:rFonts w:ascii="Arial" w:hAnsi="Arial" w:cs="Arial"/>
                <w:sz w:val="20"/>
                <w:szCs w:val="20"/>
              </w:rPr>
              <w:t xml:space="preserve">?  </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681D9F">
            <w:pPr>
              <w:pStyle w:val="Header"/>
              <w:spacing w:after="120"/>
              <w:rPr>
                <w:rFonts w:ascii="Arial" w:hAnsi="Arial" w:cs="Arial"/>
                <w:sz w:val="20"/>
                <w:szCs w:val="20"/>
              </w:rPr>
            </w:pPr>
            <w:r w:rsidRPr="00BB2FFA">
              <w:rPr>
                <w:rFonts w:ascii="Arial" w:hAnsi="Arial" w:cs="Arial"/>
                <w:sz w:val="20"/>
                <w:szCs w:val="20"/>
              </w:rPr>
              <w:t>SCD 2003/4</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681D9F">
            <w:pPr>
              <w:pStyle w:val="Header"/>
              <w:spacing w:after="120"/>
              <w:rPr>
                <w:rFonts w:ascii="Arial" w:hAnsi="Arial" w:cs="Arial"/>
                <w:b/>
                <w:sz w:val="20"/>
                <w:szCs w:val="20"/>
              </w:rPr>
            </w:pPr>
            <w:r w:rsidRPr="00BB2FFA">
              <w:rPr>
                <w:rFonts w:ascii="Arial" w:hAnsi="Arial" w:cs="Arial"/>
                <w:sz w:val="20"/>
                <w:szCs w:val="20"/>
              </w:rPr>
              <w:t>Superannuation contributions:  what are the surchargeable contributions threshold and the indexable amounts for the 2003</w:t>
            </w:r>
            <w:r w:rsidRPr="00BB2FFA">
              <w:rPr>
                <w:rFonts w:ascii="Arial" w:hAnsi="Arial" w:cs="Arial"/>
                <w:sz w:val="20"/>
                <w:szCs w:val="20"/>
              </w:rPr>
              <w:noBreakHyphen/>
              <w:t xml:space="preserve">2004 financial year under the </w:t>
            </w:r>
            <w:r w:rsidRPr="00BB2FFA">
              <w:rPr>
                <w:rFonts w:ascii="Arial" w:hAnsi="Arial" w:cs="Arial"/>
                <w:i/>
                <w:sz w:val="20"/>
                <w:szCs w:val="20"/>
              </w:rPr>
              <w:t>Superannuation Contributions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211CDA">
            <w:pPr>
              <w:pStyle w:val="Header"/>
              <w:spacing w:after="120"/>
              <w:rPr>
                <w:rFonts w:ascii="Arial" w:hAnsi="Arial" w:cs="Arial"/>
                <w:sz w:val="20"/>
                <w:szCs w:val="20"/>
              </w:rPr>
            </w:pPr>
            <w:r w:rsidRPr="00BB2FFA">
              <w:rPr>
                <w:rFonts w:ascii="Arial" w:hAnsi="Arial" w:cs="Arial"/>
                <w:sz w:val="20"/>
                <w:szCs w:val="20"/>
              </w:rPr>
              <w:t>SCD 2004/1</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211CDA">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2004</w:t>
            </w:r>
            <w:r w:rsidRPr="00BB2FFA">
              <w:rPr>
                <w:rFonts w:ascii="Arial" w:hAnsi="Arial" w:cs="Arial"/>
                <w:sz w:val="20"/>
                <w:szCs w:val="20"/>
              </w:rPr>
              <w:noBreakHyphen/>
              <w:t xml:space="preserve">2005 financial year under the </w:t>
            </w:r>
            <w:r w:rsidRPr="00BB2FFA">
              <w:rPr>
                <w:rFonts w:ascii="Arial" w:hAnsi="Arial" w:cs="Arial"/>
                <w:i/>
                <w:sz w:val="20"/>
                <w:szCs w:val="20"/>
              </w:rPr>
              <w:t>Superannuation Contributions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D97D52">
            <w:pPr>
              <w:pStyle w:val="Header"/>
              <w:spacing w:after="120"/>
              <w:rPr>
                <w:rFonts w:ascii="Arial" w:hAnsi="Arial" w:cs="Arial"/>
                <w:sz w:val="20"/>
                <w:szCs w:val="20"/>
              </w:rPr>
            </w:pPr>
            <w:r w:rsidRPr="00BB2FFA">
              <w:rPr>
                <w:rFonts w:ascii="Arial" w:hAnsi="Arial" w:cs="Arial"/>
                <w:sz w:val="20"/>
                <w:szCs w:val="20"/>
              </w:rPr>
              <w:t>SCD 2004/2</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D97D52">
            <w:pPr>
              <w:pStyle w:val="Header"/>
              <w:spacing w:after="120"/>
              <w:rPr>
                <w:rFonts w:ascii="Arial" w:hAnsi="Arial" w:cs="Arial"/>
                <w:sz w:val="20"/>
                <w:szCs w:val="20"/>
              </w:rPr>
            </w:pPr>
            <w:r w:rsidRPr="00BB2FFA">
              <w:rPr>
                <w:rFonts w:ascii="Arial" w:hAnsi="Arial" w:cs="Arial"/>
                <w:sz w:val="20"/>
                <w:szCs w:val="20"/>
              </w:rPr>
              <w:t>Superannuation contributions:  what are the indexable amounts for the 2004</w:t>
            </w:r>
            <w:r w:rsidRPr="00BB2FFA">
              <w:rPr>
                <w:rFonts w:ascii="Arial" w:hAnsi="Arial" w:cs="Arial"/>
                <w:sz w:val="20"/>
                <w:szCs w:val="20"/>
              </w:rPr>
              <w:noBreakHyphen/>
              <w:t xml:space="preserve">2005 financial year under the </w:t>
            </w:r>
            <w:r w:rsidRPr="00BB2FFA">
              <w:rPr>
                <w:rFonts w:ascii="Arial" w:hAnsi="Arial" w:cs="Arial"/>
                <w:i/>
                <w:sz w:val="20"/>
                <w:szCs w:val="20"/>
              </w:rPr>
              <w:t>Termination Payments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7C3763">
            <w:pPr>
              <w:pStyle w:val="Header"/>
              <w:spacing w:after="120"/>
              <w:rPr>
                <w:rFonts w:ascii="Arial" w:hAnsi="Arial" w:cs="Arial"/>
                <w:sz w:val="20"/>
                <w:szCs w:val="20"/>
              </w:rPr>
            </w:pPr>
            <w:r w:rsidRPr="00BB2FFA">
              <w:rPr>
                <w:rFonts w:ascii="Arial" w:hAnsi="Arial" w:cs="Arial"/>
                <w:sz w:val="20"/>
                <w:szCs w:val="20"/>
              </w:rPr>
              <w:t>SCD 2004/3</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7C3763">
            <w:pPr>
              <w:pStyle w:val="Header"/>
              <w:spacing w:after="120"/>
              <w:rPr>
                <w:rFonts w:ascii="Arial" w:hAnsi="Arial" w:cs="Arial"/>
                <w:sz w:val="20"/>
                <w:szCs w:val="20"/>
              </w:rPr>
            </w:pPr>
            <w:r w:rsidRPr="00BB2FFA">
              <w:rPr>
                <w:rFonts w:ascii="Arial" w:hAnsi="Arial" w:cs="Arial"/>
                <w:sz w:val="20"/>
                <w:szCs w:val="20"/>
              </w:rPr>
              <w:t>Superannuation contributions:  what is the surcharge threshold for the 2004</w:t>
            </w:r>
            <w:r w:rsidRPr="00BB2FFA">
              <w:rPr>
                <w:rFonts w:ascii="Arial" w:hAnsi="Arial" w:cs="Arial"/>
                <w:sz w:val="20"/>
                <w:szCs w:val="20"/>
              </w:rPr>
              <w:noBreakHyphen/>
              <w:t xml:space="preserve">2005 financial year under the </w:t>
            </w:r>
            <w:r w:rsidRPr="00BB2FFA">
              <w:rPr>
                <w:rFonts w:ascii="Arial" w:hAnsi="Arial" w:cs="Arial"/>
                <w:i/>
                <w:sz w:val="20"/>
                <w:szCs w:val="20"/>
              </w:rPr>
              <w:t>Termination Payments Tax (Assessment and Collection)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r w:rsidR="0069182E" w:rsidRPr="00842B28" w:rsidTr="00272161">
        <w:trPr>
          <w:cantSplit/>
          <w:trHeight w:val="72"/>
        </w:trPr>
        <w:tc>
          <w:tcPr>
            <w:tcW w:w="1728" w:type="dxa"/>
            <w:tcBorders>
              <w:top w:val="single" w:sz="6" w:space="0" w:color="auto"/>
              <w:left w:val="single" w:sz="6" w:space="0" w:color="auto"/>
              <w:bottom w:val="single" w:sz="6" w:space="0" w:color="auto"/>
              <w:right w:val="single" w:sz="6" w:space="0" w:color="auto"/>
            </w:tcBorders>
          </w:tcPr>
          <w:p w:rsidR="0069182E" w:rsidRPr="00BB2FFA" w:rsidRDefault="0069182E" w:rsidP="005A5BE9">
            <w:pPr>
              <w:pStyle w:val="Header"/>
              <w:spacing w:after="120"/>
              <w:rPr>
                <w:rFonts w:ascii="Arial" w:hAnsi="Arial" w:cs="Arial"/>
                <w:sz w:val="20"/>
                <w:szCs w:val="20"/>
              </w:rPr>
            </w:pPr>
            <w:r w:rsidRPr="00BB2FFA">
              <w:rPr>
                <w:rFonts w:ascii="Arial" w:hAnsi="Arial" w:cs="Arial"/>
                <w:sz w:val="20"/>
                <w:szCs w:val="20"/>
              </w:rPr>
              <w:lastRenderedPageBreak/>
              <w:t>SCD 2004/4</w:t>
            </w:r>
          </w:p>
        </w:tc>
        <w:tc>
          <w:tcPr>
            <w:tcW w:w="3780" w:type="dxa"/>
            <w:tcBorders>
              <w:top w:val="single" w:sz="6" w:space="0" w:color="auto"/>
              <w:left w:val="single" w:sz="6" w:space="0" w:color="auto"/>
              <w:bottom w:val="single" w:sz="6" w:space="0" w:color="auto"/>
              <w:right w:val="single" w:sz="6" w:space="0" w:color="auto"/>
            </w:tcBorders>
          </w:tcPr>
          <w:p w:rsidR="0069182E" w:rsidRPr="00BB2FFA" w:rsidRDefault="0069182E" w:rsidP="005A5BE9">
            <w:pPr>
              <w:pStyle w:val="Header"/>
              <w:spacing w:after="120"/>
              <w:rPr>
                <w:rFonts w:ascii="Arial" w:hAnsi="Arial" w:cs="Arial"/>
                <w:sz w:val="20"/>
                <w:szCs w:val="20"/>
              </w:rPr>
            </w:pPr>
            <w:r w:rsidRPr="00BB2FFA">
              <w:rPr>
                <w:rFonts w:ascii="Arial" w:hAnsi="Arial" w:cs="Arial"/>
                <w:sz w:val="20"/>
                <w:szCs w:val="20"/>
              </w:rPr>
              <w:t>Superannuation contributions:  what are the surchargeable contributions threshold and the indexable amounts for the 2004</w:t>
            </w:r>
            <w:r w:rsidRPr="00BB2FFA">
              <w:rPr>
                <w:rFonts w:ascii="Arial" w:hAnsi="Arial" w:cs="Arial"/>
                <w:sz w:val="20"/>
                <w:szCs w:val="20"/>
              </w:rPr>
              <w:noBreakHyphen/>
              <w:t xml:space="preserve">2005 financial year under the </w:t>
            </w:r>
            <w:r w:rsidRPr="00BB2FFA">
              <w:rPr>
                <w:rFonts w:ascii="Arial" w:hAnsi="Arial" w:cs="Arial"/>
                <w:i/>
                <w:sz w:val="20"/>
                <w:szCs w:val="20"/>
              </w:rPr>
              <w:t>Superannuation Contributions Tax Imposition Act 1997</w:t>
            </w:r>
            <w:r w:rsidRPr="00BB2FFA">
              <w:rPr>
                <w:rFonts w:ascii="Arial" w:hAnsi="Arial" w:cs="Arial"/>
                <w:sz w:val="20"/>
                <w:szCs w:val="20"/>
              </w:rPr>
              <w:t>?</w:t>
            </w:r>
          </w:p>
        </w:tc>
        <w:tc>
          <w:tcPr>
            <w:tcW w:w="4140" w:type="dxa"/>
            <w:tcBorders>
              <w:top w:val="single" w:sz="6" w:space="0" w:color="auto"/>
              <w:left w:val="single" w:sz="6" w:space="0" w:color="auto"/>
              <w:bottom w:val="single" w:sz="6" w:space="0" w:color="auto"/>
              <w:right w:val="single" w:sz="6" w:space="0" w:color="auto"/>
            </w:tcBorders>
          </w:tcPr>
          <w:p w:rsidR="0069182E" w:rsidRPr="00BB2FFA" w:rsidRDefault="0069182E" w:rsidP="003E3896">
            <w:pPr>
              <w:rPr>
                <w:rFonts w:ascii="Arial" w:hAnsi="Arial" w:cs="Arial"/>
                <w:sz w:val="20"/>
                <w:szCs w:val="20"/>
              </w:rPr>
            </w:pPr>
            <w:r w:rsidRPr="00BB2FFA">
              <w:rPr>
                <w:rFonts w:ascii="Arial" w:hAnsi="Arial" w:cs="Arial"/>
                <w:sz w:val="20"/>
                <w:szCs w:val="20"/>
              </w:rPr>
              <w:t>Withdrawn without replacement.</w:t>
            </w:r>
          </w:p>
        </w:tc>
      </w:tr>
    </w:tbl>
    <w:p w:rsidR="00114CB2" w:rsidRPr="00BB2FFA" w:rsidRDefault="00114CB2" w:rsidP="0094219E">
      <w:pPr>
        <w:rPr>
          <w:rFonts w:ascii="Arial" w:hAnsi="Arial" w:cs="Arial"/>
          <w:sz w:val="20"/>
          <w:szCs w:val="20"/>
        </w:rPr>
      </w:pPr>
    </w:p>
    <w:p w:rsidR="00114CB2" w:rsidRPr="00424B97" w:rsidRDefault="00114CB2" w:rsidP="00424B97"/>
    <w:sectPr w:rsidR="00114CB2" w:rsidRPr="00424B97"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line="240" w:lineRule="auto"/>
      </w:pPr>
      <w:r>
        <w:separator/>
      </w:r>
    </w:p>
  </w:endnote>
  <w:endnote w:type="continuationSeparator" w:id="0">
    <w:p w:rsidR="00114CB2" w:rsidRDefault="00114CB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line="240" w:lineRule="auto"/>
      </w:pPr>
      <w:r>
        <w:separator/>
      </w:r>
    </w:p>
  </w:footnote>
  <w:footnote w:type="continuationSeparator" w:id="0">
    <w:p w:rsidR="00114CB2" w:rsidRDefault="00114CB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BB2FFA" w:rsidP="00840A06">
          <w:pPr>
            <w:spacing w:before="60" w:after="0"/>
            <w:ind w:left="-51"/>
            <w:rPr>
              <w:rFonts w:ascii="Arial" w:hAnsi="Arial"/>
              <w:sz w:val="12"/>
            </w:rPr>
          </w:pPr>
          <w:bookmarkStart w:id="2" w:name="OLE_LINK2"/>
          <w:r>
            <w:rPr>
              <w:rFonts w:ascii="Arial" w:hAnsi="Arial"/>
              <w:noProof/>
              <w:sz w:val="1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75pt;height:41.25pt;visibility:visible">
                <v:imagedata r:id="rId1" o:title=""/>
              </v:shape>
            </w:pict>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ascii="Arial" w:hAnsi="Arial" w:cs="Arial"/>
              <w:b/>
              <w:spacing w:val="-2"/>
              <w:sz w:val="44"/>
              <w:szCs w:val="44"/>
            </w:rPr>
          </w:pPr>
          <w:r w:rsidRPr="005E7AE5">
            <w:rPr>
              <w:rFonts w:ascii="Arial" w:hAnsi="Arial" w:cs="Arial"/>
              <w:b/>
              <w:spacing w:val="-2"/>
              <w:sz w:val="44"/>
              <w:szCs w:val="44"/>
            </w:rPr>
            <w:t>Commonwealth</w:t>
          </w:r>
          <w:r w:rsidRPr="005E7AE5">
            <w:rPr>
              <w:rFonts w:ascii="Arial" w:hAnsi="Arial" w:cs="Arial"/>
              <w:b/>
              <w:spacing w:val="-2"/>
              <w:sz w:val="44"/>
              <w:szCs w:val="44"/>
            </w:rPr>
            <w:br/>
            <w:t xml:space="preserve">of </w:t>
          </w:r>
          <w:smartTag w:uri="urn:schemas-microsoft-com:office:smarttags" w:element="country-region">
            <w:smartTag w:uri="urn:schemas-microsoft-com:office:smarttags" w:element="place">
              <w:r w:rsidRPr="005E7AE5">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ascii="Arial" w:hAnsi="Arial" w:cs="Arial"/>
              <w:b/>
              <w:sz w:val="100"/>
              <w:szCs w:val="100"/>
            </w:rPr>
          </w:pPr>
          <w:r w:rsidRPr="005E7AE5">
            <w:rPr>
              <w:rFonts w:ascii="Arial" w:hAnsi="Arial"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40A06">
          <w:pPr>
            <w:spacing w:after="0"/>
            <w:ind w:left="-51"/>
            <w:rPr>
              <w:rFonts w:ascii="Arial" w:hAnsi="Arial" w:cs="Arial"/>
              <w:sz w:val="14"/>
              <w:szCs w:val="14"/>
            </w:rPr>
          </w:pPr>
          <w:bookmarkStart w:id="3" w:name="GazNo"/>
          <w:bookmarkEnd w:id="3"/>
          <w:r w:rsidRPr="005E7AE5">
            <w:rPr>
              <w:rFonts w:ascii="Arial" w:hAnsi="Arial" w:cs="Arial"/>
              <w:sz w:val="14"/>
              <w:szCs w:val="14"/>
            </w:rPr>
            <w:t xml:space="preserve">Published by the Commonwealth of </w:t>
          </w:r>
          <w:smartTag w:uri="urn:schemas-microsoft-com:office:smarttags" w:element="place">
            <w:smartTag w:uri="urn:schemas-microsoft-com:office:smarttags" w:element="country-region">
              <w:r w:rsidRPr="005E7AE5">
                <w:rPr>
                  <w:rFonts w:ascii="Arial" w:hAnsi="Arial"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40A06">
          <w:pPr>
            <w:spacing w:after="0"/>
            <w:jc w:val="right"/>
            <w:rPr>
              <w:rFonts w:ascii="Arial" w:hAnsi="Arial" w:cs="Arial"/>
              <w:b/>
              <w:sz w:val="24"/>
              <w:szCs w:val="24"/>
            </w:rPr>
          </w:pPr>
          <w:r w:rsidRPr="005E7AE5">
            <w:rPr>
              <w:rFonts w:ascii="Arial" w:hAnsi="Arial" w:cs="Arial"/>
              <w:b/>
              <w:sz w:val="24"/>
              <w:szCs w:val="24"/>
            </w:rPr>
            <w:t>GOVERNMENT NOTICES</w:t>
          </w:r>
        </w:p>
      </w:tc>
    </w:tr>
    <w:bookmarkEnd w:id="2"/>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02A0"/>
    <w:multiLevelType w:val="singleLevel"/>
    <w:tmpl w:val="19EE2CE6"/>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
    <w:nsid w:val="795E4CD2"/>
    <w:multiLevelType w:val="hybridMultilevel"/>
    <w:tmpl w:val="C4AC7F78"/>
    <w:lvl w:ilvl="0" w:tplc="807C8E50">
      <w:start w:val="1"/>
      <w:numFmt w:val="bullet"/>
      <w:lvlText w:val=""/>
      <w:lvlJc w:val="left"/>
      <w:pPr>
        <w:tabs>
          <w:tab w:val="num" w:pos="-1389"/>
        </w:tabs>
        <w:ind w:left="-1389" w:hanging="738"/>
      </w:pPr>
      <w:rPr>
        <w:rFonts w:ascii="Symbol" w:hAnsi="Symbol" w:hint="default"/>
      </w:rPr>
    </w:lvl>
    <w:lvl w:ilvl="1" w:tplc="0C090003" w:tentative="1">
      <w:start w:val="1"/>
      <w:numFmt w:val="bullet"/>
      <w:lvlText w:val="o"/>
      <w:lvlJc w:val="left"/>
      <w:pPr>
        <w:tabs>
          <w:tab w:val="num" w:pos="-800"/>
        </w:tabs>
        <w:ind w:left="-800" w:hanging="360"/>
      </w:pPr>
      <w:rPr>
        <w:rFonts w:ascii="Courier New" w:hAnsi="Courier New" w:cs="Courier New" w:hint="default"/>
      </w:rPr>
    </w:lvl>
    <w:lvl w:ilvl="2" w:tplc="0C090005" w:tentative="1">
      <w:start w:val="1"/>
      <w:numFmt w:val="bullet"/>
      <w:lvlText w:val=""/>
      <w:lvlJc w:val="left"/>
      <w:pPr>
        <w:tabs>
          <w:tab w:val="num" w:pos="-80"/>
        </w:tabs>
        <w:ind w:left="-80" w:hanging="360"/>
      </w:pPr>
      <w:rPr>
        <w:rFonts w:ascii="Wingdings" w:hAnsi="Wingdings" w:hint="default"/>
      </w:rPr>
    </w:lvl>
    <w:lvl w:ilvl="3" w:tplc="0C090001" w:tentative="1">
      <w:start w:val="1"/>
      <w:numFmt w:val="bullet"/>
      <w:lvlText w:val=""/>
      <w:lvlJc w:val="left"/>
      <w:pPr>
        <w:tabs>
          <w:tab w:val="num" w:pos="640"/>
        </w:tabs>
        <w:ind w:left="640" w:hanging="360"/>
      </w:pPr>
      <w:rPr>
        <w:rFonts w:ascii="Symbol" w:hAnsi="Symbol" w:hint="default"/>
      </w:rPr>
    </w:lvl>
    <w:lvl w:ilvl="4" w:tplc="0C090003" w:tentative="1">
      <w:start w:val="1"/>
      <w:numFmt w:val="bullet"/>
      <w:lvlText w:val="o"/>
      <w:lvlJc w:val="left"/>
      <w:pPr>
        <w:tabs>
          <w:tab w:val="num" w:pos="1360"/>
        </w:tabs>
        <w:ind w:left="1360" w:hanging="360"/>
      </w:pPr>
      <w:rPr>
        <w:rFonts w:ascii="Courier New" w:hAnsi="Courier New" w:cs="Courier New" w:hint="default"/>
      </w:rPr>
    </w:lvl>
    <w:lvl w:ilvl="5" w:tplc="0C090005" w:tentative="1">
      <w:start w:val="1"/>
      <w:numFmt w:val="bullet"/>
      <w:lvlText w:val=""/>
      <w:lvlJc w:val="left"/>
      <w:pPr>
        <w:tabs>
          <w:tab w:val="num" w:pos="2080"/>
        </w:tabs>
        <w:ind w:left="2080" w:hanging="360"/>
      </w:pPr>
      <w:rPr>
        <w:rFonts w:ascii="Wingdings" w:hAnsi="Wingdings" w:hint="default"/>
      </w:rPr>
    </w:lvl>
    <w:lvl w:ilvl="6" w:tplc="0C090001" w:tentative="1">
      <w:start w:val="1"/>
      <w:numFmt w:val="bullet"/>
      <w:lvlText w:val=""/>
      <w:lvlJc w:val="left"/>
      <w:pPr>
        <w:tabs>
          <w:tab w:val="num" w:pos="2800"/>
        </w:tabs>
        <w:ind w:left="2800" w:hanging="360"/>
      </w:pPr>
      <w:rPr>
        <w:rFonts w:ascii="Symbol" w:hAnsi="Symbol" w:hint="default"/>
      </w:rPr>
    </w:lvl>
    <w:lvl w:ilvl="7" w:tplc="0C090003" w:tentative="1">
      <w:start w:val="1"/>
      <w:numFmt w:val="bullet"/>
      <w:lvlText w:val="o"/>
      <w:lvlJc w:val="left"/>
      <w:pPr>
        <w:tabs>
          <w:tab w:val="num" w:pos="3520"/>
        </w:tabs>
        <w:ind w:left="3520" w:hanging="360"/>
      </w:pPr>
      <w:rPr>
        <w:rFonts w:ascii="Courier New" w:hAnsi="Courier New" w:cs="Courier New" w:hint="default"/>
      </w:rPr>
    </w:lvl>
    <w:lvl w:ilvl="8" w:tplc="0C090005" w:tentative="1">
      <w:start w:val="1"/>
      <w:numFmt w:val="bullet"/>
      <w:lvlText w:val=""/>
      <w:lvlJc w:val="left"/>
      <w:pPr>
        <w:tabs>
          <w:tab w:val="num" w:pos="4240"/>
        </w:tabs>
        <w:ind w:left="4240" w:hanging="360"/>
      </w:pPr>
      <w:rPr>
        <w:rFonts w:ascii="Wingdings" w:hAnsi="Wingdings" w:hint="default"/>
      </w:rPr>
    </w:lvl>
  </w:abstractNum>
  <w:abstractNum w:abstractNumId="2">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F6C"/>
    <w:rsid w:val="00007360"/>
    <w:rsid w:val="000E1F2B"/>
    <w:rsid w:val="00114CB2"/>
    <w:rsid w:val="00141674"/>
    <w:rsid w:val="001C2AAD"/>
    <w:rsid w:val="001F6E54"/>
    <w:rsid w:val="00260AB4"/>
    <w:rsid w:val="00272161"/>
    <w:rsid w:val="00280BCD"/>
    <w:rsid w:val="003A707F"/>
    <w:rsid w:val="003B0EC1"/>
    <w:rsid w:val="003B573B"/>
    <w:rsid w:val="003F2CBD"/>
    <w:rsid w:val="00424B97"/>
    <w:rsid w:val="004B2753"/>
    <w:rsid w:val="004C5A5D"/>
    <w:rsid w:val="00520873"/>
    <w:rsid w:val="00573D44"/>
    <w:rsid w:val="005E7AE5"/>
    <w:rsid w:val="0069182E"/>
    <w:rsid w:val="006B38CC"/>
    <w:rsid w:val="00773255"/>
    <w:rsid w:val="007C490F"/>
    <w:rsid w:val="007E2CA6"/>
    <w:rsid w:val="00840A06"/>
    <w:rsid w:val="00842B28"/>
    <w:rsid w:val="008439B7"/>
    <w:rsid w:val="0087253F"/>
    <w:rsid w:val="00893D79"/>
    <w:rsid w:val="008D17C9"/>
    <w:rsid w:val="008E4F6C"/>
    <w:rsid w:val="0094219E"/>
    <w:rsid w:val="00943B8D"/>
    <w:rsid w:val="009539C7"/>
    <w:rsid w:val="0095650D"/>
    <w:rsid w:val="00976DE1"/>
    <w:rsid w:val="00A00F21"/>
    <w:rsid w:val="00A11E52"/>
    <w:rsid w:val="00A41F5C"/>
    <w:rsid w:val="00A56A57"/>
    <w:rsid w:val="00A60CE8"/>
    <w:rsid w:val="00A83BCC"/>
    <w:rsid w:val="00AD0943"/>
    <w:rsid w:val="00B4706B"/>
    <w:rsid w:val="00B84226"/>
    <w:rsid w:val="00BB2FFA"/>
    <w:rsid w:val="00C51D3C"/>
    <w:rsid w:val="00C63C4E"/>
    <w:rsid w:val="00D77A88"/>
    <w:rsid w:val="00E71AEA"/>
    <w:rsid w:val="00E823AE"/>
    <w:rsid w:val="00EB3C1D"/>
    <w:rsid w:val="00ED2E52"/>
    <w:rsid w:val="00F40885"/>
    <w:rsid w:val="00F44FF5"/>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8D"/>
    <w:pPr>
      <w:spacing w:after="200" w:line="276" w:lineRule="auto"/>
    </w:pPr>
    <w:rPr>
      <w:lang w:eastAsia="en-US"/>
    </w:rPr>
  </w:style>
  <w:style w:type="paragraph" w:styleId="Heading1">
    <w:name w:val="heading 1"/>
    <w:basedOn w:val="Normal"/>
    <w:next w:val="Normal"/>
    <w:link w:val="Heading1Char"/>
    <w:qFormat/>
    <w:locked/>
    <w:rsid w:val="00A11E5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9"/>
    <w:qFormat/>
    <w:locked/>
    <w:rsid w:val="0094219E"/>
    <w:pPr>
      <w:keepNext/>
      <w:spacing w:before="240" w:after="60" w:line="240" w:lineRule="auto"/>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4219E"/>
    <w:rPr>
      <w:rFonts w:ascii="Arial" w:hAnsi="Arial" w:cs="Arial"/>
      <w:b/>
      <w:bCs/>
      <w:sz w:val="26"/>
      <w:szCs w:val="26"/>
      <w:lang w:val="en-AU" w:eastAsia="en-AU" w:bidi="ar-SA"/>
    </w:rPr>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line="240" w:lineRule="auto"/>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paragraph" w:styleId="NormalWeb">
    <w:name w:val="Normal (Web)"/>
    <w:basedOn w:val="Normal"/>
    <w:unhideWhenUsed/>
    <w:rsid w:val="00A41F5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talic">
    <w:name w:val="Italic"/>
    <w:semiHidden/>
    <w:rsid w:val="00A11E52"/>
    <w:rPr>
      <w:i/>
      <w:noProof w:val="0"/>
      <w:lang w:val="en-AU"/>
    </w:rPr>
  </w:style>
  <w:style w:type="character" w:customStyle="1" w:styleId="Heading1Char">
    <w:name w:val="Heading 1 Char"/>
    <w:basedOn w:val="DefaultParagraphFont"/>
    <w:link w:val="Heading1"/>
    <w:rsid w:val="00A11E52"/>
    <w:rPr>
      <w:rFonts w:asciiTheme="majorHAnsi" w:eastAsiaTheme="majorEastAsia" w:hAnsiTheme="majorHAnsi" w:cstheme="majorBidi"/>
      <w:b/>
      <w:bCs/>
      <w:kern w:val="32"/>
      <w:sz w:val="32"/>
      <w:szCs w:val="32"/>
      <w:lang w:eastAsia="en-US"/>
    </w:rPr>
  </w:style>
  <w:style w:type="character" w:styleId="CommentReference">
    <w:name w:val="annotation reference"/>
    <w:basedOn w:val="DefaultParagraphFont"/>
    <w:uiPriority w:val="99"/>
    <w:semiHidden/>
    <w:unhideWhenUsed/>
    <w:rsid w:val="00A56A57"/>
    <w:rPr>
      <w:sz w:val="16"/>
      <w:szCs w:val="16"/>
    </w:rPr>
  </w:style>
  <w:style w:type="paragraph" w:styleId="CommentText">
    <w:name w:val="annotation text"/>
    <w:basedOn w:val="Normal"/>
    <w:link w:val="CommentTextChar"/>
    <w:uiPriority w:val="99"/>
    <w:semiHidden/>
    <w:unhideWhenUsed/>
    <w:rsid w:val="00A56A57"/>
    <w:rPr>
      <w:sz w:val="20"/>
      <w:szCs w:val="20"/>
    </w:rPr>
  </w:style>
  <w:style w:type="character" w:customStyle="1" w:styleId="CommentTextChar">
    <w:name w:val="Comment Text Char"/>
    <w:basedOn w:val="DefaultParagraphFont"/>
    <w:link w:val="CommentText"/>
    <w:uiPriority w:val="99"/>
    <w:semiHidden/>
    <w:rsid w:val="00A56A57"/>
    <w:rPr>
      <w:sz w:val="20"/>
      <w:szCs w:val="20"/>
      <w:lang w:eastAsia="en-US"/>
    </w:rPr>
  </w:style>
  <w:style w:type="paragraph" w:styleId="CommentSubject">
    <w:name w:val="annotation subject"/>
    <w:basedOn w:val="CommentText"/>
    <w:next w:val="CommentText"/>
    <w:link w:val="CommentSubjectChar"/>
    <w:uiPriority w:val="99"/>
    <w:semiHidden/>
    <w:unhideWhenUsed/>
    <w:rsid w:val="00A56A57"/>
    <w:rPr>
      <w:b/>
      <w:bCs/>
    </w:rPr>
  </w:style>
  <w:style w:type="character" w:customStyle="1" w:styleId="CommentSubjectChar">
    <w:name w:val="Comment Subject Char"/>
    <w:basedOn w:val="CommentTextChar"/>
    <w:link w:val="CommentSubject"/>
    <w:uiPriority w:val="99"/>
    <w:semiHidden/>
    <w:rsid w:val="00A56A57"/>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aw.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5784-33F1-4447-8D42-397B6C9B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Kelli</dc:creator>
  <cp:keywords/>
  <dc:description/>
  <cp:lastModifiedBy>Glover, Theresa</cp:lastModifiedBy>
  <cp:revision>14</cp:revision>
  <cp:lastPrinted>2013-06-24T01:35:00Z</cp:lastPrinted>
  <dcterms:created xsi:type="dcterms:W3CDTF">2013-09-12T22:07:00Z</dcterms:created>
  <dcterms:modified xsi:type="dcterms:W3CDTF">2014-01-24T04:54:00Z</dcterms:modified>
</cp:coreProperties>
</file>