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C1" w:rsidRDefault="00F773C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89.25pt" fillcolor="window">
            <v:imagedata r:id="rId7" o:title=""/>
          </v:shape>
        </w:pict>
      </w:r>
    </w:p>
    <w:p w:rsidR="00F773C1" w:rsidRDefault="00F773C1">
      <w:pPr>
        <w:jc w:val="center"/>
        <w:rPr>
          <w:rFonts w:ascii="Arial" w:hAnsi="Arial" w:cs="Arial"/>
          <w:spacing w:val="-5"/>
          <w:sz w:val="36"/>
          <w:szCs w:val="36"/>
        </w:rPr>
      </w:pPr>
      <w:r>
        <w:rPr>
          <w:rFonts w:ascii="Arial" w:hAnsi="Arial" w:cs="Arial"/>
          <w:spacing w:val="-5"/>
          <w:sz w:val="36"/>
          <w:szCs w:val="36"/>
        </w:rPr>
        <w:t xml:space="preserve">Specialist Medical </w:t>
      </w:r>
      <w:r>
        <w:rPr>
          <w:rFonts w:ascii="Arial" w:hAnsi="Arial" w:cs="Arial"/>
          <w:spacing w:val="-15"/>
          <w:sz w:val="36"/>
          <w:szCs w:val="36"/>
        </w:rPr>
        <w:t>Re</w:t>
      </w:r>
      <w:r>
        <w:rPr>
          <w:rFonts w:ascii="Arial" w:hAnsi="Arial" w:cs="Arial"/>
          <w:spacing w:val="-5"/>
          <w:sz w:val="36"/>
          <w:szCs w:val="36"/>
        </w:rPr>
        <w:t>view Council</w:t>
      </w:r>
    </w:p>
    <w:p w:rsidR="00F773C1" w:rsidRDefault="00F773C1">
      <w:pPr>
        <w:keepNext/>
        <w:widowControl w:val="0"/>
        <w:jc w:val="center"/>
        <w:outlineLvl w:val="6"/>
        <w:rPr>
          <w:rFonts w:ascii="Arial" w:hAnsi="Arial" w:cs="Arial"/>
          <w:b/>
          <w:sz w:val="28"/>
          <w:szCs w:val="28"/>
        </w:rPr>
      </w:pPr>
      <w:r>
        <w:rPr>
          <w:rFonts w:ascii="Arial" w:hAnsi="Arial" w:cs="Arial"/>
          <w:b/>
          <w:sz w:val="28"/>
          <w:szCs w:val="28"/>
        </w:rPr>
        <w:t xml:space="preserve">Declaration </w:t>
      </w:r>
    </w:p>
    <w:p w:rsidR="00F773C1" w:rsidRDefault="00F773C1">
      <w:pPr>
        <w:widowControl w:val="0"/>
        <w:jc w:val="center"/>
        <w:rPr>
          <w:rFonts w:ascii="Arial" w:hAnsi="Arial" w:cs="Arial"/>
          <w:i/>
          <w:sz w:val="24"/>
        </w:rPr>
      </w:pPr>
      <w:r>
        <w:rPr>
          <w:rFonts w:ascii="Arial" w:hAnsi="Arial" w:cs="Arial"/>
          <w:i/>
          <w:sz w:val="24"/>
        </w:rPr>
        <w:t>Section 196W</w:t>
      </w:r>
      <w:r>
        <w:rPr>
          <w:rFonts w:ascii="Arial" w:hAnsi="Arial" w:cs="Arial"/>
          <w:i/>
          <w:sz w:val="24"/>
        </w:rPr>
        <w:br/>
        <w:t>Veterans’ Entitlements Act 1986</w:t>
      </w:r>
    </w:p>
    <w:p w:rsidR="00F773C1" w:rsidRDefault="00F773C1">
      <w:pPr>
        <w:pBdr>
          <w:top w:val="single" w:sz="12" w:space="1" w:color="auto"/>
        </w:pBdr>
        <w:ind w:left="3119" w:right="3119"/>
        <w:jc w:val="center"/>
        <w:rPr>
          <w:rFonts w:ascii="Arial" w:hAnsi="Arial" w:cs="Arial"/>
          <w:sz w:val="24"/>
        </w:rPr>
      </w:pPr>
    </w:p>
    <w:p w:rsidR="00F773C1" w:rsidRDefault="00F773C1">
      <w:pPr>
        <w:spacing w:after="0" w:line="240" w:lineRule="auto"/>
        <w:jc w:val="center"/>
        <w:rPr>
          <w:rFonts w:ascii="Arial" w:hAnsi="Arial" w:cs="Arial"/>
          <w:sz w:val="24"/>
        </w:rPr>
      </w:pPr>
      <w:r>
        <w:rPr>
          <w:rFonts w:ascii="Arial" w:hAnsi="Arial" w:cs="Arial"/>
          <w:b/>
          <w:sz w:val="24"/>
        </w:rPr>
        <w:t>Re: Statements of Principles Nos. 69 and 70 of 2012</w:t>
      </w:r>
    </w:p>
    <w:p w:rsidR="00F773C1" w:rsidRDefault="00F773C1">
      <w:pPr>
        <w:spacing w:after="0" w:line="240" w:lineRule="auto"/>
        <w:jc w:val="center"/>
        <w:rPr>
          <w:rFonts w:ascii="Arial" w:hAnsi="Arial" w:cs="Arial"/>
          <w:b/>
          <w:sz w:val="24"/>
        </w:rPr>
      </w:pPr>
      <w:r>
        <w:rPr>
          <w:rFonts w:ascii="Arial" w:hAnsi="Arial" w:cs="Arial"/>
          <w:b/>
          <w:sz w:val="24"/>
        </w:rPr>
        <w:t>in respect of Myeloma</w:t>
      </w:r>
    </w:p>
    <w:p w:rsidR="00F773C1" w:rsidRDefault="00F773C1">
      <w:pPr>
        <w:spacing w:after="0" w:line="240" w:lineRule="auto"/>
        <w:ind w:left="1701" w:right="1701"/>
        <w:jc w:val="center"/>
        <w:rPr>
          <w:sz w:val="24"/>
        </w:rPr>
      </w:pPr>
      <w:r>
        <w:rPr>
          <w:rFonts w:ascii="Arial" w:hAnsi="Arial" w:cs="Arial"/>
          <w:sz w:val="24"/>
        </w:rPr>
        <w:t>Request for Review Declaration No. 23</w:t>
      </w:r>
    </w:p>
    <w:p w:rsidR="00F773C1" w:rsidRDefault="00F773C1">
      <w:pPr>
        <w:widowControl w:val="0"/>
        <w:jc w:val="center"/>
        <w:rPr>
          <w:rFonts w:ascii="Arial" w:hAnsi="Arial" w:cs="Arial"/>
          <w:i/>
          <w:sz w:val="24"/>
        </w:rPr>
      </w:pPr>
    </w:p>
    <w:p w:rsidR="00F773C1" w:rsidRDefault="00F773C1">
      <w:pPr>
        <w:pBdr>
          <w:top w:val="single" w:sz="12" w:space="1" w:color="auto"/>
        </w:pBdr>
        <w:spacing w:after="0" w:line="240" w:lineRule="auto"/>
        <w:ind w:left="3119" w:right="3119"/>
        <w:jc w:val="center"/>
        <w:rPr>
          <w:rFonts w:ascii="Arial" w:hAnsi="Arial" w:cs="Arial"/>
          <w:sz w:val="24"/>
        </w:rPr>
      </w:pPr>
    </w:p>
    <w:p w:rsidR="00F773C1" w:rsidRDefault="00F773C1">
      <w:pPr>
        <w:widowControl w:val="0"/>
        <w:spacing w:after="0" w:line="240" w:lineRule="auto"/>
        <w:jc w:val="center"/>
        <w:rPr>
          <w:rFonts w:ascii="Arial" w:hAnsi="Arial" w:cs="Arial"/>
          <w:i/>
          <w:sz w:val="24"/>
        </w:rPr>
      </w:pPr>
    </w:p>
    <w:p w:rsidR="00F773C1" w:rsidRDefault="00F773C1">
      <w:pPr>
        <w:spacing w:after="0" w:line="240" w:lineRule="auto"/>
        <w:ind w:right="1701"/>
        <w:rPr>
          <w:sz w:val="24"/>
        </w:rPr>
      </w:pPr>
    </w:p>
    <w:p w:rsidR="00F773C1" w:rsidRDefault="00F773C1">
      <w:pPr>
        <w:pStyle w:val="NumberLevel1"/>
        <w:numPr>
          <w:ilvl w:val="0"/>
          <w:numId w:val="1"/>
        </w:numPr>
        <w:spacing w:before="0" w:after="0" w:line="240" w:lineRule="auto"/>
        <w:rPr>
          <w:sz w:val="24"/>
          <w:szCs w:val="24"/>
        </w:rPr>
      </w:pPr>
      <w:r>
        <w:rPr>
          <w:sz w:val="24"/>
          <w:szCs w:val="24"/>
        </w:rPr>
        <w:t xml:space="preserve">In relation to the Repatriation Medical Authority (the RMA) Statement of Principles No. 70 of 2012 concerning myeloma and death from myeloma, made under subsection 196B (3) of the </w:t>
      </w:r>
      <w:r>
        <w:rPr>
          <w:i/>
          <w:sz w:val="24"/>
          <w:szCs w:val="24"/>
        </w:rPr>
        <w:t xml:space="preserve">Veterans' Entitlements Act 1986 </w:t>
      </w:r>
      <w:r>
        <w:rPr>
          <w:sz w:val="24"/>
          <w:szCs w:val="24"/>
        </w:rPr>
        <w:t>(the VEA), the Specialist Medical Review Council (the Council) under subsection 196W of the VEA:</w:t>
      </w:r>
    </w:p>
    <w:p w:rsidR="00F773C1" w:rsidRDefault="00F773C1">
      <w:pPr>
        <w:pStyle w:val="NumberLevel1"/>
        <w:ind w:left="1275" w:right="327"/>
        <w:rPr>
          <w:sz w:val="24"/>
          <w:szCs w:val="24"/>
        </w:rPr>
      </w:pPr>
      <w:r>
        <w:rPr>
          <w:sz w:val="24"/>
          <w:szCs w:val="24"/>
        </w:rPr>
        <w:t>DECLARES that the sound medical-scientific evidence available to the RMA is insufficient to justify an amendment to Statement of Principles No. 70 of 2012 to include a factor or factors in the same or similar terms to existing factors 6(c) and 6(d) in Statement of Principles No. 69 of 2012.</w:t>
      </w:r>
    </w:p>
    <w:p w:rsidR="00F773C1" w:rsidRDefault="00F773C1">
      <w:pPr>
        <w:pStyle w:val="NumberLevel1"/>
        <w:numPr>
          <w:ilvl w:val="0"/>
          <w:numId w:val="1"/>
        </w:numPr>
        <w:rPr>
          <w:sz w:val="24"/>
          <w:szCs w:val="24"/>
        </w:rPr>
      </w:pPr>
      <w:bookmarkStart w:id="0" w:name="_Ref384985709"/>
      <w:r>
        <w:rPr>
          <w:sz w:val="24"/>
          <w:szCs w:val="24"/>
        </w:rPr>
        <w:t>In relation to the RMA Statements of Principles Nos. 69 and 70 of 2012 concerning myeloma and death from myeloma, made under subsections 196B (2) and 196B (3) of the VEA, the Council under subsection 196W of the VEA</w:t>
      </w:r>
      <w:bookmarkStart w:id="1" w:name="_Ref248817332"/>
      <w:r>
        <w:rPr>
          <w:sz w:val="24"/>
          <w:szCs w:val="24"/>
        </w:rPr>
        <w:t>:</w:t>
      </w:r>
      <w:bookmarkEnd w:id="0"/>
    </w:p>
    <w:p w:rsidR="00F773C1" w:rsidRDefault="00F773C1">
      <w:pPr>
        <w:pStyle w:val="NumberLevel1"/>
        <w:ind w:left="1275" w:right="327"/>
        <w:rPr>
          <w:sz w:val="24"/>
          <w:szCs w:val="24"/>
        </w:rPr>
      </w:pPr>
      <w:r>
        <w:rPr>
          <w:sz w:val="24"/>
          <w:szCs w:val="24"/>
        </w:rPr>
        <w:t>DECLARES that there is sound medical-scientific evidence on which the RMA could have relied to amend both the Statements of Principles to include the factor</w:t>
      </w:r>
      <w:r>
        <w:rPr>
          <w:b/>
          <w:sz w:val="24"/>
          <w:szCs w:val="24"/>
        </w:rPr>
        <w:t xml:space="preserve"> </w:t>
      </w:r>
      <w:r>
        <w:rPr>
          <w:sz w:val="24"/>
          <w:szCs w:val="24"/>
        </w:rPr>
        <w:t>set out below; and</w:t>
      </w:r>
    </w:p>
    <w:p w:rsidR="00F773C1" w:rsidRDefault="00F773C1">
      <w:pPr>
        <w:pStyle w:val="NumberLevel1"/>
        <w:ind w:left="1275" w:right="327"/>
        <w:rPr>
          <w:sz w:val="24"/>
          <w:szCs w:val="24"/>
        </w:rPr>
      </w:pPr>
      <w:r>
        <w:rPr>
          <w:sz w:val="24"/>
          <w:szCs w:val="24"/>
        </w:rPr>
        <w:t>DIRECTS the RMA to amend both Statements of Principles Nos. 69 and 70 of 2012 by including the following factor:</w:t>
      </w:r>
    </w:p>
    <w:p w:rsidR="00F773C1" w:rsidRDefault="00F773C1">
      <w:pPr>
        <w:pStyle w:val="NumberLevel1"/>
        <w:ind w:left="1275" w:right="327"/>
        <w:rPr>
          <w:sz w:val="24"/>
          <w:szCs w:val="24"/>
        </w:rPr>
      </w:pPr>
      <w:r>
        <w:rPr>
          <w:sz w:val="24"/>
          <w:szCs w:val="24"/>
        </w:rPr>
        <w:t>Having exposure to 2,3,7,8 tetrachlorodibenzo-para-dioxin (TCDD) sufficient to produce an expected initial serum TCDD level of at least 1500 parts per trillion before the clinical onset of myeloma.</w:t>
      </w:r>
    </w:p>
    <w:bookmarkEnd w:id="1"/>
    <w:p w:rsidR="00F773C1" w:rsidRDefault="00F773C1"/>
    <w:p w:rsidR="00F773C1" w:rsidRDefault="00F773C1">
      <w:r>
        <w:tab/>
      </w:r>
      <w:r>
        <w:tab/>
      </w:r>
    </w:p>
    <w:p w:rsidR="00F773C1" w:rsidRDefault="00F773C1">
      <w:pPr>
        <w:ind w:left="-360"/>
      </w:pPr>
    </w:p>
    <w:tbl>
      <w:tblPr>
        <w:tblW w:w="7711" w:type="dxa"/>
        <w:jc w:val="center"/>
        <w:tblLayout w:type="fixed"/>
        <w:tblLook w:val="0000"/>
      </w:tblPr>
      <w:tblGrid>
        <w:gridCol w:w="1927"/>
        <w:gridCol w:w="1928"/>
        <w:gridCol w:w="1928"/>
        <w:gridCol w:w="1928"/>
      </w:tblGrid>
      <w:tr w:rsidR="00F773C1">
        <w:tblPrEx>
          <w:tblCellMar>
            <w:top w:w="0" w:type="dxa"/>
            <w:bottom w:w="0" w:type="dxa"/>
          </w:tblCellMar>
        </w:tblPrEx>
        <w:trPr>
          <w:cantSplit/>
          <w:trHeight w:val="1299"/>
          <w:jc w:val="center"/>
        </w:trPr>
        <w:tc>
          <w:tcPr>
            <w:tcW w:w="1927" w:type="dxa"/>
            <w:vAlign w:val="bottom"/>
          </w:tcPr>
          <w:p w:rsidR="00F773C1" w:rsidRDefault="00F773C1">
            <w:pPr>
              <w:spacing w:after="0"/>
              <w:ind w:left="-360"/>
              <w:jc w:val="center"/>
              <w:rPr>
                <w:rFonts w:ascii="Arial" w:hAnsi="Arial" w:cs="Arial"/>
                <w:sz w:val="24"/>
                <w:szCs w:val="24"/>
              </w:rPr>
            </w:pPr>
            <w:r>
              <w:rPr>
                <w:rFonts w:ascii="Arial" w:hAnsi="Arial" w:cs="Arial"/>
                <w:sz w:val="24"/>
                <w:szCs w:val="24"/>
              </w:rPr>
              <w:pict>
                <v:shape id="_x0000_i1028" type="#_x0000_t75" style="width:85.5pt;height:27pt">
                  <v:imagedata r:id="rId8" o:title=""/>
                </v:shape>
              </w:pict>
            </w:r>
          </w:p>
          <w:p w:rsidR="00F773C1" w:rsidRDefault="00F773C1">
            <w:pPr>
              <w:spacing w:after="0"/>
              <w:ind w:left="-360"/>
              <w:jc w:val="center"/>
              <w:rPr>
                <w:rFonts w:ascii="Arial" w:hAnsi="Arial" w:cs="Arial"/>
                <w:sz w:val="24"/>
                <w:szCs w:val="24"/>
              </w:rPr>
            </w:pPr>
          </w:p>
          <w:p w:rsidR="00F773C1" w:rsidRDefault="00F773C1">
            <w:pPr>
              <w:spacing w:after="0"/>
              <w:ind w:left="-360"/>
              <w:jc w:val="center"/>
              <w:rPr>
                <w:rFonts w:ascii="Arial" w:hAnsi="Arial" w:cs="Arial"/>
                <w:sz w:val="24"/>
                <w:szCs w:val="24"/>
              </w:rPr>
            </w:pPr>
          </w:p>
          <w:p w:rsidR="00F773C1" w:rsidRDefault="00F773C1">
            <w:pPr>
              <w:spacing w:after="0"/>
              <w:ind w:left="-360"/>
              <w:jc w:val="center"/>
              <w:rPr>
                <w:rFonts w:ascii="Arial" w:hAnsi="Arial" w:cs="Arial"/>
                <w:sz w:val="24"/>
                <w:szCs w:val="24"/>
              </w:rPr>
            </w:pPr>
          </w:p>
          <w:p w:rsidR="00F773C1" w:rsidRDefault="00F773C1">
            <w:pPr>
              <w:spacing w:after="0"/>
              <w:ind w:left="-357"/>
              <w:jc w:val="center"/>
              <w:rPr>
                <w:rFonts w:ascii="Arial" w:hAnsi="Arial" w:cs="Arial"/>
                <w:sz w:val="24"/>
                <w:szCs w:val="24"/>
              </w:rPr>
            </w:pPr>
            <w:r>
              <w:rPr>
                <w:rFonts w:ascii="Arial" w:hAnsi="Arial" w:cs="Arial"/>
                <w:sz w:val="24"/>
                <w:szCs w:val="24"/>
              </w:rPr>
              <w:t>John Watson</w:t>
            </w:r>
          </w:p>
          <w:p w:rsidR="00F773C1" w:rsidRDefault="00F773C1">
            <w:pPr>
              <w:spacing w:after="0"/>
              <w:ind w:left="-357"/>
              <w:jc w:val="center"/>
              <w:rPr>
                <w:rFonts w:ascii="Arial" w:hAnsi="Arial" w:cs="Arial"/>
                <w:sz w:val="24"/>
                <w:szCs w:val="24"/>
              </w:rPr>
            </w:pPr>
            <w:r>
              <w:rPr>
                <w:rFonts w:ascii="Arial" w:hAnsi="Arial" w:cs="Arial"/>
                <w:sz w:val="24"/>
                <w:szCs w:val="24"/>
              </w:rPr>
              <w:t>Funder</w:t>
            </w:r>
          </w:p>
          <w:p w:rsidR="00F773C1" w:rsidRDefault="00F773C1">
            <w:pPr>
              <w:spacing w:after="0"/>
              <w:ind w:left="-360"/>
              <w:jc w:val="center"/>
              <w:rPr>
                <w:rFonts w:ascii="Arial" w:hAnsi="Arial" w:cs="Arial"/>
                <w:sz w:val="24"/>
                <w:szCs w:val="24"/>
              </w:rPr>
            </w:pPr>
          </w:p>
          <w:p w:rsidR="00F773C1" w:rsidRDefault="00F773C1">
            <w:pPr>
              <w:spacing w:after="0"/>
              <w:ind w:left="-360"/>
              <w:jc w:val="center"/>
              <w:rPr>
                <w:rFonts w:ascii="Arial" w:hAnsi="Arial" w:cs="Arial"/>
                <w:sz w:val="24"/>
                <w:szCs w:val="24"/>
              </w:rPr>
            </w:pPr>
            <w:r>
              <w:rPr>
                <w:rFonts w:ascii="Arial" w:hAnsi="Arial" w:cs="Arial"/>
                <w:sz w:val="24"/>
                <w:szCs w:val="24"/>
              </w:rPr>
              <w:t>Presiding</w:t>
            </w:r>
          </w:p>
          <w:p w:rsidR="00F773C1" w:rsidRDefault="00F773C1">
            <w:pPr>
              <w:spacing w:after="0"/>
              <w:ind w:left="-360"/>
              <w:jc w:val="center"/>
              <w:rPr>
                <w:rFonts w:ascii="Arial" w:hAnsi="Arial" w:cs="Arial"/>
                <w:sz w:val="24"/>
                <w:szCs w:val="24"/>
              </w:rPr>
            </w:pPr>
            <w:r>
              <w:rPr>
                <w:rFonts w:ascii="Arial" w:hAnsi="Arial" w:cs="Arial"/>
                <w:sz w:val="24"/>
                <w:szCs w:val="24"/>
              </w:rPr>
              <w:t>Councillor</w:t>
            </w:r>
          </w:p>
        </w:tc>
        <w:tc>
          <w:tcPr>
            <w:tcW w:w="1928" w:type="dxa"/>
            <w:vAlign w:val="bottom"/>
          </w:tcPr>
          <w:p w:rsidR="00F773C1" w:rsidRDefault="00F773C1">
            <w:pPr>
              <w:spacing w:after="0"/>
              <w:ind w:left="-360"/>
              <w:jc w:val="center"/>
              <w:rPr>
                <w:rFonts w:ascii="Arial" w:hAnsi="Arial" w:cs="Arial"/>
                <w:sz w:val="24"/>
                <w:szCs w:val="24"/>
              </w:rPr>
            </w:pPr>
            <w:r>
              <w:rPr>
                <w:noProof/>
                <w:lang w:eastAsia="en-AU"/>
              </w:rPr>
            </w:r>
            <w:r>
              <w:rPr>
                <w:rFonts w:ascii="Arial" w:hAnsi="Arial" w:cs="Arial"/>
                <w:sz w:val="24"/>
                <w:szCs w:val="24"/>
              </w:rPr>
              <w:pict>
                <v:group id="_x0000_s1026" editas="canvas" style="width:85.5pt;height:59.25pt;mso-position-horizontal-relative:char;mso-position-vertical-relative:line" coordsize="1710,1185">
                  <o:lock v:ext="edit" aspectratio="t"/>
                  <v:shape id="_x0000_s1027" type="#_x0000_t75" style="position:absolute;width:1710;height:1185" o:preferrelative="f">
                    <v:fill o:detectmouseclick="t"/>
                    <v:path o:extrusionok="t" o:connecttype="none"/>
                    <o:lock v:ext="edit" text="t"/>
                  </v:shape>
                  <v:shape id="_x0000_s1028" type="#_x0000_t75" style="position:absolute;width:1713;height:1188">
                    <v:imagedata r:id="rId9" o:title=""/>
                  </v:shape>
                  <w10:anchorlock/>
                </v:group>
              </w:pict>
            </w:r>
          </w:p>
          <w:p w:rsidR="00F773C1" w:rsidRDefault="00F773C1">
            <w:pPr>
              <w:spacing w:after="0"/>
              <w:ind w:left="-360"/>
              <w:jc w:val="center"/>
              <w:rPr>
                <w:rFonts w:ascii="Arial" w:hAnsi="Arial" w:cs="Arial"/>
                <w:sz w:val="24"/>
                <w:szCs w:val="24"/>
              </w:rPr>
            </w:pPr>
          </w:p>
          <w:p w:rsidR="00F773C1" w:rsidRDefault="00F773C1">
            <w:pPr>
              <w:spacing w:after="0"/>
              <w:ind w:left="-360"/>
              <w:jc w:val="center"/>
              <w:rPr>
                <w:rFonts w:ascii="Arial" w:hAnsi="Arial" w:cs="Arial"/>
                <w:sz w:val="24"/>
                <w:szCs w:val="24"/>
              </w:rPr>
            </w:pPr>
            <w:r>
              <w:rPr>
                <w:rFonts w:ascii="Arial" w:hAnsi="Arial" w:cs="Arial"/>
                <w:sz w:val="24"/>
                <w:szCs w:val="24"/>
              </w:rPr>
              <w:t>Lin</w:t>
            </w:r>
          </w:p>
          <w:p w:rsidR="00F773C1" w:rsidRDefault="00F773C1">
            <w:pPr>
              <w:spacing w:after="0"/>
              <w:ind w:left="-360"/>
              <w:jc w:val="center"/>
              <w:rPr>
                <w:rFonts w:ascii="Arial" w:hAnsi="Arial" w:cs="Arial"/>
                <w:sz w:val="24"/>
                <w:szCs w:val="24"/>
              </w:rPr>
            </w:pPr>
            <w:r>
              <w:rPr>
                <w:rFonts w:ascii="Arial" w:hAnsi="Arial" w:cs="Arial"/>
                <w:sz w:val="24"/>
                <w:szCs w:val="24"/>
              </w:rPr>
              <w:t>Fritschi</w:t>
            </w:r>
          </w:p>
          <w:p w:rsidR="00F773C1" w:rsidRDefault="00F773C1">
            <w:pPr>
              <w:spacing w:after="0"/>
              <w:ind w:left="-360"/>
              <w:jc w:val="center"/>
              <w:rPr>
                <w:rFonts w:ascii="Arial" w:hAnsi="Arial" w:cs="Arial"/>
                <w:sz w:val="24"/>
                <w:szCs w:val="24"/>
              </w:rPr>
            </w:pPr>
          </w:p>
          <w:p w:rsidR="00F773C1" w:rsidRDefault="00F773C1">
            <w:pPr>
              <w:spacing w:after="0"/>
              <w:ind w:left="-360"/>
              <w:jc w:val="center"/>
              <w:rPr>
                <w:rFonts w:ascii="Arial" w:hAnsi="Arial" w:cs="Arial"/>
                <w:sz w:val="24"/>
                <w:szCs w:val="24"/>
              </w:rPr>
            </w:pPr>
          </w:p>
          <w:p w:rsidR="00F773C1" w:rsidRDefault="00F773C1">
            <w:pPr>
              <w:spacing w:after="0"/>
              <w:rPr>
                <w:rFonts w:ascii="Arial" w:hAnsi="Arial" w:cs="Arial"/>
                <w:sz w:val="24"/>
                <w:szCs w:val="24"/>
              </w:rPr>
            </w:pPr>
            <w:r>
              <w:rPr>
                <w:rFonts w:ascii="Arial" w:hAnsi="Arial" w:cs="Arial"/>
                <w:sz w:val="24"/>
                <w:szCs w:val="24"/>
              </w:rPr>
              <w:t xml:space="preserve">    Councillor</w:t>
            </w:r>
          </w:p>
        </w:tc>
        <w:tc>
          <w:tcPr>
            <w:tcW w:w="1928" w:type="dxa"/>
            <w:vAlign w:val="bottom"/>
          </w:tcPr>
          <w:p w:rsidR="00F773C1" w:rsidRDefault="00F773C1">
            <w:pPr>
              <w:spacing w:after="0"/>
              <w:ind w:left="-360"/>
              <w:jc w:val="center"/>
              <w:rPr>
                <w:rFonts w:ascii="Arial" w:hAnsi="Arial" w:cs="Arial"/>
                <w:sz w:val="24"/>
                <w:szCs w:val="24"/>
              </w:rPr>
            </w:pPr>
            <w:r>
              <w:rPr>
                <w:rFonts w:ascii="Arial" w:hAnsi="Arial" w:cs="Arial"/>
                <w:sz w:val="24"/>
                <w:szCs w:val="24"/>
              </w:rPr>
              <w:pict>
                <v:shape id="_x0000_i1032" type="#_x0000_t75" style="width:83.25pt;height:23.25pt">
                  <v:imagedata r:id="rId10" o:title=""/>
                </v:shape>
              </w:pict>
            </w:r>
          </w:p>
          <w:p w:rsidR="00F773C1" w:rsidRDefault="00F773C1">
            <w:pPr>
              <w:spacing w:after="0"/>
              <w:ind w:left="-360"/>
              <w:jc w:val="center"/>
              <w:rPr>
                <w:rFonts w:ascii="Arial" w:hAnsi="Arial" w:cs="Arial"/>
                <w:sz w:val="24"/>
                <w:szCs w:val="24"/>
              </w:rPr>
            </w:pPr>
          </w:p>
          <w:p w:rsidR="00F773C1" w:rsidRDefault="00F773C1">
            <w:pPr>
              <w:spacing w:after="0"/>
              <w:ind w:left="-360"/>
              <w:jc w:val="center"/>
              <w:rPr>
                <w:rFonts w:ascii="Arial" w:hAnsi="Arial" w:cs="Arial"/>
                <w:sz w:val="24"/>
                <w:szCs w:val="24"/>
              </w:rPr>
            </w:pPr>
          </w:p>
          <w:p w:rsidR="00F773C1" w:rsidRDefault="00F773C1">
            <w:pPr>
              <w:spacing w:after="0"/>
              <w:ind w:left="-360"/>
              <w:jc w:val="center"/>
              <w:rPr>
                <w:rFonts w:ascii="Arial" w:hAnsi="Arial" w:cs="Arial"/>
                <w:sz w:val="24"/>
                <w:szCs w:val="24"/>
              </w:rPr>
            </w:pPr>
          </w:p>
          <w:p w:rsidR="00F773C1" w:rsidRDefault="00F773C1">
            <w:pPr>
              <w:spacing w:after="0"/>
              <w:ind w:left="-360"/>
              <w:jc w:val="center"/>
              <w:rPr>
                <w:rFonts w:ascii="Arial" w:hAnsi="Arial" w:cs="Arial"/>
                <w:sz w:val="24"/>
                <w:szCs w:val="24"/>
              </w:rPr>
            </w:pPr>
            <w:r>
              <w:rPr>
                <w:rFonts w:ascii="Arial" w:hAnsi="Arial" w:cs="Arial"/>
                <w:sz w:val="24"/>
                <w:szCs w:val="24"/>
              </w:rPr>
              <w:t>Douglas</w:t>
            </w:r>
          </w:p>
          <w:p w:rsidR="00F773C1" w:rsidRDefault="00F773C1">
            <w:pPr>
              <w:spacing w:after="0"/>
              <w:ind w:left="-360"/>
              <w:jc w:val="center"/>
              <w:rPr>
                <w:rFonts w:ascii="Arial" w:hAnsi="Arial" w:cs="Arial"/>
                <w:sz w:val="24"/>
                <w:szCs w:val="24"/>
              </w:rPr>
            </w:pPr>
            <w:r>
              <w:rPr>
                <w:rFonts w:ascii="Arial" w:hAnsi="Arial" w:cs="Arial"/>
                <w:sz w:val="24"/>
                <w:szCs w:val="24"/>
              </w:rPr>
              <w:t>Edgar</w:t>
            </w:r>
          </w:p>
          <w:p w:rsidR="00F773C1" w:rsidRDefault="00F773C1">
            <w:pPr>
              <w:spacing w:after="0"/>
              <w:ind w:left="-360"/>
              <w:jc w:val="center"/>
              <w:rPr>
                <w:rFonts w:ascii="Arial" w:hAnsi="Arial" w:cs="Arial"/>
                <w:sz w:val="24"/>
                <w:szCs w:val="24"/>
              </w:rPr>
            </w:pPr>
            <w:r>
              <w:rPr>
                <w:rFonts w:ascii="Arial" w:hAnsi="Arial" w:cs="Arial"/>
                <w:sz w:val="24"/>
                <w:szCs w:val="24"/>
              </w:rPr>
              <w:t>Joshua</w:t>
            </w:r>
          </w:p>
          <w:p w:rsidR="00F773C1" w:rsidRDefault="00F773C1">
            <w:pPr>
              <w:spacing w:after="0"/>
              <w:ind w:left="-360"/>
              <w:jc w:val="center"/>
              <w:rPr>
                <w:rFonts w:ascii="Arial" w:hAnsi="Arial" w:cs="Arial"/>
                <w:sz w:val="24"/>
                <w:szCs w:val="24"/>
              </w:rPr>
            </w:pPr>
          </w:p>
          <w:p w:rsidR="00F773C1" w:rsidRDefault="00F773C1">
            <w:pPr>
              <w:spacing w:after="0"/>
              <w:ind w:left="-360"/>
              <w:jc w:val="center"/>
              <w:rPr>
                <w:rFonts w:ascii="Arial" w:hAnsi="Arial" w:cs="Arial"/>
                <w:sz w:val="24"/>
                <w:szCs w:val="24"/>
              </w:rPr>
            </w:pPr>
            <w:r>
              <w:rPr>
                <w:rFonts w:ascii="Arial" w:hAnsi="Arial" w:cs="Arial"/>
                <w:sz w:val="24"/>
                <w:szCs w:val="24"/>
              </w:rPr>
              <w:t>Councillor</w:t>
            </w:r>
          </w:p>
        </w:tc>
        <w:tc>
          <w:tcPr>
            <w:tcW w:w="1928" w:type="dxa"/>
            <w:vAlign w:val="bottom"/>
          </w:tcPr>
          <w:p w:rsidR="00F773C1" w:rsidRDefault="00F773C1">
            <w:pPr>
              <w:spacing w:after="0"/>
              <w:ind w:left="-360"/>
              <w:jc w:val="center"/>
              <w:rPr>
                <w:rFonts w:ascii="Arial" w:hAnsi="Arial" w:cs="Arial"/>
                <w:sz w:val="24"/>
                <w:szCs w:val="24"/>
              </w:rPr>
            </w:pPr>
            <w:r>
              <w:rPr>
                <w:rFonts w:ascii="Arial" w:hAnsi="Arial" w:cs="Arial"/>
                <w:sz w:val="24"/>
                <w:szCs w:val="24"/>
              </w:rPr>
              <w:pict>
                <v:shape id="_x0000_i1033" type="#_x0000_t75" style="width:102.75pt;height:39pt">
                  <v:imagedata r:id="rId11" o:title=""/>
                </v:shape>
              </w:pict>
            </w:r>
          </w:p>
          <w:p w:rsidR="00F773C1" w:rsidRDefault="00F773C1">
            <w:pPr>
              <w:spacing w:after="0"/>
              <w:ind w:left="-360"/>
              <w:jc w:val="center"/>
              <w:rPr>
                <w:rFonts w:ascii="Arial" w:hAnsi="Arial" w:cs="Arial"/>
                <w:sz w:val="24"/>
                <w:szCs w:val="24"/>
              </w:rPr>
            </w:pPr>
          </w:p>
          <w:p w:rsidR="00F773C1" w:rsidRDefault="00F773C1">
            <w:pPr>
              <w:spacing w:after="0"/>
              <w:ind w:left="-360"/>
              <w:jc w:val="center"/>
              <w:rPr>
                <w:rFonts w:ascii="Arial" w:hAnsi="Arial" w:cs="Arial"/>
                <w:sz w:val="24"/>
                <w:szCs w:val="24"/>
              </w:rPr>
            </w:pPr>
          </w:p>
          <w:p w:rsidR="00F773C1" w:rsidRDefault="00F773C1">
            <w:pPr>
              <w:spacing w:after="0"/>
              <w:ind w:left="-360"/>
              <w:jc w:val="center"/>
              <w:rPr>
                <w:rFonts w:ascii="Arial" w:hAnsi="Arial" w:cs="Arial"/>
                <w:sz w:val="24"/>
                <w:szCs w:val="24"/>
              </w:rPr>
            </w:pPr>
            <w:r>
              <w:rPr>
                <w:rFonts w:ascii="Arial" w:hAnsi="Arial" w:cs="Arial"/>
                <w:sz w:val="24"/>
                <w:szCs w:val="24"/>
              </w:rPr>
              <w:t>Hang</w:t>
            </w:r>
          </w:p>
          <w:p w:rsidR="00F773C1" w:rsidRDefault="00F773C1">
            <w:pPr>
              <w:spacing w:after="0"/>
              <w:ind w:left="-360"/>
              <w:jc w:val="center"/>
              <w:rPr>
                <w:rFonts w:ascii="Arial" w:hAnsi="Arial" w:cs="Arial"/>
                <w:sz w:val="24"/>
                <w:szCs w:val="24"/>
              </w:rPr>
            </w:pPr>
            <w:r>
              <w:rPr>
                <w:rFonts w:ascii="Arial" w:hAnsi="Arial" w:cs="Arial"/>
                <w:sz w:val="24"/>
                <w:szCs w:val="24"/>
              </w:rPr>
              <w:t>Quach</w:t>
            </w:r>
          </w:p>
          <w:p w:rsidR="00F773C1" w:rsidRDefault="00F773C1">
            <w:pPr>
              <w:spacing w:after="0"/>
              <w:ind w:left="-360"/>
              <w:jc w:val="center"/>
              <w:rPr>
                <w:rFonts w:ascii="Arial" w:hAnsi="Arial" w:cs="Arial"/>
                <w:sz w:val="24"/>
                <w:szCs w:val="24"/>
              </w:rPr>
            </w:pPr>
          </w:p>
          <w:p w:rsidR="00F773C1" w:rsidRDefault="00F773C1">
            <w:pPr>
              <w:spacing w:after="0"/>
              <w:ind w:left="-360"/>
              <w:jc w:val="center"/>
              <w:rPr>
                <w:rFonts w:ascii="Arial" w:hAnsi="Arial" w:cs="Arial"/>
                <w:sz w:val="24"/>
                <w:szCs w:val="24"/>
              </w:rPr>
            </w:pPr>
          </w:p>
          <w:p w:rsidR="00F773C1" w:rsidRDefault="00F773C1">
            <w:pPr>
              <w:spacing w:after="0"/>
              <w:ind w:left="-360"/>
              <w:jc w:val="center"/>
              <w:rPr>
                <w:rFonts w:ascii="Arial" w:hAnsi="Arial" w:cs="Arial"/>
                <w:sz w:val="24"/>
                <w:szCs w:val="24"/>
              </w:rPr>
            </w:pPr>
            <w:r>
              <w:rPr>
                <w:rFonts w:ascii="Arial" w:hAnsi="Arial" w:cs="Arial"/>
                <w:sz w:val="24"/>
                <w:szCs w:val="24"/>
              </w:rPr>
              <w:t>Councillor</w:t>
            </w:r>
          </w:p>
        </w:tc>
      </w:tr>
    </w:tbl>
    <w:p w:rsidR="00F773C1" w:rsidRDefault="00F773C1"/>
    <w:p w:rsidR="00F773C1" w:rsidRDefault="00F773C1">
      <w:pPr>
        <w:ind w:left="-360"/>
      </w:pPr>
      <w:r>
        <w:rPr>
          <w:noProof/>
          <w:lang w:eastAsia="en-AU"/>
        </w:rPr>
        <w:pict>
          <v:shape id="_x0000_s1029" type="#_x0000_t75" style="position:absolute;left:0;text-align:left;margin-left:279pt;margin-top:.95pt;width:167.65pt;height:136.35pt;z-index:251658240">
            <v:imagedata r:id="rId12" o:title=""/>
            <w10:wrap type="square"/>
          </v:shape>
        </w:pict>
      </w:r>
    </w:p>
    <w:p w:rsidR="00F773C1" w:rsidRDefault="00F773C1">
      <w:pPr>
        <w:spacing w:after="0"/>
        <w:rPr>
          <w:rFonts w:ascii="Arial" w:hAnsi="Arial" w:cs="Arial"/>
        </w:rPr>
      </w:pPr>
      <w:r>
        <w:rPr>
          <w:rFonts w:ascii="Arial" w:hAnsi="Arial" w:cs="Arial"/>
        </w:rPr>
        <w:t>The Common Seal of the</w:t>
      </w:r>
      <w:r>
        <w:rPr>
          <w:rFonts w:ascii="Arial" w:hAnsi="Arial" w:cs="Arial"/>
        </w:rPr>
        <w:tab/>
        <w:t xml:space="preserve">) </w:t>
      </w:r>
      <w:r>
        <w:rPr>
          <w:rFonts w:ascii="Arial" w:hAnsi="Arial" w:cs="Arial"/>
        </w:rPr>
        <w:tab/>
      </w:r>
      <w:r>
        <w:rPr>
          <w:rFonts w:ascii="Arial" w:hAnsi="Arial" w:cs="Arial"/>
        </w:rPr>
        <w:tab/>
      </w:r>
      <w:r>
        <w:rPr>
          <w:rFonts w:ascii="Arial" w:hAnsi="Arial" w:cs="Arial"/>
        </w:rPr>
        <w:br/>
        <w:t>Specialist Medical Review</w:t>
      </w:r>
      <w:r>
        <w:rPr>
          <w:rFonts w:ascii="Arial" w:hAnsi="Arial" w:cs="Arial"/>
        </w:rPr>
        <w:tab/>
        <w:t>)</w:t>
      </w:r>
      <w:r>
        <w:rPr>
          <w:rFonts w:ascii="Arial" w:hAnsi="Arial" w:cs="Arial"/>
        </w:rPr>
        <w:br/>
        <w:t>Council was affixed to this</w:t>
      </w:r>
      <w:r>
        <w:rPr>
          <w:rFonts w:ascii="Arial" w:hAnsi="Arial" w:cs="Arial"/>
        </w:rPr>
        <w:tab/>
        <w:t>)</w:t>
      </w:r>
    </w:p>
    <w:p w:rsidR="00F773C1" w:rsidRDefault="00F773C1">
      <w:pPr>
        <w:spacing w:after="0"/>
        <w:rPr>
          <w:rFonts w:ascii="Arial" w:hAnsi="Arial" w:cs="Arial"/>
        </w:rPr>
      </w:pPr>
      <w:r>
        <w:rPr>
          <w:rFonts w:ascii="Arial" w:hAnsi="Arial" w:cs="Arial"/>
        </w:rPr>
        <w:t>document by authority of the</w:t>
      </w:r>
      <w:r>
        <w:rPr>
          <w:rFonts w:ascii="Arial" w:hAnsi="Arial" w:cs="Arial"/>
        </w:rPr>
        <w:tab/>
        <w:t>)</w:t>
      </w:r>
      <w:r>
        <w:rPr>
          <w:rFonts w:ascii="Arial" w:hAnsi="Arial" w:cs="Arial"/>
        </w:rPr>
        <w:br/>
        <w:t>Council in the presence of:</w:t>
      </w:r>
      <w:r>
        <w:rPr>
          <w:rFonts w:ascii="Arial" w:hAnsi="Arial" w:cs="Arial"/>
        </w:rPr>
        <w:tab/>
        <w:t>)</w:t>
      </w:r>
    </w:p>
    <w:p w:rsidR="00F773C1" w:rsidRDefault="00F773C1">
      <w:pPr>
        <w:ind w:left="2880" w:firstLine="720"/>
      </w:pPr>
    </w:p>
    <w:p w:rsidR="00F773C1" w:rsidRDefault="00F773C1">
      <w:pPr>
        <w:ind w:left="2880" w:firstLine="720"/>
      </w:pPr>
    </w:p>
    <w:p w:rsidR="00F773C1" w:rsidRDefault="00F773C1">
      <w:pPr>
        <w:ind w:left="2880" w:firstLine="720"/>
      </w:pPr>
      <w:r>
        <w:t xml:space="preserve">               </w:t>
      </w:r>
      <w:r>
        <w:pict>
          <v:shape id="_x0000_i1034" type="#_x0000_t75" style="width:124.5pt;height:58.5pt">
            <v:imagedata r:id="rId13" o:title=""/>
          </v:shape>
        </w:pict>
      </w:r>
    </w:p>
    <w:p w:rsidR="00F773C1" w:rsidRDefault="00F773C1">
      <w:pPr>
        <w:spacing w:after="0"/>
        <w:ind w:left="4320" w:firstLine="720"/>
        <w:rPr>
          <w:rFonts w:ascii="Arial" w:hAnsi="Arial" w:cs="Arial"/>
          <w:sz w:val="24"/>
          <w:szCs w:val="24"/>
        </w:rPr>
      </w:pPr>
      <w:r>
        <w:rPr>
          <w:rFonts w:ascii="Arial" w:hAnsi="Arial" w:cs="Arial"/>
          <w:sz w:val="24"/>
          <w:szCs w:val="24"/>
        </w:rPr>
        <w:t>Jan Bowman</w:t>
      </w:r>
    </w:p>
    <w:p w:rsidR="00F773C1" w:rsidRDefault="00F773C1">
      <w:pPr>
        <w:spacing w:after="0"/>
        <w:ind w:left="720" w:firstLine="720"/>
        <w:jc w:val="center"/>
        <w:rPr>
          <w:rFonts w:ascii="Arial" w:hAnsi="Arial" w:cs="Arial"/>
          <w:sz w:val="24"/>
          <w:szCs w:val="24"/>
        </w:rPr>
      </w:pPr>
      <w:r>
        <w:rPr>
          <w:rFonts w:ascii="Arial" w:hAnsi="Arial" w:cs="Arial"/>
          <w:sz w:val="24"/>
          <w:szCs w:val="24"/>
        </w:rPr>
        <w:t xml:space="preserve">       Registrar, SMRC</w:t>
      </w:r>
    </w:p>
    <w:p w:rsidR="00F773C1" w:rsidRDefault="00F773C1">
      <w:pPr>
        <w:ind w:left="720" w:firstLine="720"/>
        <w:jc w:val="center"/>
        <w:rPr>
          <w:rFonts w:ascii="Arial" w:hAnsi="Arial" w:cs="Arial"/>
          <w:sz w:val="24"/>
          <w:szCs w:val="24"/>
        </w:rPr>
      </w:pPr>
    </w:p>
    <w:p w:rsidR="00F773C1" w:rsidRDefault="00F773C1">
      <w:pPr>
        <w:jc w:val="center"/>
        <w:rPr>
          <w:rFonts w:ascii="Arial" w:hAnsi="Arial" w:cs="Arial"/>
          <w:b/>
          <w:sz w:val="24"/>
          <w:szCs w:val="24"/>
        </w:rPr>
      </w:pPr>
      <w:r>
        <w:rPr>
          <w:rFonts w:ascii="Arial" w:hAnsi="Arial" w:cs="Arial"/>
          <w:sz w:val="24"/>
          <w:szCs w:val="24"/>
        </w:rPr>
        <w:t>Dated this</w:t>
      </w:r>
      <w:r>
        <w:rPr>
          <w:rFonts w:ascii="Arial" w:hAnsi="Arial" w:cs="Arial"/>
          <w:sz w:val="24"/>
          <w:szCs w:val="24"/>
        </w:rPr>
        <w:tab/>
      </w:r>
      <w:r>
        <w:rPr>
          <w:rFonts w:ascii="Arial" w:hAnsi="Arial" w:cs="Arial"/>
          <w:b/>
          <w:i/>
          <w:sz w:val="24"/>
          <w:szCs w:val="24"/>
        </w:rPr>
        <w:t>TWELFTH</w:t>
      </w:r>
      <w:r>
        <w:rPr>
          <w:rFonts w:ascii="Arial" w:hAnsi="Arial" w:cs="Arial"/>
          <w:b/>
          <w:sz w:val="24"/>
          <w:szCs w:val="24"/>
        </w:rPr>
        <w:tab/>
      </w:r>
      <w:r>
        <w:rPr>
          <w:rFonts w:ascii="Arial" w:hAnsi="Arial" w:cs="Arial"/>
          <w:sz w:val="24"/>
          <w:szCs w:val="24"/>
        </w:rPr>
        <w:tab/>
        <w:t xml:space="preserve">day of </w:t>
      </w:r>
      <w:r>
        <w:rPr>
          <w:rFonts w:ascii="Arial" w:hAnsi="Arial" w:cs="Arial"/>
          <w:sz w:val="24"/>
          <w:szCs w:val="24"/>
        </w:rPr>
        <w:tab/>
      </w:r>
      <w:r>
        <w:rPr>
          <w:rFonts w:ascii="Arial" w:hAnsi="Arial" w:cs="Arial"/>
          <w:sz w:val="24"/>
          <w:szCs w:val="24"/>
        </w:rPr>
        <w:tab/>
      </w:r>
      <w:r>
        <w:rPr>
          <w:rFonts w:ascii="Arial" w:hAnsi="Arial" w:cs="Arial"/>
          <w:b/>
          <w:i/>
          <w:sz w:val="24"/>
          <w:szCs w:val="24"/>
        </w:rPr>
        <w:t>MAY</w:t>
      </w:r>
      <w:r>
        <w:rPr>
          <w:rFonts w:ascii="Arial" w:hAnsi="Arial" w:cs="Arial"/>
          <w:i/>
          <w:sz w:val="24"/>
          <w:szCs w:val="24"/>
        </w:rPr>
        <w:tab/>
      </w:r>
      <w:r>
        <w:rPr>
          <w:rFonts w:ascii="Arial" w:hAnsi="Arial" w:cs="Arial"/>
          <w:sz w:val="24"/>
          <w:szCs w:val="24"/>
        </w:rPr>
        <w:tab/>
        <w:t>2014</w:t>
      </w:r>
    </w:p>
    <w:p w:rsidR="00F773C1" w:rsidRDefault="00F773C1">
      <w:pPr>
        <w:pStyle w:val="BodyText"/>
        <w:rPr>
          <w:rFonts w:ascii="Arial" w:hAnsi="Arial" w:cs="Arial"/>
          <w:sz w:val="24"/>
          <w:szCs w:val="24"/>
        </w:rPr>
      </w:pPr>
    </w:p>
    <w:p w:rsidR="00F773C1" w:rsidRDefault="00F773C1">
      <w:pPr>
        <w:pStyle w:val="BodyText"/>
        <w:rPr>
          <w:rFonts w:ascii="Arial" w:hAnsi="Arial" w:cs="Arial"/>
          <w:sz w:val="22"/>
          <w:szCs w:val="22"/>
        </w:rPr>
      </w:pPr>
    </w:p>
    <w:p w:rsidR="00F773C1" w:rsidRDefault="00F773C1">
      <w:pPr>
        <w:pStyle w:val="BodyText"/>
        <w:rPr>
          <w:rFonts w:ascii="Arial" w:hAnsi="Arial" w:cs="Arial"/>
        </w:rPr>
      </w:pPr>
    </w:p>
    <w:p w:rsidR="00F773C1" w:rsidRDefault="00F773C1">
      <w:pPr>
        <w:pStyle w:val="BodyText"/>
        <w:rPr>
          <w:rFonts w:ascii="Arial" w:hAnsi="Arial" w:cs="Arial"/>
        </w:rPr>
      </w:pPr>
    </w:p>
    <w:p w:rsidR="00F773C1" w:rsidRDefault="00F773C1">
      <w:pPr>
        <w:pStyle w:val="BodyText"/>
        <w:rPr>
          <w:rFonts w:ascii="Arial" w:hAnsi="Arial" w:cs="Arial"/>
        </w:rPr>
      </w:pPr>
    </w:p>
    <w:p w:rsidR="00F773C1" w:rsidRDefault="00F773C1">
      <w:pPr>
        <w:rPr>
          <w:sz w:val="20"/>
          <w:szCs w:val="20"/>
        </w:rPr>
      </w:pPr>
      <w:r>
        <w:rPr>
          <w:rFonts w:ascii="Arial" w:hAnsi="Arial" w:cs="Arial"/>
          <w:sz w:val="20"/>
          <w:szCs w:val="20"/>
        </w:rPr>
        <w:t xml:space="preserve">The Council’s Reasons for Decisions in relation to this Declaration can be obtained from its website at </w:t>
      </w:r>
      <w:hyperlink r:id="rId14" w:history="1">
        <w:r>
          <w:rPr>
            <w:rStyle w:val="Hyperlink"/>
            <w:rFonts w:ascii="Arial" w:hAnsi="Arial" w:cs="Arial"/>
            <w:sz w:val="20"/>
            <w:szCs w:val="20"/>
          </w:rPr>
          <w:t>www.smrc.gov.au</w:t>
        </w:r>
      </w:hyperlink>
      <w:r>
        <w:rPr>
          <w:rFonts w:ascii="Arial" w:hAnsi="Arial" w:cs="Arial"/>
          <w:sz w:val="20"/>
          <w:szCs w:val="20"/>
        </w:rPr>
        <w:t>, or on request by writing to The Registrar, PO Box 895, Woden ACT 2606 or by telephoning (07) 3223 8840.</w:t>
      </w:r>
    </w:p>
    <w:sectPr w:rsidR="00F773C1" w:rsidSect="008E4F6C">
      <w:headerReference w:type="even" r:id="rId15"/>
      <w:headerReference w:type="default" r:id="rId16"/>
      <w:head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3C1" w:rsidRDefault="00F773C1">
      <w:pPr>
        <w:spacing w:after="0" w:line="240" w:lineRule="auto"/>
      </w:pPr>
      <w:r>
        <w:separator/>
      </w:r>
    </w:p>
  </w:endnote>
  <w:endnote w:type="continuationSeparator" w:id="0">
    <w:p w:rsidR="00F773C1" w:rsidRDefault="00F77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3C1" w:rsidRDefault="00F773C1">
      <w:pPr>
        <w:spacing w:after="0" w:line="240" w:lineRule="auto"/>
      </w:pPr>
      <w:r>
        <w:separator/>
      </w:r>
    </w:p>
  </w:footnote>
  <w:footnote w:type="continuationSeparator" w:id="0">
    <w:p w:rsidR="00F773C1" w:rsidRDefault="00F77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C1" w:rsidRDefault="00F773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73C1" w:rsidRDefault="00F773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C1" w:rsidRDefault="00F773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773C1" w:rsidRDefault="00F773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35"/>
      <w:gridCol w:w="4435"/>
      <w:gridCol w:w="3979"/>
    </w:tblGrid>
    <w:tr w:rsidR="00F773C1">
      <w:trPr>
        <w:trHeight w:val="984"/>
      </w:trPr>
      <w:tc>
        <w:tcPr>
          <w:tcW w:w="1263" w:type="dxa"/>
          <w:tcBorders>
            <w:top w:val="single" w:sz="4" w:space="0" w:color="auto"/>
            <w:left w:val="nil"/>
            <w:bottom w:val="single" w:sz="4" w:space="0" w:color="auto"/>
            <w:right w:val="nil"/>
          </w:tcBorders>
        </w:tcPr>
        <w:p w:rsidR="00F773C1" w:rsidRDefault="00F773C1">
          <w:pPr>
            <w:spacing w:before="60" w:after="0"/>
            <w:ind w:left="-51"/>
            <w:rPr>
              <w:rFonts w:ascii="Arial" w:hAnsi="Arial"/>
              <w:sz w:val="12"/>
            </w:rPr>
          </w:pPr>
          <w:bookmarkStart w:id="2" w:name="OLE_LINK2"/>
          <w:r>
            <w:rPr>
              <w:rFonts w:ascii="Arial" w:hAnsi="Arial"/>
              <w:noProof/>
              <w:sz w:val="1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1" type="#_x0000_t75" style="width:53.25pt;height:42.75pt;visibility:visible">
                <v:imagedata r:id="rId1" o:title=""/>
              </v:shape>
            </w:pict>
          </w:r>
        </w:p>
      </w:tc>
      <w:tc>
        <w:tcPr>
          <w:tcW w:w="4435" w:type="dxa"/>
          <w:tcBorders>
            <w:top w:val="single" w:sz="4" w:space="0" w:color="auto"/>
            <w:left w:val="nil"/>
            <w:bottom w:val="single" w:sz="4" w:space="0" w:color="auto"/>
            <w:right w:val="nil"/>
          </w:tcBorders>
        </w:tcPr>
        <w:p w:rsidR="00F773C1" w:rsidRDefault="00F773C1">
          <w:pPr>
            <w:spacing w:before="60" w:after="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 xml:space="preserve">of </w:t>
          </w:r>
          <w:smartTag w:uri="urn:schemas-microsoft-com:office:smarttags" w:element="country-region">
            <w:smartTag w:uri="urn:schemas-microsoft-com:office:smarttags" w:element="place">
              <w:r>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F773C1" w:rsidRDefault="00F773C1">
          <w:pPr>
            <w:spacing w:before="180" w:after="0" w:line="800" w:lineRule="exact"/>
            <w:jc w:val="right"/>
            <w:rPr>
              <w:rFonts w:ascii="Arial" w:hAnsi="Arial" w:cs="Arial"/>
              <w:b/>
              <w:sz w:val="100"/>
              <w:szCs w:val="100"/>
            </w:rPr>
          </w:pPr>
          <w:r>
            <w:rPr>
              <w:rFonts w:ascii="Arial" w:hAnsi="Arial" w:cs="Arial"/>
              <w:b/>
              <w:sz w:val="100"/>
              <w:szCs w:val="100"/>
            </w:rPr>
            <w:t>Gazette</w:t>
          </w:r>
        </w:p>
      </w:tc>
    </w:tr>
    <w:tr w:rsidR="00F773C1">
      <w:trPr>
        <w:trHeight w:val="340"/>
      </w:trPr>
      <w:tc>
        <w:tcPr>
          <w:tcW w:w="5698" w:type="dxa"/>
          <w:gridSpan w:val="2"/>
          <w:tcBorders>
            <w:top w:val="single" w:sz="4" w:space="0" w:color="auto"/>
            <w:left w:val="nil"/>
            <w:bottom w:val="single" w:sz="4" w:space="0" w:color="auto"/>
            <w:right w:val="nil"/>
          </w:tcBorders>
          <w:vAlign w:val="bottom"/>
        </w:tcPr>
        <w:p w:rsidR="00F773C1" w:rsidRDefault="00F773C1">
          <w:pPr>
            <w:spacing w:after="0"/>
            <w:ind w:left="-51"/>
            <w:rPr>
              <w:rFonts w:ascii="Arial" w:hAnsi="Arial" w:cs="Arial"/>
              <w:sz w:val="14"/>
              <w:szCs w:val="14"/>
            </w:rPr>
          </w:pPr>
          <w:bookmarkStart w:id="3" w:name="GazNo"/>
          <w:bookmarkEnd w:id="3"/>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rsidR="00F773C1" w:rsidRDefault="00F773C1">
          <w:pPr>
            <w:spacing w:after="0"/>
            <w:jc w:val="right"/>
            <w:rPr>
              <w:rFonts w:ascii="Arial" w:hAnsi="Arial" w:cs="Arial"/>
              <w:b/>
              <w:sz w:val="24"/>
              <w:szCs w:val="24"/>
            </w:rPr>
          </w:pPr>
          <w:r>
            <w:rPr>
              <w:rFonts w:ascii="Arial" w:hAnsi="Arial" w:cs="Arial"/>
              <w:b/>
              <w:sz w:val="24"/>
              <w:szCs w:val="24"/>
            </w:rPr>
            <w:t>GOVERNMENT NOTICES</w:t>
          </w:r>
        </w:p>
      </w:tc>
    </w:tr>
    <w:bookmarkEnd w:id="2"/>
  </w:tbl>
  <w:p w:rsidR="00F773C1" w:rsidRDefault="00F773C1">
    <w:pPr>
      <w:pStyle w:val="Header"/>
      <w:rPr>
        <w:sz w:val="2"/>
        <w:szCs w:val="2"/>
      </w:rPr>
    </w:pPr>
  </w:p>
  <w:p w:rsidR="00F773C1" w:rsidRDefault="00F773C1">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35ADF"/>
    <w:multiLevelType w:val="hybridMultilevel"/>
    <w:tmpl w:val="A8484656"/>
    <w:lvl w:ilvl="0" w:tplc="B5FCFECA">
      <w:start w:val="1"/>
      <w:numFmt w:val="decimal"/>
      <w:lvlText w:val="%1."/>
      <w:lvlJc w:val="left"/>
      <w:pPr>
        <w:tabs>
          <w:tab w:val="num" w:pos="720"/>
        </w:tabs>
        <w:ind w:left="720" w:hanging="720"/>
      </w:pPr>
      <w:rPr>
        <w:rFonts w:ascii="Arial" w:hAnsi="Arial" w:cs="Times New Roman" w:hint="default"/>
        <w:b w:val="0"/>
        <w:i w:val="0"/>
        <w:sz w:val="22"/>
        <w:szCs w:val="22"/>
      </w:rPr>
    </w:lvl>
    <w:lvl w:ilvl="1" w:tplc="0C090003">
      <w:start w:val="1"/>
      <w:numFmt w:val="decimal"/>
      <w:lvlText w:val="%2."/>
      <w:lvlJc w:val="left"/>
      <w:pPr>
        <w:tabs>
          <w:tab w:val="num" w:pos="360"/>
        </w:tabs>
        <w:ind w:left="360" w:hanging="360"/>
      </w:pPr>
      <w:rPr>
        <w:rFonts w:cs="Times New Roman" w:hint="default"/>
        <w:sz w:val="22"/>
        <w:szCs w:val="22"/>
      </w:rPr>
    </w:lvl>
    <w:lvl w:ilvl="2" w:tplc="B5FCFECA">
      <w:numFmt w:val="bullet"/>
      <w:lvlText w:val="-"/>
      <w:lvlJc w:val="left"/>
      <w:pPr>
        <w:tabs>
          <w:tab w:val="num" w:pos="360"/>
        </w:tabs>
        <w:ind w:left="360" w:hanging="360"/>
      </w:pPr>
      <w:rPr>
        <w:rFonts w:ascii="Courier" w:eastAsia="Times New Roman" w:hAnsi="Courier" w:hint="default"/>
        <w:b w:val="0"/>
        <w:i w:val="0"/>
        <w:sz w:val="22"/>
      </w:rPr>
    </w:lvl>
    <w:lvl w:ilvl="3" w:tplc="0C090001">
      <w:start w:val="1"/>
      <w:numFmt w:val="lowerLetter"/>
      <w:lvlText w:val="(%4)"/>
      <w:lvlJc w:val="left"/>
      <w:pPr>
        <w:tabs>
          <w:tab w:val="num" w:pos="2520"/>
        </w:tabs>
        <w:ind w:left="2520" w:hanging="360"/>
      </w:pPr>
      <w:rPr>
        <w:rFonts w:cs="Times New Roman" w:hint="default"/>
        <w:b w:val="0"/>
        <w:i w:val="0"/>
        <w:sz w:val="22"/>
        <w:szCs w:val="22"/>
      </w:rPr>
    </w:lvl>
    <w:lvl w:ilvl="4" w:tplc="0C090003">
      <w:start w:val="1"/>
      <w:numFmt w:val="lowerLetter"/>
      <w:lvlText w:val="%5."/>
      <w:lvlJc w:val="left"/>
      <w:pPr>
        <w:tabs>
          <w:tab w:val="num" w:pos="3240"/>
        </w:tabs>
        <w:ind w:left="3240" w:hanging="360"/>
      </w:pPr>
      <w:rPr>
        <w:rFonts w:cs="Times New Roman" w:hint="default"/>
        <w:b w:val="0"/>
        <w:i w:val="0"/>
        <w:sz w:val="22"/>
        <w:szCs w:val="22"/>
      </w:rPr>
    </w:lvl>
    <w:lvl w:ilvl="5" w:tplc="0C090005" w:tentative="1">
      <w:start w:val="1"/>
      <w:numFmt w:val="lowerRoman"/>
      <w:lvlText w:val="%6."/>
      <w:lvlJc w:val="right"/>
      <w:pPr>
        <w:tabs>
          <w:tab w:val="num" w:pos="3960"/>
        </w:tabs>
        <w:ind w:left="3960" w:hanging="180"/>
      </w:pPr>
      <w:rPr>
        <w:rFonts w:cs="Times New Roman"/>
      </w:rPr>
    </w:lvl>
    <w:lvl w:ilvl="6" w:tplc="0C090001" w:tentative="1">
      <w:start w:val="1"/>
      <w:numFmt w:val="decimal"/>
      <w:lvlText w:val="%7."/>
      <w:lvlJc w:val="left"/>
      <w:pPr>
        <w:tabs>
          <w:tab w:val="num" w:pos="4680"/>
        </w:tabs>
        <w:ind w:left="4680" w:hanging="360"/>
      </w:pPr>
      <w:rPr>
        <w:rFonts w:cs="Times New Roman"/>
      </w:rPr>
    </w:lvl>
    <w:lvl w:ilvl="7" w:tplc="0C090003" w:tentative="1">
      <w:start w:val="1"/>
      <w:numFmt w:val="lowerLetter"/>
      <w:lvlText w:val="%8."/>
      <w:lvlJc w:val="left"/>
      <w:pPr>
        <w:tabs>
          <w:tab w:val="num" w:pos="5400"/>
        </w:tabs>
        <w:ind w:left="5400" w:hanging="360"/>
      </w:pPr>
      <w:rPr>
        <w:rFonts w:cs="Times New Roman"/>
      </w:rPr>
    </w:lvl>
    <w:lvl w:ilvl="8" w:tplc="0C090005"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3C1"/>
    <w:rsid w:val="008E4F6C"/>
    <w:rsid w:val="00F773C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customStyle="1" w:styleId="NumberLevel1">
    <w:name w:val="Number Level 1"/>
    <w:basedOn w:val="Normal"/>
    <w:link w:val="NumberLevel1Char1"/>
    <w:uiPriority w:val="99"/>
    <w:pPr>
      <w:spacing w:before="140" w:after="140" w:line="280" w:lineRule="atLeast"/>
    </w:pPr>
    <w:rPr>
      <w:rFonts w:ascii="Arial" w:hAnsi="Arial" w:cs="Arial"/>
      <w:lang w:eastAsia="en-AU"/>
    </w:rPr>
  </w:style>
  <w:style w:type="character" w:customStyle="1" w:styleId="NumberLevel1Char1">
    <w:name w:val="Number Level 1 Char1"/>
    <w:link w:val="NumberLevel1"/>
    <w:uiPriority w:val="99"/>
    <w:locked/>
    <w:rPr>
      <w:rFonts w:ascii="Arial" w:hAnsi="Arial"/>
      <w:sz w:val="22"/>
      <w:lang w:val="en-AU" w:eastAsia="en-AU"/>
    </w:rPr>
  </w:style>
  <w:style w:type="paragraph" w:styleId="BodyText">
    <w:name w:val="Body Text"/>
    <w:basedOn w:val="Normal"/>
    <w:link w:val="BodyTextChar"/>
    <w:uiPriority w:val="99"/>
    <w:pPr>
      <w:spacing w:after="0" w:line="240" w:lineRule="auto"/>
    </w:pPr>
    <w:rPr>
      <w:rFonts w:ascii="Times New Roman" w:hAnsi="Times New Roman"/>
      <w:sz w:val="20"/>
      <w:szCs w:val="20"/>
    </w:rPr>
  </w:style>
  <w:style w:type="character" w:customStyle="1" w:styleId="BodyTextChar">
    <w:name w:val="Body Text Char"/>
    <w:basedOn w:val="DefaultParagraphFont"/>
    <w:link w:val="BodyText"/>
    <w:uiPriority w:val="99"/>
    <w:semiHidden/>
    <w:rsid w:val="00F773C1"/>
    <w:rPr>
      <w:lang w:eastAsia="en-US"/>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mr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339</Words>
  <Characters>1868</Characters>
  <Application>Microsoft Office Outlook</Application>
  <DocSecurity>0</DocSecurity>
  <Lines>0</Lines>
  <Paragraphs>0</Paragraphs>
  <ScaleCrop>false</ScaleCrop>
  <Company>Office of Parliamentary Counsel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Miller, Kelli</dc:creator>
  <cp:keywords/>
  <dc:description/>
  <cp:lastModifiedBy> </cp:lastModifiedBy>
  <cp:revision>4</cp:revision>
  <cp:lastPrinted>2014-05-12T05:46:00Z</cp:lastPrinted>
  <dcterms:created xsi:type="dcterms:W3CDTF">2014-05-12T04:28:00Z</dcterms:created>
  <dcterms:modified xsi:type="dcterms:W3CDTF">2014-05-12T05:48:00Z</dcterms:modified>
</cp:coreProperties>
</file>