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3" w:rsidRDefault="004B2753" w:rsidP="00424B97"/>
    <w:p w:rsidR="00F71B4B" w:rsidRDefault="00F71B4B" w:rsidP="00424B97"/>
    <w:p w:rsidR="00A00074" w:rsidRPr="00057B97" w:rsidRDefault="00A00074" w:rsidP="00A00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NOTICE OF PERMIT GRANTED </w:t>
      </w:r>
      <w:r w:rsidRPr="00057B97">
        <w:rPr>
          <w:rFonts w:ascii="Arial" w:hAnsi="Arial" w:cs="Arial"/>
          <w:b/>
        </w:rPr>
        <w:t xml:space="preserve">UNDER THE </w:t>
      </w:r>
      <w:r w:rsidRPr="00057B97">
        <w:rPr>
          <w:rFonts w:ascii="Arial" w:hAnsi="Arial" w:cs="Arial"/>
          <w:b/>
          <w:i/>
        </w:rPr>
        <w:t>ENVIRONMENT PROTECTION (SEA DUMPING) ACT 1981</w:t>
      </w:r>
    </w:p>
    <w:p w:rsidR="00A00074" w:rsidRPr="00804F27" w:rsidRDefault="00A00074" w:rsidP="00A00074">
      <w:pPr>
        <w:rPr>
          <w:rFonts w:ascii="Arial" w:hAnsi="Arial" w:cs="Arial"/>
        </w:rPr>
      </w:pPr>
      <w:r w:rsidRPr="00804F27">
        <w:rPr>
          <w:rFonts w:ascii="Arial" w:hAnsi="Arial" w:cs="Arial"/>
        </w:rPr>
        <w:t xml:space="preserve">Pursuant to Section 25 of the </w:t>
      </w:r>
      <w:r w:rsidRPr="00804F27">
        <w:rPr>
          <w:rFonts w:ascii="Arial" w:hAnsi="Arial" w:cs="Arial"/>
          <w:i/>
          <w:iCs/>
        </w:rPr>
        <w:t>Environment Protection (Sea Dumping) Act 1981</w:t>
      </w:r>
      <w:r w:rsidRPr="00804F27">
        <w:rPr>
          <w:rFonts w:ascii="Arial" w:hAnsi="Arial" w:cs="Arial"/>
        </w:rPr>
        <w:t xml:space="preserve">, notice is hereby given </w:t>
      </w:r>
      <w:r>
        <w:rPr>
          <w:rFonts w:ascii="Arial" w:hAnsi="Arial" w:cs="Arial"/>
        </w:rPr>
        <w:t>that</w:t>
      </w:r>
      <w:r w:rsidRPr="00804F27">
        <w:rPr>
          <w:rFonts w:ascii="Arial" w:hAnsi="Arial" w:cs="Arial"/>
        </w:rPr>
        <w:t>:</w:t>
      </w:r>
    </w:p>
    <w:p w:rsidR="00A32E27" w:rsidRDefault="00A32E27" w:rsidP="00AD3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0074" w:rsidRPr="00E214E3" w:rsidRDefault="00A00074" w:rsidP="00AD3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perm</w:t>
      </w:r>
      <w:r w:rsidR="00003679">
        <w:rPr>
          <w:rFonts w:ascii="Arial" w:hAnsi="Arial" w:cs="Arial"/>
        </w:rPr>
        <w:t>it was granted on the Ni</w:t>
      </w:r>
      <w:bookmarkStart w:id="0" w:name="_GoBack"/>
      <w:bookmarkEnd w:id="0"/>
      <w:r w:rsidR="00003679">
        <w:rPr>
          <w:rFonts w:ascii="Arial" w:hAnsi="Arial" w:cs="Arial"/>
        </w:rPr>
        <w:t>nth</w:t>
      </w:r>
      <w:r>
        <w:rPr>
          <w:rFonts w:ascii="Arial" w:hAnsi="Arial" w:cs="Arial"/>
        </w:rPr>
        <w:t xml:space="preserve"> </w:t>
      </w:r>
      <w:r w:rsidRPr="00AD3811">
        <w:rPr>
          <w:rFonts w:ascii="Arial" w:hAnsi="Arial" w:cs="Arial"/>
        </w:rPr>
        <w:t xml:space="preserve">day of </w:t>
      </w:r>
      <w:r w:rsidR="00AD3811" w:rsidRPr="00AD3811">
        <w:rPr>
          <w:rFonts w:ascii="Arial" w:hAnsi="Arial" w:cs="Arial"/>
        </w:rPr>
        <w:t>May 2014</w:t>
      </w:r>
      <w:r w:rsidRPr="00AD3811">
        <w:rPr>
          <w:rFonts w:ascii="Arial" w:hAnsi="Arial" w:cs="Arial"/>
        </w:rPr>
        <w:t xml:space="preserve">, to the </w:t>
      </w:r>
      <w:r w:rsidR="00AD3811" w:rsidRPr="00AD3811">
        <w:rPr>
          <w:rFonts w:ascii="Arial" w:hAnsi="Arial" w:cs="Arial"/>
        </w:rPr>
        <w:t>North</w:t>
      </w:r>
      <w:r w:rsidR="00AD3811">
        <w:rPr>
          <w:rFonts w:ascii="Arial" w:hAnsi="Arial" w:cs="Arial"/>
        </w:rPr>
        <w:t xml:space="preserve"> Queensland Bulk Ports Corporation Limited, Level 1, Wellington House, 181 Victoria Street, Mackay, Queensland 4740, to load and dump at sea up to 378,400m</w:t>
      </w:r>
      <w:r w:rsidR="00A32E27" w:rsidRPr="00A32E27">
        <w:rPr>
          <w:rFonts w:ascii="Arial" w:hAnsi="Arial" w:cs="Arial"/>
          <w:vertAlign w:val="superscript"/>
        </w:rPr>
        <w:t>3</w:t>
      </w:r>
      <w:r w:rsidR="00A32E27">
        <w:rPr>
          <w:rFonts w:ascii="Arial" w:hAnsi="Arial" w:cs="Arial"/>
          <w:sz w:val="14"/>
          <w:szCs w:val="14"/>
        </w:rPr>
        <w:t xml:space="preserve"> </w:t>
      </w:r>
      <w:r w:rsidR="00AD3811">
        <w:rPr>
          <w:rFonts w:ascii="Arial" w:hAnsi="Arial" w:cs="Arial"/>
        </w:rPr>
        <w:t>of dredge spoil derived from maintenance dredging within the Port of Hay Point</w:t>
      </w:r>
      <w:r w:rsidR="003C111B">
        <w:rPr>
          <w:rFonts w:ascii="Arial" w:hAnsi="Arial" w:cs="Arial"/>
        </w:rPr>
        <w:t xml:space="preserve"> over a three year duration</w:t>
      </w:r>
      <w:r w:rsidR="00AD3811">
        <w:rPr>
          <w:rFonts w:ascii="Arial" w:hAnsi="Arial" w:cs="Arial"/>
        </w:rPr>
        <w:t>.</w:t>
      </w:r>
    </w:p>
    <w:p w:rsidR="00A32E27" w:rsidRDefault="00A32E27" w:rsidP="00A3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0074" w:rsidRDefault="00AD3811" w:rsidP="00A3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00074">
        <w:rPr>
          <w:rFonts w:ascii="Arial" w:hAnsi="Arial" w:cs="Arial"/>
        </w:rPr>
        <w:t>Details of the permit and conditions may be obtained from the</w:t>
      </w:r>
      <w:r w:rsidR="00A00074" w:rsidRPr="00804F27">
        <w:rPr>
          <w:rFonts w:ascii="Arial" w:hAnsi="Arial" w:cs="Arial"/>
        </w:rPr>
        <w:t xml:space="preserve"> Manager, Ports and Shipping (</w:t>
      </w:r>
      <w:r w:rsidR="00A00074">
        <w:rPr>
          <w:rFonts w:ascii="Arial" w:hAnsi="Arial" w:cs="Arial"/>
        </w:rPr>
        <w:t>07 </w:t>
      </w:r>
      <w:r w:rsidR="00A00074" w:rsidRPr="00804F27">
        <w:rPr>
          <w:rFonts w:ascii="Arial" w:hAnsi="Arial" w:cs="Arial"/>
        </w:rPr>
        <w:t>4750</w:t>
      </w:r>
      <w:r w:rsidR="00A00074">
        <w:rPr>
          <w:rFonts w:ascii="Arial" w:hAnsi="Arial" w:cs="Arial"/>
        </w:rPr>
        <w:t xml:space="preserve"> 0</w:t>
      </w:r>
      <w:r w:rsidR="00A00074" w:rsidRPr="00804F27">
        <w:rPr>
          <w:rFonts w:ascii="Arial" w:hAnsi="Arial" w:cs="Arial"/>
        </w:rPr>
        <w:t xml:space="preserve">700), Great Barrier Reef Marine Park Authority, PO Box 1379, Townsville QLD 4870 </w:t>
      </w:r>
      <w:r w:rsidR="00106481">
        <w:rPr>
          <w:rFonts w:ascii="Arial" w:hAnsi="Arial" w:cs="Arial"/>
        </w:rPr>
        <w:t xml:space="preserve">or from the </w:t>
      </w:r>
      <w:r w:rsidR="00A32E27">
        <w:rPr>
          <w:rFonts w:ascii="Arial" w:hAnsi="Arial" w:cs="Arial"/>
        </w:rPr>
        <w:t>Senior Manager – Environment North Queensland Bulk Ports</w:t>
      </w:r>
      <w:r w:rsidR="00106481">
        <w:rPr>
          <w:rFonts w:ascii="Arial" w:hAnsi="Arial" w:cs="Arial"/>
        </w:rPr>
        <w:t>,</w:t>
      </w:r>
      <w:r w:rsidR="00A32E27">
        <w:rPr>
          <w:rFonts w:ascii="Arial" w:hAnsi="Arial" w:cs="Arial"/>
        </w:rPr>
        <w:t xml:space="preserve"> PO Box 3340</w:t>
      </w:r>
      <w:r w:rsidR="00106481">
        <w:rPr>
          <w:rFonts w:ascii="Arial" w:hAnsi="Arial" w:cs="Arial"/>
        </w:rPr>
        <w:t>,</w:t>
      </w:r>
      <w:r w:rsidR="00A32E27">
        <w:rPr>
          <w:rFonts w:ascii="Arial" w:hAnsi="Arial" w:cs="Arial"/>
        </w:rPr>
        <w:t xml:space="preserve"> North Mackay QLD 4740 (07 4969 0700</w:t>
      </w:r>
      <w:r w:rsidR="00A32E27">
        <w:rPr>
          <w:rFonts w:ascii="Calibri" w:hAnsi="Calibri" w:cs="Calibri"/>
        </w:rPr>
        <w:t>)</w:t>
      </w:r>
      <w:r w:rsidR="00106481">
        <w:rPr>
          <w:rFonts w:ascii="Calibri" w:hAnsi="Calibri" w:cs="Calibri"/>
        </w:rPr>
        <w:t>.</w:t>
      </w:r>
    </w:p>
    <w:p w:rsidR="00A00074" w:rsidRDefault="00A00074" w:rsidP="00A00074">
      <w:pPr>
        <w:rPr>
          <w:rFonts w:ascii="Arial" w:hAnsi="Arial" w:cs="Arial"/>
        </w:rPr>
      </w:pPr>
    </w:p>
    <w:p w:rsidR="00A00074" w:rsidRDefault="00A00074" w:rsidP="00A00074">
      <w:pPr>
        <w:rPr>
          <w:rFonts w:ascii="Arial" w:hAnsi="Arial" w:cs="Arial"/>
        </w:rPr>
      </w:pPr>
    </w:p>
    <w:p w:rsidR="00106481" w:rsidRDefault="00106481" w:rsidP="00A00074">
      <w:pPr>
        <w:rPr>
          <w:rFonts w:ascii="Arial" w:hAnsi="Arial" w:cs="Arial"/>
        </w:rPr>
      </w:pPr>
    </w:p>
    <w:p w:rsidR="00A00074" w:rsidRDefault="00A00074" w:rsidP="00A00074">
      <w:pPr>
        <w:rPr>
          <w:rFonts w:ascii="Arial" w:hAnsi="Arial" w:cs="Arial"/>
        </w:rPr>
      </w:pPr>
    </w:p>
    <w:p w:rsidR="00A00074" w:rsidRPr="00804F27" w:rsidRDefault="00A00074" w:rsidP="00A00074">
      <w:pPr>
        <w:rPr>
          <w:rFonts w:ascii="Arial" w:hAnsi="Arial" w:cs="Arial"/>
        </w:rPr>
      </w:pPr>
    </w:p>
    <w:p w:rsidR="00A00074" w:rsidRPr="00B0059D" w:rsidRDefault="00A00074" w:rsidP="00A00074">
      <w:pPr>
        <w:pStyle w:val="Footer"/>
        <w:tabs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>Bruce Elliot</w:t>
      </w:r>
    </w:p>
    <w:p w:rsidR="00A00074" w:rsidRPr="0053351B" w:rsidRDefault="00A00074" w:rsidP="00A00074">
      <w:pPr>
        <w:pStyle w:val="Footer"/>
        <w:tabs>
          <w:tab w:val="right" w:pos="9781"/>
        </w:tabs>
        <w:rPr>
          <w:rFonts w:ascii="Arial" w:hAnsi="Arial" w:cs="Arial"/>
        </w:rPr>
      </w:pPr>
      <w:r w:rsidRPr="0053351B">
        <w:rPr>
          <w:rFonts w:ascii="Arial" w:hAnsi="Arial" w:cs="Arial"/>
          <w:bCs/>
        </w:rPr>
        <w:t>General Manager</w:t>
      </w:r>
      <w:r w:rsidRPr="0053351B">
        <w:rPr>
          <w:rFonts w:ascii="Arial" w:hAnsi="Arial" w:cs="Arial"/>
          <w:bCs/>
        </w:rPr>
        <w:tab/>
      </w:r>
    </w:p>
    <w:p w:rsidR="00A00074" w:rsidRPr="00B0059D" w:rsidRDefault="00A00074" w:rsidP="00A00074">
      <w:pPr>
        <w:pStyle w:val="Footer"/>
        <w:tabs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>Biodiversity, Conservation and Sustainable Use</w:t>
      </w:r>
    </w:p>
    <w:p w:rsidR="00A00074" w:rsidRDefault="00A00074" w:rsidP="00A00074">
      <w:pPr>
        <w:pStyle w:val="Footer"/>
        <w:tabs>
          <w:tab w:val="right" w:pos="9781"/>
        </w:tabs>
        <w:rPr>
          <w:rFonts w:ascii="Arial" w:hAnsi="Arial" w:cs="Arial"/>
        </w:rPr>
      </w:pPr>
      <w:r w:rsidRPr="00804F27">
        <w:rPr>
          <w:rFonts w:ascii="Arial" w:hAnsi="Arial" w:cs="Arial"/>
        </w:rPr>
        <w:t>Great Barrier Reef Marine Park Authority</w:t>
      </w:r>
    </w:p>
    <w:sectPr w:rsidR="00A00074" w:rsidSect="008E4F6C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61B8B1E3" wp14:editId="058D350C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03679"/>
    <w:rsid w:val="000E1F2B"/>
    <w:rsid w:val="00106481"/>
    <w:rsid w:val="001C2AAD"/>
    <w:rsid w:val="001F6E54"/>
    <w:rsid w:val="00280BCD"/>
    <w:rsid w:val="003A707F"/>
    <w:rsid w:val="003B0EC1"/>
    <w:rsid w:val="003B573B"/>
    <w:rsid w:val="003C111B"/>
    <w:rsid w:val="003F2CBD"/>
    <w:rsid w:val="00424B97"/>
    <w:rsid w:val="004B2753"/>
    <w:rsid w:val="00520873"/>
    <w:rsid w:val="00573D44"/>
    <w:rsid w:val="00840A06"/>
    <w:rsid w:val="008439B7"/>
    <w:rsid w:val="0087253F"/>
    <w:rsid w:val="008E4F6C"/>
    <w:rsid w:val="009539C7"/>
    <w:rsid w:val="009E5719"/>
    <w:rsid w:val="00A00074"/>
    <w:rsid w:val="00A00F21"/>
    <w:rsid w:val="00A32E27"/>
    <w:rsid w:val="00AD3811"/>
    <w:rsid w:val="00B84226"/>
    <w:rsid w:val="00C63C4E"/>
    <w:rsid w:val="00CC1934"/>
    <w:rsid w:val="00D77A88"/>
    <w:rsid w:val="00F40885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ListParagraph">
    <w:name w:val="List Paragraph"/>
    <w:basedOn w:val="Normal"/>
    <w:uiPriority w:val="34"/>
    <w:qFormat/>
    <w:rsid w:val="00F71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">
    <w:name w:val="phone"/>
    <w:basedOn w:val="DefaultParagraphFont"/>
    <w:rsid w:val="00F71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ListParagraph">
    <w:name w:val="List Paragraph"/>
    <w:basedOn w:val="Normal"/>
    <w:uiPriority w:val="34"/>
    <w:qFormat/>
    <w:rsid w:val="00F71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">
    <w:name w:val="phone"/>
    <w:basedOn w:val="DefaultParagraphFont"/>
    <w:rsid w:val="00F7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23A4-77B7-4B82-BB15-2A5911A7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Kevin Edison</cp:lastModifiedBy>
  <cp:revision>8</cp:revision>
  <cp:lastPrinted>2014-05-08T00:55:00Z</cp:lastPrinted>
  <dcterms:created xsi:type="dcterms:W3CDTF">2013-06-30T23:53:00Z</dcterms:created>
  <dcterms:modified xsi:type="dcterms:W3CDTF">2014-05-12T03:19:00Z</dcterms:modified>
</cp:coreProperties>
</file>