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13"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1D0AFE">
        <w:tc>
          <w:tcPr>
            <w:tcW w:w="1134" w:type="dxa"/>
          </w:tcPr>
          <w:p w:rsidR="002C4F3F" w:rsidRPr="0059089C" w:rsidRDefault="002C4F3F" w:rsidP="001D0AFE">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1D0AFE">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1D0AFE">
            <w:pPr>
              <w:spacing w:line="276" w:lineRule="auto"/>
              <w:rPr>
                <w:rFonts w:asciiTheme="minorHAnsi" w:hAnsiTheme="minorHAnsi"/>
                <w:b/>
                <w:sz w:val="16"/>
                <w:szCs w:val="16"/>
              </w:rPr>
            </w:pPr>
            <w:r w:rsidRPr="0059089C">
              <w:rPr>
                <w:rFonts w:asciiTheme="minorHAnsi" w:hAnsiTheme="minorHAnsi"/>
                <w:b/>
                <w:sz w:val="16"/>
                <w:szCs w:val="16"/>
              </w:rPr>
              <w:t>Date</w:t>
            </w:r>
          </w:p>
        </w:tc>
      </w:tr>
      <w:tr w:rsidR="001D0AFE" w:rsidRPr="0059089C" w:rsidTr="001D0AFE">
        <w:tc>
          <w:tcPr>
            <w:tcW w:w="1134"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2014/7257</w:t>
            </w:r>
          </w:p>
        </w:tc>
        <w:tc>
          <w:tcPr>
            <w:tcW w:w="7513"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Main Roads WA/Transport - land/Quairading/WA/York Merredin Road widening &amp; Dangin Mears intersection upgrade, Shire of Quairading, WA</w:t>
            </w:r>
          </w:p>
        </w:tc>
        <w:tc>
          <w:tcPr>
            <w:tcW w:w="992"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01/08/2014</w:t>
            </w:r>
          </w:p>
        </w:tc>
      </w:tr>
      <w:tr w:rsidR="001D0AFE" w:rsidRPr="0059089C" w:rsidTr="001D0AFE">
        <w:tc>
          <w:tcPr>
            <w:tcW w:w="1134"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2014/7252</w:t>
            </w:r>
          </w:p>
        </w:tc>
        <w:tc>
          <w:tcPr>
            <w:tcW w:w="7513"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 xml:space="preserve">Roads Corporation/Natural resources management/Mortlake Ararat Road, Lake </w:t>
            </w:r>
            <w:proofErr w:type="spellStart"/>
            <w:r>
              <w:rPr>
                <w:rFonts w:ascii="Calibri" w:hAnsi="Calibri" w:cs="Arial"/>
                <w:color w:val="000000"/>
                <w:sz w:val="16"/>
                <w:szCs w:val="16"/>
              </w:rPr>
              <w:t>Bolac</w:t>
            </w:r>
            <w:proofErr w:type="spellEnd"/>
            <w:r>
              <w:rPr>
                <w:rFonts w:ascii="Calibri" w:hAnsi="Calibri" w:cs="Arial"/>
                <w:color w:val="000000"/>
                <w:sz w:val="16"/>
                <w:szCs w:val="16"/>
              </w:rPr>
              <w:t xml:space="preserve">/VIC/Construction of the Mortlake Ararat Road firebreak, Lake </w:t>
            </w:r>
            <w:proofErr w:type="spellStart"/>
            <w:r>
              <w:rPr>
                <w:rFonts w:ascii="Calibri" w:hAnsi="Calibri" w:cs="Arial"/>
                <w:color w:val="000000"/>
                <w:sz w:val="16"/>
                <w:szCs w:val="16"/>
              </w:rPr>
              <w:t>Bolac</w:t>
            </w:r>
            <w:proofErr w:type="spellEnd"/>
            <w:r>
              <w:rPr>
                <w:rFonts w:ascii="Calibri" w:hAnsi="Calibri" w:cs="Arial"/>
                <w:color w:val="000000"/>
                <w:sz w:val="16"/>
                <w:szCs w:val="16"/>
              </w:rPr>
              <w:t>, Vic</w:t>
            </w:r>
          </w:p>
        </w:tc>
        <w:tc>
          <w:tcPr>
            <w:tcW w:w="992"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24/07/2014</w:t>
            </w:r>
          </w:p>
        </w:tc>
      </w:tr>
      <w:tr w:rsidR="001D0AFE" w:rsidRPr="0059089C" w:rsidTr="001D0AFE">
        <w:tc>
          <w:tcPr>
            <w:tcW w:w="1134"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2014/7261</w:t>
            </w:r>
          </w:p>
        </w:tc>
        <w:tc>
          <w:tcPr>
            <w:tcW w:w="7513"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 xml:space="preserve">Urban Resources Pty Ltd/Commercial development/City of Kwinana/WA/Industrial development 105 </w:t>
            </w:r>
            <w:proofErr w:type="spellStart"/>
            <w:r>
              <w:rPr>
                <w:rFonts w:ascii="Calibri" w:hAnsi="Calibri" w:cs="Arial"/>
                <w:color w:val="000000"/>
                <w:sz w:val="16"/>
                <w:szCs w:val="16"/>
              </w:rPr>
              <w:t>Sayer</w:t>
            </w:r>
            <w:proofErr w:type="spellEnd"/>
            <w:r>
              <w:rPr>
                <w:rFonts w:ascii="Calibri" w:hAnsi="Calibri" w:cs="Arial"/>
                <w:color w:val="000000"/>
                <w:sz w:val="16"/>
                <w:szCs w:val="16"/>
              </w:rPr>
              <w:t xml:space="preserve"> Road, Hope Valley, WA</w:t>
            </w:r>
          </w:p>
        </w:tc>
        <w:tc>
          <w:tcPr>
            <w:tcW w:w="992"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28/07/2014</w:t>
            </w:r>
          </w:p>
        </w:tc>
      </w:tr>
      <w:tr w:rsidR="001D0AFE" w:rsidRPr="0059089C" w:rsidTr="001D0AFE">
        <w:tc>
          <w:tcPr>
            <w:tcW w:w="1134"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2014/7256</w:t>
            </w:r>
          </w:p>
        </w:tc>
        <w:tc>
          <w:tcPr>
            <w:tcW w:w="7513"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 xml:space="preserve">Qld Coal Aust No1 Pty Ltd/Exploration (mineral, oil and gas - non-marine)/Bowen Basin, 35 </w:t>
            </w:r>
            <w:proofErr w:type="spellStart"/>
            <w:r>
              <w:rPr>
                <w:rFonts w:ascii="Calibri" w:hAnsi="Calibri" w:cs="Arial"/>
                <w:color w:val="000000"/>
                <w:sz w:val="16"/>
                <w:szCs w:val="16"/>
              </w:rPr>
              <w:t>kms</w:t>
            </w:r>
            <w:proofErr w:type="spellEnd"/>
            <w:r>
              <w:rPr>
                <w:rFonts w:ascii="Calibri" w:hAnsi="Calibri" w:cs="Arial"/>
                <w:color w:val="000000"/>
                <w:sz w:val="16"/>
                <w:szCs w:val="16"/>
              </w:rPr>
              <w:t xml:space="preserve"> SW Glenden/QLD/Mining exploration on Wards Well West Project, Bowen Basin, Qld</w:t>
            </w:r>
          </w:p>
        </w:tc>
        <w:tc>
          <w:tcPr>
            <w:tcW w:w="992"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29/07/2014</w:t>
            </w:r>
          </w:p>
        </w:tc>
      </w:tr>
    </w:tbl>
    <w:p w:rsidR="001D0AFE" w:rsidRDefault="001D0AFE" w:rsidP="003B66E6">
      <w:pPr>
        <w:spacing w:after="0"/>
        <w:rPr>
          <w:caps/>
        </w:rPr>
      </w:pPr>
    </w:p>
    <w:p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387"/>
        <w:gridCol w:w="2126"/>
        <w:gridCol w:w="992"/>
      </w:tblGrid>
      <w:tr w:rsidR="008B3EB7" w:rsidRPr="0059089C" w:rsidTr="001D0AFE">
        <w:tc>
          <w:tcPr>
            <w:tcW w:w="1134" w:type="dxa"/>
          </w:tcPr>
          <w:p w:rsidR="008B3EB7" w:rsidRPr="0059089C" w:rsidRDefault="008B3EB7" w:rsidP="001D0AFE">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1D0AFE">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1D0AFE">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1D0AFE">
            <w:pPr>
              <w:spacing w:line="276" w:lineRule="auto"/>
              <w:rPr>
                <w:rFonts w:asciiTheme="minorHAnsi" w:hAnsiTheme="minorHAnsi"/>
                <w:b/>
                <w:sz w:val="16"/>
                <w:szCs w:val="16"/>
              </w:rPr>
            </w:pPr>
            <w:r w:rsidRPr="0059089C">
              <w:rPr>
                <w:rFonts w:asciiTheme="minorHAnsi" w:hAnsiTheme="minorHAnsi"/>
                <w:b/>
                <w:sz w:val="16"/>
                <w:szCs w:val="16"/>
              </w:rPr>
              <w:t>Date</w:t>
            </w:r>
          </w:p>
        </w:tc>
      </w:tr>
      <w:tr w:rsidR="001D0AFE" w:rsidRPr="0059089C" w:rsidTr="001D0AFE">
        <w:tc>
          <w:tcPr>
            <w:tcW w:w="1134"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2012/6437</w:t>
            </w:r>
          </w:p>
        </w:tc>
        <w:tc>
          <w:tcPr>
            <w:tcW w:w="5387"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Department of Finance and Services (NSW Public Works Division)/Mining/</w:t>
            </w:r>
            <w:proofErr w:type="spellStart"/>
            <w:r>
              <w:rPr>
                <w:rFonts w:ascii="Calibri" w:hAnsi="Calibri" w:cs="Arial"/>
                <w:color w:val="000000"/>
                <w:sz w:val="16"/>
                <w:szCs w:val="16"/>
              </w:rPr>
              <w:t>Woodsreef</w:t>
            </w:r>
            <w:proofErr w:type="spellEnd"/>
            <w:r>
              <w:rPr>
                <w:rFonts w:ascii="Calibri" w:hAnsi="Calibri" w:cs="Arial"/>
                <w:color w:val="000000"/>
                <w:sz w:val="16"/>
                <w:szCs w:val="16"/>
              </w:rPr>
              <w:t>/NSW/</w:t>
            </w:r>
            <w:proofErr w:type="spellStart"/>
            <w:r>
              <w:rPr>
                <w:rFonts w:ascii="Calibri" w:hAnsi="Calibri" w:cs="Arial"/>
                <w:color w:val="000000"/>
                <w:sz w:val="16"/>
                <w:szCs w:val="16"/>
              </w:rPr>
              <w:t>Woodsreef</w:t>
            </w:r>
            <w:proofErr w:type="spellEnd"/>
            <w:r>
              <w:rPr>
                <w:rFonts w:ascii="Calibri" w:hAnsi="Calibri" w:cs="Arial"/>
                <w:color w:val="000000"/>
                <w:sz w:val="16"/>
                <w:szCs w:val="16"/>
              </w:rPr>
              <w:t xml:space="preserve"> Mine Major Rehabilitation Project</w:t>
            </w:r>
          </w:p>
        </w:tc>
        <w:tc>
          <w:tcPr>
            <w:tcW w:w="2126"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04/07/2014</w:t>
            </w:r>
          </w:p>
        </w:tc>
      </w:tr>
      <w:tr w:rsidR="001D0AFE" w:rsidRPr="0059089C" w:rsidTr="001D0AFE">
        <w:tc>
          <w:tcPr>
            <w:tcW w:w="1134"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2010/5736</w:t>
            </w:r>
          </w:p>
        </w:tc>
        <w:tc>
          <w:tcPr>
            <w:tcW w:w="5387" w:type="dxa"/>
          </w:tcPr>
          <w:p w:rsidR="001D0AFE" w:rsidRDefault="001D0AFE" w:rsidP="001D0AFE">
            <w:pPr>
              <w:rPr>
                <w:rFonts w:ascii="Calibri" w:hAnsi="Calibri" w:cs="Arial"/>
                <w:color w:val="000000"/>
                <w:sz w:val="16"/>
                <w:szCs w:val="16"/>
              </w:rPr>
            </w:pPr>
            <w:proofErr w:type="spellStart"/>
            <w:r>
              <w:rPr>
                <w:rFonts w:ascii="Calibri" w:hAnsi="Calibri" w:cs="Arial"/>
                <w:color w:val="000000"/>
                <w:sz w:val="16"/>
                <w:szCs w:val="16"/>
              </w:rPr>
              <w:t>Adani</w:t>
            </w:r>
            <w:proofErr w:type="spellEnd"/>
            <w:r>
              <w:rPr>
                <w:rFonts w:ascii="Calibri" w:hAnsi="Calibri" w:cs="Arial"/>
                <w:color w:val="000000"/>
                <w:sz w:val="16"/>
                <w:szCs w:val="16"/>
              </w:rPr>
              <w:t xml:space="preserve"> Mining Pty Ltd/Mining/Moray Downs Cattle Station 160km North West of Clermont/QLD/Carmichael Coal Mine and Rail Project</w:t>
            </w:r>
          </w:p>
        </w:tc>
        <w:tc>
          <w:tcPr>
            <w:tcW w:w="2126"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24/07/2014</w:t>
            </w:r>
          </w:p>
        </w:tc>
      </w:tr>
      <w:tr w:rsidR="001D0AFE" w:rsidRPr="0059089C" w:rsidTr="001D0AFE">
        <w:tc>
          <w:tcPr>
            <w:tcW w:w="1134"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2014/7154</w:t>
            </w:r>
          </w:p>
        </w:tc>
        <w:tc>
          <w:tcPr>
            <w:tcW w:w="5387"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 xml:space="preserve"> Southern Iron Pty Ltd/Mining/90km southeast of Coober Pedy, SA/SA/Expansion of Peculiar Knob Iron Ore Project, 90 south east of Coober Pedy, SA</w:t>
            </w:r>
          </w:p>
        </w:tc>
        <w:tc>
          <w:tcPr>
            <w:tcW w:w="2126"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29/07/2014</w:t>
            </w:r>
          </w:p>
        </w:tc>
      </w:tr>
      <w:tr w:rsidR="001D0AFE" w:rsidRPr="0059089C" w:rsidTr="001D0AFE">
        <w:tc>
          <w:tcPr>
            <w:tcW w:w="1134"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2013/7064</w:t>
            </w:r>
          </w:p>
        </w:tc>
        <w:tc>
          <w:tcPr>
            <w:tcW w:w="5387" w:type="dxa"/>
          </w:tcPr>
          <w:p w:rsidR="001D0AFE" w:rsidRDefault="001D0AFE" w:rsidP="001D0AFE">
            <w:pPr>
              <w:rPr>
                <w:rFonts w:ascii="Calibri" w:hAnsi="Calibri" w:cs="Arial"/>
                <w:color w:val="000000"/>
                <w:sz w:val="16"/>
                <w:szCs w:val="16"/>
              </w:rPr>
            </w:pPr>
            <w:proofErr w:type="spellStart"/>
            <w:r>
              <w:rPr>
                <w:rFonts w:ascii="Calibri" w:hAnsi="Calibri" w:cs="Arial"/>
                <w:color w:val="000000"/>
                <w:sz w:val="16"/>
                <w:szCs w:val="16"/>
              </w:rPr>
              <w:t>Carabella</w:t>
            </w:r>
            <w:proofErr w:type="spellEnd"/>
            <w:r>
              <w:rPr>
                <w:rFonts w:ascii="Calibri" w:hAnsi="Calibri" w:cs="Arial"/>
                <w:color w:val="000000"/>
                <w:sz w:val="16"/>
                <w:szCs w:val="16"/>
              </w:rPr>
              <w:t xml:space="preserve"> Resources Ltd /Mining/MLA 80194 southeast of Bluff/QLD/Bluff open cut coal mine project, central Queensland</w:t>
            </w:r>
          </w:p>
        </w:tc>
        <w:tc>
          <w:tcPr>
            <w:tcW w:w="2126"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31/07/2014</w:t>
            </w:r>
          </w:p>
        </w:tc>
      </w:tr>
    </w:tbl>
    <w:p w:rsidR="008B3EB7" w:rsidRPr="002C4F3F" w:rsidRDefault="008B3EB7" w:rsidP="003B66E6">
      <w:pPr>
        <w:spacing w:after="0"/>
        <w:rPr>
          <w:szCs w:val="16"/>
        </w:rPr>
      </w:pPr>
    </w:p>
    <w:p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tblPr>
      <w:tblGrid>
        <w:gridCol w:w="1134"/>
        <w:gridCol w:w="7513"/>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1D0AFE" w:rsidRPr="0059089C" w:rsidTr="002F4EFF">
        <w:tc>
          <w:tcPr>
            <w:tcW w:w="1134" w:type="dxa"/>
            <w:vAlign w:val="bottom"/>
          </w:tcPr>
          <w:p w:rsidR="001D0AFE" w:rsidRDefault="001D0AFE">
            <w:pPr>
              <w:rPr>
                <w:rFonts w:ascii="Calibri" w:hAnsi="Calibri" w:cs="Arial"/>
                <w:color w:val="000000"/>
                <w:sz w:val="16"/>
                <w:szCs w:val="16"/>
              </w:rPr>
            </w:pPr>
            <w:r>
              <w:rPr>
                <w:rFonts w:ascii="Calibri" w:hAnsi="Calibri" w:cs="Arial"/>
                <w:color w:val="000000"/>
                <w:sz w:val="16"/>
                <w:szCs w:val="16"/>
              </w:rPr>
              <w:t>2010/5498</w:t>
            </w:r>
          </w:p>
        </w:tc>
        <w:tc>
          <w:tcPr>
            <w:tcW w:w="7513" w:type="dxa"/>
            <w:vAlign w:val="bottom"/>
          </w:tcPr>
          <w:p w:rsidR="001D0AFE" w:rsidRDefault="001D0AFE">
            <w:pPr>
              <w:rPr>
                <w:rFonts w:ascii="Calibri" w:hAnsi="Calibri" w:cs="Arial"/>
                <w:color w:val="000000"/>
                <w:sz w:val="16"/>
                <w:szCs w:val="16"/>
              </w:rPr>
            </w:pPr>
            <w:proofErr w:type="spellStart"/>
            <w:r>
              <w:rPr>
                <w:rFonts w:ascii="Calibri" w:hAnsi="Calibri" w:cs="Arial"/>
                <w:color w:val="000000"/>
                <w:sz w:val="16"/>
                <w:szCs w:val="16"/>
              </w:rPr>
              <w:t>Charbon</w:t>
            </w:r>
            <w:proofErr w:type="spellEnd"/>
            <w:r>
              <w:rPr>
                <w:rFonts w:ascii="Calibri" w:hAnsi="Calibri" w:cs="Arial"/>
                <w:color w:val="000000"/>
                <w:sz w:val="16"/>
                <w:szCs w:val="16"/>
              </w:rPr>
              <w:t xml:space="preserve"> Coal Pty Ltd/Mining/Parish of Clandulla, County of Roxburgh/NSW/Expansion of </w:t>
            </w:r>
            <w:proofErr w:type="spellStart"/>
            <w:r>
              <w:rPr>
                <w:rFonts w:ascii="Calibri" w:hAnsi="Calibri" w:cs="Arial"/>
                <w:color w:val="000000"/>
                <w:sz w:val="16"/>
                <w:szCs w:val="16"/>
              </w:rPr>
              <w:t>Charbon</w:t>
            </w:r>
            <w:proofErr w:type="spellEnd"/>
            <w:r>
              <w:rPr>
                <w:rFonts w:ascii="Calibri" w:hAnsi="Calibri" w:cs="Arial"/>
                <w:color w:val="000000"/>
                <w:sz w:val="16"/>
                <w:szCs w:val="16"/>
              </w:rPr>
              <w:t xml:space="preserve"> Colliery</w:t>
            </w:r>
          </w:p>
        </w:tc>
        <w:tc>
          <w:tcPr>
            <w:tcW w:w="992" w:type="dxa"/>
            <w:vAlign w:val="bottom"/>
          </w:tcPr>
          <w:p w:rsidR="001D0AFE" w:rsidRDefault="001D0AFE">
            <w:pPr>
              <w:rPr>
                <w:rFonts w:ascii="Calibri" w:hAnsi="Calibri" w:cs="Arial"/>
                <w:color w:val="000000"/>
                <w:sz w:val="16"/>
                <w:szCs w:val="16"/>
              </w:rPr>
            </w:pPr>
            <w:r>
              <w:rPr>
                <w:rFonts w:ascii="Calibri" w:hAnsi="Calibri" w:cs="Arial"/>
                <w:color w:val="000000"/>
                <w:sz w:val="16"/>
                <w:szCs w:val="16"/>
              </w:rPr>
              <w:t>29/07/2014</w:t>
            </w:r>
          </w:p>
        </w:tc>
      </w:tr>
      <w:bookmarkEnd w:id="2"/>
    </w:tbl>
    <w:p w:rsidR="008B3EB7" w:rsidRPr="004021AD" w:rsidRDefault="008B3EB7" w:rsidP="003B66E6">
      <w:pPr>
        <w:spacing w:after="0"/>
        <w:rPr>
          <w:szCs w:val="16"/>
        </w:rPr>
      </w:pPr>
    </w:p>
    <w:p w:rsidR="008B3EB7" w:rsidRPr="0059089C" w:rsidRDefault="008B3EB7" w:rsidP="003B66E6">
      <w:pPr>
        <w:spacing w:after="0"/>
        <w:rPr>
          <w:caps/>
        </w:rPr>
      </w:pPr>
      <w:r w:rsidRPr="0059089C">
        <w:rPr>
          <w:caps/>
        </w:rPr>
        <w:t>NOTICE OF EXTENSION OF TIME (</w:t>
      </w:r>
      <w:r w:rsidRPr="0059089C">
        <w:rPr>
          <w:i/>
          <w:caps/>
        </w:rPr>
        <w:t>EPBC A</w:t>
      </w:r>
      <w:r w:rsidRPr="0059089C">
        <w:rPr>
          <w:i/>
        </w:rPr>
        <w:t>ct</w:t>
      </w:r>
      <w:r w:rsidRPr="0059089C">
        <w:rPr>
          <w:caps/>
        </w:rPr>
        <w:t xml:space="preserve"> </w:t>
      </w:r>
      <w:proofErr w:type="gramStart"/>
      <w:r w:rsidRPr="0059089C">
        <w:t>s</w:t>
      </w:r>
      <w:r w:rsidRPr="0059089C">
        <w:rPr>
          <w:caps/>
        </w:rPr>
        <w:t>.130(</w:t>
      </w:r>
      <w:proofErr w:type="gramEnd"/>
      <w:r w:rsidRPr="0059089C">
        <w:rPr>
          <w:caps/>
        </w:rPr>
        <w:t>4))</w:t>
      </w:r>
    </w:p>
    <w:tbl>
      <w:tblPr>
        <w:tblStyle w:val="TableGrid"/>
        <w:tblW w:w="9639" w:type="dxa"/>
        <w:tblInd w:w="108" w:type="dxa"/>
        <w:tblLayout w:type="fixed"/>
        <w:tblLook w:val="01E0"/>
      </w:tblPr>
      <w:tblGrid>
        <w:gridCol w:w="1134"/>
        <w:gridCol w:w="5954"/>
        <w:gridCol w:w="1559"/>
        <w:gridCol w:w="992"/>
      </w:tblGrid>
      <w:tr w:rsidR="008B3EB7" w:rsidRPr="0059089C" w:rsidTr="001D0AFE">
        <w:tc>
          <w:tcPr>
            <w:tcW w:w="1134" w:type="dxa"/>
          </w:tcPr>
          <w:p w:rsidR="008B3EB7" w:rsidRPr="0059089C" w:rsidRDefault="008B3EB7" w:rsidP="001D0AFE">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rsidR="008B3EB7" w:rsidRPr="0059089C" w:rsidRDefault="008B3EB7" w:rsidP="001D0AFE">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rsidR="008B3EB7" w:rsidRPr="0059089C" w:rsidRDefault="008B3EB7" w:rsidP="001D0AFE">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1D0AFE">
              <w:rPr>
                <w:rFonts w:asciiTheme="minorHAnsi" w:hAnsiTheme="minorHAnsi"/>
                <w:b/>
                <w:sz w:val="16"/>
                <w:szCs w:val="16"/>
              </w:rPr>
              <w:t>to</w:t>
            </w:r>
          </w:p>
        </w:tc>
        <w:tc>
          <w:tcPr>
            <w:tcW w:w="992" w:type="dxa"/>
          </w:tcPr>
          <w:p w:rsidR="008B3EB7" w:rsidRPr="0059089C" w:rsidRDefault="008B3EB7" w:rsidP="001D0AFE">
            <w:pPr>
              <w:spacing w:line="276" w:lineRule="auto"/>
              <w:rPr>
                <w:rFonts w:asciiTheme="minorHAnsi" w:hAnsiTheme="minorHAnsi"/>
                <w:b/>
                <w:sz w:val="16"/>
                <w:szCs w:val="16"/>
              </w:rPr>
            </w:pPr>
            <w:r w:rsidRPr="0059089C">
              <w:rPr>
                <w:rFonts w:asciiTheme="minorHAnsi" w:hAnsiTheme="minorHAnsi"/>
                <w:b/>
                <w:sz w:val="16"/>
                <w:szCs w:val="16"/>
              </w:rPr>
              <w:t>Date</w:t>
            </w:r>
          </w:p>
        </w:tc>
      </w:tr>
      <w:tr w:rsidR="001D0AFE" w:rsidRPr="0059089C" w:rsidTr="001D0AFE">
        <w:tc>
          <w:tcPr>
            <w:tcW w:w="1134"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2013/6916</w:t>
            </w:r>
          </w:p>
        </w:tc>
        <w:tc>
          <w:tcPr>
            <w:tcW w:w="5954"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Department of Housing/Residential development/City of Kwinana/WA/Develop three sites into residential housing and mixed use developments, Western Australia</w:t>
            </w:r>
          </w:p>
        </w:tc>
        <w:tc>
          <w:tcPr>
            <w:tcW w:w="1559" w:type="dxa"/>
          </w:tcPr>
          <w:p w:rsidR="001D0AFE" w:rsidRDefault="001D0AFE" w:rsidP="001D0AFE">
            <w:pPr>
              <w:spacing w:line="276" w:lineRule="auto"/>
              <w:rPr>
                <w:rFonts w:ascii="Calibri" w:hAnsi="Calibri" w:cs="Arial"/>
                <w:color w:val="000000"/>
                <w:sz w:val="16"/>
                <w:szCs w:val="16"/>
              </w:rPr>
            </w:pPr>
            <w:r>
              <w:rPr>
                <w:rFonts w:ascii="Calibri" w:hAnsi="Calibri" w:cs="Arial"/>
                <w:color w:val="000000"/>
                <w:sz w:val="16"/>
                <w:szCs w:val="16"/>
              </w:rPr>
              <w:t>29/08/2014</w:t>
            </w:r>
          </w:p>
        </w:tc>
        <w:tc>
          <w:tcPr>
            <w:tcW w:w="992"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28/07/2014</w:t>
            </w:r>
          </w:p>
        </w:tc>
      </w:tr>
      <w:tr w:rsidR="001D0AFE" w:rsidRPr="0059089C" w:rsidTr="001D0AFE">
        <w:tc>
          <w:tcPr>
            <w:tcW w:w="1134"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2012/6351</w:t>
            </w:r>
          </w:p>
        </w:tc>
        <w:tc>
          <w:tcPr>
            <w:tcW w:w="5954"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Bushland Grove Pty Ltd /Residential development/Mt Low/QLD/Mt Low Developments Master Planned Community</w:t>
            </w:r>
          </w:p>
        </w:tc>
        <w:tc>
          <w:tcPr>
            <w:tcW w:w="1559" w:type="dxa"/>
          </w:tcPr>
          <w:p w:rsidR="001D0AFE" w:rsidRDefault="001D0AFE" w:rsidP="001D0AFE">
            <w:pPr>
              <w:spacing w:line="276" w:lineRule="auto"/>
              <w:rPr>
                <w:rFonts w:ascii="Calibri" w:hAnsi="Calibri" w:cs="Arial"/>
                <w:color w:val="000000"/>
                <w:sz w:val="16"/>
                <w:szCs w:val="16"/>
              </w:rPr>
            </w:pPr>
            <w:r>
              <w:rPr>
                <w:rFonts w:ascii="Calibri" w:hAnsi="Calibri" w:cs="Arial"/>
                <w:color w:val="000000"/>
                <w:sz w:val="16"/>
                <w:szCs w:val="16"/>
              </w:rPr>
              <w:t>27/02/2015</w:t>
            </w:r>
          </w:p>
        </w:tc>
        <w:tc>
          <w:tcPr>
            <w:tcW w:w="992" w:type="dxa"/>
          </w:tcPr>
          <w:p w:rsidR="001D0AFE" w:rsidRDefault="001D0AFE" w:rsidP="001D0AFE">
            <w:pPr>
              <w:rPr>
                <w:rFonts w:ascii="Calibri" w:hAnsi="Calibri" w:cs="Arial"/>
                <w:color w:val="000000"/>
                <w:sz w:val="16"/>
                <w:szCs w:val="16"/>
              </w:rPr>
            </w:pPr>
            <w:r>
              <w:rPr>
                <w:rFonts w:ascii="Calibri" w:hAnsi="Calibri" w:cs="Arial"/>
                <w:color w:val="000000"/>
                <w:sz w:val="16"/>
                <w:szCs w:val="16"/>
              </w:rPr>
              <w:t>31/07/2014</w:t>
            </w:r>
          </w:p>
        </w:tc>
      </w:tr>
    </w:tbl>
    <w:p w:rsidR="004021AD" w:rsidRDefault="004021AD" w:rsidP="003B66E6">
      <w:pPr>
        <w:spacing w:after="0"/>
        <w:rPr>
          <w:caps/>
        </w:rPr>
      </w:pPr>
    </w:p>
    <w:p w:rsidR="008B3EB7"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DAE" w:rsidRDefault="00AD3DAE" w:rsidP="003A707F">
      <w:pPr>
        <w:spacing w:after="0" w:line="240" w:lineRule="auto"/>
      </w:pPr>
      <w:r>
        <w:separator/>
      </w:r>
    </w:p>
  </w:endnote>
  <w:endnote w:type="continuationSeparator" w:id="0">
    <w:p w:rsidR="00AD3DAE" w:rsidRDefault="00AD3DAE"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DAE" w:rsidRDefault="00AD3DAE" w:rsidP="003A707F">
      <w:pPr>
        <w:spacing w:after="0" w:line="240" w:lineRule="auto"/>
      </w:pPr>
      <w:r>
        <w:separator/>
      </w:r>
    </w:p>
  </w:footnote>
  <w:footnote w:type="continuationSeparator" w:id="0">
    <w:p w:rsidR="00AD3DAE" w:rsidRDefault="00AD3DAE"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AD3DAE"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AD3DAE" w:rsidRPr="00CE796A" w:rsidRDefault="00AD3DAE"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AD3DAE" w:rsidRPr="00CE796A" w:rsidRDefault="00AD3DAE"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AD3DAE" w:rsidRPr="00CE796A" w:rsidRDefault="00AD3DAE"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AD3DAE"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AD3DAE" w:rsidRPr="00CE796A" w:rsidRDefault="00AD3DAE"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AD3DAE" w:rsidRPr="00840A06" w:rsidRDefault="00AD3DAE"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AD3DAE" w:rsidRPr="003A707F" w:rsidRDefault="00AD3DAE" w:rsidP="00F40885">
    <w:pPr>
      <w:pStyle w:val="Header"/>
      <w:rPr>
        <w:sz w:val="2"/>
        <w:szCs w:val="2"/>
      </w:rPr>
    </w:pPr>
  </w:p>
  <w:p w:rsidR="00AD3DAE" w:rsidRPr="00F40885" w:rsidRDefault="00AD3DAE">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B658F3B8"/>
    <w:lvl w:ilvl="0" w:tplc="7436B764">
      <w:numFmt w:val="bullet"/>
      <w:lvlText w:val=""/>
      <w:lvlJc w:val="left"/>
      <w:pPr>
        <w:ind w:left="720" w:hanging="360"/>
      </w:pPr>
      <w:rPr>
        <w:rFonts w:ascii="Symbol" w:eastAsia="Times New Roman" w:hAnsi="Symbo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rsids>
    <w:rsidRoot w:val="008E4F6C"/>
    <w:rsid w:val="00034184"/>
    <w:rsid w:val="000A2BDB"/>
    <w:rsid w:val="000E1F2B"/>
    <w:rsid w:val="001454DF"/>
    <w:rsid w:val="001C2AAD"/>
    <w:rsid w:val="001D0AFE"/>
    <w:rsid w:val="001E3481"/>
    <w:rsid w:val="001F526E"/>
    <w:rsid w:val="001F6E54"/>
    <w:rsid w:val="00237CE7"/>
    <w:rsid w:val="00280818"/>
    <w:rsid w:val="00280BCD"/>
    <w:rsid w:val="002A21FB"/>
    <w:rsid w:val="002C4F3F"/>
    <w:rsid w:val="002E5F1D"/>
    <w:rsid w:val="003117F9"/>
    <w:rsid w:val="00361F79"/>
    <w:rsid w:val="00365117"/>
    <w:rsid w:val="003A707F"/>
    <w:rsid w:val="003B0EC1"/>
    <w:rsid w:val="003B573B"/>
    <w:rsid w:val="003B66E6"/>
    <w:rsid w:val="003F2CBD"/>
    <w:rsid w:val="004021AD"/>
    <w:rsid w:val="00424B97"/>
    <w:rsid w:val="00445473"/>
    <w:rsid w:val="004B2753"/>
    <w:rsid w:val="004F66BD"/>
    <w:rsid w:val="00520873"/>
    <w:rsid w:val="00566CA3"/>
    <w:rsid w:val="00573D44"/>
    <w:rsid w:val="005D0CFF"/>
    <w:rsid w:val="00656A10"/>
    <w:rsid w:val="0067768F"/>
    <w:rsid w:val="007A63E4"/>
    <w:rsid w:val="00840A06"/>
    <w:rsid w:val="00841C3C"/>
    <w:rsid w:val="008439B7"/>
    <w:rsid w:val="0087253F"/>
    <w:rsid w:val="008B3EB7"/>
    <w:rsid w:val="008D53DD"/>
    <w:rsid w:val="008D596A"/>
    <w:rsid w:val="008E4F6C"/>
    <w:rsid w:val="00925A2C"/>
    <w:rsid w:val="009539C7"/>
    <w:rsid w:val="00963825"/>
    <w:rsid w:val="009C4E63"/>
    <w:rsid w:val="00A00F21"/>
    <w:rsid w:val="00A162B8"/>
    <w:rsid w:val="00A17F8A"/>
    <w:rsid w:val="00A53659"/>
    <w:rsid w:val="00AA5128"/>
    <w:rsid w:val="00AA5F14"/>
    <w:rsid w:val="00AD3DAE"/>
    <w:rsid w:val="00B279FA"/>
    <w:rsid w:val="00B466DD"/>
    <w:rsid w:val="00B610AC"/>
    <w:rsid w:val="00B83BBD"/>
    <w:rsid w:val="00B84226"/>
    <w:rsid w:val="00B97629"/>
    <w:rsid w:val="00BF4ECD"/>
    <w:rsid w:val="00BF4F72"/>
    <w:rsid w:val="00C23A3D"/>
    <w:rsid w:val="00C272B1"/>
    <w:rsid w:val="00C6395C"/>
    <w:rsid w:val="00C63C4E"/>
    <w:rsid w:val="00CC240A"/>
    <w:rsid w:val="00D04B83"/>
    <w:rsid w:val="00D77A88"/>
    <w:rsid w:val="00E703BE"/>
    <w:rsid w:val="00F11B12"/>
    <w:rsid w:val="00F40885"/>
    <w:rsid w:val="00F5559F"/>
    <w:rsid w:val="00F73882"/>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pbc/notice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26d917c-97c2-4e4d-83fc-c9396d0fafe9">Gazette notice lodged with FRLI 140801</DocumentDescription>
    <Function xmlns="426d917c-97c2-4e4d-83fc-c9396d0fafe9">Administration</Function>
    <Approval xmlns="426d917c-97c2-4e4d-83fc-c9396d0fafe9">Approved</Approval>
    <RecordNumber xmlns="426d917c-97c2-4e4d-83fc-c9396d0fafe9">000064331</RecordNumber>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8E207CFE0F61D942B46C4319602B52E1010016E5C8167ED5C9418D2101A33A754E49" ma:contentTypeVersion="5" ma:contentTypeDescription="Create a new Word Document" ma:contentTypeScope="" ma:versionID="416c4c7dcd5037ec005cfa788c88fd23">
  <xsd:schema xmlns:xsd="http://www.w3.org/2001/XMLSchema" xmlns:xs="http://www.w3.org/2001/XMLSchema" xmlns:p="http://schemas.microsoft.com/office/2006/metadata/properties" xmlns:ns2="426d917c-97c2-4e4d-83fc-c9396d0fafe9" targetNamespace="http://schemas.microsoft.com/office/2006/metadata/properties" ma:root="true" ma:fieldsID="8ddeca7d12a3723f5cca5715e38fc31f" ns2:_="">
    <xsd:import namespace="426d917c-97c2-4e4d-83fc-c9396d0fafe9"/>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917c-97c2-4e4d-83fc-c9396d0fafe9"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B40-B307-4658-9711-46930296EA1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56675FE3-4435-407F-82B0-5D7C87BC48AE}"/>
</file>

<file path=customXml/itemProps4.xml><?xml version="1.0" encoding="utf-8"?>
<ds:datastoreItem xmlns:ds="http://schemas.openxmlformats.org/officeDocument/2006/customXml" ds:itemID="{A3DDAD5B-BA29-481D-ACC5-964341BFF627}"/>
</file>

<file path=customXml/itemProps5.xml><?xml version="1.0" encoding="utf-8"?>
<ds:datastoreItem xmlns:ds="http://schemas.openxmlformats.org/officeDocument/2006/customXml" ds:itemID="{48A21CDA-3423-4859-BF1D-E3E12C1A8F35}"/>
</file>

<file path=customXml/itemProps6.xml><?xml version="1.0" encoding="utf-8"?>
<ds:datastoreItem xmlns:ds="http://schemas.openxmlformats.org/officeDocument/2006/customXml" ds:itemID="{0FB4C0C1-D152-4502-9CAB-4076488A6F90}"/>
</file>

<file path=docProps/app.xml><?xml version="1.0" encoding="utf-8"?>
<Properties xmlns="http://schemas.openxmlformats.org/officeDocument/2006/extended-properties" xmlns:vt="http://schemas.openxmlformats.org/officeDocument/2006/docPropsVTypes">
  <Template>normal</Template>
  <TotalTime>10</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Administration-Gazette Publication Template</vt:lpstr>
    </vt:vector>
  </TitlesOfParts>
  <Company>Office of Parliamentary Counsel</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Gazette-140801</dc:title>
  <dc:creator>Miller, Kelli</dc:creator>
  <cp:lastModifiedBy>a16417</cp:lastModifiedBy>
  <cp:revision>3</cp:revision>
  <cp:lastPrinted>2013-06-24T01:35:00Z</cp:lastPrinted>
  <dcterms:created xsi:type="dcterms:W3CDTF">2014-08-01T06:31:00Z</dcterms:created>
  <dcterms:modified xsi:type="dcterms:W3CDTF">2014-08-01T06:40:00Z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0x0101008E207CFE0F61D942B46C4319602B52E1010016E5C8167ED5C9418D2101A33A754E49</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{b69d1b21-62df-446d-b084-a37943bf9e77}</vt:lpwstr>
  </property>
  <property fmtid="{D5CDD505-2E9C-101B-9397-08002B2CF9AE}" pid="6" name="RecordPoint_ActiveItemListId">
    <vt:lpwstr>{b061c196-f70e-41b0-9ddf-e531bd3a0d60}</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{a1d0aed2-edb4-4cd7-8bb9-eef7654f4349}</vt:lpwstr>
  </property>
  <property fmtid="{D5CDD505-2E9C-101B-9397-08002B2CF9AE}" pid="11" name="RecordPoint_ActiveItemWebId">
    <vt:lpwstr>{426d917c-97c2-4e4d-83fc-c9396d0fafe9}</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