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CF27F7">
        <w:tc>
          <w:tcPr>
            <w:tcW w:w="1134" w:type="dxa"/>
          </w:tcPr>
          <w:p w:rsidR="002C4F3F" w:rsidRPr="0059089C" w:rsidRDefault="002C4F3F" w:rsidP="00CF27F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CF27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CF27F7">
            <w:pPr>
              <w:spacing w:line="276" w:lineRule="auto"/>
              <w:rPr>
                <w:rFonts w:asciiTheme="minorHAnsi" w:hAnsiTheme="minorHAnsi"/>
                <w:b/>
                <w:sz w:val="16"/>
                <w:szCs w:val="16"/>
              </w:rPr>
            </w:pPr>
            <w:r w:rsidRPr="0059089C">
              <w:rPr>
                <w:rFonts w:asciiTheme="minorHAnsi" w:hAnsiTheme="minorHAnsi"/>
                <w:b/>
                <w:sz w:val="16"/>
                <w:szCs w:val="16"/>
              </w:rPr>
              <w:t>Date</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2014/7322</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Australian Academy of Science/Tourism and recreation/15 Gordon Street, Acton/ACT/Fencing of the moat bridges at the Shine Dome, Acton, ACT</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01/10/2014</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2014/7321</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Norfolk Estates Pty Ltd/Residential development/Sea Eagle Drive, Noosaville/QLD/</w:t>
            </w:r>
            <w:proofErr w:type="spellStart"/>
            <w:r>
              <w:rPr>
                <w:rFonts w:ascii="Calibri" w:hAnsi="Calibri" w:cs="Arial"/>
                <w:color w:val="000000"/>
                <w:sz w:val="16"/>
                <w:szCs w:val="16"/>
              </w:rPr>
              <w:t>Doonella</w:t>
            </w:r>
            <w:proofErr w:type="spellEnd"/>
            <w:r>
              <w:rPr>
                <w:rFonts w:ascii="Calibri" w:hAnsi="Calibri" w:cs="Arial"/>
                <w:color w:val="000000"/>
                <w:sz w:val="16"/>
                <w:szCs w:val="16"/>
              </w:rPr>
              <w:t xml:space="preserve"> Noosa Estate - Stage C residential development</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26/09/2014</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2014/7319</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 xml:space="preserve">Pacific International Development Corporation </w:t>
            </w:r>
            <w:proofErr w:type="spellStart"/>
            <w:r>
              <w:rPr>
                <w:rFonts w:ascii="Calibri" w:hAnsi="Calibri" w:cs="Arial"/>
                <w:color w:val="000000"/>
                <w:sz w:val="16"/>
                <w:szCs w:val="16"/>
              </w:rPr>
              <w:t>pty</w:t>
            </w:r>
            <w:proofErr w:type="spellEnd"/>
            <w:r>
              <w:rPr>
                <w:rFonts w:ascii="Calibri" w:hAnsi="Calibri" w:cs="Arial"/>
                <w:color w:val="000000"/>
                <w:sz w:val="16"/>
                <w:szCs w:val="16"/>
              </w:rPr>
              <w:t xml:space="preserve"> Ltd/Transport - land/Dairy Rd, Wyatt Rd and Teviot Rd, Flagstone/QLD/Construction and upgrade of approximately 7km of external road corridor, Flagstone, Qld</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30/09/2014</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2014/7323</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Department of Education, Training and Employment/Commercial development/Jones Road, Bellbird Park, Redbank Plains/QLD/Bellbird Park State High School development, Redbank Plains, Qld</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30/09/2014</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2014/7313*</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Melbourne Water Corporation/Waste management (sewerage)/Lot 1, New Farm Road, Werribee/VIC/Western Treatment Plant Stage 1 Augmentation, Werribee, Vic</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29/09/2014</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2C4F3F" w:rsidRDefault="002C4F3F"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CF27F7">
        <w:tc>
          <w:tcPr>
            <w:tcW w:w="1134"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Date</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2010/5659</w:t>
            </w:r>
          </w:p>
        </w:tc>
        <w:tc>
          <w:tcPr>
            <w:tcW w:w="5387"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Cedar Woods Properties Ltd/Commercial development/City of Rockingham, 40km South-West of Perth /WA/Mangles Bay Marina Based Tourist Precinct</w:t>
            </w:r>
          </w:p>
        </w:tc>
        <w:tc>
          <w:tcPr>
            <w:tcW w:w="2126"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Approved with conditions</w:t>
            </w:r>
          </w:p>
          <w:p w:rsidR="00CF27F7" w:rsidRDefault="00CF27F7" w:rsidP="00CF27F7">
            <w:pPr>
              <w:spacing w:line="276" w:lineRule="auto"/>
              <w:rPr>
                <w:rFonts w:ascii="Calibri" w:hAnsi="Calibri" w:cs="Arial"/>
                <w:color w:val="000000"/>
                <w:sz w:val="16"/>
                <w:szCs w:val="16"/>
              </w:rPr>
            </w:pP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02/10/2014</w:t>
            </w:r>
          </w:p>
          <w:p w:rsidR="00CF27F7" w:rsidRDefault="00CF27F7" w:rsidP="00CF27F7">
            <w:pPr>
              <w:spacing w:line="276" w:lineRule="auto"/>
              <w:rPr>
                <w:rFonts w:ascii="Calibri" w:hAnsi="Calibri" w:cs="Arial"/>
                <w:color w:val="000000"/>
                <w:sz w:val="16"/>
                <w:szCs w:val="16"/>
              </w:rPr>
            </w:pP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CF27F7">
        <w:tc>
          <w:tcPr>
            <w:tcW w:w="1134" w:type="dxa"/>
          </w:tcPr>
          <w:p w:rsidR="008B3EB7" w:rsidRPr="0059089C" w:rsidRDefault="008B3EB7" w:rsidP="00CF27F7">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Date</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2008/4398</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BG International Ltd &amp; QGC Ltd/Energy generation and supply (non-renewable)/Surat Basin/QLD/Development of Existing Coal Seam Gas Fields</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01/10/2014</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2008/4399</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BG International Ltd and QGC Ltd/Energy generation and supply (non-renewable)/Miles to Gladstone, 380km (extending to Tara and Fairview)/QLD/Queensland Curtis LNG Project - Pipeline Network</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01/10/2014</w:t>
            </w:r>
          </w:p>
        </w:tc>
      </w:tr>
      <w:tr w:rsidR="00CF27F7" w:rsidRPr="0059089C" w:rsidTr="00CF27F7">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2012/6447</w:t>
            </w:r>
          </w:p>
        </w:tc>
        <w:tc>
          <w:tcPr>
            <w:tcW w:w="7513"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BEMAX Resources Limited/Mining/Approximately 30km west of Hatfield/NSW/Atlas-Campaspe Mineral Sands Project, NSW</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29/09/2014</w:t>
            </w:r>
          </w:p>
        </w:tc>
      </w:tr>
      <w:bookmarkEnd w:id="2"/>
    </w:tbl>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6379"/>
        <w:gridCol w:w="1134"/>
        <w:gridCol w:w="992"/>
      </w:tblGrid>
      <w:tr w:rsidR="008B3EB7" w:rsidRPr="0059089C" w:rsidTr="008401A9">
        <w:tc>
          <w:tcPr>
            <w:tcW w:w="1134"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6379"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Title</w:t>
            </w:r>
          </w:p>
        </w:tc>
        <w:tc>
          <w:tcPr>
            <w:tcW w:w="1134" w:type="dxa"/>
          </w:tcPr>
          <w:p w:rsidR="008B3EB7" w:rsidRPr="0059089C" w:rsidRDefault="008B3EB7" w:rsidP="008401A9">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8401A9">
              <w:rPr>
                <w:rFonts w:asciiTheme="minorHAnsi" w:hAnsiTheme="minorHAnsi"/>
                <w:b/>
                <w:sz w:val="16"/>
                <w:szCs w:val="16"/>
              </w:rPr>
              <w:t>to</w:t>
            </w:r>
          </w:p>
        </w:tc>
        <w:tc>
          <w:tcPr>
            <w:tcW w:w="992" w:type="dxa"/>
          </w:tcPr>
          <w:p w:rsidR="008B3EB7" w:rsidRPr="0059089C" w:rsidRDefault="008B3EB7" w:rsidP="00CF27F7">
            <w:pPr>
              <w:spacing w:line="276" w:lineRule="auto"/>
              <w:rPr>
                <w:rFonts w:asciiTheme="minorHAnsi" w:hAnsiTheme="minorHAnsi"/>
                <w:b/>
                <w:sz w:val="16"/>
                <w:szCs w:val="16"/>
              </w:rPr>
            </w:pPr>
            <w:r w:rsidRPr="0059089C">
              <w:rPr>
                <w:rFonts w:asciiTheme="minorHAnsi" w:hAnsiTheme="minorHAnsi"/>
                <w:b/>
                <w:sz w:val="16"/>
                <w:szCs w:val="16"/>
              </w:rPr>
              <w:t>Date</w:t>
            </w:r>
          </w:p>
        </w:tc>
      </w:tr>
      <w:tr w:rsidR="00CF27F7" w:rsidRPr="0059089C" w:rsidTr="008401A9">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2012/6447</w:t>
            </w:r>
          </w:p>
        </w:tc>
        <w:tc>
          <w:tcPr>
            <w:tcW w:w="6379"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BEMAX Resources Limited/Mining/Approximately 30km west of Hatfield/NSW/Atlas-Campaspe Mineral Sands Project, NSW</w:t>
            </w:r>
          </w:p>
        </w:tc>
        <w:tc>
          <w:tcPr>
            <w:tcW w:w="1134" w:type="dxa"/>
          </w:tcPr>
          <w:p w:rsidR="00CF27F7" w:rsidRDefault="008401A9" w:rsidP="00CF27F7">
            <w:pPr>
              <w:spacing w:line="276" w:lineRule="auto"/>
              <w:rPr>
                <w:rFonts w:ascii="Calibri" w:hAnsi="Calibri" w:cs="Arial"/>
                <w:color w:val="000000"/>
                <w:sz w:val="16"/>
                <w:szCs w:val="16"/>
              </w:rPr>
            </w:pPr>
            <w:r>
              <w:rPr>
                <w:rFonts w:ascii="Calibri" w:hAnsi="Calibri" w:cs="Arial"/>
                <w:color w:val="000000"/>
                <w:sz w:val="16"/>
                <w:szCs w:val="16"/>
              </w:rPr>
              <w:t>25/08/2014</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03/08/2014</w:t>
            </w:r>
          </w:p>
          <w:p w:rsidR="00CF27F7" w:rsidRDefault="00CF27F7" w:rsidP="00CF27F7">
            <w:pPr>
              <w:spacing w:line="276" w:lineRule="auto"/>
              <w:rPr>
                <w:rFonts w:ascii="Calibri" w:hAnsi="Calibri" w:cs="Arial"/>
                <w:color w:val="000000"/>
                <w:sz w:val="16"/>
                <w:szCs w:val="16"/>
              </w:rPr>
            </w:pPr>
          </w:p>
        </w:tc>
      </w:tr>
      <w:tr w:rsidR="00CF27F7" w:rsidRPr="0059089C" w:rsidTr="008401A9">
        <w:tc>
          <w:tcPr>
            <w:tcW w:w="1134"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2012/6643</w:t>
            </w:r>
          </w:p>
        </w:tc>
        <w:tc>
          <w:tcPr>
            <w:tcW w:w="6379"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Eaton Place Pty Ltd/Tourism and recreation/Hummock Hill Island 30km south east of Gladstone/QLD/</w:t>
            </w:r>
            <w:proofErr w:type="spellStart"/>
            <w:r>
              <w:rPr>
                <w:rFonts w:ascii="Calibri" w:hAnsi="Calibri" w:cs="Arial"/>
                <w:color w:val="000000"/>
                <w:sz w:val="16"/>
                <w:szCs w:val="16"/>
              </w:rPr>
              <w:t>Pacificus</w:t>
            </w:r>
            <w:proofErr w:type="spellEnd"/>
            <w:r>
              <w:rPr>
                <w:rFonts w:ascii="Calibri" w:hAnsi="Calibri" w:cs="Arial"/>
                <w:color w:val="000000"/>
                <w:sz w:val="16"/>
                <w:szCs w:val="16"/>
              </w:rPr>
              <w:t xml:space="preserve"> Tourism Project</w:t>
            </w:r>
          </w:p>
        </w:tc>
        <w:tc>
          <w:tcPr>
            <w:tcW w:w="1134" w:type="dxa"/>
          </w:tcPr>
          <w:p w:rsidR="00CF27F7" w:rsidRDefault="008401A9" w:rsidP="00CF27F7">
            <w:pPr>
              <w:spacing w:line="276" w:lineRule="auto"/>
              <w:rPr>
                <w:rFonts w:ascii="Calibri" w:hAnsi="Calibri" w:cs="Arial"/>
                <w:color w:val="000000"/>
                <w:sz w:val="16"/>
                <w:szCs w:val="16"/>
              </w:rPr>
            </w:pPr>
            <w:r>
              <w:rPr>
                <w:rFonts w:ascii="Calibri" w:hAnsi="Calibri" w:cs="Arial"/>
                <w:color w:val="000000"/>
                <w:sz w:val="16"/>
                <w:szCs w:val="16"/>
              </w:rPr>
              <w:t>27/02/2015</w:t>
            </w:r>
          </w:p>
        </w:tc>
        <w:tc>
          <w:tcPr>
            <w:tcW w:w="992" w:type="dxa"/>
          </w:tcPr>
          <w:p w:rsidR="00CF27F7" w:rsidRDefault="00CF27F7" w:rsidP="00CF27F7">
            <w:pPr>
              <w:rPr>
                <w:rFonts w:ascii="Calibri" w:hAnsi="Calibri" w:cs="Arial"/>
                <w:color w:val="000000"/>
                <w:sz w:val="16"/>
                <w:szCs w:val="16"/>
              </w:rPr>
            </w:pPr>
            <w:r>
              <w:rPr>
                <w:rFonts w:ascii="Calibri" w:hAnsi="Calibri" w:cs="Arial"/>
                <w:color w:val="000000"/>
                <w:sz w:val="16"/>
                <w:szCs w:val="16"/>
              </w:rPr>
              <w:t>30/09/2014</w:t>
            </w:r>
          </w:p>
          <w:p w:rsidR="00CF27F7" w:rsidRDefault="00CF27F7" w:rsidP="00CF27F7">
            <w:pPr>
              <w:spacing w:line="276" w:lineRule="auto"/>
              <w:rPr>
                <w:rFonts w:ascii="Calibri" w:hAnsi="Calibri" w:cs="Arial"/>
                <w:color w:val="000000"/>
                <w:sz w:val="16"/>
                <w:szCs w:val="16"/>
              </w:rPr>
            </w:pPr>
          </w:p>
        </w:tc>
      </w:tr>
    </w:tbl>
    <w:p w:rsidR="004021AD" w:rsidRDefault="004021AD" w:rsidP="003B66E6">
      <w:pPr>
        <w:spacing w:after="0"/>
        <w:rPr>
          <w:caps/>
        </w:rPr>
      </w:pP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rsidR="008B3EB7" w:rsidRDefault="008B3EB7" w:rsidP="003B66E6">
      <w:pPr>
        <w:spacing w:after="0"/>
        <w:rPr>
          <w:color w:val="000000"/>
          <w:sz w:val="18"/>
          <w:szCs w:val="18"/>
        </w:rPr>
      </w:pP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A9" w:rsidRDefault="008401A9" w:rsidP="003A707F">
      <w:pPr>
        <w:spacing w:after="0" w:line="240" w:lineRule="auto"/>
      </w:pPr>
      <w:r>
        <w:separator/>
      </w:r>
    </w:p>
  </w:endnote>
  <w:endnote w:type="continuationSeparator" w:id="0">
    <w:p w:rsidR="008401A9" w:rsidRDefault="008401A9"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A9" w:rsidRDefault="008401A9" w:rsidP="003A707F">
      <w:pPr>
        <w:spacing w:after="0" w:line="240" w:lineRule="auto"/>
      </w:pPr>
      <w:r>
        <w:separator/>
      </w:r>
    </w:p>
  </w:footnote>
  <w:footnote w:type="continuationSeparator" w:id="0">
    <w:p w:rsidR="008401A9" w:rsidRDefault="008401A9"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8401A9"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401A9" w:rsidRPr="00CE796A" w:rsidRDefault="008401A9"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401A9" w:rsidRPr="00CE796A" w:rsidRDefault="008401A9"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8401A9" w:rsidRPr="00CE796A" w:rsidRDefault="008401A9"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401A9"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401A9" w:rsidRPr="00CE796A" w:rsidRDefault="008401A9"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401A9" w:rsidRPr="00840A06" w:rsidRDefault="008401A9"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8401A9" w:rsidRPr="003A707F" w:rsidRDefault="008401A9" w:rsidP="00F40885">
    <w:pPr>
      <w:pStyle w:val="Header"/>
      <w:rPr>
        <w:sz w:val="2"/>
        <w:szCs w:val="2"/>
      </w:rPr>
    </w:pPr>
  </w:p>
  <w:p w:rsidR="008401A9" w:rsidRPr="00F40885" w:rsidRDefault="008401A9">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rsids>
    <w:rsidRoot w:val="008E4F6C"/>
    <w:rsid w:val="00034184"/>
    <w:rsid w:val="000A2BDB"/>
    <w:rsid w:val="000E1F2B"/>
    <w:rsid w:val="001454DF"/>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D71BC"/>
    <w:rsid w:val="003F2CBD"/>
    <w:rsid w:val="004021AD"/>
    <w:rsid w:val="00424B97"/>
    <w:rsid w:val="00445473"/>
    <w:rsid w:val="004B2753"/>
    <w:rsid w:val="004F66BD"/>
    <w:rsid w:val="00520873"/>
    <w:rsid w:val="00566CA3"/>
    <w:rsid w:val="00573D44"/>
    <w:rsid w:val="00656A10"/>
    <w:rsid w:val="0067768F"/>
    <w:rsid w:val="007A63E4"/>
    <w:rsid w:val="008401A9"/>
    <w:rsid w:val="00840A06"/>
    <w:rsid w:val="00841C3C"/>
    <w:rsid w:val="008439B7"/>
    <w:rsid w:val="0087253F"/>
    <w:rsid w:val="008B3EB7"/>
    <w:rsid w:val="008D53DD"/>
    <w:rsid w:val="008D596A"/>
    <w:rsid w:val="008E4F6C"/>
    <w:rsid w:val="00925A2C"/>
    <w:rsid w:val="009539C7"/>
    <w:rsid w:val="00963825"/>
    <w:rsid w:val="009910DB"/>
    <w:rsid w:val="009C4E63"/>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0E1A"/>
    <w:rsid w:val="00C6395C"/>
    <w:rsid w:val="00C63C4E"/>
    <w:rsid w:val="00CC240A"/>
    <w:rsid w:val="00CC6770"/>
    <w:rsid w:val="00CF27F7"/>
    <w:rsid w:val="00D04B83"/>
    <w:rsid w:val="00D61FC6"/>
    <w:rsid w:val="00D77A88"/>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21562182">
      <w:bodyDiv w:val="1"/>
      <w:marLeft w:val="0"/>
      <w:marRight w:val="0"/>
      <w:marTop w:val="0"/>
      <w:marBottom w:val="0"/>
      <w:divBdr>
        <w:top w:val="none" w:sz="0" w:space="0" w:color="auto"/>
        <w:left w:val="none" w:sz="0" w:space="0" w:color="auto"/>
        <w:bottom w:val="none" w:sz="0" w:space="0" w:color="auto"/>
        <w:right w:val="none" w:sz="0" w:space="0" w:color="auto"/>
      </w:divBdr>
    </w:div>
    <w:div w:id="243490327">
      <w:bodyDiv w:val="1"/>
      <w:marLeft w:val="0"/>
      <w:marRight w:val="0"/>
      <w:marTop w:val="0"/>
      <w:marBottom w:val="0"/>
      <w:divBdr>
        <w:top w:val="none" w:sz="0" w:space="0" w:color="auto"/>
        <w:left w:val="none" w:sz="0" w:space="0" w:color="auto"/>
        <w:bottom w:val="none" w:sz="0" w:space="0" w:color="auto"/>
        <w:right w:val="none" w:sz="0" w:space="0" w:color="auto"/>
      </w:divBdr>
    </w:div>
    <w:div w:id="311256472">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698968134">
      <w:bodyDiv w:val="1"/>
      <w:marLeft w:val="0"/>
      <w:marRight w:val="0"/>
      <w:marTop w:val="0"/>
      <w:marBottom w:val="0"/>
      <w:divBdr>
        <w:top w:val="none" w:sz="0" w:space="0" w:color="auto"/>
        <w:left w:val="none" w:sz="0" w:space="0" w:color="auto"/>
        <w:bottom w:val="none" w:sz="0" w:space="0" w:color="auto"/>
        <w:right w:val="none" w:sz="0" w:space="0" w:color="auto"/>
      </w:divBdr>
    </w:div>
    <w:div w:id="1791313457">
      <w:bodyDiv w:val="1"/>
      <w:marLeft w:val="0"/>
      <w:marRight w:val="0"/>
      <w:marTop w:val="0"/>
      <w:marBottom w:val="0"/>
      <w:divBdr>
        <w:top w:val="none" w:sz="0" w:space="0" w:color="auto"/>
        <w:left w:val="none" w:sz="0" w:space="0" w:color="auto"/>
        <w:bottom w:val="none" w:sz="0" w:space="0" w:color="auto"/>
        <w:right w:val="none" w:sz="0" w:space="0" w:color="auto"/>
      </w:divBdr>
    </w:div>
    <w:div w:id="2108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141007</DocumentDescription>
    <Function xmlns="426d917c-97c2-4e4d-83fc-c9396d0fafe9">Administration</Function>
    <Approval xmlns="426d917c-97c2-4e4d-83fc-c9396d0fafe9">Approved</Approval>
    <RecordNumber xmlns="426d917c-97c2-4e4d-83fc-c9396d0faf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B474AB40-B307-4658-9711-46930296EA1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26d917c-97c2-4e4d-83fc-c9396d0fafe9"/>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8A21CDA-3423-4859-BF1D-E3E12C1A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6.xml><?xml version="1.0" encoding="utf-8"?>
<ds:datastoreItem xmlns:ds="http://schemas.openxmlformats.org/officeDocument/2006/customXml" ds:itemID="{DC0ACCD2-5BC0-48D6-A1E9-D9F2C220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Gazette-141007</vt:lpstr>
    </vt:vector>
  </TitlesOfParts>
  <Company>Office of Parliamentary Counsel</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Gazette-141007</dc:title>
  <dc:creator>Miller, Kelli</dc:creator>
  <cp:lastModifiedBy>a16417</cp:lastModifiedBy>
  <cp:revision>4</cp:revision>
  <cp:lastPrinted>2013-06-24T01:35:00Z</cp:lastPrinted>
  <dcterms:created xsi:type="dcterms:W3CDTF">2014-10-06T23:54:00Z</dcterms:created>
  <dcterms:modified xsi:type="dcterms:W3CDTF">2014-10-07T00:09:00Z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{a2a34ae3-1002-4169-b4e9-82e8714ebfad}</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