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Default="00114CB2" w:rsidP="0094219E">
      <w:pPr>
        <w:rPr>
          <w:noProof/>
        </w:rPr>
      </w:pPr>
      <w:bookmarkStart w:id="0" w:name="_GoBack"/>
      <w:bookmarkEnd w:id="0"/>
    </w:p>
    <w:p w:rsidR="00114CB2" w:rsidRPr="00141674" w:rsidRDefault="00114CB2" w:rsidP="0094219E">
      <w:pPr>
        <w:spacing w:after="80"/>
        <w:jc w:val="center"/>
        <w:rPr>
          <w:rFonts w:ascii="Arial" w:hAnsi="Arial" w:cs="Arial"/>
          <w:b/>
          <w:sz w:val="18"/>
          <w:szCs w:val="18"/>
        </w:rPr>
      </w:pPr>
      <w:r w:rsidRPr="00141674">
        <w:rPr>
          <w:rFonts w:ascii="Arial" w:hAnsi="Arial" w:cs="Arial"/>
          <w:b/>
          <w:sz w:val="18"/>
          <w:szCs w:val="18"/>
        </w:rPr>
        <w:t>COMMISSIONER OF TAXATION</w:t>
      </w:r>
    </w:p>
    <w:p w:rsidR="00114CB2" w:rsidRDefault="00114CB2" w:rsidP="0094219E">
      <w:pPr>
        <w:spacing w:after="120"/>
        <w:rPr>
          <w:rFonts w:ascii="Arial" w:hAnsi="Arial" w:cs="Arial"/>
          <w:sz w:val="18"/>
          <w:szCs w:val="18"/>
        </w:rPr>
      </w:pPr>
      <w:r w:rsidRPr="00141674">
        <w:rPr>
          <w:rFonts w:ascii="Arial" w:hAnsi="Arial" w:cs="Arial"/>
          <w:sz w:val="18"/>
          <w:szCs w:val="18"/>
        </w:rPr>
        <w:t xml:space="preserve">The Commissioner of Taxation, </w:t>
      </w:r>
      <w:smartTag w:uri="urn:schemas:contacts" w:element="GivenName">
        <w:smartTag w:uri="urn:schemas-microsoft-com:office:smarttags" w:element="PersonName">
          <w:r>
            <w:rPr>
              <w:rFonts w:ascii="Arial" w:hAnsi="Arial" w:cs="Arial"/>
              <w:sz w:val="18"/>
              <w:szCs w:val="18"/>
            </w:rPr>
            <w:t>Chris</w:t>
          </w:r>
        </w:smartTag>
        <w:r>
          <w:rPr>
            <w:rFonts w:ascii="Arial" w:hAnsi="Arial" w:cs="Arial"/>
            <w:sz w:val="18"/>
            <w:szCs w:val="18"/>
          </w:rPr>
          <w:t xml:space="preserve"> </w:t>
        </w:r>
        <w:smartTag w:uri="urn:schemas-microsoft-com:office:smarttags" w:element="country-region">
          <w:smartTag w:uri="urn:schemas:contacts" w:element="Sn">
            <w:r>
              <w:rPr>
                <w:rFonts w:ascii="Arial" w:hAnsi="Arial" w:cs="Arial"/>
                <w:sz w:val="18"/>
                <w:szCs w:val="18"/>
              </w:rPr>
              <w:t>Jordan</w:t>
            </w:r>
          </w:smartTag>
        </w:smartTag>
      </w:smartTag>
      <w:r>
        <w:rPr>
          <w:rFonts w:ascii="Arial" w:hAnsi="Arial" w:cs="Arial"/>
          <w:sz w:val="18"/>
          <w:szCs w:val="18"/>
        </w:rPr>
        <w:t>,</w:t>
      </w:r>
      <w:r w:rsidRPr="00141674">
        <w:rPr>
          <w:rFonts w:ascii="Arial" w:hAnsi="Arial" w:cs="Arial"/>
          <w:sz w:val="18"/>
          <w:szCs w:val="18"/>
        </w:rPr>
        <w:t xml:space="preserve"> gives notice of the following Rulings, copies of which can be obtained from Branches of the Australian Taxation Office or at </w:t>
      </w:r>
      <w:hyperlink r:id="rId8" w:history="1">
        <w:r w:rsidRPr="00141674">
          <w:rPr>
            <w:rStyle w:val="Hyperlink"/>
            <w:rFonts w:ascii="Arial" w:hAnsi="Arial" w:cs="Arial"/>
            <w:sz w:val="18"/>
            <w:szCs w:val="18"/>
          </w:rPr>
          <w:t>http://law.ato.gov.au</w:t>
        </w:r>
      </w:hyperlink>
      <w:r w:rsidRPr="00141674">
        <w:rPr>
          <w:rFonts w:ascii="Arial" w:hAnsi="Arial" w:cs="Arial"/>
          <w:sz w:val="18"/>
          <w:szCs w:val="18"/>
        </w:rPr>
        <w:t>.</w:t>
      </w: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t xml:space="preserve">NOTICE OF </w:t>
            </w:r>
            <w:r>
              <w:rPr>
                <w:sz w:val="22"/>
                <w:szCs w:val="22"/>
              </w:rPr>
              <w:t>RULINGS</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9222D9" w:rsidRPr="00773255" w:rsidTr="002E11C3">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9222D9" w:rsidRPr="002E11C3" w:rsidRDefault="009222D9" w:rsidP="002E11C3">
            <w:pPr>
              <w:spacing w:after="120" w:line="240" w:lineRule="auto"/>
              <w:rPr>
                <w:rFonts w:ascii="Arial" w:hAnsi="Arial" w:cs="Arial"/>
                <w:sz w:val="20"/>
                <w:szCs w:val="20"/>
              </w:rPr>
            </w:pPr>
            <w:r w:rsidRPr="002E11C3">
              <w:rPr>
                <w:rFonts w:ascii="Arial" w:hAnsi="Arial" w:cs="Arial"/>
                <w:sz w:val="20"/>
                <w:szCs w:val="20"/>
              </w:rPr>
              <w:t>GSTR 2014/</w:t>
            </w:r>
            <w:r w:rsidR="00E66814" w:rsidRPr="002E11C3">
              <w:rPr>
                <w:rFonts w:ascii="Arial" w:hAnsi="Arial" w:cs="Arial"/>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9222D9" w:rsidRPr="002E11C3" w:rsidRDefault="002E11C3" w:rsidP="002E11C3">
            <w:pPr>
              <w:pStyle w:val="Header"/>
              <w:spacing w:after="120"/>
              <w:rPr>
                <w:rFonts w:ascii="Arial" w:eastAsia="Arial" w:hAnsi="Arial" w:cs="Arial"/>
                <w:color w:val="000000"/>
                <w:sz w:val="20"/>
                <w:szCs w:val="20"/>
              </w:rPr>
            </w:pPr>
            <w:r w:rsidRPr="002E11C3">
              <w:rPr>
                <w:rFonts w:ascii="Arial" w:eastAsia="Arial" w:hAnsi="Arial" w:cs="Arial"/>
                <w:color w:val="000000"/>
                <w:sz w:val="20"/>
                <w:szCs w:val="20"/>
              </w:rPr>
              <w:t>Goods and services tax:  treatment of ATM service fees, credit card surcharges and debit card surcharges</w:t>
            </w:r>
          </w:p>
        </w:tc>
        <w:tc>
          <w:tcPr>
            <w:tcW w:w="4140" w:type="dxa"/>
            <w:tcBorders>
              <w:top w:val="single" w:sz="6" w:space="0" w:color="auto"/>
              <w:left w:val="single" w:sz="6" w:space="0" w:color="auto"/>
              <w:bottom w:val="single" w:sz="6" w:space="0" w:color="auto"/>
              <w:right w:val="single" w:sz="6" w:space="0" w:color="auto"/>
            </w:tcBorders>
          </w:tcPr>
          <w:p w:rsidR="009222D9" w:rsidRPr="002E11C3" w:rsidRDefault="002E11C3" w:rsidP="002E11C3">
            <w:pPr>
              <w:spacing w:after="120" w:line="240" w:lineRule="auto"/>
              <w:rPr>
                <w:rFonts w:ascii="Arial" w:hAnsi="Arial" w:cs="Arial"/>
                <w:sz w:val="20"/>
                <w:szCs w:val="20"/>
              </w:rPr>
            </w:pPr>
            <w:r w:rsidRPr="002E11C3">
              <w:rPr>
                <w:rFonts w:ascii="Arial" w:hAnsi="Arial" w:cs="Arial"/>
                <w:sz w:val="20"/>
                <w:szCs w:val="20"/>
              </w:rPr>
              <w:t>The Ruling sets out the Commissioner’s position on</w:t>
            </w:r>
            <w:r w:rsidR="00C35B1A">
              <w:rPr>
                <w:rFonts w:ascii="Arial" w:hAnsi="Arial" w:cs="Arial"/>
                <w:sz w:val="20"/>
                <w:szCs w:val="20"/>
              </w:rPr>
              <w:t xml:space="preserve"> goods and services tax treatment of</w:t>
            </w:r>
            <w:r w:rsidRPr="002E11C3">
              <w:rPr>
                <w:rFonts w:ascii="Arial" w:hAnsi="Arial" w:cs="Arial"/>
                <w:sz w:val="20"/>
                <w:szCs w:val="20"/>
              </w:rPr>
              <w:t xml:space="preserve"> a fee payable for ATM services.</w:t>
            </w:r>
          </w:p>
          <w:p w:rsidR="002E11C3" w:rsidRPr="002E11C3" w:rsidRDefault="002E11C3" w:rsidP="002E11C3">
            <w:pPr>
              <w:spacing w:after="120" w:line="240" w:lineRule="auto"/>
              <w:rPr>
                <w:rFonts w:ascii="Arial" w:hAnsi="Arial" w:cs="Arial"/>
                <w:sz w:val="20"/>
                <w:szCs w:val="20"/>
              </w:rPr>
            </w:pPr>
            <w:r w:rsidRPr="002E11C3">
              <w:rPr>
                <w:rFonts w:ascii="Arial" w:hAnsi="Arial" w:cs="Arial"/>
                <w:sz w:val="20"/>
                <w:szCs w:val="20"/>
              </w:rPr>
              <w:t>The Ruling applies both before and after its date of issue.</w:t>
            </w:r>
          </w:p>
        </w:tc>
      </w:tr>
      <w:tr w:rsidR="00E66814" w:rsidRPr="00773255" w:rsidTr="002E11C3">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E66814" w:rsidRPr="002E11C3" w:rsidRDefault="00E66814" w:rsidP="002E11C3">
            <w:pPr>
              <w:spacing w:after="120" w:line="240" w:lineRule="auto"/>
              <w:rPr>
                <w:rFonts w:ascii="Arial" w:hAnsi="Arial" w:cs="Arial"/>
                <w:sz w:val="20"/>
                <w:szCs w:val="20"/>
              </w:rPr>
            </w:pPr>
            <w:r w:rsidRPr="002E11C3">
              <w:rPr>
                <w:rFonts w:ascii="Arial" w:hAnsi="Arial" w:cs="Arial"/>
                <w:sz w:val="20"/>
                <w:szCs w:val="20"/>
              </w:rPr>
              <w:t>GSTR 2014/3</w:t>
            </w:r>
          </w:p>
        </w:tc>
        <w:tc>
          <w:tcPr>
            <w:tcW w:w="3780" w:type="dxa"/>
            <w:tcBorders>
              <w:top w:val="single" w:sz="6" w:space="0" w:color="auto"/>
              <w:left w:val="single" w:sz="6" w:space="0" w:color="auto"/>
              <w:bottom w:val="single" w:sz="6" w:space="0" w:color="auto"/>
              <w:right w:val="single" w:sz="6" w:space="0" w:color="auto"/>
            </w:tcBorders>
          </w:tcPr>
          <w:p w:rsidR="00E66814" w:rsidRPr="002E11C3" w:rsidRDefault="002E11C3" w:rsidP="002E11C3">
            <w:pPr>
              <w:pStyle w:val="Header"/>
              <w:spacing w:after="120"/>
              <w:rPr>
                <w:rFonts w:ascii="Arial" w:eastAsia="Arial" w:hAnsi="Arial" w:cs="Arial"/>
                <w:color w:val="000000"/>
                <w:sz w:val="20"/>
                <w:szCs w:val="20"/>
              </w:rPr>
            </w:pPr>
            <w:r w:rsidRPr="002E11C3">
              <w:rPr>
                <w:rFonts w:ascii="Arial" w:eastAsia="Arial" w:hAnsi="Arial" w:cs="Arial"/>
                <w:color w:val="000000"/>
                <w:sz w:val="20"/>
                <w:szCs w:val="20"/>
              </w:rPr>
              <w:t>Goods and services tax:  the GST implications of transactions involving bitcoin</w:t>
            </w:r>
          </w:p>
        </w:tc>
        <w:tc>
          <w:tcPr>
            <w:tcW w:w="4140" w:type="dxa"/>
            <w:tcBorders>
              <w:top w:val="single" w:sz="6" w:space="0" w:color="auto"/>
              <w:left w:val="single" w:sz="6" w:space="0" w:color="auto"/>
              <w:bottom w:val="single" w:sz="6" w:space="0" w:color="auto"/>
              <w:right w:val="single" w:sz="6" w:space="0" w:color="auto"/>
            </w:tcBorders>
          </w:tcPr>
          <w:p w:rsidR="002E11C3" w:rsidRPr="002E11C3" w:rsidRDefault="002E11C3" w:rsidP="002E11C3">
            <w:pPr>
              <w:spacing w:after="120" w:line="240" w:lineRule="auto"/>
              <w:rPr>
                <w:rFonts w:ascii="Arial" w:hAnsi="Arial" w:cs="Arial"/>
                <w:color w:val="000000"/>
                <w:sz w:val="20"/>
                <w:szCs w:val="20"/>
              </w:rPr>
            </w:pPr>
            <w:r w:rsidRPr="002E11C3">
              <w:rPr>
                <w:rFonts w:ascii="Arial" w:hAnsi="Arial" w:cs="Arial"/>
                <w:color w:val="000000"/>
                <w:sz w:val="20"/>
                <w:szCs w:val="20"/>
              </w:rPr>
              <w:t>The Ruling sets out the Commissioner’s position on the goods and services tax consequences of transactions involving the use of bitcoin.</w:t>
            </w:r>
          </w:p>
          <w:p w:rsidR="00E66814" w:rsidRPr="002E11C3" w:rsidRDefault="002E11C3" w:rsidP="002E11C3">
            <w:pPr>
              <w:spacing w:after="120" w:line="240" w:lineRule="auto"/>
              <w:rPr>
                <w:rFonts w:ascii="Arial" w:hAnsi="Arial" w:cs="Arial"/>
                <w:sz w:val="20"/>
                <w:szCs w:val="20"/>
              </w:rPr>
            </w:pPr>
            <w:r w:rsidRPr="002E11C3">
              <w:rPr>
                <w:rFonts w:ascii="Arial" w:hAnsi="Arial" w:cs="Arial"/>
                <w:color w:val="000000"/>
                <w:sz w:val="20"/>
                <w:szCs w:val="20"/>
              </w:rPr>
              <w:t>The Ruling applies both before and after its date of issue.</w:t>
            </w:r>
          </w:p>
        </w:tc>
      </w:tr>
      <w:tr w:rsidR="00675C2A" w:rsidRPr="00773255" w:rsidTr="002E11C3">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675C2A" w:rsidRPr="00A84104" w:rsidRDefault="00675C2A" w:rsidP="00A84104">
            <w:pPr>
              <w:spacing w:after="120" w:line="240" w:lineRule="auto"/>
              <w:rPr>
                <w:rFonts w:ascii="Arial" w:hAnsi="Arial" w:cs="Arial"/>
                <w:sz w:val="20"/>
                <w:szCs w:val="20"/>
              </w:rPr>
            </w:pPr>
            <w:r w:rsidRPr="00A84104">
              <w:rPr>
                <w:rFonts w:ascii="Arial" w:hAnsi="Arial" w:cs="Arial"/>
                <w:sz w:val="20"/>
                <w:szCs w:val="20"/>
              </w:rPr>
              <w:t>TR 2014/8</w:t>
            </w:r>
          </w:p>
        </w:tc>
        <w:tc>
          <w:tcPr>
            <w:tcW w:w="3780" w:type="dxa"/>
            <w:tcBorders>
              <w:top w:val="single" w:sz="6" w:space="0" w:color="auto"/>
              <w:left w:val="single" w:sz="6" w:space="0" w:color="auto"/>
              <w:bottom w:val="single" w:sz="6" w:space="0" w:color="auto"/>
              <w:right w:val="single" w:sz="6" w:space="0" w:color="auto"/>
            </w:tcBorders>
          </w:tcPr>
          <w:p w:rsidR="00675C2A" w:rsidRPr="00A84104" w:rsidRDefault="00A84104" w:rsidP="00A84104">
            <w:pPr>
              <w:pStyle w:val="Header"/>
              <w:spacing w:after="120"/>
              <w:rPr>
                <w:rFonts w:ascii="Arial" w:hAnsi="Arial" w:cs="Arial"/>
                <w:color w:val="000000"/>
                <w:sz w:val="20"/>
                <w:szCs w:val="20"/>
              </w:rPr>
            </w:pPr>
            <w:r w:rsidRPr="00A84104">
              <w:rPr>
                <w:rFonts w:ascii="Arial" w:hAnsi="Arial" w:cs="Arial"/>
                <w:color w:val="000000"/>
                <w:sz w:val="20"/>
                <w:szCs w:val="20"/>
              </w:rPr>
              <w:t>Income tax:  transfer pricing documentation and Subdivision 284-E</w:t>
            </w:r>
          </w:p>
        </w:tc>
        <w:tc>
          <w:tcPr>
            <w:tcW w:w="4140" w:type="dxa"/>
            <w:tcBorders>
              <w:top w:val="single" w:sz="6" w:space="0" w:color="auto"/>
              <w:left w:val="single" w:sz="6" w:space="0" w:color="auto"/>
              <w:bottom w:val="single" w:sz="6" w:space="0" w:color="auto"/>
              <w:right w:val="single" w:sz="6" w:space="0" w:color="auto"/>
            </w:tcBorders>
          </w:tcPr>
          <w:p w:rsidR="00675C2A" w:rsidRPr="00A84104" w:rsidRDefault="00A84104" w:rsidP="00A84104">
            <w:pPr>
              <w:spacing w:after="120" w:line="240" w:lineRule="auto"/>
              <w:rPr>
                <w:rFonts w:ascii="Arial" w:hAnsi="Arial" w:cs="Arial"/>
                <w:color w:val="000000"/>
                <w:sz w:val="20"/>
                <w:szCs w:val="20"/>
              </w:rPr>
            </w:pPr>
            <w:r w:rsidRPr="00A84104">
              <w:rPr>
                <w:rFonts w:ascii="Arial" w:hAnsi="Arial" w:cs="Arial"/>
                <w:color w:val="000000"/>
                <w:sz w:val="20"/>
                <w:szCs w:val="20"/>
              </w:rPr>
              <w:t>The Ruling sets out the Commissioner’s position relating to transfer pricing documentation.</w:t>
            </w:r>
          </w:p>
          <w:p w:rsidR="00A84104" w:rsidRPr="00A84104" w:rsidRDefault="00A84104" w:rsidP="00A84104">
            <w:pPr>
              <w:spacing w:after="120" w:line="240" w:lineRule="auto"/>
              <w:rPr>
                <w:rFonts w:ascii="Arial" w:hAnsi="Arial" w:cs="Arial"/>
                <w:color w:val="000000"/>
                <w:sz w:val="20"/>
                <w:szCs w:val="20"/>
              </w:rPr>
            </w:pPr>
            <w:r w:rsidRPr="00A84104">
              <w:rPr>
                <w:rFonts w:ascii="Arial" w:hAnsi="Arial" w:cs="Arial"/>
                <w:sz w:val="20"/>
                <w:szCs w:val="20"/>
              </w:rPr>
              <w:t>The Ruling applies to income years commencing on or after 29 June 2013 in relation to income tax.</w:t>
            </w:r>
          </w:p>
        </w:tc>
      </w:tr>
      <w:tr w:rsidR="00675C2A" w:rsidRPr="00773255" w:rsidTr="002E11C3">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675C2A" w:rsidRPr="00675C2A" w:rsidRDefault="00675C2A" w:rsidP="00675C2A">
            <w:pPr>
              <w:spacing w:after="120" w:line="240" w:lineRule="auto"/>
              <w:rPr>
                <w:rFonts w:ascii="Arial" w:hAnsi="Arial" w:cs="Arial"/>
                <w:sz w:val="20"/>
                <w:szCs w:val="20"/>
              </w:rPr>
            </w:pPr>
            <w:r w:rsidRPr="00675C2A">
              <w:rPr>
                <w:rFonts w:ascii="Arial" w:hAnsi="Arial" w:cs="Arial"/>
                <w:sz w:val="20"/>
                <w:szCs w:val="20"/>
              </w:rPr>
              <w:t>TR 2014/9</w:t>
            </w:r>
          </w:p>
        </w:tc>
        <w:tc>
          <w:tcPr>
            <w:tcW w:w="3780" w:type="dxa"/>
            <w:tcBorders>
              <w:top w:val="single" w:sz="6" w:space="0" w:color="auto"/>
              <w:left w:val="single" w:sz="6" w:space="0" w:color="auto"/>
              <w:bottom w:val="single" w:sz="6" w:space="0" w:color="auto"/>
              <w:right w:val="single" w:sz="6" w:space="0" w:color="auto"/>
            </w:tcBorders>
          </w:tcPr>
          <w:p w:rsidR="00675C2A" w:rsidRPr="00675C2A" w:rsidRDefault="00675C2A" w:rsidP="00675C2A">
            <w:pPr>
              <w:pStyle w:val="Header"/>
              <w:spacing w:after="120"/>
              <w:rPr>
                <w:rFonts w:ascii="Arial" w:hAnsi="Arial" w:cs="Arial"/>
                <w:sz w:val="20"/>
                <w:szCs w:val="20"/>
              </w:rPr>
            </w:pPr>
            <w:r w:rsidRPr="00675C2A">
              <w:rPr>
                <w:rFonts w:ascii="Arial" w:hAnsi="Arial" w:cs="Arial"/>
                <w:sz w:val="20"/>
                <w:szCs w:val="20"/>
              </w:rPr>
              <w:t>Petroleum resource rent tax:  what does ‘involved in or in connection with exploration for petroleum’ mean?</w:t>
            </w:r>
          </w:p>
        </w:tc>
        <w:tc>
          <w:tcPr>
            <w:tcW w:w="4140" w:type="dxa"/>
            <w:tcBorders>
              <w:top w:val="single" w:sz="6" w:space="0" w:color="auto"/>
              <w:left w:val="single" w:sz="6" w:space="0" w:color="auto"/>
              <w:bottom w:val="single" w:sz="6" w:space="0" w:color="auto"/>
              <w:right w:val="single" w:sz="6" w:space="0" w:color="auto"/>
            </w:tcBorders>
          </w:tcPr>
          <w:p w:rsidR="00675C2A" w:rsidRPr="00675C2A" w:rsidRDefault="00675C2A" w:rsidP="00675C2A">
            <w:pPr>
              <w:spacing w:after="120" w:line="240" w:lineRule="auto"/>
              <w:rPr>
                <w:rFonts w:ascii="Arial" w:hAnsi="Arial" w:cs="Arial"/>
                <w:color w:val="000000"/>
                <w:sz w:val="20"/>
                <w:szCs w:val="20"/>
              </w:rPr>
            </w:pPr>
            <w:r w:rsidRPr="00675C2A">
              <w:rPr>
                <w:rFonts w:ascii="Arial" w:hAnsi="Arial" w:cs="Arial"/>
                <w:color w:val="000000"/>
                <w:sz w:val="20"/>
                <w:szCs w:val="20"/>
              </w:rPr>
              <w:t>The Ruling sets out the Commissioner’s position relating to exploration for petroleum.</w:t>
            </w:r>
          </w:p>
          <w:p w:rsidR="00675C2A" w:rsidRPr="00675C2A" w:rsidRDefault="00675C2A" w:rsidP="00675C2A">
            <w:pPr>
              <w:spacing w:after="120" w:line="240" w:lineRule="auto"/>
              <w:rPr>
                <w:rFonts w:ascii="Arial" w:hAnsi="Arial" w:cs="Arial"/>
                <w:color w:val="000000"/>
                <w:sz w:val="20"/>
                <w:szCs w:val="20"/>
              </w:rPr>
            </w:pPr>
            <w:r w:rsidRPr="00675C2A">
              <w:rPr>
                <w:rFonts w:ascii="Arial" w:hAnsi="Arial" w:cs="Arial"/>
                <w:sz w:val="20"/>
                <w:szCs w:val="20"/>
              </w:rPr>
              <w:t>The Ruling applies to expenditure incurred from 21 August 2013.</w:t>
            </w:r>
          </w:p>
        </w:tc>
      </w:tr>
      <w:tr w:rsidR="00E66814" w:rsidRPr="00773255" w:rsidTr="002E11C3">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E66814" w:rsidRPr="001A4747" w:rsidRDefault="00E66814" w:rsidP="001A4747">
            <w:pPr>
              <w:spacing w:after="120" w:line="240" w:lineRule="auto"/>
              <w:rPr>
                <w:rFonts w:ascii="Arial" w:hAnsi="Arial" w:cs="Arial"/>
                <w:sz w:val="20"/>
                <w:szCs w:val="20"/>
              </w:rPr>
            </w:pPr>
            <w:r w:rsidRPr="001A4747">
              <w:rPr>
                <w:rFonts w:ascii="Arial" w:hAnsi="Arial" w:cs="Arial"/>
                <w:sz w:val="20"/>
                <w:szCs w:val="20"/>
              </w:rPr>
              <w:t>TD 2014/22</w:t>
            </w:r>
          </w:p>
        </w:tc>
        <w:tc>
          <w:tcPr>
            <w:tcW w:w="3780" w:type="dxa"/>
            <w:tcBorders>
              <w:top w:val="single" w:sz="6" w:space="0" w:color="auto"/>
              <w:left w:val="single" w:sz="6" w:space="0" w:color="auto"/>
              <w:bottom w:val="single" w:sz="6" w:space="0" w:color="auto"/>
              <w:right w:val="single" w:sz="6" w:space="0" w:color="auto"/>
            </w:tcBorders>
          </w:tcPr>
          <w:p w:rsidR="00E66814" w:rsidRPr="001A4747" w:rsidRDefault="001A4747" w:rsidP="001A4747">
            <w:pPr>
              <w:pStyle w:val="Header"/>
              <w:spacing w:after="120"/>
              <w:rPr>
                <w:rFonts w:ascii="Arial" w:hAnsi="Arial" w:cs="Arial"/>
                <w:sz w:val="20"/>
                <w:szCs w:val="20"/>
              </w:rPr>
            </w:pPr>
            <w:r w:rsidRPr="001A4747">
              <w:rPr>
                <w:rFonts w:ascii="Arial" w:hAnsi="Arial" w:cs="Arial"/>
                <w:sz w:val="20"/>
                <w:szCs w:val="20"/>
              </w:rPr>
              <w:t>Income tax:  consolidation:  if the conditions in paragraph 50(3</w:t>
            </w:r>
            <w:proofErr w:type="gramStart"/>
            <w:r w:rsidRPr="001A4747">
              <w:rPr>
                <w:rFonts w:ascii="Arial" w:hAnsi="Arial" w:cs="Arial"/>
                <w:sz w:val="20"/>
                <w:szCs w:val="20"/>
              </w:rPr>
              <w:t>)(</w:t>
            </w:r>
            <w:proofErr w:type="gramEnd"/>
            <w:r w:rsidRPr="001A4747">
              <w:rPr>
                <w:rFonts w:ascii="Arial" w:hAnsi="Arial" w:cs="Arial"/>
                <w:sz w:val="20"/>
                <w:szCs w:val="20"/>
              </w:rPr>
              <w:t xml:space="preserve">a) of Part 4 of Schedule 3 to the </w:t>
            </w:r>
            <w:r w:rsidRPr="001A4747">
              <w:rPr>
                <w:rFonts w:ascii="Arial" w:hAnsi="Arial" w:cs="Arial"/>
                <w:i/>
                <w:sz w:val="20"/>
                <w:szCs w:val="20"/>
              </w:rPr>
              <w:t>Tax Laws Amendment (2012 Measures No. 2) Act 2012</w:t>
            </w:r>
            <w:r w:rsidRPr="001A4747">
              <w:rPr>
                <w:rFonts w:ascii="Arial" w:hAnsi="Arial" w:cs="Arial"/>
                <w:sz w:val="20"/>
                <w:szCs w:val="20"/>
              </w:rPr>
              <w:t xml:space="preserve"> are satisfied and the interim rules apply to an assessment and, on or after 29 June 2012, that assessment was amended to alter a claim made under the original 2010 law, do the interim rules apply to the altered claim?</w:t>
            </w:r>
          </w:p>
        </w:tc>
        <w:tc>
          <w:tcPr>
            <w:tcW w:w="4140" w:type="dxa"/>
            <w:tcBorders>
              <w:top w:val="single" w:sz="6" w:space="0" w:color="auto"/>
              <w:left w:val="single" w:sz="6" w:space="0" w:color="auto"/>
              <w:bottom w:val="single" w:sz="6" w:space="0" w:color="auto"/>
              <w:right w:val="single" w:sz="6" w:space="0" w:color="auto"/>
            </w:tcBorders>
          </w:tcPr>
          <w:p w:rsidR="001A4747" w:rsidRPr="001A4747" w:rsidRDefault="001A4747" w:rsidP="001A4747">
            <w:pPr>
              <w:spacing w:after="120" w:line="240" w:lineRule="auto"/>
              <w:rPr>
                <w:rFonts w:ascii="Arial" w:hAnsi="Arial" w:cs="Arial"/>
                <w:sz w:val="20"/>
                <w:szCs w:val="20"/>
              </w:rPr>
            </w:pPr>
            <w:r w:rsidRPr="001A4747">
              <w:rPr>
                <w:rFonts w:ascii="Arial" w:hAnsi="Arial" w:cs="Arial"/>
                <w:sz w:val="20"/>
                <w:szCs w:val="20"/>
              </w:rPr>
              <w:t xml:space="preserve">The Determination sets out the Commissioner’s position </w:t>
            </w:r>
            <w:r w:rsidR="006A0257">
              <w:rPr>
                <w:rFonts w:ascii="Arial" w:hAnsi="Arial" w:cs="Arial"/>
                <w:sz w:val="20"/>
                <w:szCs w:val="20"/>
              </w:rPr>
              <w:t>on interim rules that apply to altered claims.</w:t>
            </w:r>
          </w:p>
          <w:p w:rsidR="00E66814" w:rsidRPr="001A4747" w:rsidRDefault="001A4747" w:rsidP="001A4747">
            <w:pPr>
              <w:spacing w:after="120" w:line="240" w:lineRule="auto"/>
              <w:rPr>
                <w:rFonts w:ascii="Arial" w:hAnsi="Arial" w:cs="Arial"/>
                <w:sz w:val="20"/>
                <w:szCs w:val="20"/>
              </w:rPr>
            </w:pPr>
            <w:r w:rsidRPr="001A4747">
              <w:rPr>
                <w:rFonts w:ascii="Arial" w:hAnsi="Arial" w:cs="Arial"/>
                <w:sz w:val="20"/>
                <w:szCs w:val="20"/>
              </w:rPr>
              <w:t>The Determination applies to years of income commencing both before and after its date of issue.</w:t>
            </w:r>
          </w:p>
        </w:tc>
      </w:tr>
      <w:tr w:rsidR="00E66814" w:rsidRPr="00DF598B" w:rsidTr="002E11C3">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E66814" w:rsidRPr="00DF598B" w:rsidRDefault="00E66814" w:rsidP="00DF598B">
            <w:pPr>
              <w:spacing w:after="120" w:line="240" w:lineRule="auto"/>
              <w:rPr>
                <w:rFonts w:ascii="Arial" w:hAnsi="Arial" w:cs="Arial"/>
                <w:sz w:val="20"/>
                <w:szCs w:val="20"/>
              </w:rPr>
            </w:pPr>
            <w:r w:rsidRPr="00DF598B">
              <w:rPr>
                <w:rFonts w:ascii="Arial" w:hAnsi="Arial" w:cs="Arial"/>
                <w:sz w:val="20"/>
                <w:szCs w:val="20"/>
              </w:rPr>
              <w:lastRenderedPageBreak/>
              <w:t>TD 2014/23</w:t>
            </w:r>
          </w:p>
        </w:tc>
        <w:tc>
          <w:tcPr>
            <w:tcW w:w="3780" w:type="dxa"/>
            <w:tcBorders>
              <w:top w:val="single" w:sz="6" w:space="0" w:color="auto"/>
              <w:left w:val="single" w:sz="6" w:space="0" w:color="auto"/>
              <w:bottom w:val="single" w:sz="6" w:space="0" w:color="auto"/>
              <w:right w:val="single" w:sz="6" w:space="0" w:color="auto"/>
            </w:tcBorders>
          </w:tcPr>
          <w:p w:rsidR="00E66814" w:rsidRPr="00DF598B" w:rsidRDefault="00DF598B" w:rsidP="00DF598B">
            <w:pPr>
              <w:pStyle w:val="Header"/>
              <w:spacing w:after="120"/>
              <w:rPr>
                <w:rFonts w:ascii="Arial" w:hAnsi="Arial" w:cs="Arial"/>
                <w:sz w:val="20"/>
                <w:szCs w:val="20"/>
              </w:rPr>
            </w:pPr>
            <w:r w:rsidRPr="00DF598B">
              <w:rPr>
                <w:rFonts w:ascii="Arial" w:hAnsi="Arial" w:cs="Arial"/>
                <w:sz w:val="20"/>
                <w:szCs w:val="20"/>
              </w:rPr>
              <w:t xml:space="preserve">Income tax:  consolidation:  if the conditions in </w:t>
            </w:r>
            <w:proofErr w:type="spellStart"/>
            <w:r w:rsidRPr="00DF598B">
              <w:rPr>
                <w:rFonts w:ascii="Arial" w:hAnsi="Arial" w:cs="Arial"/>
                <w:sz w:val="20"/>
                <w:szCs w:val="20"/>
              </w:rPr>
              <w:t>subitem</w:t>
            </w:r>
            <w:proofErr w:type="spellEnd"/>
            <w:r w:rsidRPr="00DF598B">
              <w:rPr>
                <w:rFonts w:ascii="Arial" w:hAnsi="Arial" w:cs="Arial"/>
                <w:sz w:val="20"/>
                <w:szCs w:val="20"/>
              </w:rPr>
              <w:t xml:space="preserve"> 50(5) of Part 4 of Schedule 3 to the </w:t>
            </w:r>
            <w:r w:rsidRPr="00DF598B">
              <w:rPr>
                <w:rFonts w:ascii="Arial" w:hAnsi="Arial" w:cs="Arial"/>
                <w:i/>
                <w:sz w:val="20"/>
                <w:szCs w:val="20"/>
              </w:rPr>
              <w:t>Tax Laws Amendment (2012 Measures No. 2) Act 2012</w:t>
            </w:r>
            <w:r w:rsidRPr="00DF598B">
              <w:rPr>
                <w:rFonts w:ascii="Arial" w:hAnsi="Arial" w:cs="Arial"/>
                <w:sz w:val="20"/>
                <w:szCs w:val="20"/>
              </w:rPr>
              <w:t xml:space="preserve"> are satisfied and the original 2002 law applies to an assessment, will a subsequent request by the head company to amend that assessment result in the pre rules applying, by virtue of </w:t>
            </w:r>
            <w:proofErr w:type="spellStart"/>
            <w:r w:rsidRPr="00DF598B">
              <w:rPr>
                <w:rFonts w:ascii="Arial" w:hAnsi="Arial" w:cs="Arial"/>
                <w:sz w:val="20"/>
                <w:szCs w:val="20"/>
              </w:rPr>
              <w:t>subitem</w:t>
            </w:r>
            <w:proofErr w:type="spellEnd"/>
            <w:r w:rsidRPr="00DF598B">
              <w:rPr>
                <w:rFonts w:ascii="Arial" w:hAnsi="Arial" w:cs="Arial"/>
                <w:sz w:val="20"/>
                <w:szCs w:val="20"/>
              </w:rPr>
              <w:t> 50(6), to the entire assessment or only to the subsequent amendment request?</w:t>
            </w:r>
          </w:p>
        </w:tc>
        <w:tc>
          <w:tcPr>
            <w:tcW w:w="4140" w:type="dxa"/>
            <w:tcBorders>
              <w:top w:val="single" w:sz="6" w:space="0" w:color="auto"/>
              <w:left w:val="single" w:sz="6" w:space="0" w:color="auto"/>
              <w:bottom w:val="single" w:sz="6" w:space="0" w:color="auto"/>
              <w:right w:val="single" w:sz="6" w:space="0" w:color="auto"/>
            </w:tcBorders>
          </w:tcPr>
          <w:p w:rsidR="00E66814" w:rsidRPr="00DF598B" w:rsidRDefault="00DF598B" w:rsidP="00DF598B">
            <w:pPr>
              <w:spacing w:after="120" w:line="240" w:lineRule="auto"/>
              <w:rPr>
                <w:rFonts w:ascii="Arial" w:hAnsi="Arial" w:cs="Arial"/>
                <w:sz w:val="20"/>
                <w:szCs w:val="20"/>
              </w:rPr>
            </w:pPr>
            <w:r w:rsidRPr="00DF598B">
              <w:rPr>
                <w:rFonts w:ascii="Arial" w:hAnsi="Arial" w:cs="Arial"/>
                <w:sz w:val="20"/>
                <w:szCs w:val="20"/>
              </w:rPr>
              <w:t>The Determination sets out the Commissioner’s position</w:t>
            </w:r>
            <w:r>
              <w:rPr>
                <w:rFonts w:ascii="Arial" w:hAnsi="Arial" w:cs="Arial"/>
                <w:sz w:val="20"/>
                <w:szCs w:val="20"/>
              </w:rPr>
              <w:t xml:space="preserve"> </w:t>
            </w:r>
            <w:r w:rsidR="00C4008A">
              <w:rPr>
                <w:rFonts w:ascii="Arial" w:hAnsi="Arial" w:cs="Arial"/>
                <w:sz w:val="20"/>
                <w:szCs w:val="20"/>
              </w:rPr>
              <w:t>for consolidated companies that request an amendment to their assessment</w:t>
            </w:r>
            <w:r>
              <w:rPr>
                <w:rFonts w:ascii="Arial" w:hAnsi="Arial" w:cs="Arial"/>
                <w:sz w:val="20"/>
                <w:szCs w:val="20"/>
              </w:rPr>
              <w:t>.</w:t>
            </w:r>
          </w:p>
          <w:p w:rsidR="00DF598B" w:rsidRPr="00DF598B" w:rsidRDefault="00DF598B" w:rsidP="00DF598B">
            <w:pPr>
              <w:spacing w:after="120" w:line="240" w:lineRule="auto"/>
              <w:rPr>
                <w:rFonts w:ascii="Arial" w:hAnsi="Arial" w:cs="Arial"/>
                <w:sz w:val="20"/>
                <w:szCs w:val="20"/>
              </w:rPr>
            </w:pPr>
            <w:r w:rsidRPr="00DF598B">
              <w:rPr>
                <w:rFonts w:ascii="Arial" w:hAnsi="Arial" w:cs="Arial"/>
                <w:sz w:val="20"/>
                <w:szCs w:val="20"/>
              </w:rPr>
              <w:t>Application:  The Determination applies to years of income commencing both before and after its date of issue.</w:t>
            </w:r>
          </w:p>
        </w:tc>
      </w:tr>
      <w:tr w:rsidR="00E66814" w:rsidRPr="00773255" w:rsidTr="002E11C3">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E66814" w:rsidRPr="00C4008A" w:rsidRDefault="00E66814" w:rsidP="00C4008A">
            <w:pPr>
              <w:spacing w:after="120" w:line="240" w:lineRule="auto"/>
              <w:rPr>
                <w:rFonts w:ascii="Arial" w:hAnsi="Arial" w:cs="Arial"/>
                <w:sz w:val="20"/>
                <w:szCs w:val="20"/>
              </w:rPr>
            </w:pPr>
            <w:r w:rsidRPr="00C4008A">
              <w:rPr>
                <w:rFonts w:ascii="Arial" w:hAnsi="Arial" w:cs="Arial"/>
                <w:sz w:val="20"/>
                <w:szCs w:val="20"/>
              </w:rPr>
              <w:t>TD 2014/24</w:t>
            </w:r>
          </w:p>
        </w:tc>
        <w:tc>
          <w:tcPr>
            <w:tcW w:w="3780" w:type="dxa"/>
            <w:tcBorders>
              <w:top w:val="single" w:sz="6" w:space="0" w:color="auto"/>
              <w:left w:val="single" w:sz="6" w:space="0" w:color="auto"/>
              <w:bottom w:val="single" w:sz="6" w:space="0" w:color="auto"/>
              <w:right w:val="single" w:sz="6" w:space="0" w:color="auto"/>
            </w:tcBorders>
          </w:tcPr>
          <w:p w:rsidR="00E66814" w:rsidRPr="00C4008A" w:rsidRDefault="00C4008A" w:rsidP="00C4008A">
            <w:pPr>
              <w:spacing w:after="120" w:line="240" w:lineRule="auto"/>
              <w:rPr>
                <w:rFonts w:ascii="Arial" w:hAnsi="Arial" w:cs="Arial"/>
                <w:sz w:val="20"/>
                <w:szCs w:val="20"/>
              </w:rPr>
            </w:pPr>
            <w:r w:rsidRPr="00C4008A">
              <w:rPr>
                <w:rFonts w:ascii="Arial" w:hAnsi="Arial" w:cs="Arial"/>
                <w:sz w:val="20"/>
                <w:szCs w:val="20"/>
              </w:rPr>
              <w:t>Income tax:  consolidation:  if the conditions in paragraph 50(3</w:t>
            </w:r>
            <w:proofErr w:type="gramStart"/>
            <w:r w:rsidRPr="00C4008A">
              <w:rPr>
                <w:rFonts w:ascii="Arial" w:hAnsi="Arial" w:cs="Arial"/>
                <w:sz w:val="20"/>
                <w:szCs w:val="20"/>
              </w:rPr>
              <w:t>)(</w:t>
            </w:r>
            <w:proofErr w:type="gramEnd"/>
            <w:r w:rsidRPr="00C4008A">
              <w:rPr>
                <w:rFonts w:ascii="Arial" w:hAnsi="Arial" w:cs="Arial"/>
                <w:sz w:val="20"/>
                <w:szCs w:val="20"/>
              </w:rPr>
              <w:t xml:space="preserve">a) of Part 4 of Schedule 3 to the </w:t>
            </w:r>
            <w:r w:rsidRPr="00C4008A">
              <w:rPr>
                <w:rFonts w:ascii="Arial" w:hAnsi="Arial" w:cs="Arial"/>
                <w:i/>
                <w:sz w:val="20"/>
                <w:szCs w:val="20"/>
              </w:rPr>
              <w:t>Tax Laws Amendment (2012 Measures No. 2) Act 2012</w:t>
            </w:r>
            <w:r w:rsidRPr="00C4008A">
              <w:rPr>
                <w:rFonts w:ascii="Arial" w:hAnsi="Arial" w:cs="Arial"/>
                <w:sz w:val="20"/>
                <w:szCs w:val="20"/>
              </w:rPr>
              <w:t xml:space="preserve"> are satisfied and the interim rules apply to an assessment and, on or after 29 June 2012, that assessment is amended to include a new claim which was not previously made in the assessment, do the interim rules apply to the new claim?</w:t>
            </w:r>
          </w:p>
        </w:tc>
        <w:tc>
          <w:tcPr>
            <w:tcW w:w="4140" w:type="dxa"/>
            <w:tcBorders>
              <w:top w:val="single" w:sz="6" w:space="0" w:color="auto"/>
              <w:left w:val="single" w:sz="6" w:space="0" w:color="auto"/>
              <w:bottom w:val="single" w:sz="6" w:space="0" w:color="auto"/>
              <w:right w:val="single" w:sz="6" w:space="0" w:color="auto"/>
            </w:tcBorders>
          </w:tcPr>
          <w:p w:rsidR="00C4008A" w:rsidRDefault="00C4008A" w:rsidP="00C4008A">
            <w:pPr>
              <w:spacing w:after="120" w:line="240" w:lineRule="auto"/>
              <w:rPr>
                <w:rFonts w:ascii="Arial" w:hAnsi="Arial" w:cs="Arial"/>
                <w:sz w:val="20"/>
                <w:szCs w:val="20"/>
              </w:rPr>
            </w:pPr>
            <w:r w:rsidRPr="00DF598B">
              <w:rPr>
                <w:rFonts w:ascii="Arial" w:hAnsi="Arial" w:cs="Arial"/>
                <w:sz w:val="20"/>
                <w:szCs w:val="20"/>
              </w:rPr>
              <w:t>The Determination sets out the Commissioner’s position</w:t>
            </w:r>
            <w:r>
              <w:rPr>
                <w:rFonts w:ascii="Arial" w:hAnsi="Arial" w:cs="Arial"/>
                <w:sz w:val="20"/>
                <w:szCs w:val="20"/>
              </w:rPr>
              <w:t xml:space="preserve"> for consolidated companies that request an amendment to an assessment to include a new claim.</w:t>
            </w:r>
          </w:p>
          <w:p w:rsidR="00E66814" w:rsidRPr="00C4008A" w:rsidRDefault="00C4008A" w:rsidP="00C4008A">
            <w:pPr>
              <w:spacing w:after="120" w:line="240" w:lineRule="auto"/>
              <w:rPr>
                <w:rFonts w:ascii="Arial" w:hAnsi="Arial" w:cs="Arial"/>
                <w:sz w:val="20"/>
                <w:szCs w:val="20"/>
              </w:rPr>
            </w:pPr>
            <w:r w:rsidRPr="00C4008A">
              <w:rPr>
                <w:rFonts w:ascii="Arial" w:hAnsi="Arial" w:cs="Arial"/>
                <w:sz w:val="20"/>
                <w:szCs w:val="20"/>
              </w:rPr>
              <w:t>The Determination applies to years of income commencing both before and after its date of issue.</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114CB2" w:rsidRPr="00C4008A" w:rsidRDefault="009222D9" w:rsidP="00C4008A">
            <w:pPr>
              <w:spacing w:after="120" w:line="240" w:lineRule="auto"/>
              <w:rPr>
                <w:rFonts w:ascii="Arial" w:hAnsi="Arial" w:cs="Arial"/>
                <w:sz w:val="20"/>
                <w:szCs w:val="20"/>
              </w:rPr>
            </w:pPr>
            <w:r w:rsidRPr="00C4008A">
              <w:rPr>
                <w:rFonts w:ascii="Arial" w:hAnsi="Arial" w:cs="Arial"/>
                <w:sz w:val="20"/>
                <w:szCs w:val="20"/>
              </w:rPr>
              <w:t>TD 2014/25</w:t>
            </w:r>
          </w:p>
        </w:tc>
        <w:tc>
          <w:tcPr>
            <w:tcW w:w="3780" w:type="dxa"/>
            <w:tcBorders>
              <w:top w:val="single" w:sz="6" w:space="0" w:color="auto"/>
              <w:left w:val="single" w:sz="6" w:space="0" w:color="auto"/>
              <w:bottom w:val="single" w:sz="6" w:space="0" w:color="auto"/>
              <w:right w:val="single" w:sz="6" w:space="0" w:color="auto"/>
            </w:tcBorders>
          </w:tcPr>
          <w:p w:rsidR="00114CB2" w:rsidRPr="00C4008A" w:rsidDel="00F44FF5" w:rsidRDefault="00C4008A" w:rsidP="00C4008A">
            <w:pPr>
              <w:pStyle w:val="Header"/>
              <w:spacing w:after="120"/>
              <w:rPr>
                <w:rFonts w:ascii="Arial" w:hAnsi="Arial" w:cs="Arial"/>
                <w:sz w:val="20"/>
                <w:szCs w:val="20"/>
              </w:rPr>
            </w:pPr>
            <w:r w:rsidRPr="00C4008A">
              <w:rPr>
                <w:rFonts w:ascii="Arial" w:hAnsi="Arial" w:cs="Arial"/>
                <w:sz w:val="20"/>
                <w:szCs w:val="20"/>
              </w:rPr>
              <w:t xml:space="preserve">Income tax:  is bitcoin a ‘foreign currency’ for the purposes of Division 775 of the </w:t>
            </w:r>
            <w:r w:rsidRPr="00C4008A">
              <w:rPr>
                <w:rFonts w:ascii="Arial" w:hAnsi="Arial" w:cs="Arial"/>
                <w:i/>
                <w:sz w:val="20"/>
                <w:szCs w:val="20"/>
              </w:rPr>
              <w:t>Income Tax Assessment Act 1997</w:t>
            </w:r>
            <w:r w:rsidRPr="00C4008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C4008A" w:rsidRPr="00C4008A" w:rsidRDefault="00C4008A" w:rsidP="00C4008A">
            <w:pPr>
              <w:spacing w:after="120" w:line="240" w:lineRule="auto"/>
              <w:rPr>
                <w:rFonts w:ascii="Arial" w:hAnsi="Arial" w:cs="Arial"/>
                <w:sz w:val="20"/>
                <w:szCs w:val="20"/>
              </w:rPr>
            </w:pPr>
            <w:r w:rsidRPr="00C4008A">
              <w:rPr>
                <w:rFonts w:ascii="Arial" w:hAnsi="Arial" w:cs="Arial"/>
                <w:sz w:val="20"/>
                <w:szCs w:val="20"/>
              </w:rPr>
              <w:t>The Determination sets out the Commissioner’s position on treating bitcoin as a foreign currency.</w:t>
            </w:r>
          </w:p>
          <w:p w:rsidR="00E823AE" w:rsidRPr="00C4008A" w:rsidRDefault="00C4008A" w:rsidP="00C4008A">
            <w:pPr>
              <w:spacing w:after="120" w:line="240" w:lineRule="auto"/>
              <w:rPr>
                <w:rFonts w:ascii="Arial" w:hAnsi="Arial" w:cs="Arial"/>
                <w:sz w:val="20"/>
                <w:szCs w:val="20"/>
              </w:rPr>
            </w:pPr>
            <w:r w:rsidRPr="00C4008A">
              <w:rPr>
                <w:rFonts w:ascii="Arial" w:hAnsi="Arial" w:cs="Arial"/>
                <w:sz w:val="20"/>
                <w:szCs w:val="20"/>
              </w:rPr>
              <w:t>The Determination applies to years of income commencing both before and after its date of issue.</w:t>
            </w:r>
          </w:p>
        </w:tc>
      </w:tr>
      <w:tr w:rsidR="008B0D5F"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8B0D5F" w:rsidRPr="0086443E" w:rsidRDefault="009222D9" w:rsidP="0086443E">
            <w:pPr>
              <w:spacing w:after="120" w:line="240" w:lineRule="auto"/>
              <w:rPr>
                <w:rFonts w:ascii="Arial" w:hAnsi="Arial" w:cs="Arial"/>
                <w:sz w:val="20"/>
                <w:szCs w:val="20"/>
              </w:rPr>
            </w:pPr>
            <w:r w:rsidRPr="0086443E">
              <w:rPr>
                <w:rFonts w:ascii="Arial" w:hAnsi="Arial" w:cs="Arial"/>
                <w:sz w:val="20"/>
                <w:szCs w:val="20"/>
              </w:rPr>
              <w:t>TD 2014/26</w:t>
            </w:r>
          </w:p>
        </w:tc>
        <w:tc>
          <w:tcPr>
            <w:tcW w:w="3780" w:type="dxa"/>
            <w:tcBorders>
              <w:top w:val="single" w:sz="6" w:space="0" w:color="auto"/>
              <w:left w:val="single" w:sz="6" w:space="0" w:color="auto"/>
              <w:bottom w:val="single" w:sz="6" w:space="0" w:color="auto"/>
              <w:right w:val="single" w:sz="6" w:space="0" w:color="auto"/>
            </w:tcBorders>
          </w:tcPr>
          <w:p w:rsidR="008B0D5F" w:rsidRPr="0086443E" w:rsidDel="00F44FF5" w:rsidRDefault="0086443E" w:rsidP="0086443E">
            <w:pPr>
              <w:pStyle w:val="Header"/>
              <w:spacing w:after="120"/>
              <w:rPr>
                <w:rFonts w:ascii="Arial" w:hAnsi="Arial" w:cs="Arial"/>
                <w:sz w:val="20"/>
                <w:szCs w:val="20"/>
              </w:rPr>
            </w:pPr>
            <w:r w:rsidRPr="0086443E">
              <w:rPr>
                <w:rFonts w:ascii="Arial" w:hAnsi="Arial" w:cs="Arial"/>
                <w:sz w:val="20"/>
                <w:szCs w:val="20"/>
              </w:rPr>
              <w:t xml:space="preserve">Income tax:  is bitcoin a ‘CGT asset’ for the purposes of subsection 108-5(1) of the </w:t>
            </w:r>
            <w:r w:rsidRPr="0086443E">
              <w:rPr>
                <w:rFonts w:ascii="Arial" w:hAnsi="Arial" w:cs="Arial"/>
                <w:i/>
                <w:sz w:val="20"/>
                <w:szCs w:val="20"/>
              </w:rPr>
              <w:t>Income Tax Assessment Act 1997</w:t>
            </w:r>
            <w:r w:rsidRPr="0086443E">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86443E" w:rsidRPr="0086443E" w:rsidRDefault="0086443E" w:rsidP="0086443E">
            <w:pPr>
              <w:spacing w:after="120" w:line="240" w:lineRule="auto"/>
              <w:rPr>
                <w:rFonts w:ascii="Arial" w:hAnsi="Arial" w:cs="Arial"/>
                <w:sz w:val="20"/>
                <w:szCs w:val="20"/>
              </w:rPr>
            </w:pPr>
            <w:r w:rsidRPr="0086443E">
              <w:rPr>
                <w:rFonts w:ascii="Arial" w:hAnsi="Arial" w:cs="Arial"/>
                <w:sz w:val="20"/>
                <w:szCs w:val="20"/>
              </w:rPr>
              <w:t>The Determination sets out the Commissioner’s position on treating bitcoin as a CGT asset.</w:t>
            </w:r>
          </w:p>
          <w:p w:rsidR="008B0D5F" w:rsidRPr="0086443E" w:rsidRDefault="0086443E" w:rsidP="0086443E">
            <w:pPr>
              <w:spacing w:after="120" w:line="240" w:lineRule="auto"/>
              <w:rPr>
                <w:rFonts w:ascii="Arial" w:hAnsi="Arial" w:cs="Arial"/>
                <w:sz w:val="20"/>
                <w:szCs w:val="20"/>
              </w:rPr>
            </w:pPr>
            <w:r w:rsidRPr="0086443E">
              <w:rPr>
                <w:rFonts w:ascii="Arial" w:hAnsi="Arial" w:cs="Arial"/>
                <w:sz w:val="20"/>
                <w:szCs w:val="20"/>
              </w:rPr>
              <w:t>The Determination applies to years of income commencing both before and after its date of issue.</w:t>
            </w:r>
          </w:p>
        </w:tc>
      </w:tr>
      <w:tr w:rsidR="008B0D5F"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8B0D5F" w:rsidRPr="00C6118E" w:rsidRDefault="009222D9" w:rsidP="00C6118E">
            <w:pPr>
              <w:spacing w:after="120" w:line="240" w:lineRule="auto"/>
              <w:rPr>
                <w:rFonts w:ascii="Arial" w:hAnsi="Arial" w:cs="Arial"/>
                <w:sz w:val="20"/>
                <w:szCs w:val="20"/>
              </w:rPr>
            </w:pPr>
            <w:r w:rsidRPr="00C6118E">
              <w:rPr>
                <w:rFonts w:ascii="Arial" w:hAnsi="Arial" w:cs="Arial"/>
                <w:sz w:val="20"/>
                <w:szCs w:val="20"/>
              </w:rPr>
              <w:t>TD 2014/27</w:t>
            </w:r>
          </w:p>
        </w:tc>
        <w:tc>
          <w:tcPr>
            <w:tcW w:w="3780" w:type="dxa"/>
            <w:tcBorders>
              <w:top w:val="single" w:sz="6" w:space="0" w:color="auto"/>
              <w:left w:val="single" w:sz="6" w:space="0" w:color="auto"/>
              <w:bottom w:val="single" w:sz="6" w:space="0" w:color="auto"/>
              <w:right w:val="single" w:sz="6" w:space="0" w:color="auto"/>
            </w:tcBorders>
          </w:tcPr>
          <w:p w:rsidR="008B0D5F" w:rsidRPr="00C6118E" w:rsidDel="00F44FF5" w:rsidRDefault="0086443E" w:rsidP="00C6118E">
            <w:pPr>
              <w:pStyle w:val="Header"/>
              <w:spacing w:after="120"/>
              <w:rPr>
                <w:rFonts w:ascii="Arial" w:hAnsi="Arial" w:cs="Arial"/>
                <w:sz w:val="20"/>
                <w:szCs w:val="20"/>
              </w:rPr>
            </w:pPr>
            <w:r w:rsidRPr="00C6118E">
              <w:rPr>
                <w:rFonts w:ascii="Arial" w:hAnsi="Arial" w:cs="Arial"/>
                <w:sz w:val="20"/>
                <w:szCs w:val="20"/>
              </w:rPr>
              <w:t xml:space="preserve">Income tax:  is bitcoin trading stock for the purposes of subsection 70-10(1) of the </w:t>
            </w:r>
            <w:r w:rsidRPr="00C6118E">
              <w:rPr>
                <w:rFonts w:ascii="Arial" w:hAnsi="Arial" w:cs="Arial"/>
                <w:i/>
                <w:sz w:val="20"/>
                <w:szCs w:val="20"/>
              </w:rPr>
              <w:t>Income Tax Assessment Act 1997</w:t>
            </w:r>
            <w:r w:rsidRPr="00C6118E">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C6118E" w:rsidRPr="00C6118E" w:rsidRDefault="00C6118E" w:rsidP="00C6118E">
            <w:pPr>
              <w:spacing w:after="120" w:line="240" w:lineRule="auto"/>
              <w:rPr>
                <w:rFonts w:ascii="Arial" w:hAnsi="Arial" w:cs="Arial"/>
                <w:sz w:val="20"/>
                <w:szCs w:val="20"/>
              </w:rPr>
            </w:pPr>
            <w:r w:rsidRPr="00C6118E">
              <w:rPr>
                <w:rFonts w:ascii="Arial" w:hAnsi="Arial" w:cs="Arial"/>
                <w:sz w:val="20"/>
                <w:szCs w:val="20"/>
              </w:rPr>
              <w:t>The Determination sets out the Commissioner’s position on treating bitcoin as trading stock.</w:t>
            </w:r>
          </w:p>
          <w:p w:rsidR="008B0D5F" w:rsidRPr="00C6118E" w:rsidRDefault="00C6118E" w:rsidP="00C6118E">
            <w:pPr>
              <w:spacing w:after="120" w:line="240" w:lineRule="auto"/>
              <w:rPr>
                <w:rFonts w:ascii="Arial" w:hAnsi="Arial" w:cs="Arial"/>
                <w:sz w:val="20"/>
                <w:szCs w:val="20"/>
              </w:rPr>
            </w:pPr>
            <w:r w:rsidRPr="00C6118E">
              <w:rPr>
                <w:rFonts w:ascii="Arial" w:hAnsi="Arial" w:cs="Arial"/>
                <w:sz w:val="20"/>
                <w:szCs w:val="20"/>
              </w:rPr>
              <w:t>The Determination applies to years of income commencing both before and after its date of issue.</w:t>
            </w:r>
          </w:p>
        </w:tc>
      </w:tr>
      <w:tr w:rsidR="008B0D5F"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8B0D5F" w:rsidRPr="00C6118E" w:rsidRDefault="009222D9" w:rsidP="00C6118E">
            <w:pPr>
              <w:spacing w:after="120" w:line="240" w:lineRule="auto"/>
              <w:rPr>
                <w:rFonts w:ascii="Arial" w:hAnsi="Arial" w:cs="Arial"/>
                <w:sz w:val="20"/>
                <w:szCs w:val="20"/>
              </w:rPr>
            </w:pPr>
            <w:r w:rsidRPr="00C6118E">
              <w:rPr>
                <w:rFonts w:ascii="Arial" w:hAnsi="Arial" w:cs="Arial"/>
                <w:sz w:val="20"/>
                <w:szCs w:val="20"/>
              </w:rPr>
              <w:t>TD 2014/28</w:t>
            </w:r>
          </w:p>
        </w:tc>
        <w:tc>
          <w:tcPr>
            <w:tcW w:w="3780" w:type="dxa"/>
            <w:tcBorders>
              <w:top w:val="single" w:sz="6" w:space="0" w:color="auto"/>
              <w:left w:val="single" w:sz="6" w:space="0" w:color="auto"/>
              <w:bottom w:val="single" w:sz="6" w:space="0" w:color="auto"/>
              <w:right w:val="single" w:sz="6" w:space="0" w:color="auto"/>
            </w:tcBorders>
          </w:tcPr>
          <w:p w:rsidR="008B0D5F" w:rsidRPr="00C6118E" w:rsidDel="00F44FF5" w:rsidRDefault="00C6118E" w:rsidP="00C6118E">
            <w:pPr>
              <w:pStyle w:val="Header"/>
              <w:spacing w:after="120"/>
              <w:rPr>
                <w:rFonts w:ascii="Arial" w:hAnsi="Arial" w:cs="Arial"/>
                <w:color w:val="000000"/>
                <w:sz w:val="20"/>
                <w:szCs w:val="20"/>
              </w:rPr>
            </w:pPr>
            <w:r w:rsidRPr="00C6118E">
              <w:rPr>
                <w:rFonts w:ascii="Arial" w:hAnsi="Arial" w:cs="Arial"/>
                <w:sz w:val="20"/>
                <w:szCs w:val="20"/>
              </w:rPr>
              <w:t xml:space="preserve">Fringe benefits tax:  is the provision of bitcoin by an employer to an employee in respect of their employment a property fringe benefit for the purposes of subsection 136(1) of the </w:t>
            </w:r>
            <w:r w:rsidRPr="00C6118E">
              <w:rPr>
                <w:rFonts w:ascii="Arial" w:hAnsi="Arial" w:cs="Arial"/>
                <w:i/>
                <w:sz w:val="20"/>
                <w:szCs w:val="20"/>
              </w:rPr>
              <w:t>Fringe Benefits Tax Assessment Act 1986</w:t>
            </w:r>
            <w:r w:rsidRPr="00C6118E">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C6118E" w:rsidRPr="00C6118E" w:rsidRDefault="00C6118E" w:rsidP="00C6118E">
            <w:pPr>
              <w:spacing w:after="120" w:line="240" w:lineRule="auto"/>
              <w:rPr>
                <w:rFonts w:ascii="Arial" w:hAnsi="Arial" w:cs="Arial"/>
                <w:sz w:val="20"/>
                <w:szCs w:val="20"/>
              </w:rPr>
            </w:pPr>
            <w:r w:rsidRPr="00C6118E">
              <w:rPr>
                <w:rFonts w:ascii="Arial" w:hAnsi="Arial" w:cs="Arial"/>
                <w:sz w:val="20"/>
                <w:szCs w:val="20"/>
              </w:rPr>
              <w:t>The Determination sets out the Commissioner’s position on treating bitcoin as a fringe benefit.</w:t>
            </w:r>
          </w:p>
          <w:p w:rsidR="008B0D5F" w:rsidRPr="00C6118E" w:rsidRDefault="00C6118E" w:rsidP="00C6118E">
            <w:pPr>
              <w:spacing w:after="120" w:line="240" w:lineRule="auto"/>
              <w:rPr>
                <w:rFonts w:ascii="Arial" w:hAnsi="Arial" w:cs="Arial"/>
                <w:sz w:val="20"/>
                <w:szCs w:val="20"/>
              </w:rPr>
            </w:pPr>
            <w:r w:rsidRPr="00C6118E">
              <w:rPr>
                <w:rFonts w:ascii="Arial" w:hAnsi="Arial" w:cs="Arial"/>
                <w:sz w:val="20"/>
                <w:szCs w:val="20"/>
              </w:rPr>
              <w:t>The Determination applies to years of income commencing both before and after its date of issue.</w:t>
            </w:r>
          </w:p>
        </w:tc>
      </w:tr>
      <w:tr w:rsidR="008B0D5F"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8B0D5F" w:rsidRPr="00461025" w:rsidRDefault="008B0D5F" w:rsidP="00933CD9">
            <w:pPr>
              <w:spacing w:after="120" w:line="240" w:lineRule="auto"/>
              <w:rPr>
                <w:rFonts w:ascii="Arial" w:hAnsi="Arial" w:cs="Arial"/>
                <w:sz w:val="20"/>
                <w:szCs w:val="20"/>
              </w:rPr>
            </w:pPr>
            <w:r w:rsidRPr="00461025">
              <w:rPr>
                <w:rFonts w:ascii="Arial" w:hAnsi="Arial" w:cs="Arial"/>
                <w:sz w:val="20"/>
                <w:szCs w:val="20"/>
              </w:rPr>
              <w:t>CR 2014/102</w:t>
            </w:r>
          </w:p>
        </w:tc>
        <w:tc>
          <w:tcPr>
            <w:tcW w:w="3780" w:type="dxa"/>
            <w:tcBorders>
              <w:top w:val="single" w:sz="6" w:space="0" w:color="auto"/>
              <w:left w:val="single" w:sz="6" w:space="0" w:color="auto"/>
              <w:bottom w:val="single" w:sz="6" w:space="0" w:color="auto"/>
              <w:right w:val="single" w:sz="6" w:space="0" w:color="auto"/>
            </w:tcBorders>
          </w:tcPr>
          <w:p w:rsidR="008B0D5F" w:rsidRPr="00461025" w:rsidDel="00F44FF5" w:rsidRDefault="008B0D5F" w:rsidP="00933CD9">
            <w:pPr>
              <w:pStyle w:val="Header"/>
              <w:spacing w:after="120"/>
              <w:rPr>
                <w:rFonts w:ascii="Arial" w:hAnsi="Arial" w:cs="Arial"/>
                <w:color w:val="000000"/>
                <w:sz w:val="20"/>
                <w:szCs w:val="20"/>
              </w:rPr>
            </w:pPr>
            <w:bookmarkStart w:id="1" w:name="GTopicHeader"/>
            <w:r w:rsidRPr="00461025">
              <w:rPr>
                <w:rFonts w:ascii="Arial" w:hAnsi="Arial" w:cs="Arial"/>
                <w:color w:val="000000"/>
                <w:sz w:val="20"/>
                <w:szCs w:val="20"/>
              </w:rPr>
              <w:t>Income tax:  Murdoch University ATO Approved Voluntary Retirement Scheme</w:t>
            </w:r>
            <w:bookmarkEnd w:id="1"/>
          </w:p>
        </w:tc>
        <w:tc>
          <w:tcPr>
            <w:tcW w:w="4140" w:type="dxa"/>
            <w:tcBorders>
              <w:top w:val="single" w:sz="6" w:space="0" w:color="auto"/>
              <w:left w:val="single" w:sz="6" w:space="0" w:color="auto"/>
              <w:bottom w:val="single" w:sz="6" w:space="0" w:color="auto"/>
              <w:right w:val="single" w:sz="6" w:space="0" w:color="auto"/>
            </w:tcBorders>
          </w:tcPr>
          <w:p w:rsidR="008B0D5F" w:rsidRPr="00461025" w:rsidRDefault="008B0D5F" w:rsidP="00933CD9">
            <w:pPr>
              <w:spacing w:after="120" w:line="240" w:lineRule="auto"/>
              <w:rPr>
                <w:rFonts w:ascii="Arial" w:hAnsi="Arial" w:cs="Arial"/>
                <w:color w:val="000000"/>
                <w:sz w:val="20"/>
                <w:szCs w:val="20"/>
              </w:rPr>
            </w:pPr>
            <w:r w:rsidRPr="00461025">
              <w:rPr>
                <w:rFonts w:ascii="Arial" w:hAnsi="Arial" w:cs="Arial"/>
                <w:color w:val="000000"/>
                <w:sz w:val="20"/>
                <w:szCs w:val="20"/>
              </w:rPr>
              <w:t>The Ruling sets out the Commissioner’s position for employees of Murdoch University.</w:t>
            </w:r>
          </w:p>
          <w:p w:rsidR="008B0D5F" w:rsidRPr="00461025" w:rsidRDefault="008B0D5F" w:rsidP="00933CD9">
            <w:pPr>
              <w:spacing w:after="120" w:line="240" w:lineRule="auto"/>
              <w:rPr>
                <w:rFonts w:ascii="Arial" w:hAnsi="Arial" w:cs="Arial"/>
                <w:sz w:val="20"/>
                <w:szCs w:val="20"/>
              </w:rPr>
            </w:pPr>
            <w:r w:rsidRPr="00461025">
              <w:rPr>
                <w:rFonts w:ascii="Arial" w:hAnsi="Arial" w:cs="Arial"/>
                <w:color w:val="000000"/>
                <w:sz w:val="20"/>
                <w:szCs w:val="20"/>
              </w:rPr>
              <w:t>The Ruling applies from 17 December 2014 to 30 September 2015.</w:t>
            </w:r>
          </w:p>
        </w:tc>
      </w:tr>
      <w:tr w:rsidR="008B0D5F"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8B0D5F" w:rsidRPr="003B1C5A" w:rsidRDefault="008B0D5F" w:rsidP="003B1C5A">
            <w:pPr>
              <w:spacing w:after="120" w:line="240" w:lineRule="auto"/>
              <w:rPr>
                <w:rFonts w:ascii="Arial" w:hAnsi="Arial" w:cs="Arial"/>
                <w:sz w:val="20"/>
                <w:szCs w:val="20"/>
              </w:rPr>
            </w:pPr>
            <w:r w:rsidRPr="003B1C5A">
              <w:rPr>
                <w:rFonts w:ascii="Arial" w:hAnsi="Arial" w:cs="Arial"/>
                <w:sz w:val="20"/>
                <w:szCs w:val="20"/>
              </w:rPr>
              <w:lastRenderedPageBreak/>
              <w:t>CR 2014/103</w:t>
            </w:r>
          </w:p>
        </w:tc>
        <w:tc>
          <w:tcPr>
            <w:tcW w:w="3780" w:type="dxa"/>
            <w:tcBorders>
              <w:top w:val="single" w:sz="6" w:space="0" w:color="auto"/>
              <w:left w:val="single" w:sz="6" w:space="0" w:color="auto"/>
              <w:bottom w:val="single" w:sz="6" w:space="0" w:color="auto"/>
              <w:right w:val="single" w:sz="6" w:space="0" w:color="auto"/>
            </w:tcBorders>
          </w:tcPr>
          <w:p w:rsidR="008B0D5F" w:rsidRPr="003B1C5A" w:rsidDel="00F44FF5" w:rsidRDefault="008B0D5F" w:rsidP="003B1C5A">
            <w:pPr>
              <w:pStyle w:val="Header"/>
              <w:tabs>
                <w:tab w:val="clear" w:pos="4513"/>
                <w:tab w:val="clear" w:pos="9026"/>
              </w:tabs>
              <w:spacing w:after="120"/>
              <w:rPr>
                <w:rFonts w:ascii="Arial" w:hAnsi="Arial" w:cs="Arial"/>
                <w:sz w:val="20"/>
                <w:szCs w:val="20"/>
              </w:rPr>
            </w:pPr>
            <w:r w:rsidRPr="003B1C5A">
              <w:rPr>
                <w:rFonts w:ascii="Arial" w:eastAsia="Arial" w:hAnsi="Arial" w:cs="Arial"/>
                <w:sz w:val="20"/>
                <w:szCs w:val="20"/>
              </w:rPr>
              <w:t>Income tax:  return of capital:  Altona Mining Limited</w:t>
            </w:r>
          </w:p>
        </w:tc>
        <w:tc>
          <w:tcPr>
            <w:tcW w:w="4140" w:type="dxa"/>
            <w:tcBorders>
              <w:top w:val="single" w:sz="6" w:space="0" w:color="auto"/>
              <w:left w:val="single" w:sz="6" w:space="0" w:color="auto"/>
              <w:bottom w:val="single" w:sz="6" w:space="0" w:color="auto"/>
              <w:right w:val="single" w:sz="6" w:space="0" w:color="auto"/>
            </w:tcBorders>
          </w:tcPr>
          <w:p w:rsidR="008B0D5F" w:rsidRPr="003B1C5A" w:rsidRDefault="008B0D5F" w:rsidP="003B1C5A">
            <w:pPr>
              <w:spacing w:after="120" w:line="240" w:lineRule="auto"/>
              <w:rPr>
                <w:rFonts w:ascii="Arial" w:eastAsia="Arial" w:hAnsi="Arial" w:cs="Arial"/>
                <w:sz w:val="20"/>
                <w:szCs w:val="20"/>
              </w:rPr>
            </w:pPr>
            <w:r w:rsidRPr="003B1C5A">
              <w:rPr>
                <w:rFonts w:ascii="Arial" w:hAnsi="Arial" w:cs="Arial"/>
                <w:sz w:val="20"/>
                <w:szCs w:val="20"/>
              </w:rPr>
              <w:t xml:space="preserve">The Ruling sets out the Commissioner’s position for </w:t>
            </w:r>
            <w:r w:rsidRPr="003B1C5A">
              <w:rPr>
                <w:rFonts w:ascii="Arial" w:eastAsia="Arial" w:hAnsi="Arial" w:cs="Arial"/>
                <w:sz w:val="20"/>
                <w:szCs w:val="20"/>
              </w:rPr>
              <w:t>the holders of ordinary shares in Altona Mining Limited.</w:t>
            </w:r>
          </w:p>
          <w:p w:rsidR="008B0D5F" w:rsidRPr="003B1C5A" w:rsidRDefault="008B0D5F" w:rsidP="003B1C5A">
            <w:pPr>
              <w:spacing w:after="120" w:line="240" w:lineRule="auto"/>
              <w:rPr>
                <w:rFonts w:ascii="Arial" w:hAnsi="Arial" w:cs="Arial"/>
                <w:sz w:val="20"/>
                <w:szCs w:val="20"/>
              </w:rPr>
            </w:pPr>
            <w:r w:rsidRPr="003B1C5A">
              <w:rPr>
                <w:rFonts w:ascii="Arial" w:eastAsia="Arial" w:hAnsi="Arial" w:cs="Arial"/>
                <w:sz w:val="20"/>
                <w:szCs w:val="20"/>
              </w:rPr>
              <w:t>The Ruling applies from 1 July 2014 to 30 June 2015.</w:t>
            </w:r>
          </w:p>
        </w:tc>
      </w:tr>
      <w:tr w:rsidR="008B0D5F"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8B0D5F" w:rsidRPr="00A06B2F" w:rsidRDefault="008B0D5F" w:rsidP="00A06B2F">
            <w:pPr>
              <w:spacing w:after="120" w:line="240" w:lineRule="auto"/>
              <w:rPr>
                <w:rFonts w:ascii="Arial" w:hAnsi="Arial" w:cs="Arial"/>
                <w:sz w:val="20"/>
                <w:szCs w:val="20"/>
              </w:rPr>
            </w:pPr>
            <w:r w:rsidRPr="00A06B2F">
              <w:rPr>
                <w:rFonts w:ascii="Arial" w:hAnsi="Arial" w:cs="Arial"/>
                <w:sz w:val="20"/>
                <w:szCs w:val="20"/>
              </w:rPr>
              <w:t>CR 2014/104</w:t>
            </w:r>
          </w:p>
        </w:tc>
        <w:tc>
          <w:tcPr>
            <w:tcW w:w="3780" w:type="dxa"/>
            <w:tcBorders>
              <w:top w:val="single" w:sz="6" w:space="0" w:color="auto"/>
              <w:left w:val="single" w:sz="6" w:space="0" w:color="auto"/>
              <w:bottom w:val="single" w:sz="6" w:space="0" w:color="auto"/>
              <w:right w:val="single" w:sz="6" w:space="0" w:color="auto"/>
            </w:tcBorders>
          </w:tcPr>
          <w:p w:rsidR="008B0D5F" w:rsidRPr="00A06B2F" w:rsidDel="00F44FF5" w:rsidRDefault="008B0D5F" w:rsidP="00A06B2F">
            <w:pPr>
              <w:pStyle w:val="Header"/>
              <w:spacing w:after="120"/>
              <w:rPr>
                <w:rFonts w:ascii="Arial" w:hAnsi="Arial" w:cs="Arial"/>
                <w:sz w:val="20"/>
                <w:szCs w:val="20"/>
              </w:rPr>
            </w:pPr>
            <w:r w:rsidRPr="00A06B2F">
              <w:rPr>
                <w:rFonts w:ascii="Arial" w:hAnsi="Arial" w:cs="Arial"/>
                <w:sz w:val="20"/>
                <w:szCs w:val="20"/>
              </w:rPr>
              <w:t>Income tax:  transfer of assets from Caledonia Australia Trust to Caledonia Australia No. 2 Trust</w:t>
            </w:r>
          </w:p>
        </w:tc>
        <w:tc>
          <w:tcPr>
            <w:tcW w:w="4140" w:type="dxa"/>
            <w:tcBorders>
              <w:top w:val="single" w:sz="6" w:space="0" w:color="auto"/>
              <w:left w:val="single" w:sz="6" w:space="0" w:color="auto"/>
              <w:bottom w:val="single" w:sz="6" w:space="0" w:color="auto"/>
              <w:right w:val="single" w:sz="6" w:space="0" w:color="auto"/>
            </w:tcBorders>
          </w:tcPr>
          <w:p w:rsidR="008B0D5F" w:rsidRPr="00A06B2F" w:rsidRDefault="008B0D5F" w:rsidP="00A06B2F">
            <w:pPr>
              <w:spacing w:after="120" w:line="240" w:lineRule="auto"/>
              <w:rPr>
                <w:rFonts w:ascii="Arial" w:hAnsi="Arial" w:cs="Arial"/>
                <w:sz w:val="20"/>
                <w:szCs w:val="20"/>
              </w:rPr>
            </w:pPr>
            <w:r w:rsidRPr="00A06B2F">
              <w:rPr>
                <w:rFonts w:ascii="Arial" w:hAnsi="Arial" w:cs="Arial"/>
                <w:color w:val="000000"/>
                <w:sz w:val="20"/>
                <w:szCs w:val="20"/>
              </w:rPr>
              <w:t xml:space="preserve">The Ruling sets out the Commissioner’s position for </w:t>
            </w:r>
            <w:r w:rsidRPr="00A06B2F">
              <w:rPr>
                <w:rFonts w:ascii="Arial" w:hAnsi="Arial" w:cs="Arial"/>
                <w:sz w:val="20"/>
                <w:szCs w:val="20"/>
              </w:rPr>
              <w:t>the holders of the units in Caledonia Australia Trust and the Caledonia Australia No. 2 Trust.</w:t>
            </w:r>
          </w:p>
          <w:p w:rsidR="008B0D5F" w:rsidRPr="00A06B2F" w:rsidRDefault="008B0D5F" w:rsidP="00A06B2F">
            <w:pPr>
              <w:spacing w:after="120" w:line="240" w:lineRule="auto"/>
              <w:rPr>
                <w:rFonts w:ascii="Arial" w:hAnsi="Arial" w:cs="Arial"/>
                <w:sz w:val="20"/>
                <w:szCs w:val="20"/>
              </w:rPr>
            </w:pPr>
            <w:r w:rsidRPr="00A06B2F">
              <w:rPr>
                <w:rFonts w:ascii="Arial" w:hAnsi="Arial" w:cs="Arial"/>
                <w:sz w:val="20"/>
                <w:szCs w:val="20"/>
              </w:rPr>
              <w:t>The Ruling applies from 1 July 2014 to 30 June 2015.</w:t>
            </w:r>
          </w:p>
        </w:tc>
      </w:tr>
      <w:tr w:rsidR="008B0D5F"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8B0D5F" w:rsidRPr="00A06B2F" w:rsidRDefault="008B0D5F" w:rsidP="00A06B2F">
            <w:pPr>
              <w:spacing w:after="120" w:line="240" w:lineRule="auto"/>
              <w:rPr>
                <w:rFonts w:ascii="Arial" w:hAnsi="Arial" w:cs="Arial"/>
                <w:sz w:val="20"/>
                <w:szCs w:val="20"/>
              </w:rPr>
            </w:pPr>
            <w:r w:rsidRPr="00A06B2F">
              <w:rPr>
                <w:rFonts w:ascii="Arial" w:hAnsi="Arial" w:cs="Arial"/>
                <w:sz w:val="20"/>
                <w:szCs w:val="20"/>
              </w:rPr>
              <w:t>CR 2014/105</w:t>
            </w:r>
          </w:p>
        </w:tc>
        <w:tc>
          <w:tcPr>
            <w:tcW w:w="3780" w:type="dxa"/>
            <w:tcBorders>
              <w:top w:val="single" w:sz="6" w:space="0" w:color="auto"/>
              <w:left w:val="single" w:sz="6" w:space="0" w:color="auto"/>
              <w:bottom w:val="single" w:sz="6" w:space="0" w:color="auto"/>
              <w:right w:val="single" w:sz="6" w:space="0" w:color="auto"/>
            </w:tcBorders>
          </w:tcPr>
          <w:p w:rsidR="008B0D5F" w:rsidRPr="00A06B2F" w:rsidDel="00F44FF5" w:rsidRDefault="008B0D5F" w:rsidP="00A06B2F">
            <w:pPr>
              <w:pStyle w:val="Header"/>
              <w:spacing w:after="120"/>
              <w:rPr>
                <w:rFonts w:ascii="Arial" w:hAnsi="Arial" w:cs="Arial"/>
                <w:sz w:val="20"/>
                <w:szCs w:val="20"/>
              </w:rPr>
            </w:pPr>
            <w:r w:rsidRPr="00A06B2F">
              <w:rPr>
                <w:rFonts w:ascii="Arial" w:hAnsi="Arial" w:cs="Arial"/>
                <w:sz w:val="20"/>
                <w:szCs w:val="20"/>
              </w:rPr>
              <w:t>Income tax:  transfer of assets from Caledonia Global Investment Trust to Caledonia Global Investment No. 2 Trust</w:t>
            </w:r>
          </w:p>
        </w:tc>
        <w:tc>
          <w:tcPr>
            <w:tcW w:w="4140" w:type="dxa"/>
            <w:tcBorders>
              <w:top w:val="single" w:sz="6" w:space="0" w:color="auto"/>
              <w:left w:val="single" w:sz="6" w:space="0" w:color="auto"/>
              <w:bottom w:val="single" w:sz="6" w:space="0" w:color="auto"/>
              <w:right w:val="single" w:sz="6" w:space="0" w:color="auto"/>
            </w:tcBorders>
          </w:tcPr>
          <w:p w:rsidR="008B0D5F" w:rsidRPr="00A06B2F" w:rsidRDefault="008B0D5F" w:rsidP="00A06B2F">
            <w:pPr>
              <w:spacing w:after="120" w:line="240" w:lineRule="auto"/>
              <w:rPr>
                <w:rFonts w:ascii="Arial" w:hAnsi="Arial" w:cs="Arial"/>
                <w:sz w:val="20"/>
                <w:szCs w:val="20"/>
              </w:rPr>
            </w:pPr>
            <w:r w:rsidRPr="00A06B2F">
              <w:rPr>
                <w:rFonts w:ascii="Arial" w:hAnsi="Arial" w:cs="Arial"/>
                <w:color w:val="000000"/>
                <w:sz w:val="20"/>
                <w:szCs w:val="20"/>
              </w:rPr>
              <w:t xml:space="preserve">The Ruling sets out the Commissioner’s position for </w:t>
            </w:r>
            <w:r w:rsidRPr="00A06B2F">
              <w:rPr>
                <w:rFonts w:ascii="Arial" w:hAnsi="Arial" w:cs="Arial"/>
                <w:sz w:val="20"/>
                <w:szCs w:val="20"/>
              </w:rPr>
              <w:t>the holders of the units in Caledonia Global Investment Trust and the Caledonia Global Investment No. 2 Trust.</w:t>
            </w:r>
          </w:p>
          <w:p w:rsidR="008B0D5F" w:rsidRPr="00A06B2F" w:rsidRDefault="008B0D5F" w:rsidP="00A06B2F">
            <w:pPr>
              <w:spacing w:after="120" w:line="240" w:lineRule="auto"/>
              <w:rPr>
                <w:rFonts w:ascii="Arial" w:hAnsi="Arial" w:cs="Arial"/>
                <w:sz w:val="20"/>
                <w:szCs w:val="20"/>
              </w:rPr>
            </w:pPr>
            <w:r w:rsidRPr="00A06B2F">
              <w:rPr>
                <w:rFonts w:ascii="Arial" w:hAnsi="Arial" w:cs="Arial"/>
                <w:sz w:val="20"/>
                <w:szCs w:val="20"/>
              </w:rPr>
              <w:t>The Ruling applies from 1 July 2014 to 30 June 2015.</w:t>
            </w:r>
          </w:p>
        </w:tc>
      </w:tr>
      <w:tr w:rsidR="008B0D5F"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8B0D5F" w:rsidRPr="00A06B2F" w:rsidRDefault="008B0D5F" w:rsidP="00A06B2F">
            <w:pPr>
              <w:spacing w:after="120" w:line="240" w:lineRule="auto"/>
              <w:rPr>
                <w:rFonts w:ascii="Arial" w:hAnsi="Arial" w:cs="Arial"/>
                <w:sz w:val="20"/>
                <w:szCs w:val="20"/>
              </w:rPr>
            </w:pPr>
            <w:r w:rsidRPr="00A06B2F">
              <w:rPr>
                <w:rFonts w:ascii="Arial" w:hAnsi="Arial" w:cs="Arial"/>
                <w:sz w:val="20"/>
                <w:szCs w:val="20"/>
              </w:rPr>
              <w:t>CR 2014/106</w:t>
            </w:r>
          </w:p>
        </w:tc>
        <w:tc>
          <w:tcPr>
            <w:tcW w:w="3780" w:type="dxa"/>
            <w:tcBorders>
              <w:top w:val="single" w:sz="6" w:space="0" w:color="auto"/>
              <w:left w:val="single" w:sz="6" w:space="0" w:color="auto"/>
              <w:bottom w:val="single" w:sz="6" w:space="0" w:color="auto"/>
              <w:right w:val="single" w:sz="6" w:space="0" w:color="auto"/>
            </w:tcBorders>
          </w:tcPr>
          <w:p w:rsidR="008B0D5F" w:rsidRPr="00A06B2F" w:rsidDel="00F44FF5" w:rsidRDefault="008B0D5F" w:rsidP="00A06B2F">
            <w:pPr>
              <w:pStyle w:val="Header"/>
              <w:spacing w:after="120"/>
              <w:ind w:right="-284"/>
              <w:rPr>
                <w:rFonts w:ascii="Arial" w:hAnsi="Arial" w:cs="Arial"/>
                <w:sz w:val="20"/>
                <w:szCs w:val="20"/>
              </w:rPr>
            </w:pPr>
            <w:r w:rsidRPr="00A06B2F">
              <w:rPr>
                <w:rFonts w:ascii="Arial" w:hAnsi="Arial" w:cs="Arial"/>
                <w:sz w:val="20"/>
                <w:szCs w:val="20"/>
              </w:rPr>
              <w:t>Income tax:  transfer of assets from Caledonia (Private) Investment Trust to Caledonia (Private) Investment No. 2 Trust</w:t>
            </w:r>
          </w:p>
        </w:tc>
        <w:tc>
          <w:tcPr>
            <w:tcW w:w="4140" w:type="dxa"/>
            <w:tcBorders>
              <w:top w:val="single" w:sz="6" w:space="0" w:color="auto"/>
              <w:left w:val="single" w:sz="6" w:space="0" w:color="auto"/>
              <w:bottom w:val="single" w:sz="6" w:space="0" w:color="auto"/>
              <w:right w:val="single" w:sz="6" w:space="0" w:color="auto"/>
            </w:tcBorders>
          </w:tcPr>
          <w:p w:rsidR="008B0D5F" w:rsidRPr="00A06B2F" w:rsidRDefault="008B0D5F" w:rsidP="00A06B2F">
            <w:pPr>
              <w:spacing w:after="120" w:line="240" w:lineRule="auto"/>
              <w:rPr>
                <w:rFonts w:ascii="Arial" w:hAnsi="Arial" w:cs="Arial"/>
                <w:color w:val="000000"/>
                <w:sz w:val="20"/>
                <w:szCs w:val="20"/>
              </w:rPr>
            </w:pPr>
            <w:r w:rsidRPr="00A06B2F">
              <w:rPr>
                <w:rFonts w:ascii="Arial" w:hAnsi="Arial" w:cs="Arial"/>
                <w:color w:val="000000"/>
                <w:sz w:val="20"/>
                <w:szCs w:val="20"/>
              </w:rPr>
              <w:t>The Ruling sets out the Commissioner’s position for the holders of the units in Caledonia (Private) Investment Trust and the Caledonia (Private) Investment No. 2 Trust.</w:t>
            </w:r>
          </w:p>
          <w:p w:rsidR="008B0D5F" w:rsidRPr="00A06B2F" w:rsidRDefault="008B0D5F" w:rsidP="00A06B2F">
            <w:pPr>
              <w:spacing w:after="120" w:line="240" w:lineRule="auto"/>
              <w:rPr>
                <w:rFonts w:ascii="Arial" w:hAnsi="Arial" w:cs="Arial"/>
                <w:sz w:val="20"/>
                <w:szCs w:val="20"/>
              </w:rPr>
            </w:pPr>
            <w:r w:rsidRPr="00A06B2F">
              <w:rPr>
                <w:rFonts w:ascii="Arial" w:hAnsi="Arial" w:cs="Arial"/>
                <w:color w:val="000000"/>
                <w:sz w:val="20"/>
                <w:szCs w:val="20"/>
              </w:rPr>
              <w:t>The Ruling applies from 1 July 2014 to 30 June 2015.</w:t>
            </w:r>
          </w:p>
        </w:tc>
      </w:tr>
      <w:tr w:rsidR="008B0D5F"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8B0D5F" w:rsidRPr="00B77F4A" w:rsidRDefault="008B0D5F" w:rsidP="00B77F4A">
            <w:pPr>
              <w:spacing w:after="120" w:line="240" w:lineRule="auto"/>
              <w:rPr>
                <w:rFonts w:ascii="Arial" w:hAnsi="Arial" w:cs="Arial"/>
                <w:sz w:val="20"/>
                <w:szCs w:val="20"/>
              </w:rPr>
            </w:pPr>
            <w:r w:rsidRPr="00B77F4A">
              <w:rPr>
                <w:rFonts w:ascii="Arial" w:hAnsi="Arial" w:cs="Arial"/>
                <w:sz w:val="20"/>
                <w:szCs w:val="20"/>
              </w:rPr>
              <w:t>CR 2014/107</w:t>
            </w:r>
          </w:p>
        </w:tc>
        <w:tc>
          <w:tcPr>
            <w:tcW w:w="3780" w:type="dxa"/>
            <w:tcBorders>
              <w:top w:val="single" w:sz="6" w:space="0" w:color="auto"/>
              <w:left w:val="single" w:sz="6" w:space="0" w:color="auto"/>
              <w:bottom w:val="single" w:sz="6" w:space="0" w:color="auto"/>
              <w:right w:val="single" w:sz="6" w:space="0" w:color="auto"/>
            </w:tcBorders>
          </w:tcPr>
          <w:p w:rsidR="008B0D5F" w:rsidRPr="00B77F4A" w:rsidDel="00F44FF5" w:rsidRDefault="008B0D5F" w:rsidP="00B77F4A">
            <w:pPr>
              <w:pStyle w:val="Header"/>
              <w:spacing w:after="120"/>
              <w:ind w:right="-284"/>
              <w:rPr>
                <w:rFonts w:ascii="Arial" w:hAnsi="Arial" w:cs="Arial"/>
                <w:sz w:val="20"/>
                <w:szCs w:val="20"/>
              </w:rPr>
            </w:pPr>
            <w:r w:rsidRPr="00B77F4A">
              <w:rPr>
                <w:rFonts w:ascii="Arial" w:hAnsi="Arial" w:cs="Arial"/>
                <w:sz w:val="20"/>
                <w:szCs w:val="20"/>
              </w:rPr>
              <w:t>Income tax:  transfer of assets from Caledonia Small Caps Trust to Caledonia Small Caps No. 2 Trust</w:t>
            </w:r>
          </w:p>
        </w:tc>
        <w:tc>
          <w:tcPr>
            <w:tcW w:w="4140" w:type="dxa"/>
            <w:tcBorders>
              <w:top w:val="single" w:sz="6" w:space="0" w:color="auto"/>
              <w:left w:val="single" w:sz="6" w:space="0" w:color="auto"/>
              <w:bottom w:val="single" w:sz="6" w:space="0" w:color="auto"/>
              <w:right w:val="single" w:sz="6" w:space="0" w:color="auto"/>
            </w:tcBorders>
          </w:tcPr>
          <w:p w:rsidR="008B0D5F" w:rsidRPr="00B77F4A" w:rsidRDefault="008B0D5F" w:rsidP="00B77F4A">
            <w:pPr>
              <w:spacing w:after="120" w:line="240" w:lineRule="auto"/>
              <w:rPr>
                <w:rFonts w:ascii="Arial" w:hAnsi="Arial" w:cs="Arial"/>
                <w:sz w:val="20"/>
                <w:szCs w:val="20"/>
              </w:rPr>
            </w:pPr>
            <w:r w:rsidRPr="00B77F4A">
              <w:rPr>
                <w:rFonts w:ascii="Arial" w:hAnsi="Arial" w:cs="Arial"/>
                <w:color w:val="000000"/>
                <w:sz w:val="20"/>
                <w:szCs w:val="20"/>
              </w:rPr>
              <w:t xml:space="preserve">The Ruling sets out the Commissioner’s position for </w:t>
            </w:r>
            <w:r w:rsidRPr="00B77F4A">
              <w:rPr>
                <w:rFonts w:ascii="Arial" w:hAnsi="Arial" w:cs="Arial"/>
                <w:sz w:val="20"/>
                <w:szCs w:val="20"/>
              </w:rPr>
              <w:t>the holders of the units in Caledonia Small Caps Trust and the Caledonia Small Caps No. 2 Trust.</w:t>
            </w:r>
          </w:p>
          <w:p w:rsidR="008B0D5F" w:rsidRPr="00B77F4A" w:rsidRDefault="008B0D5F" w:rsidP="00B77F4A">
            <w:pPr>
              <w:spacing w:after="120" w:line="240" w:lineRule="auto"/>
              <w:rPr>
                <w:rFonts w:ascii="Arial" w:hAnsi="Arial" w:cs="Arial"/>
                <w:sz w:val="20"/>
                <w:szCs w:val="20"/>
              </w:rPr>
            </w:pPr>
            <w:r w:rsidRPr="00B77F4A">
              <w:rPr>
                <w:rFonts w:ascii="Arial" w:hAnsi="Arial" w:cs="Arial"/>
                <w:sz w:val="20"/>
                <w:szCs w:val="20"/>
              </w:rPr>
              <w:t>The Ruling applies from 1 July 2014 to 30 June 2015.</w:t>
            </w:r>
          </w:p>
        </w:tc>
      </w:tr>
      <w:tr w:rsidR="008B0D5F"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8B0D5F" w:rsidRPr="00B77F4A" w:rsidRDefault="008B0D5F" w:rsidP="00B77F4A">
            <w:pPr>
              <w:spacing w:after="120" w:line="240" w:lineRule="auto"/>
              <w:rPr>
                <w:rFonts w:ascii="Arial" w:hAnsi="Arial" w:cs="Arial"/>
                <w:sz w:val="20"/>
                <w:szCs w:val="20"/>
              </w:rPr>
            </w:pPr>
            <w:r w:rsidRPr="00B77F4A">
              <w:rPr>
                <w:rFonts w:ascii="Arial" w:hAnsi="Arial" w:cs="Arial"/>
                <w:sz w:val="20"/>
                <w:szCs w:val="20"/>
              </w:rPr>
              <w:t>CR 2014/108</w:t>
            </w:r>
          </w:p>
        </w:tc>
        <w:tc>
          <w:tcPr>
            <w:tcW w:w="3780" w:type="dxa"/>
            <w:tcBorders>
              <w:top w:val="single" w:sz="6" w:space="0" w:color="auto"/>
              <w:left w:val="single" w:sz="6" w:space="0" w:color="auto"/>
              <w:bottom w:val="single" w:sz="6" w:space="0" w:color="auto"/>
              <w:right w:val="single" w:sz="6" w:space="0" w:color="auto"/>
            </w:tcBorders>
          </w:tcPr>
          <w:p w:rsidR="008B0D5F" w:rsidRPr="00B77F4A" w:rsidDel="00F44FF5" w:rsidRDefault="008B0D5F" w:rsidP="00B77F4A">
            <w:pPr>
              <w:pStyle w:val="Header"/>
              <w:spacing w:after="120"/>
              <w:rPr>
                <w:rFonts w:ascii="Arial" w:hAnsi="Arial" w:cs="Arial"/>
                <w:sz w:val="20"/>
                <w:szCs w:val="20"/>
              </w:rPr>
            </w:pPr>
            <w:r w:rsidRPr="00B77F4A">
              <w:rPr>
                <w:rFonts w:ascii="Arial" w:hAnsi="Arial" w:cs="Arial"/>
                <w:color w:val="000000"/>
                <w:sz w:val="20"/>
                <w:szCs w:val="20"/>
              </w:rPr>
              <w:t>Income tax:  Asset Resolution Limited - Return of Share Capital</w:t>
            </w:r>
          </w:p>
        </w:tc>
        <w:tc>
          <w:tcPr>
            <w:tcW w:w="4140" w:type="dxa"/>
            <w:tcBorders>
              <w:top w:val="single" w:sz="6" w:space="0" w:color="auto"/>
              <w:left w:val="single" w:sz="6" w:space="0" w:color="auto"/>
              <w:bottom w:val="single" w:sz="6" w:space="0" w:color="auto"/>
              <w:right w:val="single" w:sz="6" w:space="0" w:color="auto"/>
            </w:tcBorders>
          </w:tcPr>
          <w:p w:rsidR="008B0D5F" w:rsidRPr="00B77F4A" w:rsidRDefault="008B0D5F" w:rsidP="00B77F4A">
            <w:pPr>
              <w:spacing w:after="120" w:line="240" w:lineRule="auto"/>
              <w:rPr>
                <w:rFonts w:ascii="Arial" w:hAnsi="Arial" w:cs="Arial"/>
                <w:sz w:val="20"/>
                <w:szCs w:val="20"/>
              </w:rPr>
            </w:pPr>
            <w:r w:rsidRPr="00B77F4A">
              <w:rPr>
                <w:rFonts w:ascii="Arial" w:hAnsi="Arial" w:cs="Arial"/>
                <w:color w:val="000000"/>
                <w:sz w:val="20"/>
                <w:szCs w:val="20"/>
              </w:rPr>
              <w:t xml:space="preserve">The Ruling sets out the Commissioner’s position for </w:t>
            </w:r>
            <w:r w:rsidRPr="00B77F4A">
              <w:rPr>
                <w:rFonts w:ascii="Arial" w:hAnsi="Arial" w:cs="Arial"/>
                <w:sz w:val="20"/>
                <w:szCs w:val="20"/>
              </w:rPr>
              <w:t>shareholders of Asset Resolution Limited.</w:t>
            </w:r>
          </w:p>
          <w:p w:rsidR="008B0D5F" w:rsidRPr="00B77F4A" w:rsidRDefault="008B0D5F" w:rsidP="00B77F4A">
            <w:pPr>
              <w:spacing w:after="120" w:line="240" w:lineRule="auto"/>
              <w:rPr>
                <w:rFonts w:ascii="Arial" w:hAnsi="Arial" w:cs="Arial"/>
                <w:sz w:val="20"/>
                <w:szCs w:val="20"/>
              </w:rPr>
            </w:pPr>
            <w:r w:rsidRPr="00B77F4A">
              <w:rPr>
                <w:rFonts w:ascii="Arial" w:hAnsi="Arial" w:cs="Arial"/>
                <w:sz w:val="20"/>
                <w:szCs w:val="20"/>
              </w:rPr>
              <w:t>The Ruling applies from 1 July 2014 to 30 June 2015.</w:t>
            </w:r>
          </w:p>
        </w:tc>
      </w:tr>
    </w:tbl>
    <w:p w:rsidR="00114CB2" w:rsidRDefault="00114CB2" w:rsidP="0094219E">
      <w:pPr>
        <w:spacing w:after="120"/>
        <w:rPr>
          <w:rFonts w:ascii="Arial" w:hAnsi="Arial" w:cs="Arial"/>
          <w:sz w:val="18"/>
          <w:szCs w:val="18"/>
        </w:rPr>
      </w:pP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lastRenderedPageBreak/>
              <w:t xml:space="preserve">NOTICE OF </w:t>
            </w:r>
            <w:r>
              <w:rPr>
                <w:sz w:val="22"/>
                <w:szCs w:val="22"/>
              </w:rPr>
              <w:t>ADDENDA</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2E72B3"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2E72B3" w:rsidRPr="002B514C" w:rsidRDefault="002E72B3" w:rsidP="00933CD9">
            <w:pPr>
              <w:pStyle w:val="Header"/>
              <w:spacing w:after="120"/>
              <w:rPr>
                <w:rFonts w:ascii="Arial" w:hAnsi="Arial" w:cs="Arial"/>
                <w:sz w:val="20"/>
                <w:szCs w:val="20"/>
              </w:rPr>
            </w:pPr>
            <w:r w:rsidRPr="002B514C">
              <w:rPr>
                <w:rFonts w:ascii="Arial" w:hAnsi="Arial" w:cs="Arial"/>
                <w:sz w:val="20"/>
                <w:szCs w:val="20"/>
              </w:rPr>
              <w:t>TR 2001/14</w:t>
            </w:r>
          </w:p>
        </w:tc>
        <w:tc>
          <w:tcPr>
            <w:tcW w:w="3780" w:type="dxa"/>
            <w:tcBorders>
              <w:top w:val="single" w:sz="6" w:space="0" w:color="auto"/>
              <w:left w:val="single" w:sz="6" w:space="0" w:color="auto"/>
              <w:bottom w:val="single" w:sz="6" w:space="0" w:color="auto"/>
              <w:right w:val="single" w:sz="6" w:space="0" w:color="auto"/>
            </w:tcBorders>
          </w:tcPr>
          <w:p w:rsidR="002E72B3" w:rsidRPr="002B514C" w:rsidRDefault="002E72B3" w:rsidP="002E72B3">
            <w:pPr>
              <w:pStyle w:val="Header"/>
              <w:spacing w:after="120"/>
              <w:rPr>
                <w:rFonts w:ascii="Arial" w:hAnsi="Arial" w:cs="Arial"/>
                <w:sz w:val="20"/>
                <w:szCs w:val="20"/>
              </w:rPr>
            </w:pPr>
            <w:r w:rsidRPr="002B514C">
              <w:rPr>
                <w:rFonts w:ascii="Arial" w:hAnsi="Arial" w:cs="Arial"/>
                <w:sz w:val="20"/>
              </w:rPr>
              <w:t>Income tax:  Division 35 - non-commercial losses</w:t>
            </w:r>
          </w:p>
        </w:tc>
        <w:tc>
          <w:tcPr>
            <w:tcW w:w="4140" w:type="dxa"/>
            <w:tcBorders>
              <w:top w:val="single" w:sz="6" w:space="0" w:color="auto"/>
              <w:left w:val="single" w:sz="6" w:space="0" w:color="auto"/>
              <w:bottom w:val="single" w:sz="6" w:space="0" w:color="auto"/>
              <w:right w:val="single" w:sz="6" w:space="0" w:color="auto"/>
            </w:tcBorders>
          </w:tcPr>
          <w:p w:rsidR="00FE3E45" w:rsidRPr="00FE3E45" w:rsidRDefault="00FE3E45" w:rsidP="00933CD9">
            <w:pPr>
              <w:pStyle w:val="Title1"/>
              <w:spacing w:after="120"/>
              <w:rPr>
                <w:rFonts w:ascii="Arial" w:hAnsi="Arial" w:cs="Arial"/>
                <w:b w:val="0"/>
                <w:sz w:val="20"/>
              </w:rPr>
            </w:pPr>
            <w:bookmarkStart w:id="2" w:name="#P83"/>
            <w:bookmarkStart w:id="3" w:name="P83"/>
            <w:bookmarkStart w:id="4" w:name="#atP83"/>
            <w:bookmarkStart w:id="5" w:name="atP83"/>
            <w:bookmarkEnd w:id="2"/>
            <w:bookmarkEnd w:id="3"/>
            <w:bookmarkEnd w:id="4"/>
            <w:bookmarkEnd w:id="5"/>
            <w:r w:rsidRPr="00FE3E45">
              <w:rPr>
                <w:rFonts w:ascii="Arial" w:hAnsi="Arial" w:cs="Arial"/>
                <w:b w:val="0"/>
                <w:sz w:val="20"/>
              </w:rPr>
              <w:t>The Addendum amends Taxation Ruling TR</w:t>
            </w:r>
            <w:r w:rsidR="00900C5B">
              <w:rPr>
                <w:rFonts w:ascii="Arial" w:hAnsi="Arial" w:cs="Arial"/>
                <w:b w:val="0"/>
                <w:sz w:val="20"/>
              </w:rPr>
              <w:t> </w:t>
            </w:r>
            <w:r w:rsidRPr="00FE3E45">
              <w:rPr>
                <w:rFonts w:ascii="Arial" w:hAnsi="Arial" w:cs="Arial"/>
                <w:b w:val="0"/>
                <w:sz w:val="20"/>
              </w:rPr>
              <w:t>2001/14 to clarify the meaning of ‘cars, motorcycles and similar vehicles’ for the purposes of the Other assets test, the revocation of a reasonable estimate for the purposes of the Assessable income test, partnership assets for the purposes of Real property test, the consequences of a change in ownership for the purposes of the Profits test and the consequences of a Farm Management Deposit withdrawal for the Assessable income test and the loss deferral rule.</w:t>
            </w:r>
          </w:p>
          <w:p w:rsidR="002E72B3" w:rsidRPr="002E72B3" w:rsidRDefault="002E72B3" w:rsidP="00933CD9">
            <w:pPr>
              <w:pStyle w:val="Title1"/>
              <w:spacing w:after="120"/>
              <w:rPr>
                <w:rFonts w:ascii="Arial" w:hAnsi="Arial" w:cs="Arial"/>
                <w:b w:val="0"/>
                <w:sz w:val="20"/>
              </w:rPr>
            </w:pPr>
            <w:r w:rsidRPr="002E72B3">
              <w:rPr>
                <w:rFonts w:ascii="Arial" w:hAnsi="Arial" w:cs="Arial"/>
                <w:b w:val="0"/>
                <w:sz w:val="20"/>
              </w:rPr>
              <w:t>The Addendum applies on and both before and after its date of issue.</w:t>
            </w:r>
          </w:p>
        </w:tc>
      </w:tr>
      <w:tr w:rsidR="002E72B3"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2E72B3" w:rsidRPr="00590C7D" w:rsidRDefault="002E72B3" w:rsidP="00933CD9">
            <w:pPr>
              <w:pStyle w:val="Header"/>
              <w:spacing w:after="120"/>
              <w:rPr>
                <w:rFonts w:ascii="Arial" w:hAnsi="Arial" w:cs="Arial"/>
                <w:sz w:val="20"/>
                <w:szCs w:val="20"/>
              </w:rPr>
            </w:pPr>
            <w:r w:rsidRPr="00590C7D">
              <w:rPr>
                <w:rFonts w:ascii="Arial" w:hAnsi="Arial" w:cs="Arial"/>
                <w:sz w:val="20"/>
                <w:szCs w:val="20"/>
              </w:rPr>
              <w:t>FTR 2008/1</w:t>
            </w:r>
          </w:p>
        </w:tc>
        <w:tc>
          <w:tcPr>
            <w:tcW w:w="3780" w:type="dxa"/>
            <w:tcBorders>
              <w:top w:val="single" w:sz="6" w:space="0" w:color="auto"/>
              <w:left w:val="single" w:sz="6" w:space="0" w:color="auto"/>
              <w:bottom w:val="single" w:sz="6" w:space="0" w:color="auto"/>
              <w:right w:val="single" w:sz="6" w:space="0" w:color="auto"/>
            </w:tcBorders>
          </w:tcPr>
          <w:p w:rsidR="002E72B3" w:rsidRPr="00590C7D" w:rsidRDefault="002E72B3" w:rsidP="002E72B3">
            <w:pPr>
              <w:pStyle w:val="Header"/>
              <w:spacing w:after="120"/>
              <w:rPr>
                <w:rFonts w:ascii="Arial" w:hAnsi="Arial" w:cs="Arial"/>
                <w:sz w:val="20"/>
                <w:szCs w:val="20"/>
              </w:rPr>
            </w:pPr>
            <w:r w:rsidRPr="00590C7D">
              <w:rPr>
                <w:rFonts w:ascii="Arial" w:hAnsi="Arial" w:cs="Arial"/>
                <w:sz w:val="20"/>
              </w:rPr>
              <w:t>Fuel tax:  vehicle’s travel on a public road that is incidental to the vehicle’s main use and the road user charge</w:t>
            </w:r>
          </w:p>
        </w:tc>
        <w:tc>
          <w:tcPr>
            <w:tcW w:w="4140" w:type="dxa"/>
            <w:tcBorders>
              <w:top w:val="single" w:sz="6" w:space="0" w:color="auto"/>
              <w:left w:val="single" w:sz="6" w:space="0" w:color="auto"/>
              <w:bottom w:val="single" w:sz="6" w:space="0" w:color="auto"/>
              <w:right w:val="single" w:sz="6" w:space="0" w:color="auto"/>
            </w:tcBorders>
          </w:tcPr>
          <w:p w:rsidR="00900C5B" w:rsidRPr="00900C5B" w:rsidRDefault="00900C5B" w:rsidP="00933CD9">
            <w:pPr>
              <w:pStyle w:val="Title1"/>
              <w:spacing w:after="120"/>
              <w:rPr>
                <w:rFonts w:ascii="Arial" w:hAnsi="Arial" w:cs="Arial"/>
                <w:b w:val="0"/>
                <w:sz w:val="20"/>
              </w:rPr>
            </w:pPr>
            <w:r w:rsidRPr="00900C5B">
              <w:rPr>
                <w:rFonts w:ascii="Arial" w:hAnsi="Arial" w:cs="Arial"/>
                <w:b w:val="0"/>
                <w:sz w:val="20"/>
              </w:rPr>
              <w:t>The Addendum amends Fuel Tax Ruling FTR 2008/1 to reflect the Commissioner’s view on the meaning of a public road.</w:t>
            </w:r>
          </w:p>
          <w:p w:rsidR="002E72B3" w:rsidRPr="002E72B3" w:rsidRDefault="002E72B3" w:rsidP="00933CD9">
            <w:pPr>
              <w:pStyle w:val="Title1"/>
              <w:spacing w:after="120"/>
              <w:rPr>
                <w:rFonts w:ascii="Arial" w:hAnsi="Arial" w:cs="Arial"/>
                <w:b w:val="0"/>
                <w:sz w:val="20"/>
              </w:rPr>
            </w:pPr>
            <w:r w:rsidRPr="002E72B3">
              <w:rPr>
                <w:rFonts w:ascii="Arial" w:hAnsi="Arial" w:cs="Arial"/>
                <w:b w:val="0"/>
                <w:sz w:val="20"/>
              </w:rPr>
              <w:t>The Addendum applies on and from 17 December 2014.</w:t>
            </w:r>
          </w:p>
        </w:tc>
      </w:tr>
      <w:tr w:rsidR="002E72B3"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2E72B3" w:rsidRPr="00103DF5" w:rsidRDefault="002E72B3" w:rsidP="00933CD9">
            <w:pPr>
              <w:pStyle w:val="Header"/>
              <w:spacing w:after="120"/>
              <w:rPr>
                <w:rFonts w:ascii="Arial" w:hAnsi="Arial" w:cs="Arial"/>
                <w:sz w:val="20"/>
                <w:szCs w:val="20"/>
              </w:rPr>
            </w:pPr>
            <w:r w:rsidRPr="00103DF5">
              <w:rPr>
                <w:rFonts w:ascii="Arial" w:hAnsi="Arial" w:cs="Arial"/>
                <w:sz w:val="20"/>
                <w:szCs w:val="20"/>
              </w:rPr>
              <w:t>GSTR 2002/2</w:t>
            </w:r>
          </w:p>
        </w:tc>
        <w:tc>
          <w:tcPr>
            <w:tcW w:w="3780" w:type="dxa"/>
            <w:tcBorders>
              <w:top w:val="single" w:sz="6" w:space="0" w:color="auto"/>
              <w:left w:val="single" w:sz="6" w:space="0" w:color="auto"/>
              <w:bottom w:val="single" w:sz="6" w:space="0" w:color="auto"/>
              <w:right w:val="single" w:sz="6" w:space="0" w:color="auto"/>
            </w:tcBorders>
          </w:tcPr>
          <w:p w:rsidR="002E72B3" w:rsidRPr="00103DF5" w:rsidRDefault="002E72B3" w:rsidP="002E72B3">
            <w:pPr>
              <w:spacing w:after="120"/>
              <w:rPr>
                <w:rFonts w:ascii="Arial" w:hAnsi="Arial" w:cs="Arial"/>
                <w:sz w:val="20"/>
                <w:szCs w:val="20"/>
              </w:rPr>
            </w:pPr>
            <w:r w:rsidRPr="00103DF5">
              <w:rPr>
                <w:rFonts w:ascii="Arial" w:hAnsi="Arial" w:cs="Arial"/>
                <w:sz w:val="20"/>
                <w:szCs w:val="20"/>
              </w:rPr>
              <w:t>Goods and services tax:  GST treatment of financial supplies and related supplies and acquisitions</w:t>
            </w:r>
          </w:p>
        </w:tc>
        <w:tc>
          <w:tcPr>
            <w:tcW w:w="4140" w:type="dxa"/>
            <w:tcBorders>
              <w:top w:val="single" w:sz="6" w:space="0" w:color="auto"/>
              <w:left w:val="single" w:sz="6" w:space="0" w:color="auto"/>
              <w:bottom w:val="single" w:sz="6" w:space="0" w:color="auto"/>
              <w:right w:val="single" w:sz="6" w:space="0" w:color="auto"/>
            </w:tcBorders>
          </w:tcPr>
          <w:p w:rsidR="00B36873" w:rsidRPr="00B36873" w:rsidRDefault="00B36873" w:rsidP="00933CD9">
            <w:pPr>
              <w:pStyle w:val="Title1"/>
              <w:spacing w:after="120"/>
              <w:rPr>
                <w:rFonts w:ascii="Arial" w:hAnsi="Arial" w:cs="Arial"/>
                <w:b w:val="0"/>
                <w:sz w:val="20"/>
              </w:rPr>
            </w:pPr>
            <w:r w:rsidRPr="00B36873">
              <w:rPr>
                <w:rFonts w:ascii="Arial" w:hAnsi="Arial" w:cs="Arial"/>
                <w:b w:val="0"/>
                <w:sz w:val="20"/>
              </w:rPr>
              <w:t>The Addendum amends Goods and Services Tax Ruling GSTR 2002/2 to reflect the change in the glossary for the term Automatic Teller Machine (ATM).</w:t>
            </w:r>
          </w:p>
          <w:p w:rsidR="002E72B3" w:rsidRPr="002E72B3" w:rsidRDefault="002E72B3" w:rsidP="00933CD9">
            <w:pPr>
              <w:pStyle w:val="Title1"/>
              <w:spacing w:after="120"/>
              <w:rPr>
                <w:rFonts w:ascii="Arial" w:hAnsi="Arial" w:cs="Arial"/>
                <w:b w:val="0"/>
                <w:sz w:val="20"/>
              </w:rPr>
            </w:pPr>
            <w:r w:rsidRPr="002E72B3">
              <w:rPr>
                <w:rFonts w:ascii="Arial" w:hAnsi="Arial" w:cs="Arial"/>
                <w:b w:val="0"/>
                <w:sz w:val="20"/>
              </w:rPr>
              <w:t xml:space="preserve">The Addendum applies both before and after its date of issue.  </w:t>
            </w:r>
          </w:p>
        </w:tc>
      </w:tr>
      <w:tr w:rsidR="002E72B3"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2E72B3" w:rsidRPr="002E72B3" w:rsidRDefault="002E72B3" w:rsidP="002E72B3">
            <w:pPr>
              <w:pStyle w:val="Header"/>
              <w:spacing w:after="120"/>
              <w:rPr>
                <w:rFonts w:ascii="Arial" w:hAnsi="Arial" w:cs="Arial"/>
                <w:sz w:val="20"/>
                <w:szCs w:val="20"/>
              </w:rPr>
            </w:pPr>
            <w:r w:rsidRPr="002E72B3">
              <w:rPr>
                <w:rFonts w:ascii="Arial" w:hAnsi="Arial" w:cs="Arial"/>
                <w:sz w:val="20"/>
                <w:szCs w:val="20"/>
              </w:rPr>
              <w:lastRenderedPageBreak/>
              <w:t>MT 2008/2</w:t>
            </w:r>
          </w:p>
        </w:tc>
        <w:tc>
          <w:tcPr>
            <w:tcW w:w="3780" w:type="dxa"/>
            <w:tcBorders>
              <w:top w:val="single" w:sz="6" w:space="0" w:color="auto"/>
              <w:left w:val="single" w:sz="6" w:space="0" w:color="auto"/>
              <w:bottom w:val="single" w:sz="6" w:space="0" w:color="auto"/>
              <w:right w:val="single" w:sz="6" w:space="0" w:color="auto"/>
            </w:tcBorders>
          </w:tcPr>
          <w:p w:rsidR="002E72B3" w:rsidRPr="002E72B3" w:rsidRDefault="002E72B3" w:rsidP="002E72B3">
            <w:pPr>
              <w:pStyle w:val="Header"/>
              <w:spacing w:after="120"/>
              <w:rPr>
                <w:rFonts w:ascii="Arial" w:hAnsi="Arial" w:cs="Arial"/>
                <w:sz w:val="20"/>
                <w:szCs w:val="20"/>
              </w:rPr>
            </w:pPr>
            <w:bookmarkStart w:id="6" w:name="VISSN"/>
            <w:r w:rsidRPr="002E72B3">
              <w:rPr>
                <w:rFonts w:ascii="Arial" w:hAnsi="Arial" w:cs="Arial"/>
                <w:sz w:val="20"/>
                <w:szCs w:val="20"/>
              </w:rPr>
              <w:t>Shortfall penalties:  administrative penalty for taking a position that is not reasonably arguable</w:t>
            </w:r>
            <w:bookmarkEnd w:id="6"/>
          </w:p>
        </w:tc>
        <w:tc>
          <w:tcPr>
            <w:tcW w:w="4140" w:type="dxa"/>
            <w:tcBorders>
              <w:top w:val="single" w:sz="6" w:space="0" w:color="auto"/>
              <w:left w:val="single" w:sz="6" w:space="0" w:color="auto"/>
              <w:bottom w:val="single" w:sz="6" w:space="0" w:color="auto"/>
              <w:right w:val="single" w:sz="6" w:space="0" w:color="auto"/>
            </w:tcBorders>
          </w:tcPr>
          <w:p w:rsidR="002E72B3" w:rsidRPr="002E72B3" w:rsidRDefault="002E72B3" w:rsidP="002E72B3">
            <w:pPr>
              <w:spacing w:after="120" w:line="240" w:lineRule="auto"/>
              <w:rPr>
                <w:rFonts w:ascii="Arial" w:hAnsi="Arial" w:cs="Arial"/>
                <w:sz w:val="20"/>
                <w:szCs w:val="20"/>
              </w:rPr>
            </w:pPr>
            <w:r w:rsidRPr="002E72B3">
              <w:rPr>
                <w:rFonts w:ascii="Arial" w:hAnsi="Arial" w:cs="Arial"/>
                <w:sz w:val="20"/>
                <w:szCs w:val="20"/>
              </w:rPr>
              <w:t xml:space="preserve">The Addendum amends Miscellaneous Taxation Ruling MT 2008/2 to reflect amendments to the TAA contained in the </w:t>
            </w:r>
            <w:r w:rsidRPr="002E72B3">
              <w:rPr>
                <w:rFonts w:ascii="Arial" w:hAnsi="Arial" w:cs="Arial"/>
                <w:i/>
                <w:sz w:val="20"/>
                <w:szCs w:val="20"/>
              </w:rPr>
              <w:t xml:space="preserve">Tax Laws Amendment (Countering Tax Avoidance and Multinational Profit Shifting) Act 2013 </w:t>
            </w:r>
            <w:r w:rsidRPr="002E72B3">
              <w:rPr>
                <w:rFonts w:ascii="Arial" w:hAnsi="Arial" w:cs="Arial"/>
                <w:sz w:val="20"/>
                <w:szCs w:val="20"/>
              </w:rPr>
              <w:t>(Amendment Act)</w:t>
            </w:r>
            <w:r w:rsidRPr="002E72B3">
              <w:rPr>
                <w:rFonts w:ascii="Arial" w:hAnsi="Arial" w:cs="Arial"/>
                <w:i/>
                <w:sz w:val="20"/>
                <w:szCs w:val="20"/>
              </w:rPr>
              <w:t xml:space="preserve">. </w:t>
            </w:r>
            <w:r w:rsidRPr="002E72B3">
              <w:rPr>
                <w:rFonts w:ascii="Arial" w:hAnsi="Arial" w:cs="Arial"/>
                <w:sz w:val="20"/>
                <w:szCs w:val="20"/>
              </w:rPr>
              <w:t>Under the Amendment Act an entity will be liable to a scheme penalty under subsection 284</w:t>
            </w:r>
            <w:r w:rsidRPr="002E72B3">
              <w:rPr>
                <w:rFonts w:ascii="Arial" w:hAnsi="Arial" w:cs="Arial"/>
                <w:sz w:val="20"/>
                <w:szCs w:val="20"/>
              </w:rPr>
              <w:noBreakHyphen/>
            </w:r>
            <w:proofErr w:type="gramStart"/>
            <w:r w:rsidRPr="002E72B3">
              <w:rPr>
                <w:rFonts w:ascii="Arial" w:hAnsi="Arial" w:cs="Arial"/>
                <w:sz w:val="20"/>
                <w:szCs w:val="20"/>
              </w:rPr>
              <w:t>145(</w:t>
            </w:r>
            <w:proofErr w:type="gramEnd"/>
            <w:r w:rsidRPr="002E72B3">
              <w:rPr>
                <w:rFonts w:ascii="Arial" w:hAnsi="Arial" w:cs="Arial"/>
                <w:sz w:val="20"/>
                <w:szCs w:val="20"/>
              </w:rPr>
              <w:t>2B) of the TAA where the transfer pricing provisions in Subdivisions 815</w:t>
            </w:r>
            <w:r w:rsidRPr="002E72B3">
              <w:rPr>
                <w:rFonts w:ascii="Arial" w:hAnsi="Arial" w:cs="Arial"/>
                <w:sz w:val="20"/>
                <w:szCs w:val="20"/>
              </w:rPr>
              <w:noBreakHyphen/>
              <w:t>B or 815</w:t>
            </w:r>
            <w:r w:rsidRPr="002E72B3">
              <w:rPr>
                <w:rFonts w:ascii="Arial" w:hAnsi="Arial" w:cs="Arial"/>
                <w:sz w:val="20"/>
                <w:szCs w:val="20"/>
              </w:rPr>
              <w:noBreakHyphen/>
              <w:t xml:space="preserve">C of the </w:t>
            </w:r>
            <w:r w:rsidRPr="002E72B3">
              <w:rPr>
                <w:rFonts w:ascii="Arial" w:hAnsi="Arial" w:cs="Arial"/>
                <w:i/>
                <w:sz w:val="20"/>
                <w:szCs w:val="20"/>
              </w:rPr>
              <w:t xml:space="preserve">Income Tax Assessment Act 1997 </w:t>
            </w:r>
            <w:r w:rsidRPr="002E72B3">
              <w:rPr>
                <w:rFonts w:ascii="Arial" w:hAnsi="Arial" w:cs="Arial"/>
                <w:sz w:val="20"/>
                <w:szCs w:val="20"/>
              </w:rPr>
              <w:t>apply. Where this penalty applies, the Amendment Act inserts Subdivision 284</w:t>
            </w:r>
            <w:r w:rsidRPr="002E72B3">
              <w:rPr>
                <w:rFonts w:ascii="Arial" w:hAnsi="Arial" w:cs="Arial"/>
                <w:sz w:val="20"/>
                <w:szCs w:val="20"/>
              </w:rPr>
              <w:noBreakHyphen/>
              <w:t xml:space="preserve">E that states that an entity </w:t>
            </w:r>
            <w:r w:rsidRPr="002E72B3">
              <w:rPr>
                <w:rFonts w:ascii="Arial" w:hAnsi="Arial" w:cs="Arial"/>
                <w:i/>
                <w:sz w:val="20"/>
                <w:szCs w:val="20"/>
              </w:rPr>
              <w:t xml:space="preserve">will not </w:t>
            </w:r>
            <w:r w:rsidRPr="002E72B3">
              <w:rPr>
                <w:rFonts w:ascii="Arial" w:hAnsi="Arial" w:cs="Arial"/>
                <w:sz w:val="20"/>
                <w:szCs w:val="20"/>
              </w:rPr>
              <w:t>be eligible to argue a reasonably arguable position for a matter if the entity has not met specific documentation requirements for that matter. It also updates references to:</w:t>
            </w:r>
          </w:p>
          <w:p w:rsidR="002E72B3" w:rsidRPr="002E72B3" w:rsidRDefault="002E72B3" w:rsidP="002E72B3">
            <w:pPr>
              <w:numPr>
                <w:ilvl w:val="0"/>
                <w:numId w:val="2"/>
              </w:numPr>
              <w:spacing w:after="120" w:line="240" w:lineRule="auto"/>
              <w:ind w:left="446" w:hanging="284"/>
              <w:rPr>
                <w:rFonts w:ascii="Arial" w:hAnsi="Arial" w:cs="Arial"/>
                <w:sz w:val="20"/>
                <w:szCs w:val="20"/>
              </w:rPr>
            </w:pPr>
            <w:r w:rsidRPr="002E72B3">
              <w:rPr>
                <w:rFonts w:ascii="Arial" w:hAnsi="Arial" w:cs="Arial"/>
                <w:sz w:val="20"/>
                <w:szCs w:val="20"/>
              </w:rPr>
              <w:t>Draft Taxation Ruling TR 2014/D4 being finalised as Taxation Ruling TR 2014/8, and</w:t>
            </w:r>
          </w:p>
          <w:p w:rsidR="002E72B3" w:rsidRPr="002E72B3" w:rsidRDefault="002E72B3" w:rsidP="002E72B3">
            <w:pPr>
              <w:numPr>
                <w:ilvl w:val="0"/>
                <w:numId w:val="2"/>
              </w:numPr>
              <w:spacing w:after="120" w:line="240" w:lineRule="auto"/>
              <w:ind w:left="446" w:hanging="284"/>
              <w:rPr>
                <w:rFonts w:ascii="Arial" w:hAnsi="Arial" w:cs="Arial"/>
                <w:sz w:val="20"/>
                <w:szCs w:val="20"/>
              </w:rPr>
            </w:pPr>
            <w:r w:rsidRPr="002E72B3">
              <w:rPr>
                <w:rFonts w:ascii="Arial" w:hAnsi="Arial" w:cs="Arial"/>
                <w:sz w:val="20"/>
                <w:szCs w:val="20"/>
              </w:rPr>
              <w:t>Draft Law Administration Practice Statement PS LA 3672 being finalised as Law Administration Practice Statement PS LA 2014/2.</w:t>
            </w:r>
          </w:p>
          <w:p w:rsidR="002E72B3" w:rsidRPr="002E72B3" w:rsidRDefault="002E72B3" w:rsidP="002E72B3">
            <w:pPr>
              <w:pStyle w:val="Title1"/>
              <w:spacing w:after="120"/>
              <w:rPr>
                <w:rFonts w:ascii="Arial" w:hAnsi="Arial" w:cs="Arial"/>
                <w:b w:val="0"/>
                <w:sz w:val="20"/>
              </w:rPr>
            </w:pPr>
            <w:r w:rsidRPr="002E72B3">
              <w:rPr>
                <w:rFonts w:ascii="Arial" w:hAnsi="Arial" w:cs="Arial"/>
                <w:b w:val="0"/>
                <w:sz w:val="20"/>
              </w:rPr>
              <w:t xml:space="preserve">The Addendum applies on and from 17 December 2014.   </w:t>
            </w:r>
          </w:p>
        </w:tc>
      </w:tr>
    </w:tbl>
    <w:p w:rsidR="00114CB2" w:rsidRDefault="00114CB2" w:rsidP="0094219E">
      <w:pPr>
        <w:spacing w:after="120"/>
        <w:rPr>
          <w:rFonts w:ascii="Arial" w:hAnsi="Arial" w:cs="Arial"/>
          <w:sz w:val="18"/>
          <w:szCs w:val="18"/>
        </w:rPr>
      </w:pP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t>NOTICE OF</w:t>
            </w:r>
            <w:r w:rsidR="0068035F">
              <w:rPr>
                <w:sz w:val="22"/>
                <w:szCs w:val="22"/>
              </w:rPr>
              <w:t xml:space="preserve"> WITHDRAWAL</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68035F"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68035F" w:rsidRPr="00A83BCC" w:rsidRDefault="0068035F" w:rsidP="0068035F">
            <w:pPr>
              <w:spacing w:after="120" w:line="240" w:lineRule="auto"/>
              <w:rPr>
                <w:rFonts w:ascii="Arial" w:hAnsi="Arial" w:cs="Arial"/>
                <w:sz w:val="20"/>
                <w:szCs w:val="20"/>
              </w:rPr>
            </w:pPr>
            <w:r>
              <w:rPr>
                <w:rFonts w:ascii="Arial" w:hAnsi="Arial" w:cs="Arial"/>
                <w:sz w:val="20"/>
                <w:szCs w:val="20"/>
              </w:rPr>
              <w:t>GSTII</w:t>
            </w:r>
          </w:p>
        </w:tc>
        <w:tc>
          <w:tcPr>
            <w:tcW w:w="3780" w:type="dxa"/>
            <w:tcBorders>
              <w:top w:val="single" w:sz="6" w:space="0" w:color="auto"/>
              <w:left w:val="single" w:sz="6" w:space="0" w:color="auto"/>
              <w:bottom w:val="single" w:sz="6" w:space="0" w:color="auto"/>
              <w:right w:val="single" w:sz="6" w:space="0" w:color="auto"/>
            </w:tcBorders>
          </w:tcPr>
          <w:p w:rsidR="0068035F" w:rsidRPr="00BE2E2F" w:rsidRDefault="0068035F" w:rsidP="0068035F">
            <w:pPr>
              <w:pStyle w:val="Header"/>
              <w:spacing w:after="120"/>
              <w:rPr>
                <w:rFonts w:ascii="Arial" w:hAnsi="Arial" w:cs="Arial"/>
                <w:sz w:val="20"/>
              </w:rPr>
            </w:pPr>
            <w:r w:rsidRPr="00BE2E2F">
              <w:rPr>
                <w:rFonts w:ascii="Arial" w:hAnsi="Arial" w:cs="Arial"/>
                <w:sz w:val="20"/>
              </w:rPr>
              <w:t>Financial Services Questions and Answers</w:t>
            </w:r>
          </w:p>
          <w:p w:rsidR="0068035F" w:rsidRPr="00761EC1" w:rsidRDefault="0068035F" w:rsidP="0068035F">
            <w:pPr>
              <w:pStyle w:val="Header"/>
              <w:spacing w:after="120"/>
              <w:rPr>
                <w:rFonts w:ascii="Arial" w:hAnsi="Arial" w:cs="Arial"/>
                <w:sz w:val="20"/>
              </w:rPr>
            </w:pPr>
            <w:r w:rsidRPr="00BE2E2F">
              <w:rPr>
                <w:rFonts w:ascii="Arial" w:hAnsi="Arial" w:cs="Arial"/>
                <w:sz w:val="20"/>
              </w:rPr>
              <w:t>Credit card surcharge – part of consideration for supply</w:t>
            </w:r>
          </w:p>
        </w:tc>
        <w:tc>
          <w:tcPr>
            <w:tcW w:w="4140" w:type="dxa"/>
            <w:tcBorders>
              <w:top w:val="single" w:sz="6" w:space="0" w:color="auto"/>
              <w:left w:val="single" w:sz="6" w:space="0" w:color="auto"/>
              <w:bottom w:val="single" w:sz="6" w:space="0" w:color="auto"/>
              <w:right w:val="single" w:sz="6" w:space="0" w:color="auto"/>
            </w:tcBorders>
          </w:tcPr>
          <w:p w:rsidR="0068035F" w:rsidRPr="00761EC1" w:rsidRDefault="0068035F" w:rsidP="0068035F">
            <w:pPr>
              <w:pStyle w:val="Header"/>
              <w:spacing w:after="120"/>
              <w:rPr>
                <w:rFonts w:ascii="Arial" w:hAnsi="Arial" w:cs="Arial"/>
                <w:sz w:val="20"/>
              </w:rPr>
            </w:pPr>
            <w:r w:rsidRPr="00BE2E2F">
              <w:rPr>
                <w:rFonts w:ascii="Arial" w:hAnsi="Arial" w:cs="Arial"/>
                <w:sz w:val="20"/>
                <w:szCs w:val="20"/>
              </w:rPr>
              <w:t>Withdrawn with effect from 17 December 2014.</w:t>
            </w:r>
          </w:p>
        </w:tc>
      </w:tr>
    </w:tbl>
    <w:p w:rsidR="00114CB2" w:rsidRPr="00424B97" w:rsidRDefault="00114CB2" w:rsidP="008B0D5F"/>
    <w:sectPr w:rsidR="00114CB2"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1C" w:rsidRDefault="001A761C" w:rsidP="003A707F">
      <w:pPr>
        <w:spacing w:after="0" w:line="240" w:lineRule="auto"/>
      </w:pPr>
      <w:r>
        <w:separator/>
      </w:r>
    </w:p>
  </w:endnote>
  <w:endnote w:type="continuationSeparator" w:id="0">
    <w:p w:rsidR="001A761C" w:rsidRDefault="001A761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1C" w:rsidRDefault="001A761C" w:rsidP="003A707F">
      <w:pPr>
        <w:spacing w:after="0" w:line="240" w:lineRule="auto"/>
      </w:pPr>
      <w:r>
        <w:separator/>
      </w:r>
    </w:p>
  </w:footnote>
  <w:footnote w:type="continuationSeparator" w:id="0">
    <w:p w:rsidR="001A761C" w:rsidRDefault="001A761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9A664E" w:rsidP="00840A06">
          <w:pPr>
            <w:spacing w:before="60" w:after="0"/>
            <w:ind w:left="-51"/>
            <w:rPr>
              <w:rFonts w:ascii="Arial" w:hAnsi="Arial"/>
              <w:sz w:val="12"/>
            </w:rPr>
          </w:pPr>
          <w:bookmarkStart w:id="7" w:name="OLE_LINK2"/>
          <w:r>
            <w:rPr>
              <w:rFonts w:ascii="Arial" w:hAnsi="Arial"/>
              <w:noProof/>
              <w:sz w:val="12"/>
              <w:lang w:eastAsia="en-AU"/>
            </w:rPr>
            <w:drawing>
              <wp:inline distT="0" distB="0" distL="0" distR="0">
                <wp:extent cx="657225"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2387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ascii="Arial" w:hAnsi="Arial" w:cs="Arial"/>
              <w:b/>
              <w:spacing w:val="-2"/>
              <w:sz w:val="44"/>
              <w:szCs w:val="44"/>
            </w:rPr>
          </w:pPr>
          <w:r w:rsidRPr="005E7AE5">
            <w:rPr>
              <w:rFonts w:ascii="Arial" w:hAnsi="Arial" w:cs="Arial"/>
              <w:b/>
              <w:spacing w:val="-2"/>
              <w:sz w:val="44"/>
              <w:szCs w:val="44"/>
            </w:rPr>
            <w:t>Commonwealth</w:t>
          </w:r>
          <w:r w:rsidRPr="005E7AE5">
            <w:rPr>
              <w:rFonts w:ascii="Arial" w:hAnsi="Arial" w:cs="Arial"/>
              <w:b/>
              <w:spacing w:val="-2"/>
              <w:sz w:val="44"/>
              <w:szCs w:val="44"/>
            </w:rPr>
            <w:br/>
            <w:t xml:space="preserve">of </w:t>
          </w:r>
          <w:smartTag w:uri="urn:schemas-microsoft-com:office:smarttags" w:element="country-region">
            <w:smartTag w:uri="urn:schemas-microsoft-com:office:smarttags" w:element="place">
              <w:r w:rsidRPr="005E7AE5">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ascii="Arial" w:hAnsi="Arial" w:cs="Arial"/>
              <w:b/>
              <w:sz w:val="100"/>
              <w:szCs w:val="100"/>
            </w:rPr>
          </w:pPr>
          <w:r w:rsidRPr="005E7AE5">
            <w:rPr>
              <w:rFonts w:ascii="Arial" w:hAnsi="Arial"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40A06">
          <w:pPr>
            <w:spacing w:after="0"/>
            <w:ind w:left="-51"/>
            <w:rPr>
              <w:rFonts w:ascii="Arial" w:hAnsi="Arial" w:cs="Arial"/>
              <w:sz w:val="14"/>
              <w:szCs w:val="14"/>
            </w:rPr>
          </w:pPr>
          <w:bookmarkStart w:id="8" w:name="GazNo"/>
          <w:bookmarkEnd w:id="8"/>
          <w:r w:rsidRPr="005E7AE5">
            <w:rPr>
              <w:rFonts w:ascii="Arial" w:hAnsi="Arial" w:cs="Arial"/>
              <w:sz w:val="14"/>
              <w:szCs w:val="14"/>
            </w:rPr>
            <w:t xml:space="preserve">Published by the Commonwealth of </w:t>
          </w:r>
          <w:smartTag w:uri="urn:schemas-microsoft-com:office:smarttags" w:element="place">
            <w:smartTag w:uri="urn:schemas-microsoft-com:office:smarttags" w:element="country-region">
              <w:r w:rsidRPr="005E7AE5">
                <w:rPr>
                  <w:rFonts w:ascii="Arial" w:hAnsi="Arial"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40A06">
          <w:pPr>
            <w:spacing w:after="0"/>
            <w:jc w:val="right"/>
            <w:rPr>
              <w:rFonts w:ascii="Arial" w:hAnsi="Arial" w:cs="Arial"/>
              <w:b/>
              <w:sz w:val="24"/>
              <w:szCs w:val="24"/>
            </w:rPr>
          </w:pPr>
          <w:r w:rsidRPr="005E7AE5">
            <w:rPr>
              <w:rFonts w:ascii="Arial" w:hAnsi="Arial" w:cs="Arial"/>
              <w:b/>
              <w:sz w:val="24"/>
              <w:szCs w:val="24"/>
            </w:rPr>
            <w:t>GOVERNMENT NOTICES</w:t>
          </w:r>
        </w:p>
      </w:tc>
    </w:tr>
    <w:bookmarkEnd w:id="7"/>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B5F"/>
    <w:multiLevelType w:val="hybridMultilevel"/>
    <w:tmpl w:val="312A90F0"/>
    <w:lvl w:ilvl="0" w:tplc="0C090001">
      <w:start w:val="1"/>
      <w:numFmt w:val="bullet"/>
      <w:lvlText w:val=""/>
      <w:lvlJc w:val="left"/>
      <w:pPr>
        <w:ind w:left="-2116" w:hanging="360"/>
      </w:pPr>
      <w:rPr>
        <w:rFonts w:ascii="Symbol" w:hAnsi="Symbol" w:hint="default"/>
      </w:rPr>
    </w:lvl>
    <w:lvl w:ilvl="1" w:tplc="0C090003" w:tentative="1">
      <w:start w:val="1"/>
      <w:numFmt w:val="bullet"/>
      <w:lvlText w:val="o"/>
      <w:lvlJc w:val="left"/>
      <w:pPr>
        <w:ind w:left="-1396" w:hanging="360"/>
      </w:pPr>
      <w:rPr>
        <w:rFonts w:ascii="Courier New" w:hAnsi="Courier New" w:cs="Courier New" w:hint="default"/>
      </w:rPr>
    </w:lvl>
    <w:lvl w:ilvl="2" w:tplc="0C090005" w:tentative="1">
      <w:start w:val="1"/>
      <w:numFmt w:val="bullet"/>
      <w:lvlText w:val=""/>
      <w:lvlJc w:val="left"/>
      <w:pPr>
        <w:ind w:left="-676" w:hanging="360"/>
      </w:pPr>
      <w:rPr>
        <w:rFonts w:ascii="Wingdings" w:hAnsi="Wingdings" w:hint="default"/>
      </w:rPr>
    </w:lvl>
    <w:lvl w:ilvl="3" w:tplc="0C090001" w:tentative="1">
      <w:start w:val="1"/>
      <w:numFmt w:val="bullet"/>
      <w:lvlText w:val=""/>
      <w:lvlJc w:val="left"/>
      <w:pPr>
        <w:ind w:left="44" w:hanging="360"/>
      </w:pPr>
      <w:rPr>
        <w:rFonts w:ascii="Symbol" w:hAnsi="Symbol" w:hint="default"/>
      </w:rPr>
    </w:lvl>
    <w:lvl w:ilvl="4" w:tplc="0C090003" w:tentative="1">
      <w:start w:val="1"/>
      <w:numFmt w:val="bullet"/>
      <w:lvlText w:val="o"/>
      <w:lvlJc w:val="left"/>
      <w:pPr>
        <w:ind w:left="764" w:hanging="360"/>
      </w:pPr>
      <w:rPr>
        <w:rFonts w:ascii="Courier New" w:hAnsi="Courier New" w:cs="Courier New" w:hint="default"/>
      </w:rPr>
    </w:lvl>
    <w:lvl w:ilvl="5" w:tplc="0C090005" w:tentative="1">
      <w:start w:val="1"/>
      <w:numFmt w:val="bullet"/>
      <w:lvlText w:val=""/>
      <w:lvlJc w:val="left"/>
      <w:pPr>
        <w:ind w:left="1484" w:hanging="360"/>
      </w:pPr>
      <w:rPr>
        <w:rFonts w:ascii="Wingdings" w:hAnsi="Wingdings" w:hint="default"/>
      </w:rPr>
    </w:lvl>
    <w:lvl w:ilvl="6" w:tplc="0C090001" w:tentative="1">
      <w:start w:val="1"/>
      <w:numFmt w:val="bullet"/>
      <w:lvlText w:val=""/>
      <w:lvlJc w:val="left"/>
      <w:pPr>
        <w:ind w:left="2204" w:hanging="360"/>
      </w:pPr>
      <w:rPr>
        <w:rFonts w:ascii="Symbol" w:hAnsi="Symbol" w:hint="default"/>
      </w:rPr>
    </w:lvl>
    <w:lvl w:ilvl="7" w:tplc="0C090003" w:tentative="1">
      <w:start w:val="1"/>
      <w:numFmt w:val="bullet"/>
      <w:lvlText w:val="o"/>
      <w:lvlJc w:val="left"/>
      <w:pPr>
        <w:ind w:left="2924" w:hanging="360"/>
      </w:pPr>
      <w:rPr>
        <w:rFonts w:ascii="Courier New" w:hAnsi="Courier New" w:cs="Courier New" w:hint="default"/>
      </w:rPr>
    </w:lvl>
    <w:lvl w:ilvl="8" w:tplc="0C090005" w:tentative="1">
      <w:start w:val="1"/>
      <w:numFmt w:val="bullet"/>
      <w:lvlText w:val=""/>
      <w:lvlJc w:val="left"/>
      <w:pPr>
        <w:ind w:left="3644" w:hanging="360"/>
      </w:pPr>
      <w:rPr>
        <w:rFonts w:ascii="Wingdings" w:hAnsi="Wingdings" w:hint="default"/>
      </w:rPr>
    </w:lvl>
  </w:abstractNum>
  <w:abstractNum w:abstractNumId="1">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7360"/>
    <w:rsid w:val="000E1F2B"/>
    <w:rsid w:val="00114CB2"/>
    <w:rsid w:val="00141674"/>
    <w:rsid w:val="001A4747"/>
    <w:rsid w:val="001A761C"/>
    <w:rsid w:val="001C2AAD"/>
    <w:rsid w:val="001F6E54"/>
    <w:rsid w:val="00237961"/>
    <w:rsid w:val="00280BCD"/>
    <w:rsid w:val="002E11C3"/>
    <w:rsid w:val="002E72B3"/>
    <w:rsid w:val="003A707F"/>
    <w:rsid w:val="003B0EC1"/>
    <w:rsid w:val="003B1C5A"/>
    <w:rsid w:val="003B573B"/>
    <w:rsid w:val="003F2CBD"/>
    <w:rsid w:val="00424B97"/>
    <w:rsid w:val="00461025"/>
    <w:rsid w:val="004B2753"/>
    <w:rsid w:val="004C5A5D"/>
    <w:rsid w:val="00520873"/>
    <w:rsid w:val="00573D44"/>
    <w:rsid w:val="00576549"/>
    <w:rsid w:val="005E7AE5"/>
    <w:rsid w:val="00675C2A"/>
    <w:rsid w:val="0068035F"/>
    <w:rsid w:val="006A0257"/>
    <w:rsid w:val="006B38CC"/>
    <w:rsid w:val="00773255"/>
    <w:rsid w:val="007C490F"/>
    <w:rsid w:val="007E2CA6"/>
    <w:rsid w:val="00840A06"/>
    <w:rsid w:val="008439B7"/>
    <w:rsid w:val="0086443E"/>
    <w:rsid w:val="0087253F"/>
    <w:rsid w:val="008B0D5F"/>
    <w:rsid w:val="008D17C9"/>
    <w:rsid w:val="008D71A2"/>
    <w:rsid w:val="008E4F6C"/>
    <w:rsid w:val="00900C5B"/>
    <w:rsid w:val="009222D9"/>
    <w:rsid w:val="0094219E"/>
    <w:rsid w:val="00943B8D"/>
    <w:rsid w:val="009539C7"/>
    <w:rsid w:val="0095650D"/>
    <w:rsid w:val="009A664E"/>
    <w:rsid w:val="00A00F21"/>
    <w:rsid w:val="00A06B2F"/>
    <w:rsid w:val="00A41F5C"/>
    <w:rsid w:val="00A60CE8"/>
    <w:rsid w:val="00A83BCC"/>
    <w:rsid w:val="00A84104"/>
    <w:rsid w:val="00AD0943"/>
    <w:rsid w:val="00B13439"/>
    <w:rsid w:val="00B36873"/>
    <w:rsid w:val="00B4706B"/>
    <w:rsid w:val="00B77F4A"/>
    <w:rsid w:val="00B84226"/>
    <w:rsid w:val="00C35B1A"/>
    <w:rsid w:val="00C4008A"/>
    <w:rsid w:val="00C51D3C"/>
    <w:rsid w:val="00C6118E"/>
    <w:rsid w:val="00C63C4E"/>
    <w:rsid w:val="00D77A88"/>
    <w:rsid w:val="00DF598B"/>
    <w:rsid w:val="00E66814"/>
    <w:rsid w:val="00E823AE"/>
    <w:rsid w:val="00EB3C1D"/>
    <w:rsid w:val="00ED2E52"/>
    <w:rsid w:val="00F40885"/>
    <w:rsid w:val="00F44FF5"/>
    <w:rsid w:val="00FE3E45"/>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8D"/>
    <w:pPr>
      <w:spacing w:after="200" w:line="276" w:lineRule="auto"/>
    </w:pPr>
    <w:rPr>
      <w:lang w:eastAsia="en-US"/>
    </w:rPr>
  </w:style>
  <w:style w:type="paragraph" w:styleId="Heading1">
    <w:name w:val="heading 1"/>
    <w:basedOn w:val="Normal"/>
    <w:next w:val="Normal"/>
    <w:link w:val="Heading1Char"/>
    <w:qFormat/>
    <w:locked/>
    <w:rsid w:val="002E72B3"/>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9"/>
    <w:qFormat/>
    <w:locked/>
    <w:rsid w:val="0094219E"/>
    <w:pPr>
      <w:keepNext/>
      <w:spacing w:before="240" w:after="60" w:line="240" w:lineRule="auto"/>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4219E"/>
    <w:rPr>
      <w:rFonts w:ascii="Arial" w:hAnsi="Arial" w:cs="Arial"/>
      <w:b/>
      <w:bCs/>
      <w:sz w:val="26"/>
      <w:szCs w:val="26"/>
      <w:lang w:val="en-AU" w:eastAsia="en-AU" w:bidi="ar-SA"/>
    </w:rPr>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line="240" w:lineRule="auto"/>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paragraph" w:styleId="NormalWeb">
    <w:name w:val="Normal (Web)"/>
    <w:basedOn w:val="Normal"/>
    <w:unhideWhenUsed/>
    <w:rsid w:val="00A41F5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itle1">
    <w:name w:val="Title1"/>
    <w:basedOn w:val="Heading1"/>
    <w:rsid w:val="002E72B3"/>
    <w:pPr>
      <w:keepLines/>
      <w:spacing w:before="0" w:after="0" w:line="240" w:lineRule="auto"/>
    </w:pPr>
    <w:rPr>
      <w:rFonts w:ascii="Times New Roman" w:eastAsia="Times New Roman" w:hAnsi="Times New Roman" w:cs="Times New Roman"/>
      <w:bCs w:val="0"/>
      <w:kern w:val="0"/>
      <w:sz w:val="36"/>
      <w:szCs w:val="20"/>
      <w:lang w:val="en-GB" w:eastAsia="en-AU"/>
    </w:rPr>
  </w:style>
  <w:style w:type="character" w:customStyle="1" w:styleId="Heading1Char">
    <w:name w:val="Heading 1 Char"/>
    <w:basedOn w:val="DefaultParagraphFont"/>
    <w:link w:val="Heading1"/>
    <w:rsid w:val="002E72B3"/>
    <w:rPr>
      <w:rFonts w:asciiTheme="majorHAnsi" w:eastAsiaTheme="majorEastAsia" w:hAnsiTheme="majorHAnsi" w:cstheme="majorBidi"/>
      <w:b/>
      <w:bCs/>
      <w:kern w:val="32"/>
      <w:sz w:val="32"/>
      <w:szCs w:val="32"/>
      <w:lang w:eastAsia="en-US"/>
    </w:rPr>
  </w:style>
  <w:style w:type="paragraph" w:customStyle="1" w:styleId="CharCharCharCharCharCharChar">
    <w:name w:val="Char Char Char Char Char Char Char"/>
    <w:basedOn w:val="Normal"/>
    <w:autoRedefine/>
    <w:rsid w:val="00675C2A"/>
    <w:pPr>
      <w:keepNext/>
      <w:keepLines/>
      <w:spacing w:after="120" w:line="240" w:lineRule="auto"/>
    </w:pPr>
    <w:rPr>
      <w:rFonts w:ascii="Arial" w:eastAsia="Times New Roman" w:hAnsi="Arial"/>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8D"/>
    <w:pPr>
      <w:spacing w:after="200" w:line="276" w:lineRule="auto"/>
    </w:pPr>
    <w:rPr>
      <w:lang w:eastAsia="en-US"/>
    </w:rPr>
  </w:style>
  <w:style w:type="paragraph" w:styleId="Heading1">
    <w:name w:val="heading 1"/>
    <w:basedOn w:val="Normal"/>
    <w:next w:val="Normal"/>
    <w:link w:val="Heading1Char"/>
    <w:qFormat/>
    <w:locked/>
    <w:rsid w:val="002E72B3"/>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9"/>
    <w:qFormat/>
    <w:locked/>
    <w:rsid w:val="0094219E"/>
    <w:pPr>
      <w:keepNext/>
      <w:spacing w:before="240" w:after="60" w:line="240" w:lineRule="auto"/>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4219E"/>
    <w:rPr>
      <w:rFonts w:ascii="Arial" w:hAnsi="Arial" w:cs="Arial"/>
      <w:b/>
      <w:bCs/>
      <w:sz w:val="26"/>
      <w:szCs w:val="26"/>
      <w:lang w:val="en-AU" w:eastAsia="en-AU" w:bidi="ar-SA"/>
    </w:rPr>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line="240" w:lineRule="auto"/>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paragraph" w:styleId="NormalWeb">
    <w:name w:val="Normal (Web)"/>
    <w:basedOn w:val="Normal"/>
    <w:unhideWhenUsed/>
    <w:rsid w:val="00A41F5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itle1">
    <w:name w:val="Title1"/>
    <w:basedOn w:val="Heading1"/>
    <w:rsid w:val="002E72B3"/>
    <w:pPr>
      <w:keepLines/>
      <w:spacing w:before="0" w:after="0" w:line="240" w:lineRule="auto"/>
    </w:pPr>
    <w:rPr>
      <w:rFonts w:ascii="Times New Roman" w:eastAsia="Times New Roman" w:hAnsi="Times New Roman" w:cs="Times New Roman"/>
      <w:bCs w:val="0"/>
      <w:kern w:val="0"/>
      <w:sz w:val="36"/>
      <w:szCs w:val="20"/>
      <w:lang w:val="en-GB" w:eastAsia="en-AU"/>
    </w:rPr>
  </w:style>
  <w:style w:type="character" w:customStyle="1" w:styleId="Heading1Char">
    <w:name w:val="Heading 1 Char"/>
    <w:basedOn w:val="DefaultParagraphFont"/>
    <w:link w:val="Heading1"/>
    <w:rsid w:val="002E72B3"/>
    <w:rPr>
      <w:rFonts w:asciiTheme="majorHAnsi" w:eastAsiaTheme="majorEastAsia" w:hAnsiTheme="majorHAnsi" w:cstheme="majorBidi"/>
      <w:b/>
      <w:bCs/>
      <w:kern w:val="32"/>
      <w:sz w:val="32"/>
      <w:szCs w:val="32"/>
      <w:lang w:eastAsia="en-US"/>
    </w:rPr>
  </w:style>
  <w:style w:type="paragraph" w:customStyle="1" w:styleId="CharCharCharCharCharCharChar">
    <w:name w:val="Char Char Char Char Char Char Char"/>
    <w:basedOn w:val="Normal"/>
    <w:autoRedefine/>
    <w:rsid w:val="00675C2A"/>
    <w:pPr>
      <w:keepNext/>
      <w:keepLines/>
      <w:spacing w:after="120" w:line="240" w:lineRule="auto"/>
    </w:pPr>
    <w:rPr>
      <w:rFonts w:ascii="Arial" w:eastAsia="Times New Roman"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ato.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1490</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Sean Clarke</cp:lastModifiedBy>
  <cp:revision>4</cp:revision>
  <cp:lastPrinted>2014-12-11T04:02:00Z</cp:lastPrinted>
  <dcterms:created xsi:type="dcterms:W3CDTF">2014-12-11T23:34:00Z</dcterms:created>
  <dcterms:modified xsi:type="dcterms:W3CDTF">2014-12-12T02:58:00Z</dcterms:modified>
</cp:coreProperties>
</file>