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DC" w:rsidRDefault="005275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  <w:bookmarkStart w:id="0" w:name="_GoBack"/>
      <w:bookmarkEnd w:id="0"/>
    </w:p>
    <w:p w:rsidR="00052EDC" w:rsidRDefault="00052EDC"/>
    <w:p w:rsidR="00052EDC" w:rsidRDefault="00052EDC" w:rsidP="00052EDC">
      <w:pPr>
        <w:spacing w:line="240" w:lineRule="auto"/>
      </w:pPr>
    </w:p>
    <w:p w:rsidR="00052EDC" w:rsidRDefault="00052EDC" w:rsidP="00052EDC"/>
    <w:p w:rsidR="00052EDC" w:rsidRDefault="00052EDC" w:rsidP="00052EDC"/>
    <w:p w:rsidR="00052EDC" w:rsidRDefault="00052EDC" w:rsidP="00052EDC"/>
    <w:p w:rsidR="00052EDC" w:rsidRDefault="00052EDC" w:rsidP="00052EDC"/>
    <w:p w:rsidR="0048364F" w:rsidRPr="008A18FA" w:rsidRDefault="000D56A5" w:rsidP="0048364F">
      <w:pPr>
        <w:pStyle w:val="ShortT"/>
      </w:pPr>
      <w:r w:rsidRPr="008A18FA">
        <w:t>Offshore Petroleum and Greenhouse Gas Storage (Regulatory Levies) Amendment</w:t>
      </w:r>
      <w:r w:rsidR="00C164CA" w:rsidRPr="008A18FA">
        <w:t xml:space="preserve"> </w:t>
      </w:r>
      <w:r w:rsidR="00E02B38" w:rsidRPr="008A18FA">
        <w:t xml:space="preserve">(Designated Coastal Waters) </w:t>
      </w:r>
      <w:r w:rsidR="00052EDC">
        <w:t>Act</w:t>
      </w:r>
      <w:r w:rsidR="00C164CA" w:rsidRPr="008A18FA">
        <w:t xml:space="preserve"> 201</w:t>
      </w:r>
      <w:r w:rsidR="00750760">
        <w:t>5</w:t>
      </w:r>
    </w:p>
    <w:p w:rsidR="0048364F" w:rsidRPr="008A18FA" w:rsidRDefault="0048364F" w:rsidP="0048364F"/>
    <w:p w:rsidR="0048364F" w:rsidRPr="008A18FA" w:rsidRDefault="00C164CA" w:rsidP="00052EDC">
      <w:pPr>
        <w:pStyle w:val="Actno"/>
        <w:spacing w:before="400"/>
      </w:pPr>
      <w:r w:rsidRPr="008A18FA">
        <w:t>No.</w:t>
      </w:r>
      <w:r w:rsidR="00983BDC">
        <w:t xml:space="preserve"> 16</w:t>
      </w:r>
      <w:r w:rsidRPr="008A18FA">
        <w:t>, 201</w:t>
      </w:r>
      <w:r w:rsidR="00750760">
        <w:t>5</w:t>
      </w:r>
    </w:p>
    <w:p w:rsidR="0048364F" w:rsidRPr="008A18FA" w:rsidRDefault="0048364F" w:rsidP="0048364F"/>
    <w:p w:rsidR="00052EDC" w:rsidRDefault="00052EDC" w:rsidP="00052EDC"/>
    <w:p w:rsidR="00052EDC" w:rsidRDefault="00052EDC" w:rsidP="00052EDC"/>
    <w:p w:rsidR="00052EDC" w:rsidRDefault="00052EDC" w:rsidP="00052EDC"/>
    <w:p w:rsidR="00052EDC" w:rsidRDefault="00052EDC" w:rsidP="00052EDC"/>
    <w:p w:rsidR="0048364F" w:rsidRPr="008A18FA" w:rsidRDefault="00052EDC" w:rsidP="0048364F">
      <w:pPr>
        <w:pStyle w:val="LongT"/>
      </w:pPr>
      <w:r>
        <w:t>An Act</w:t>
      </w:r>
      <w:r w:rsidR="0048364F" w:rsidRPr="008A18FA">
        <w:t xml:space="preserve"> to </w:t>
      </w:r>
      <w:r w:rsidR="000D56A5" w:rsidRPr="008A18FA">
        <w:t xml:space="preserve">amend the </w:t>
      </w:r>
      <w:r w:rsidR="000D56A5" w:rsidRPr="008A18FA">
        <w:rPr>
          <w:i/>
        </w:rPr>
        <w:t>Offshore Petroleum and Greenhouse Gas Storage (Regulatory Levies) Act 2003</w:t>
      </w:r>
      <w:r w:rsidR="0048364F" w:rsidRPr="008A18FA">
        <w:t>, and for related purposes</w:t>
      </w:r>
    </w:p>
    <w:p w:rsidR="0048364F" w:rsidRPr="008A18FA" w:rsidRDefault="0048364F" w:rsidP="0048364F">
      <w:pPr>
        <w:pStyle w:val="Header"/>
        <w:tabs>
          <w:tab w:val="clear" w:pos="4150"/>
          <w:tab w:val="clear" w:pos="8307"/>
        </w:tabs>
      </w:pPr>
      <w:r w:rsidRPr="008A18FA">
        <w:rPr>
          <w:rStyle w:val="CharAmSchNo"/>
        </w:rPr>
        <w:t xml:space="preserve"> </w:t>
      </w:r>
      <w:r w:rsidRPr="008A18FA">
        <w:rPr>
          <w:rStyle w:val="CharAmSchText"/>
        </w:rPr>
        <w:t xml:space="preserve"> </w:t>
      </w:r>
    </w:p>
    <w:p w:rsidR="0048364F" w:rsidRPr="008A18FA" w:rsidRDefault="0048364F" w:rsidP="0048364F">
      <w:pPr>
        <w:pStyle w:val="Header"/>
        <w:tabs>
          <w:tab w:val="clear" w:pos="4150"/>
          <w:tab w:val="clear" w:pos="8307"/>
        </w:tabs>
      </w:pPr>
      <w:r w:rsidRPr="008A18FA">
        <w:rPr>
          <w:rStyle w:val="CharAmPartNo"/>
        </w:rPr>
        <w:t xml:space="preserve"> </w:t>
      </w:r>
      <w:r w:rsidRPr="008A18FA">
        <w:rPr>
          <w:rStyle w:val="CharAmPartText"/>
        </w:rPr>
        <w:t xml:space="preserve"> </w:t>
      </w:r>
    </w:p>
    <w:p w:rsidR="0048364F" w:rsidRPr="008A18FA" w:rsidRDefault="0048364F" w:rsidP="0048364F">
      <w:pPr>
        <w:sectPr w:rsidR="0048364F" w:rsidRPr="008A18FA" w:rsidSect="00052E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A18FA" w:rsidRDefault="0048364F" w:rsidP="008862A8">
      <w:pPr>
        <w:rPr>
          <w:sz w:val="36"/>
        </w:rPr>
      </w:pPr>
      <w:r w:rsidRPr="008A18FA">
        <w:rPr>
          <w:sz w:val="36"/>
        </w:rPr>
        <w:lastRenderedPageBreak/>
        <w:t>Contents</w:t>
      </w:r>
    </w:p>
    <w:bookmarkStart w:id="1" w:name="BKCheck15B_1"/>
    <w:bookmarkEnd w:id="1"/>
    <w:p w:rsidR="00983BDC" w:rsidRDefault="00983B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83BDC">
        <w:rPr>
          <w:noProof/>
        </w:rPr>
        <w:tab/>
      </w:r>
      <w:r w:rsidRPr="00983BDC">
        <w:rPr>
          <w:noProof/>
        </w:rPr>
        <w:fldChar w:fldCharType="begin"/>
      </w:r>
      <w:r w:rsidRPr="00983BDC">
        <w:rPr>
          <w:noProof/>
        </w:rPr>
        <w:instrText xml:space="preserve"> PAGEREF _Toc415211412 \h </w:instrText>
      </w:r>
      <w:r w:rsidRPr="00983BDC">
        <w:rPr>
          <w:noProof/>
        </w:rPr>
      </w:r>
      <w:r w:rsidRPr="00983BDC">
        <w:rPr>
          <w:noProof/>
        </w:rPr>
        <w:fldChar w:fldCharType="separate"/>
      </w:r>
      <w:r w:rsidR="00527582">
        <w:rPr>
          <w:noProof/>
        </w:rPr>
        <w:t>2</w:t>
      </w:r>
      <w:r w:rsidRPr="00983BDC">
        <w:rPr>
          <w:noProof/>
        </w:rPr>
        <w:fldChar w:fldCharType="end"/>
      </w:r>
    </w:p>
    <w:p w:rsidR="00983BDC" w:rsidRDefault="00983B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3BDC">
        <w:rPr>
          <w:noProof/>
        </w:rPr>
        <w:tab/>
      </w:r>
      <w:r w:rsidRPr="00983BDC">
        <w:rPr>
          <w:noProof/>
        </w:rPr>
        <w:fldChar w:fldCharType="begin"/>
      </w:r>
      <w:r w:rsidRPr="00983BDC">
        <w:rPr>
          <w:noProof/>
        </w:rPr>
        <w:instrText xml:space="preserve"> PAGEREF _Toc415211413 \h </w:instrText>
      </w:r>
      <w:r w:rsidRPr="00983BDC">
        <w:rPr>
          <w:noProof/>
        </w:rPr>
      </w:r>
      <w:r w:rsidRPr="00983BDC">
        <w:rPr>
          <w:noProof/>
        </w:rPr>
        <w:fldChar w:fldCharType="separate"/>
      </w:r>
      <w:r w:rsidR="00527582">
        <w:rPr>
          <w:noProof/>
        </w:rPr>
        <w:t>2</w:t>
      </w:r>
      <w:r w:rsidRPr="00983BDC">
        <w:rPr>
          <w:noProof/>
        </w:rPr>
        <w:fldChar w:fldCharType="end"/>
      </w:r>
    </w:p>
    <w:p w:rsidR="00983BDC" w:rsidRDefault="00983B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83BDC">
        <w:rPr>
          <w:noProof/>
        </w:rPr>
        <w:tab/>
      </w:r>
      <w:r w:rsidRPr="00983BDC">
        <w:rPr>
          <w:noProof/>
        </w:rPr>
        <w:fldChar w:fldCharType="begin"/>
      </w:r>
      <w:r w:rsidRPr="00983BDC">
        <w:rPr>
          <w:noProof/>
        </w:rPr>
        <w:instrText xml:space="preserve"> PAGEREF _Toc415211414 \h </w:instrText>
      </w:r>
      <w:r w:rsidRPr="00983BDC">
        <w:rPr>
          <w:noProof/>
        </w:rPr>
      </w:r>
      <w:r w:rsidRPr="00983BDC">
        <w:rPr>
          <w:noProof/>
        </w:rPr>
        <w:fldChar w:fldCharType="separate"/>
      </w:r>
      <w:r w:rsidR="00527582">
        <w:rPr>
          <w:noProof/>
        </w:rPr>
        <w:t>2</w:t>
      </w:r>
      <w:r w:rsidRPr="00983BDC">
        <w:rPr>
          <w:noProof/>
        </w:rPr>
        <w:fldChar w:fldCharType="end"/>
      </w:r>
    </w:p>
    <w:p w:rsidR="00983BDC" w:rsidRDefault="00983B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83BDC">
        <w:rPr>
          <w:b w:val="0"/>
          <w:noProof/>
          <w:sz w:val="18"/>
        </w:rPr>
        <w:tab/>
      </w:r>
      <w:r w:rsidRPr="00983BDC">
        <w:rPr>
          <w:b w:val="0"/>
          <w:noProof/>
          <w:sz w:val="18"/>
        </w:rPr>
        <w:fldChar w:fldCharType="begin"/>
      </w:r>
      <w:r w:rsidRPr="00983BDC">
        <w:rPr>
          <w:b w:val="0"/>
          <w:noProof/>
          <w:sz w:val="18"/>
        </w:rPr>
        <w:instrText xml:space="preserve"> PAGEREF _Toc415211415 \h </w:instrText>
      </w:r>
      <w:r w:rsidRPr="00983BDC">
        <w:rPr>
          <w:b w:val="0"/>
          <w:noProof/>
          <w:sz w:val="18"/>
        </w:rPr>
      </w:r>
      <w:r w:rsidRPr="00983BDC">
        <w:rPr>
          <w:b w:val="0"/>
          <w:noProof/>
          <w:sz w:val="18"/>
        </w:rPr>
        <w:fldChar w:fldCharType="separate"/>
      </w:r>
      <w:r w:rsidR="00527582">
        <w:rPr>
          <w:b w:val="0"/>
          <w:noProof/>
          <w:sz w:val="18"/>
        </w:rPr>
        <w:t>3</w:t>
      </w:r>
      <w:r w:rsidRPr="00983BDC">
        <w:rPr>
          <w:b w:val="0"/>
          <w:noProof/>
          <w:sz w:val="18"/>
        </w:rPr>
        <w:fldChar w:fldCharType="end"/>
      </w:r>
    </w:p>
    <w:p w:rsidR="00983BDC" w:rsidRDefault="00983B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983BDC">
        <w:rPr>
          <w:i w:val="0"/>
          <w:noProof/>
          <w:sz w:val="18"/>
        </w:rPr>
        <w:tab/>
      </w:r>
      <w:r w:rsidRPr="00983BDC">
        <w:rPr>
          <w:i w:val="0"/>
          <w:noProof/>
          <w:sz w:val="18"/>
        </w:rPr>
        <w:fldChar w:fldCharType="begin"/>
      </w:r>
      <w:r w:rsidRPr="00983BDC">
        <w:rPr>
          <w:i w:val="0"/>
          <w:noProof/>
          <w:sz w:val="18"/>
        </w:rPr>
        <w:instrText xml:space="preserve"> PAGEREF _Toc415211416 \h </w:instrText>
      </w:r>
      <w:r w:rsidRPr="00983BDC">
        <w:rPr>
          <w:i w:val="0"/>
          <w:noProof/>
          <w:sz w:val="18"/>
        </w:rPr>
      </w:r>
      <w:r w:rsidRPr="00983BDC">
        <w:rPr>
          <w:i w:val="0"/>
          <w:noProof/>
          <w:sz w:val="18"/>
        </w:rPr>
        <w:fldChar w:fldCharType="separate"/>
      </w:r>
      <w:r w:rsidR="00527582">
        <w:rPr>
          <w:i w:val="0"/>
          <w:noProof/>
          <w:sz w:val="18"/>
        </w:rPr>
        <w:t>3</w:t>
      </w:r>
      <w:r w:rsidRPr="00983BDC">
        <w:rPr>
          <w:i w:val="0"/>
          <w:noProof/>
          <w:sz w:val="18"/>
        </w:rPr>
        <w:fldChar w:fldCharType="end"/>
      </w:r>
    </w:p>
    <w:p w:rsidR="00055B5C" w:rsidRPr="008A18FA" w:rsidRDefault="00983BDC" w:rsidP="0048364F">
      <w:r>
        <w:fldChar w:fldCharType="end"/>
      </w:r>
    </w:p>
    <w:p w:rsidR="00FE7F93" w:rsidRPr="008A18FA" w:rsidRDefault="00FE7F93" w:rsidP="0048364F">
      <w:pPr>
        <w:sectPr w:rsidR="00FE7F93" w:rsidRPr="008A18FA" w:rsidSect="00052E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52EDC" w:rsidRDefault="00527582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052EDC" w:rsidRDefault="00052EDC"/>
    <w:p w:rsidR="00052EDC" w:rsidRDefault="00052EDC" w:rsidP="00052EDC">
      <w:pPr>
        <w:spacing w:line="240" w:lineRule="auto"/>
      </w:pPr>
    </w:p>
    <w:p w:rsidR="00052EDC" w:rsidRDefault="00527582" w:rsidP="00052ED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Offshore Petroleum and Greenhouse Gas Storage (Regulatory Levies) Amendment (Designated Coastal Waters) Act 2015</w:t>
      </w:r>
      <w:r>
        <w:rPr>
          <w:noProof/>
        </w:rPr>
        <w:fldChar w:fldCharType="end"/>
      </w:r>
    </w:p>
    <w:p w:rsidR="00052EDC" w:rsidRDefault="00527582" w:rsidP="00052ED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16, 2015</w:t>
      </w:r>
      <w:r>
        <w:rPr>
          <w:noProof/>
        </w:rPr>
        <w:fldChar w:fldCharType="end"/>
      </w:r>
    </w:p>
    <w:p w:rsidR="00052EDC" w:rsidRPr="009A0728" w:rsidRDefault="00052ED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52EDC" w:rsidRPr="009A0728" w:rsidRDefault="00052EDC" w:rsidP="009A0728">
      <w:pPr>
        <w:spacing w:line="40" w:lineRule="exact"/>
        <w:rPr>
          <w:rFonts w:eastAsia="Calibri"/>
          <w:b/>
          <w:sz w:val="28"/>
        </w:rPr>
      </w:pPr>
    </w:p>
    <w:p w:rsidR="00052EDC" w:rsidRPr="009A0728" w:rsidRDefault="00052ED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A18FA" w:rsidRDefault="00052EDC" w:rsidP="008A18FA">
      <w:pPr>
        <w:pStyle w:val="Page1"/>
      </w:pPr>
      <w:r>
        <w:t>An Act</w:t>
      </w:r>
      <w:r w:rsidR="008A18FA" w:rsidRPr="008A18FA">
        <w:t xml:space="preserve"> to amend the </w:t>
      </w:r>
      <w:r w:rsidR="008A18FA" w:rsidRPr="008A18FA">
        <w:rPr>
          <w:i/>
        </w:rPr>
        <w:t>Offshore Petroleum and Greenhouse Gas Storage (Regulatory Levies) Act 2003</w:t>
      </w:r>
      <w:r w:rsidR="008A18FA" w:rsidRPr="008A18FA">
        <w:t>, and for related purposes</w:t>
      </w:r>
    </w:p>
    <w:p w:rsidR="00983BDC" w:rsidRDefault="00983BDC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March 2015</w:t>
      </w:r>
      <w:r>
        <w:rPr>
          <w:sz w:val="24"/>
        </w:rPr>
        <w:t>]</w:t>
      </w:r>
    </w:p>
    <w:p w:rsidR="0048364F" w:rsidRPr="008A18FA" w:rsidRDefault="0048364F" w:rsidP="008A18FA">
      <w:pPr>
        <w:spacing w:before="240" w:line="240" w:lineRule="auto"/>
        <w:rPr>
          <w:sz w:val="32"/>
        </w:rPr>
      </w:pPr>
      <w:r w:rsidRPr="008A18FA">
        <w:rPr>
          <w:sz w:val="32"/>
        </w:rPr>
        <w:t>The Parliament of Australia enacts:</w:t>
      </w:r>
    </w:p>
    <w:p w:rsidR="0048364F" w:rsidRPr="008A18FA" w:rsidRDefault="0048364F" w:rsidP="008A18FA">
      <w:pPr>
        <w:pStyle w:val="ActHead5"/>
      </w:pPr>
      <w:bookmarkStart w:id="2" w:name="_Toc415211412"/>
      <w:r w:rsidRPr="008A18FA">
        <w:rPr>
          <w:rStyle w:val="CharSectno"/>
        </w:rPr>
        <w:lastRenderedPageBreak/>
        <w:t>1</w:t>
      </w:r>
      <w:r w:rsidRPr="008A18FA">
        <w:t xml:space="preserve">  Short title</w:t>
      </w:r>
      <w:bookmarkEnd w:id="2"/>
    </w:p>
    <w:p w:rsidR="0048364F" w:rsidRPr="008A18FA" w:rsidRDefault="0048364F" w:rsidP="008A18FA">
      <w:pPr>
        <w:pStyle w:val="subsection"/>
      </w:pPr>
      <w:r w:rsidRPr="008A18FA">
        <w:tab/>
      </w:r>
      <w:r w:rsidRPr="008A18FA">
        <w:tab/>
        <w:t xml:space="preserve">This Act may be cited as the </w:t>
      </w:r>
      <w:r w:rsidR="000D56A5" w:rsidRPr="008A18FA">
        <w:rPr>
          <w:i/>
        </w:rPr>
        <w:t>Offshore Petroleum and Greenhouse Gas Storage (Regulatory Levies) Amendment</w:t>
      </w:r>
      <w:r w:rsidR="00C164CA" w:rsidRPr="008A18FA">
        <w:rPr>
          <w:i/>
        </w:rPr>
        <w:t xml:space="preserve"> </w:t>
      </w:r>
      <w:r w:rsidR="00E02B38" w:rsidRPr="008A18FA">
        <w:rPr>
          <w:i/>
        </w:rPr>
        <w:t>(Designated Coastal Waters)</w:t>
      </w:r>
      <w:r w:rsidR="00E02B38" w:rsidRPr="008A18FA">
        <w:t xml:space="preserve"> </w:t>
      </w:r>
      <w:r w:rsidR="009871EB" w:rsidRPr="008A18FA">
        <w:rPr>
          <w:i/>
        </w:rPr>
        <w:t>Act</w:t>
      </w:r>
      <w:r w:rsidR="00230B85" w:rsidRPr="008A18FA">
        <w:rPr>
          <w:i/>
        </w:rPr>
        <w:t xml:space="preserve"> </w:t>
      </w:r>
      <w:r w:rsidR="00C164CA" w:rsidRPr="008A18FA">
        <w:rPr>
          <w:i/>
        </w:rPr>
        <w:t>201</w:t>
      </w:r>
      <w:r w:rsidR="00750760">
        <w:rPr>
          <w:i/>
        </w:rPr>
        <w:t>5</w:t>
      </w:r>
      <w:r w:rsidRPr="008A18FA">
        <w:t>.</w:t>
      </w:r>
    </w:p>
    <w:p w:rsidR="0048364F" w:rsidRPr="008A18FA" w:rsidRDefault="0048364F" w:rsidP="008A18FA">
      <w:pPr>
        <w:pStyle w:val="ActHead5"/>
      </w:pPr>
      <w:bookmarkStart w:id="3" w:name="_Toc415211413"/>
      <w:r w:rsidRPr="008A18FA">
        <w:rPr>
          <w:rStyle w:val="CharSectno"/>
        </w:rPr>
        <w:t>2</w:t>
      </w:r>
      <w:r w:rsidRPr="008A18FA">
        <w:t xml:space="preserve">  Commencement</w:t>
      </w:r>
      <w:bookmarkEnd w:id="3"/>
    </w:p>
    <w:p w:rsidR="0048364F" w:rsidRPr="008A18FA" w:rsidRDefault="0048364F" w:rsidP="008A18FA">
      <w:pPr>
        <w:pStyle w:val="subsection"/>
      </w:pPr>
      <w:r w:rsidRPr="008A18FA">
        <w:tab/>
      </w:r>
      <w:r w:rsidRPr="008A18FA">
        <w:tab/>
      </w:r>
      <w:r w:rsidR="000D56A5" w:rsidRPr="008A18FA">
        <w:t>This Act commence</w:t>
      </w:r>
      <w:r w:rsidR="008862A8" w:rsidRPr="008A18FA">
        <w:t>s</w:t>
      </w:r>
      <w:r w:rsidR="000D56A5" w:rsidRPr="008A18FA">
        <w:t xml:space="preserve"> on the day after it receives the Royal Assent.</w:t>
      </w:r>
    </w:p>
    <w:p w:rsidR="0048364F" w:rsidRPr="008A18FA" w:rsidRDefault="0048364F" w:rsidP="008A18FA">
      <w:pPr>
        <w:pStyle w:val="ActHead5"/>
      </w:pPr>
      <w:bookmarkStart w:id="4" w:name="_Toc415211414"/>
      <w:r w:rsidRPr="008A18FA">
        <w:rPr>
          <w:rStyle w:val="CharSectno"/>
        </w:rPr>
        <w:t>3</w:t>
      </w:r>
      <w:r w:rsidRPr="008A18FA">
        <w:t xml:space="preserve">  Schedules</w:t>
      </w:r>
      <w:bookmarkEnd w:id="4"/>
    </w:p>
    <w:p w:rsidR="0048364F" w:rsidRPr="008A18FA" w:rsidRDefault="0048364F" w:rsidP="008A18FA">
      <w:pPr>
        <w:pStyle w:val="subsection"/>
      </w:pPr>
      <w:r w:rsidRPr="008A18FA">
        <w:tab/>
      </w:r>
      <w:r w:rsidRPr="008A18FA">
        <w:tab/>
      </w:r>
      <w:r w:rsidR="00202618" w:rsidRPr="008A18F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8A18FA" w:rsidRDefault="0048364F" w:rsidP="008A18FA">
      <w:pPr>
        <w:pStyle w:val="ActHead6"/>
        <w:pageBreakBefore/>
      </w:pPr>
      <w:bookmarkStart w:id="5" w:name="_Toc415211415"/>
      <w:bookmarkStart w:id="6" w:name="opcAmSched"/>
      <w:bookmarkStart w:id="7" w:name="opcCurrentFind"/>
      <w:r w:rsidRPr="008A18FA">
        <w:rPr>
          <w:rStyle w:val="CharAmSchNo"/>
        </w:rPr>
        <w:lastRenderedPageBreak/>
        <w:t>Schedule</w:t>
      </w:r>
      <w:r w:rsidR="008A18FA" w:rsidRPr="008A18FA">
        <w:rPr>
          <w:rStyle w:val="CharAmSchNo"/>
        </w:rPr>
        <w:t> </w:t>
      </w:r>
      <w:r w:rsidRPr="008A18FA">
        <w:rPr>
          <w:rStyle w:val="CharAmSchNo"/>
        </w:rPr>
        <w:t>1</w:t>
      </w:r>
      <w:r w:rsidRPr="008A18FA">
        <w:t>—</w:t>
      </w:r>
      <w:r w:rsidR="000D56A5" w:rsidRPr="008A18FA">
        <w:rPr>
          <w:rStyle w:val="CharAmSchText"/>
        </w:rPr>
        <w:t>Amendments</w:t>
      </w:r>
      <w:bookmarkEnd w:id="5"/>
    </w:p>
    <w:bookmarkEnd w:id="6"/>
    <w:bookmarkEnd w:id="7"/>
    <w:p w:rsidR="000D56A5" w:rsidRPr="008A18FA" w:rsidRDefault="000D56A5" w:rsidP="008A18FA">
      <w:pPr>
        <w:pStyle w:val="Header"/>
      </w:pPr>
      <w:r w:rsidRPr="008A18FA">
        <w:rPr>
          <w:rStyle w:val="CharAmPartNo"/>
        </w:rPr>
        <w:t xml:space="preserve"> </w:t>
      </w:r>
      <w:r w:rsidRPr="008A18FA">
        <w:rPr>
          <w:rStyle w:val="CharAmPartText"/>
        </w:rPr>
        <w:t xml:space="preserve"> </w:t>
      </w:r>
    </w:p>
    <w:p w:rsidR="008862A8" w:rsidRPr="008A18FA" w:rsidRDefault="008862A8" w:rsidP="008A18FA">
      <w:pPr>
        <w:pStyle w:val="ActHead9"/>
        <w:rPr>
          <w:i w:val="0"/>
        </w:rPr>
      </w:pPr>
      <w:bookmarkStart w:id="8" w:name="_Toc415211416"/>
      <w:r w:rsidRPr="008A18FA">
        <w:t>Offshore Petroleum and Greenhouse Gas Storage (Regulatory Levies) Act 2003</w:t>
      </w:r>
      <w:bookmarkEnd w:id="8"/>
    </w:p>
    <w:p w:rsidR="0048364F" w:rsidRPr="008A18FA" w:rsidRDefault="000D56A5" w:rsidP="008A18FA">
      <w:pPr>
        <w:pStyle w:val="ItemHead"/>
      </w:pPr>
      <w:r w:rsidRPr="008A18FA">
        <w:t>1  Section</w:t>
      </w:r>
      <w:r w:rsidR="008A18FA" w:rsidRPr="008A18FA">
        <w:t> </w:t>
      </w:r>
      <w:r w:rsidRPr="008A18FA">
        <w:t xml:space="preserve">3 (definition of </w:t>
      </w:r>
      <w:r w:rsidRPr="008A18FA">
        <w:rPr>
          <w:i/>
        </w:rPr>
        <w:t>coastal waters</w:t>
      </w:r>
      <w:r w:rsidRPr="008A18FA">
        <w:t>)</w:t>
      </w:r>
    </w:p>
    <w:p w:rsidR="000D56A5" w:rsidRPr="008A18FA" w:rsidRDefault="000D56A5" w:rsidP="008A18FA">
      <w:pPr>
        <w:pStyle w:val="Item"/>
      </w:pPr>
      <w:r w:rsidRPr="008A18FA">
        <w:t>Repeal the definition.</w:t>
      </w:r>
    </w:p>
    <w:p w:rsidR="001D0704" w:rsidRPr="008A18FA" w:rsidRDefault="001D0704" w:rsidP="008A18FA">
      <w:pPr>
        <w:pStyle w:val="ItemHead"/>
      </w:pPr>
      <w:r w:rsidRPr="008A18FA">
        <w:t>2  Section</w:t>
      </w:r>
      <w:r w:rsidR="008A18FA" w:rsidRPr="008A18FA">
        <w:t> </w:t>
      </w:r>
      <w:r w:rsidRPr="008A18FA">
        <w:t xml:space="preserve">3 (definition of </w:t>
      </w:r>
      <w:r w:rsidRPr="008A18FA">
        <w:rPr>
          <w:i/>
        </w:rPr>
        <w:t>designated coastal waters</w:t>
      </w:r>
      <w:r w:rsidRPr="008A18FA">
        <w:t>)</w:t>
      </w:r>
    </w:p>
    <w:p w:rsidR="001D0704" w:rsidRPr="008A18FA" w:rsidRDefault="001D0704" w:rsidP="008A18FA">
      <w:pPr>
        <w:pStyle w:val="Item"/>
      </w:pPr>
      <w:r w:rsidRPr="008A18FA">
        <w:t>Omit “same meaning as in Part</w:t>
      </w:r>
      <w:r w:rsidR="008A18FA" w:rsidRPr="008A18FA">
        <w:t> </w:t>
      </w:r>
      <w:r w:rsidRPr="008A18FA">
        <w:t xml:space="preserve">6.9 of the </w:t>
      </w:r>
      <w:r w:rsidRPr="008A18FA">
        <w:rPr>
          <w:i/>
        </w:rPr>
        <w:t>Offshore Petroleum and Greenhouse Gas Storage Act 2006</w:t>
      </w:r>
      <w:r w:rsidRPr="008A18FA">
        <w:t>”, substitute “meaning given by section</w:t>
      </w:r>
      <w:r w:rsidR="008A18FA" w:rsidRPr="008A18FA">
        <w:t> </w:t>
      </w:r>
      <w:r w:rsidRPr="008A18FA">
        <w:t>3A”.</w:t>
      </w:r>
    </w:p>
    <w:p w:rsidR="001D0704" w:rsidRPr="008A18FA" w:rsidRDefault="001D0704" w:rsidP="008A18FA">
      <w:pPr>
        <w:pStyle w:val="ItemHead"/>
      </w:pPr>
      <w:r w:rsidRPr="008A18FA">
        <w:t>3  Section</w:t>
      </w:r>
      <w:r w:rsidR="008A18FA" w:rsidRPr="008A18FA">
        <w:t> </w:t>
      </w:r>
      <w:r w:rsidRPr="008A18FA">
        <w:t>3</w:t>
      </w:r>
    </w:p>
    <w:p w:rsidR="001D0704" w:rsidRPr="008A18FA" w:rsidRDefault="001D0704" w:rsidP="008A18FA">
      <w:pPr>
        <w:pStyle w:val="Item"/>
      </w:pPr>
      <w:r w:rsidRPr="008A18FA">
        <w:t>Insert:</w:t>
      </w:r>
    </w:p>
    <w:p w:rsidR="001D0704" w:rsidRPr="008A18FA" w:rsidRDefault="001D0704" w:rsidP="008A18FA">
      <w:pPr>
        <w:pStyle w:val="Definition"/>
      </w:pPr>
      <w:r w:rsidRPr="008A18FA">
        <w:rPr>
          <w:b/>
          <w:i/>
        </w:rPr>
        <w:t>scheduled area</w:t>
      </w:r>
      <w:r w:rsidRPr="008A18FA">
        <w:t xml:space="preserve"> has the same meaning as in the </w:t>
      </w:r>
      <w:r w:rsidRPr="008A18FA">
        <w:rPr>
          <w:i/>
        </w:rPr>
        <w:t>Offshore Petroleum and Greenhouse Gas Storage Act 2006</w:t>
      </w:r>
      <w:r w:rsidRPr="008A18FA">
        <w:t>.</w:t>
      </w:r>
    </w:p>
    <w:p w:rsidR="001D0704" w:rsidRPr="008A18FA" w:rsidRDefault="00CF25B1" w:rsidP="008A18FA">
      <w:pPr>
        <w:pStyle w:val="ItemHead"/>
      </w:pPr>
      <w:r w:rsidRPr="008A18FA">
        <w:t>4</w:t>
      </w:r>
      <w:r w:rsidR="001D0704" w:rsidRPr="008A18FA">
        <w:t xml:space="preserve">  After section</w:t>
      </w:r>
      <w:r w:rsidR="008A18FA" w:rsidRPr="008A18FA">
        <w:t> </w:t>
      </w:r>
      <w:r w:rsidR="001D0704" w:rsidRPr="008A18FA">
        <w:t>3</w:t>
      </w:r>
    </w:p>
    <w:p w:rsidR="001D0704" w:rsidRPr="008A18FA" w:rsidRDefault="001D0704" w:rsidP="008A18FA">
      <w:pPr>
        <w:pStyle w:val="Item"/>
      </w:pPr>
      <w:r w:rsidRPr="008A18FA">
        <w:t>Insert:</w:t>
      </w:r>
    </w:p>
    <w:p w:rsidR="001D0704" w:rsidRPr="008A18FA" w:rsidRDefault="001D0704" w:rsidP="008A18FA">
      <w:pPr>
        <w:pStyle w:val="ActHead5"/>
      </w:pPr>
      <w:bookmarkStart w:id="9" w:name="_Toc415211417"/>
      <w:r w:rsidRPr="008A18FA">
        <w:rPr>
          <w:rStyle w:val="CharSectno"/>
        </w:rPr>
        <w:t>3A</w:t>
      </w:r>
      <w:r w:rsidRPr="008A18FA">
        <w:t xml:space="preserve">  Designated coastal waters</w:t>
      </w:r>
      <w:bookmarkEnd w:id="9"/>
    </w:p>
    <w:p w:rsidR="001D0704" w:rsidRPr="008A18FA" w:rsidRDefault="001D0704" w:rsidP="008A18FA">
      <w:pPr>
        <w:pStyle w:val="subsection"/>
      </w:pPr>
      <w:r w:rsidRPr="008A18FA">
        <w:tab/>
        <w:t>(1)</w:t>
      </w:r>
      <w:r w:rsidRPr="008A18FA">
        <w:tab/>
        <w:t xml:space="preserve">For the purposes of this Act, </w:t>
      </w:r>
      <w:r w:rsidRPr="008A18FA">
        <w:rPr>
          <w:b/>
          <w:i/>
        </w:rPr>
        <w:t>designated coastal waters</w:t>
      </w:r>
      <w:r w:rsidRPr="008A18FA">
        <w:t>, in relation to a State or the Northern Territory, means:</w:t>
      </w:r>
    </w:p>
    <w:p w:rsidR="001D0704" w:rsidRPr="008A18FA" w:rsidRDefault="001D0704" w:rsidP="008A18FA">
      <w:pPr>
        <w:pStyle w:val="paragraph"/>
      </w:pPr>
      <w:r w:rsidRPr="008A18FA">
        <w:tab/>
        <w:t>(a)</w:t>
      </w:r>
      <w:r w:rsidRPr="008A18FA">
        <w:tab/>
        <w:t>so much of the scheduled area for that State or Territory as consists of the territorial sea; and</w:t>
      </w:r>
    </w:p>
    <w:p w:rsidR="001D0704" w:rsidRPr="008A18FA" w:rsidRDefault="001D0704" w:rsidP="008A18FA">
      <w:pPr>
        <w:pStyle w:val="paragraph"/>
      </w:pPr>
      <w:r w:rsidRPr="008A18FA">
        <w:tab/>
        <w:t>(b)</w:t>
      </w:r>
      <w:r w:rsidRPr="008A18FA">
        <w:tab/>
        <w:t>any area that:</w:t>
      </w:r>
    </w:p>
    <w:p w:rsidR="001D0704" w:rsidRPr="008A18FA" w:rsidRDefault="001D0704" w:rsidP="008A18FA">
      <w:pPr>
        <w:pStyle w:val="paragraphsub"/>
      </w:pPr>
      <w:r w:rsidRPr="008A18FA">
        <w:tab/>
        <w:t>(i)</w:t>
      </w:r>
      <w:r w:rsidRPr="008A18FA">
        <w:tab/>
        <w:t>is within the scheduled area for that State or Territory; and</w:t>
      </w:r>
    </w:p>
    <w:p w:rsidR="001D0704" w:rsidRPr="008A18FA" w:rsidRDefault="001D0704" w:rsidP="008A18FA">
      <w:pPr>
        <w:pStyle w:val="paragraphsub"/>
      </w:pPr>
      <w:r w:rsidRPr="008A18FA">
        <w:tab/>
        <w:t>(ii)</w:t>
      </w:r>
      <w:r w:rsidRPr="008A18FA">
        <w:tab/>
        <w:t>is on the landward side of the territorial sea; and</w:t>
      </w:r>
    </w:p>
    <w:p w:rsidR="001D0704" w:rsidRPr="008A18FA" w:rsidRDefault="001D0704" w:rsidP="008A18FA">
      <w:pPr>
        <w:pStyle w:val="paragraphsub"/>
      </w:pPr>
      <w:r w:rsidRPr="008A18FA">
        <w:tab/>
        <w:t>(iii)</w:t>
      </w:r>
      <w:r w:rsidRPr="008A18FA">
        <w:tab/>
        <w:t xml:space="preserve">was, immediately before the commencement of the relevant State </w:t>
      </w:r>
      <w:r w:rsidR="00230B85" w:rsidRPr="008A18FA">
        <w:t xml:space="preserve">PSLA </w:t>
      </w:r>
      <w:r w:rsidRPr="008A18FA">
        <w:t xml:space="preserve">or Territory PSLA, the subject of a petroleum exploration permit under the repealed </w:t>
      </w:r>
      <w:r w:rsidRPr="008A18FA">
        <w:rPr>
          <w:i/>
        </w:rPr>
        <w:t>Petroleum (Submerged Lands) Act 1967</w:t>
      </w:r>
      <w:r w:rsidRPr="008A18FA">
        <w:t>.</w:t>
      </w:r>
    </w:p>
    <w:p w:rsidR="001D0704" w:rsidRPr="008A18FA" w:rsidRDefault="001D0704" w:rsidP="008A18FA">
      <w:pPr>
        <w:pStyle w:val="subsection"/>
      </w:pPr>
      <w:r w:rsidRPr="008A18FA">
        <w:lastRenderedPageBreak/>
        <w:tab/>
        <w:t>(2)</w:t>
      </w:r>
      <w:r w:rsidRPr="008A18FA">
        <w:tab/>
        <w:t xml:space="preserve">For the purposes of </w:t>
      </w:r>
      <w:r w:rsidR="008A18FA" w:rsidRPr="008A18FA">
        <w:t>subsection (</w:t>
      </w:r>
      <w:r w:rsidRPr="008A18FA">
        <w:t>1), assume that the breadth of the territorial sea of Australia had never been determined or declared to be greater than 3 nautical miles, but had continued to be 3</w:t>
      </w:r>
      <w:r w:rsidR="00690C5D" w:rsidRPr="008A18FA">
        <w:t xml:space="preserve"> </w:t>
      </w:r>
      <w:r w:rsidRPr="008A18FA">
        <w:t>nautical miles.</w:t>
      </w:r>
    </w:p>
    <w:p w:rsidR="001D0704" w:rsidRPr="008A18FA" w:rsidRDefault="001D0704" w:rsidP="008A18FA">
      <w:pPr>
        <w:pStyle w:val="subsection"/>
      </w:pPr>
      <w:r w:rsidRPr="008A18FA">
        <w:tab/>
        <w:t>(3)</w:t>
      </w:r>
      <w:r w:rsidRPr="008A18FA">
        <w:tab/>
      </w:r>
      <w:r w:rsidR="008A18FA" w:rsidRPr="008A18FA">
        <w:t>Paragraph (</w:t>
      </w:r>
      <w:r w:rsidRPr="008A18FA">
        <w:t xml:space="preserve">1)(b) has effect subject to </w:t>
      </w:r>
      <w:r w:rsidR="008A18FA" w:rsidRPr="008A18FA">
        <w:t>subsection (</w:t>
      </w:r>
      <w:r w:rsidRPr="008A18FA">
        <w:t>4).</w:t>
      </w:r>
    </w:p>
    <w:p w:rsidR="001D0704" w:rsidRPr="008A18FA" w:rsidRDefault="001D0704" w:rsidP="008A18FA">
      <w:pPr>
        <w:pStyle w:val="subsection"/>
        <w:spacing w:before="240"/>
      </w:pPr>
      <w:r w:rsidRPr="008A18FA">
        <w:tab/>
        <w:t>(4)</w:t>
      </w:r>
      <w:r w:rsidRPr="008A18FA">
        <w:tab/>
        <w:t xml:space="preserve">For the purposes of this </w:t>
      </w:r>
      <w:r w:rsidR="00DB3EF2" w:rsidRPr="008A18FA">
        <w:t>Act</w:t>
      </w:r>
      <w:r w:rsidRPr="008A18FA">
        <w:t xml:space="preserve">, if (whether before or after the commencement of this subsection) an area that is within the designated coastal waters of a State or Territory because it is described in </w:t>
      </w:r>
      <w:r w:rsidR="008A18FA" w:rsidRPr="008A18FA">
        <w:t>subparagraphs (</w:t>
      </w:r>
      <w:r w:rsidRPr="008A18FA">
        <w:t>1)(b)(i), (ii) and (iii) became or becomes an area that is:</w:t>
      </w:r>
    </w:p>
    <w:p w:rsidR="001D0704" w:rsidRPr="008A18FA" w:rsidRDefault="001D0704" w:rsidP="008A18FA">
      <w:pPr>
        <w:pStyle w:val="paragraph"/>
      </w:pPr>
      <w:r w:rsidRPr="008A18FA">
        <w:tab/>
        <w:t>(a)</w:t>
      </w:r>
      <w:r w:rsidRPr="008A18FA">
        <w:tab/>
        <w:t xml:space="preserve">not the subject of a petroleum exploration permit under the relevant State </w:t>
      </w:r>
      <w:r w:rsidR="00230B85" w:rsidRPr="008A18FA">
        <w:t xml:space="preserve">PSLA </w:t>
      </w:r>
      <w:r w:rsidRPr="008A18FA">
        <w:t>or Territory PSLA; and</w:t>
      </w:r>
    </w:p>
    <w:p w:rsidR="001D0704" w:rsidRPr="008A18FA" w:rsidRDefault="001D0704" w:rsidP="008A18FA">
      <w:pPr>
        <w:pStyle w:val="paragraph"/>
      </w:pPr>
      <w:r w:rsidRPr="008A18FA">
        <w:tab/>
        <w:t>(b)</w:t>
      </w:r>
      <w:r w:rsidRPr="008A18FA">
        <w:tab/>
        <w:t xml:space="preserve">not the subject of a petroleum retention lease under the relevant State </w:t>
      </w:r>
      <w:r w:rsidR="00230B85" w:rsidRPr="008A18FA">
        <w:t xml:space="preserve">PSLA </w:t>
      </w:r>
      <w:r w:rsidRPr="008A18FA">
        <w:t>or Territory PSLA; and</w:t>
      </w:r>
    </w:p>
    <w:p w:rsidR="001D0704" w:rsidRPr="008A18FA" w:rsidRDefault="001D0704" w:rsidP="008A18FA">
      <w:pPr>
        <w:pStyle w:val="paragraph"/>
        <w:ind w:right="47"/>
      </w:pPr>
      <w:r w:rsidRPr="008A18FA">
        <w:tab/>
        <w:t>(c)</w:t>
      </w:r>
      <w:r w:rsidRPr="008A18FA">
        <w:tab/>
        <w:t>not the subject of a petroleum production licence under the relevant State</w:t>
      </w:r>
      <w:r w:rsidR="00230B85" w:rsidRPr="008A18FA">
        <w:t xml:space="preserve"> PSLA </w:t>
      </w:r>
      <w:r w:rsidRPr="008A18FA">
        <w:t>or Territory PSLA; and</w:t>
      </w:r>
    </w:p>
    <w:p w:rsidR="001D0704" w:rsidRPr="008A18FA" w:rsidRDefault="001D0704" w:rsidP="008A18FA">
      <w:pPr>
        <w:pStyle w:val="paragraph"/>
        <w:ind w:right="47"/>
      </w:pPr>
      <w:r w:rsidRPr="008A18FA">
        <w:tab/>
        <w:t>(d)</w:t>
      </w:r>
      <w:r w:rsidRPr="008A18FA">
        <w:tab/>
        <w:t xml:space="preserve">not the subject of an application for a petroleum retention lease or petroleum production licence under the relevant State </w:t>
      </w:r>
      <w:r w:rsidR="00230B85" w:rsidRPr="008A18FA">
        <w:t xml:space="preserve">PSLA </w:t>
      </w:r>
      <w:r w:rsidRPr="008A18FA">
        <w:t>or Territory PSLA;</w:t>
      </w:r>
    </w:p>
    <w:p w:rsidR="001D0704" w:rsidRPr="008A18FA" w:rsidRDefault="001D0704" w:rsidP="008A18FA">
      <w:pPr>
        <w:pStyle w:val="subsection2"/>
        <w:ind w:right="47"/>
      </w:pPr>
      <w:r w:rsidRPr="008A18FA">
        <w:t>the area is taken to have ceased to be part of the designated coastal waters of that State or Territory.</w:t>
      </w:r>
    </w:p>
    <w:p w:rsidR="000D56A5" w:rsidRPr="008A18FA" w:rsidRDefault="00CF25B1" w:rsidP="008A18FA">
      <w:pPr>
        <w:pStyle w:val="ItemHead"/>
      </w:pPr>
      <w:r w:rsidRPr="008A18FA">
        <w:t>5</w:t>
      </w:r>
      <w:r w:rsidR="000D56A5" w:rsidRPr="008A18FA">
        <w:t xml:space="preserve">  Subsection</w:t>
      </w:r>
      <w:r w:rsidR="008A18FA" w:rsidRPr="008A18FA">
        <w:t> </w:t>
      </w:r>
      <w:r w:rsidR="000D56A5" w:rsidRPr="008A18FA">
        <w:t>10(5)</w:t>
      </w:r>
      <w:r w:rsidR="00E02B38" w:rsidRPr="008A18FA">
        <w:t xml:space="preserve"> </w:t>
      </w:r>
      <w:r w:rsidR="000D56A5" w:rsidRPr="008A18FA">
        <w:t xml:space="preserve">(definition of </w:t>
      </w:r>
      <w:r w:rsidR="000D56A5" w:rsidRPr="008A18FA">
        <w:rPr>
          <w:i/>
        </w:rPr>
        <w:t>State/Territory petroleum title</w:t>
      </w:r>
      <w:r w:rsidR="000D56A5" w:rsidRPr="008A18FA">
        <w:t>)</w:t>
      </w:r>
    </w:p>
    <w:p w:rsidR="000D56A5" w:rsidRPr="008A18FA" w:rsidRDefault="000D56A5" w:rsidP="008A18FA">
      <w:pPr>
        <w:pStyle w:val="Item"/>
      </w:pPr>
      <w:r w:rsidRPr="008A18FA">
        <w:t>Before “coastal waters”, insert “designated”.</w:t>
      </w:r>
    </w:p>
    <w:p w:rsidR="00E02B38" w:rsidRPr="008A18FA" w:rsidRDefault="00E02B38" w:rsidP="008A18FA">
      <w:pPr>
        <w:pStyle w:val="ItemHead"/>
      </w:pPr>
      <w:r w:rsidRPr="008A18FA">
        <w:t>6  Subsection</w:t>
      </w:r>
      <w:r w:rsidR="008A18FA" w:rsidRPr="008A18FA">
        <w:t> </w:t>
      </w:r>
      <w:r w:rsidRPr="008A18FA">
        <w:t xml:space="preserve">10B(8) (definition of </w:t>
      </w:r>
      <w:r w:rsidRPr="008A18FA">
        <w:rPr>
          <w:i/>
        </w:rPr>
        <w:t>State/Territory petroleum title</w:t>
      </w:r>
      <w:r w:rsidRPr="008A18FA">
        <w:t>)</w:t>
      </w:r>
    </w:p>
    <w:p w:rsidR="00E02B38" w:rsidRPr="008A18FA" w:rsidRDefault="00E02B38" w:rsidP="008A18FA">
      <w:pPr>
        <w:pStyle w:val="Item"/>
      </w:pPr>
      <w:r w:rsidRPr="008A18FA">
        <w:t>Before “coastal waters”, insert “designated”.</w:t>
      </w:r>
    </w:p>
    <w:p w:rsidR="00E02B38" w:rsidRPr="008A18FA" w:rsidRDefault="00E02B38" w:rsidP="008A18FA">
      <w:pPr>
        <w:pStyle w:val="ItemHead"/>
      </w:pPr>
      <w:r w:rsidRPr="008A18FA">
        <w:t>7  Subsection</w:t>
      </w:r>
      <w:r w:rsidR="008A18FA" w:rsidRPr="008A18FA">
        <w:t> </w:t>
      </w:r>
      <w:r w:rsidRPr="008A18FA">
        <w:t xml:space="preserve">10D(6) (definition of </w:t>
      </w:r>
      <w:r w:rsidRPr="008A18FA">
        <w:rPr>
          <w:i/>
        </w:rPr>
        <w:t>State/Territory petroleum title</w:t>
      </w:r>
      <w:r w:rsidRPr="008A18FA">
        <w:t>)</w:t>
      </w:r>
    </w:p>
    <w:p w:rsidR="00E02B38" w:rsidRPr="008A18FA" w:rsidRDefault="00E02B38" w:rsidP="008A18FA">
      <w:pPr>
        <w:pStyle w:val="Item"/>
      </w:pPr>
      <w:r w:rsidRPr="008A18FA">
        <w:t>Before “coastal waters”, insert “designated”.</w:t>
      </w:r>
    </w:p>
    <w:p w:rsidR="003A37E3" w:rsidRPr="008A18FA" w:rsidRDefault="00E02B38" w:rsidP="008A18FA">
      <w:pPr>
        <w:pStyle w:val="ItemHead"/>
      </w:pPr>
      <w:r w:rsidRPr="008A18FA">
        <w:t>8</w:t>
      </w:r>
      <w:r w:rsidR="003A37E3" w:rsidRPr="008A18FA">
        <w:t xml:space="preserve">  Subsection</w:t>
      </w:r>
      <w:r w:rsidR="008A18FA" w:rsidRPr="008A18FA">
        <w:t> </w:t>
      </w:r>
      <w:r w:rsidR="003A37E3" w:rsidRPr="008A18FA">
        <w:t xml:space="preserve">10G(7) (definition of </w:t>
      </w:r>
      <w:r w:rsidR="003A37E3" w:rsidRPr="008A18FA">
        <w:rPr>
          <w:i/>
        </w:rPr>
        <w:t>State/Territory title</w:t>
      </w:r>
      <w:r w:rsidR="003A37E3" w:rsidRPr="008A18FA">
        <w:t>)</w:t>
      </w:r>
    </w:p>
    <w:p w:rsidR="00DF5427" w:rsidRDefault="003A37E3" w:rsidP="008A18FA">
      <w:pPr>
        <w:pStyle w:val="Item"/>
      </w:pPr>
      <w:r w:rsidRPr="008A18FA">
        <w:t>Before “coastal waters”, insert “designated”.</w:t>
      </w:r>
    </w:p>
    <w:p w:rsidR="00052EDC" w:rsidRDefault="00052EDC" w:rsidP="00983BDC">
      <w:pPr>
        <w:sectPr w:rsidR="00052EDC" w:rsidSect="00052ED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83BDC" w:rsidRDefault="00983BDC" w:rsidP="003B1CD0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983BDC" w:rsidRDefault="00983BDC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2014</w:t>
      </w:r>
    </w:p>
    <w:p w:rsidR="00983BDC" w:rsidRDefault="00983BDC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March 2015</w:t>
      </w:r>
      <w:r>
        <w:t>]</w:t>
      </w:r>
    </w:p>
    <w:p w:rsidR="00983BDC" w:rsidRDefault="00983BDC" w:rsidP="00983BDC">
      <w:pPr>
        <w:framePr w:hSpace="180" w:wrap="around" w:vAnchor="text" w:hAnchor="page" w:x="2371" w:y="9440"/>
      </w:pPr>
      <w:r>
        <w:t>(265/14)</w:t>
      </w:r>
    </w:p>
    <w:p w:rsidR="00983BDC" w:rsidRDefault="00983BDC"/>
    <w:sectPr w:rsidR="00983BDC" w:rsidSect="00052ED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A5" w:rsidRDefault="000D56A5" w:rsidP="0048364F">
      <w:pPr>
        <w:spacing w:line="240" w:lineRule="auto"/>
      </w:pPr>
      <w:r>
        <w:separator/>
      </w:r>
    </w:p>
  </w:endnote>
  <w:endnote w:type="continuationSeparator" w:id="0">
    <w:p w:rsidR="000D56A5" w:rsidRDefault="000D56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A18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DC" w:rsidRPr="00A961C4" w:rsidRDefault="00052EDC" w:rsidP="008A18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2EDC" w:rsidTr="008A18FA">
      <w:tc>
        <w:tcPr>
          <w:tcW w:w="1247" w:type="dxa"/>
        </w:tcPr>
        <w:p w:rsidR="00052EDC" w:rsidRDefault="00983BDC" w:rsidP="0066090A">
          <w:pPr>
            <w:rPr>
              <w:sz w:val="18"/>
            </w:rPr>
          </w:pPr>
          <w:r>
            <w:rPr>
              <w:i/>
              <w:sz w:val="18"/>
            </w:rPr>
            <w:t>No. 16, 2015</w:t>
          </w:r>
        </w:p>
      </w:tc>
      <w:tc>
        <w:tcPr>
          <w:tcW w:w="5387" w:type="dxa"/>
        </w:tcPr>
        <w:p w:rsidR="00052EDC" w:rsidRDefault="00665D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669" w:type="dxa"/>
        </w:tcPr>
        <w:p w:rsidR="00052EDC" w:rsidRDefault="00052ED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52EDC" w:rsidRPr="00055B5C" w:rsidRDefault="00052EDC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DC" w:rsidRPr="00A961C4" w:rsidRDefault="00052EDC" w:rsidP="008A18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2EDC" w:rsidTr="008A18FA">
      <w:tc>
        <w:tcPr>
          <w:tcW w:w="1247" w:type="dxa"/>
        </w:tcPr>
        <w:p w:rsidR="00052EDC" w:rsidRDefault="00052ED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sz w:val="18"/>
            </w:rPr>
            <w:t>No. 16,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2EDC" w:rsidRDefault="00052ED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sz w:val="18"/>
            </w:rPr>
            <w:t>Offshore Petroleum and Greenhouse Gas Storage (Regulatory Levies) Amendment (Designated Coastal Waters)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2EDC" w:rsidRDefault="00052ED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52EDC" w:rsidRPr="00A961C4" w:rsidRDefault="00052EDC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DC" w:rsidRDefault="00983BDC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8A18F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A18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A18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665D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1270" w:type="dxa"/>
        </w:tcPr>
        <w:p w:rsidR="00055B5C" w:rsidRDefault="00665DF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A18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665DF5" w:rsidP="00983BDC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83BDC">
            <w:rPr>
              <w:i/>
              <w:sz w:val="18"/>
            </w:rPr>
            <w:t>16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665DF5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18F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8A18F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665D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1270" w:type="dxa"/>
        </w:tcPr>
        <w:p w:rsidR="00055B5C" w:rsidRDefault="00983BDC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16,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18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A18FA">
      <w:tc>
        <w:tcPr>
          <w:tcW w:w="1247" w:type="dxa"/>
        </w:tcPr>
        <w:p w:rsidR="00055B5C" w:rsidRDefault="00983BDC" w:rsidP="0066090A">
          <w:pPr>
            <w:rPr>
              <w:sz w:val="18"/>
            </w:rPr>
          </w:pPr>
          <w:r>
            <w:rPr>
              <w:i/>
              <w:sz w:val="18"/>
            </w:rPr>
            <w:t>No. 16, 2015</w:t>
          </w:r>
        </w:p>
      </w:tc>
      <w:tc>
        <w:tcPr>
          <w:tcW w:w="5387" w:type="dxa"/>
        </w:tcPr>
        <w:p w:rsidR="00055B5C" w:rsidRDefault="00665D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A18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8A18FA">
      <w:tc>
        <w:tcPr>
          <w:tcW w:w="1247" w:type="dxa"/>
        </w:tcPr>
        <w:p w:rsidR="00055B5C" w:rsidRDefault="00983BDC" w:rsidP="0066090A">
          <w:pPr>
            <w:rPr>
              <w:sz w:val="18"/>
            </w:rPr>
          </w:pPr>
          <w:r>
            <w:rPr>
              <w:i/>
              <w:sz w:val="18"/>
            </w:rPr>
            <w:t>No. 16, 2015</w:t>
          </w:r>
        </w:p>
      </w:tc>
      <w:tc>
        <w:tcPr>
          <w:tcW w:w="5387" w:type="dxa"/>
        </w:tcPr>
        <w:p w:rsidR="00055B5C" w:rsidRDefault="00665D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DC" w:rsidRPr="00A961C4" w:rsidRDefault="00052EDC" w:rsidP="008A18F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2EDC" w:rsidTr="008A18FA">
      <w:tc>
        <w:tcPr>
          <w:tcW w:w="646" w:type="dxa"/>
        </w:tcPr>
        <w:p w:rsidR="00052EDC" w:rsidRDefault="00052ED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58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2EDC" w:rsidRDefault="00665DF5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Offshore Petroleum and Greenhouse Gas Storage (Regulatory Levies) Amendment (Designated Coastal Waters) Act 2015</w:t>
          </w:r>
        </w:p>
      </w:tc>
      <w:tc>
        <w:tcPr>
          <w:tcW w:w="1270" w:type="dxa"/>
        </w:tcPr>
        <w:p w:rsidR="00052EDC" w:rsidRDefault="00665DF5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052EDC" w:rsidRPr="00A961C4" w:rsidRDefault="00052EDC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A5" w:rsidRDefault="000D56A5" w:rsidP="0048364F">
      <w:pPr>
        <w:spacing w:line="240" w:lineRule="auto"/>
      </w:pPr>
      <w:r>
        <w:separator/>
      </w:r>
    </w:p>
  </w:footnote>
  <w:footnote w:type="continuationSeparator" w:id="0">
    <w:p w:rsidR="000D56A5" w:rsidRDefault="000D56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DC" w:rsidRPr="00A961C4" w:rsidRDefault="00052EDC" w:rsidP="0048364F">
    <w:pPr>
      <w:rPr>
        <w:b/>
        <w:sz w:val="20"/>
      </w:rPr>
    </w:pPr>
  </w:p>
  <w:p w:rsidR="00052EDC" w:rsidRPr="00A961C4" w:rsidRDefault="00052EDC" w:rsidP="0048364F">
    <w:pPr>
      <w:rPr>
        <w:b/>
        <w:sz w:val="20"/>
      </w:rPr>
    </w:pPr>
  </w:p>
  <w:p w:rsidR="00052EDC" w:rsidRPr="00A961C4" w:rsidRDefault="00052EDC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DC" w:rsidRPr="00A961C4" w:rsidRDefault="00052EDC" w:rsidP="0048364F">
    <w:pPr>
      <w:jc w:val="right"/>
      <w:rPr>
        <w:sz w:val="20"/>
      </w:rPr>
    </w:pPr>
  </w:p>
  <w:p w:rsidR="00052EDC" w:rsidRPr="00A961C4" w:rsidRDefault="00052EDC" w:rsidP="0048364F">
    <w:pPr>
      <w:jc w:val="right"/>
      <w:rPr>
        <w:b/>
        <w:sz w:val="20"/>
      </w:rPr>
    </w:pPr>
  </w:p>
  <w:p w:rsidR="00052EDC" w:rsidRPr="00A961C4" w:rsidRDefault="00052EDC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DC" w:rsidRPr="00A961C4" w:rsidRDefault="00052EDC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27582">
      <w:rPr>
        <w:b/>
        <w:sz w:val="20"/>
      </w:rPr>
      <w:fldChar w:fldCharType="separate"/>
    </w:r>
    <w:r w:rsidR="005275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27582">
      <w:rPr>
        <w:sz w:val="20"/>
      </w:rPr>
      <w:fldChar w:fldCharType="separate"/>
    </w:r>
    <w:r w:rsidR="0052758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27582">
      <w:rPr>
        <w:sz w:val="20"/>
      </w:rPr>
      <w:fldChar w:fldCharType="separate"/>
    </w:r>
    <w:r w:rsidR="0052758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27582">
      <w:rPr>
        <w:b/>
        <w:sz w:val="20"/>
      </w:rPr>
      <w:fldChar w:fldCharType="separate"/>
    </w:r>
    <w:r w:rsidR="0052758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A5"/>
    <w:rsid w:val="000113BC"/>
    <w:rsid w:val="000136AF"/>
    <w:rsid w:val="000324E4"/>
    <w:rsid w:val="000417C9"/>
    <w:rsid w:val="00052EDC"/>
    <w:rsid w:val="00055B5C"/>
    <w:rsid w:val="00057324"/>
    <w:rsid w:val="00060FF9"/>
    <w:rsid w:val="000614BF"/>
    <w:rsid w:val="0008146E"/>
    <w:rsid w:val="000B1FD2"/>
    <w:rsid w:val="000D05EF"/>
    <w:rsid w:val="000D56A5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5D82"/>
    <w:rsid w:val="001A759A"/>
    <w:rsid w:val="001B7A5D"/>
    <w:rsid w:val="001C2418"/>
    <w:rsid w:val="001C69C4"/>
    <w:rsid w:val="001D0704"/>
    <w:rsid w:val="001E3590"/>
    <w:rsid w:val="001E7407"/>
    <w:rsid w:val="001F1A87"/>
    <w:rsid w:val="00201D27"/>
    <w:rsid w:val="00202618"/>
    <w:rsid w:val="00230B85"/>
    <w:rsid w:val="00240749"/>
    <w:rsid w:val="00263820"/>
    <w:rsid w:val="00293B89"/>
    <w:rsid w:val="00297ECB"/>
    <w:rsid w:val="002B5A30"/>
    <w:rsid w:val="002C2E51"/>
    <w:rsid w:val="002D043A"/>
    <w:rsid w:val="002D395A"/>
    <w:rsid w:val="003415D3"/>
    <w:rsid w:val="00350417"/>
    <w:rsid w:val="00352B0F"/>
    <w:rsid w:val="00375C6C"/>
    <w:rsid w:val="003A37E3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27582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114DB"/>
    <w:rsid w:val="00641DE5"/>
    <w:rsid w:val="00653CE2"/>
    <w:rsid w:val="00656F0C"/>
    <w:rsid w:val="00665DF5"/>
    <w:rsid w:val="00677CC2"/>
    <w:rsid w:val="00681F92"/>
    <w:rsid w:val="006842C2"/>
    <w:rsid w:val="00685F42"/>
    <w:rsid w:val="00690C5D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0760"/>
    <w:rsid w:val="007634AD"/>
    <w:rsid w:val="007715C9"/>
    <w:rsid w:val="00774EDD"/>
    <w:rsid w:val="007757EC"/>
    <w:rsid w:val="00795F59"/>
    <w:rsid w:val="007A4B66"/>
    <w:rsid w:val="007E7D4A"/>
    <w:rsid w:val="00800240"/>
    <w:rsid w:val="008006CC"/>
    <w:rsid w:val="00807F18"/>
    <w:rsid w:val="00831E8D"/>
    <w:rsid w:val="00856A31"/>
    <w:rsid w:val="00857D6B"/>
    <w:rsid w:val="00865788"/>
    <w:rsid w:val="008754D0"/>
    <w:rsid w:val="00877D48"/>
    <w:rsid w:val="0088079B"/>
    <w:rsid w:val="00880FC7"/>
    <w:rsid w:val="00883781"/>
    <w:rsid w:val="00885570"/>
    <w:rsid w:val="008862A8"/>
    <w:rsid w:val="00893958"/>
    <w:rsid w:val="00894D6D"/>
    <w:rsid w:val="008A18FA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3BDC"/>
    <w:rsid w:val="009845BE"/>
    <w:rsid w:val="009871EB"/>
    <w:rsid w:val="009969C9"/>
    <w:rsid w:val="009A6361"/>
    <w:rsid w:val="009A723A"/>
    <w:rsid w:val="00A10775"/>
    <w:rsid w:val="00A231E2"/>
    <w:rsid w:val="00A23455"/>
    <w:rsid w:val="00A36C48"/>
    <w:rsid w:val="00A41E0B"/>
    <w:rsid w:val="00A51694"/>
    <w:rsid w:val="00A64912"/>
    <w:rsid w:val="00A70A74"/>
    <w:rsid w:val="00AA3795"/>
    <w:rsid w:val="00AC1E75"/>
    <w:rsid w:val="00AD5641"/>
    <w:rsid w:val="00AE1088"/>
    <w:rsid w:val="00AF1BA4"/>
    <w:rsid w:val="00B032D8"/>
    <w:rsid w:val="00B11A7D"/>
    <w:rsid w:val="00B12107"/>
    <w:rsid w:val="00B33B3C"/>
    <w:rsid w:val="00B6382D"/>
    <w:rsid w:val="00B71380"/>
    <w:rsid w:val="00B81CE4"/>
    <w:rsid w:val="00B91D72"/>
    <w:rsid w:val="00BA5026"/>
    <w:rsid w:val="00BB40BF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21338"/>
    <w:rsid w:val="00C42BF8"/>
    <w:rsid w:val="00C460AE"/>
    <w:rsid w:val="00C50043"/>
    <w:rsid w:val="00C54E84"/>
    <w:rsid w:val="00C7573B"/>
    <w:rsid w:val="00C76CF3"/>
    <w:rsid w:val="00CE1E31"/>
    <w:rsid w:val="00CF0BB2"/>
    <w:rsid w:val="00CF25B1"/>
    <w:rsid w:val="00D00EAA"/>
    <w:rsid w:val="00D13441"/>
    <w:rsid w:val="00D243A3"/>
    <w:rsid w:val="00D35CD6"/>
    <w:rsid w:val="00D477C3"/>
    <w:rsid w:val="00D52EFE"/>
    <w:rsid w:val="00D63EF6"/>
    <w:rsid w:val="00D70DFB"/>
    <w:rsid w:val="00D73029"/>
    <w:rsid w:val="00D766DF"/>
    <w:rsid w:val="00DB3EF2"/>
    <w:rsid w:val="00DF5427"/>
    <w:rsid w:val="00DF7AE9"/>
    <w:rsid w:val="00E02B38"/>
    <w:rsid w:val="00E05704"/>
    <w:rsid w:val="00E13DAF"/>
    <w:rsid w:val="00E24D66"/>
    <w:rsid w:val="00E36AD8"/>
    <w:rsid w:val="00E54292"/>
    <w:rsid w:val="00E74DC7"/>
    <w:rsid w:val="00E87699"/>
    <w:rsid w:val="00EA1B16"/>
    <w:rsid w:val="00ED492F"/>
    <w:rsid w:val="00EF2E3A"/>
    <w:rsid w:val="00F047E2"/>
    <w:rsid w:val="00F078DC"/>
    <w:rsid w:val="00F13E86"/>
    <w:rsid w:val="00F17B00"/>
    <w:rsid w:val="00F210A0"/>
    <w:rsid w:val="00F677A9"/>
    <w:rsid w:val="00F84CF5"/>
    <w:rsid w:val="00F93FCA"/>
    <w:rsid w:val="00FA0E67"/>
    <w:rsid w:val="00FA420B"/>
    <w:rsid w:val="00FD1E13"/>
    <w:rsid w:val="00FE41C9"/>
    <w:rsid w:val="00FE7F93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8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6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6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6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18FA"/>
  </w:style>
  <w:style w:type="paragraph" w:customStyle="1" w:styleId="OPCParaBase">
    <w:name w:val="OPCParaBase"/>
    <w:link w:val="OPCParaBaseChar"/>
    <w:qFormat/>
    <w:rsid w:val="008A18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18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18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18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18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18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18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18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18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18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18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18FA"/>
  </w:style>
  <w:style w:type="paragraph" w:customStyle="1" w:styleId="Blocks">
    <w:name w:val="Blocks"/>
    <w:aliases w:val="bb"/>
    <w:basedOn w:val="OPCParaBase"/>
    <w:qFormat/>
    <w:rsid w:val="008A18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18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18FA"/>
    <w:rPr>
      <w:i/>
    </w:rPr>
  </w:style>
  <w:style w:type="paragraph" w:customStyle="1" w:styleId="BoxList">
    <w:name w:val="BoxList"/>
    <w:aliases w:val="bl"/>
    <w:basedOn w:val="BoxText"/>
    <w:qFormat/>
    <w:rsid w:val="008A18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18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18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18FA"/>
    <w:pPr>
      <w:ind w:left="1985" w:hanging="851"/>
    </w:pPr>
  </w:style>
  <w:style w:type="character" w:customStyle="1" w:styleId="CharAmPartNo">
    <w:name w:val="CharAmPartNo"/>
    <w:basedOn w:val="OPCCharBase"/>
    <w:qFormat/>
    <w:rsid w:val="008A18FA"/>
  </w:style>
  <w:style w:type="character" w:customStyle="1" w:styleId="CharAmPartText">
    <w:name w:val="CharAmPartText"/>
    <w:basedOn w:val="OPCCharBase"/>
    <w:qFormat/>
    <w:rsid w:val="008A18FA"/>
  </w:style>
  <w:style w:type="character" w:customStyle="1" w:styleId="CharAmSchNo">
    <w:name w:val="CharAmSchNo"/>
    <w:basedOn w:val="OPCCharBase"/>
    <w:qFormat/>
    <w:rsid w:val="008A18FA"/>
  </w:style>
  <w:style w:type="character" w:customStyle="1" w:styleId="CharAmSchText">
    <w:name w:val="CharAmSchText"/>
    <w:basedOn w:val="OPCCharBase"/>
    <w:qFormat/>
    <w:rsid w:val="008A18FA"/>
  </w:style>
  <w:style w:type="character" w:customStyle="1" w:styleId="CharBoldItalic">
    <w:name w:val="CharBoldItalic"/>
    <w:basedOn w:val="OPCCharBase"/>
    <w:uiPriority w:val="1"/>
    <w:qFormat/>
    <w:rsid w:val="008A18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18FA"/>
  </w:style>
  <w:style w:type="character" w:customStyle="1" w:styleId="CharChapText">
    <w:name w:val="CharChapText"/>
    <w:basedOn w:val="OPCCharBase"/>
    <w:uiPriority w:val="1"/>
    <w:qFormat/>
    <w:rsid w:val="008A18FA"/>
  </w:style>
  <w:style w:type="character" w:customStyle="1" w:styleId="CharDivNo">
    <w:name w:val="CharDivNo"/>
    <w:basedOn w:val="OPCCharBase"/>
    <w:uiPriority w:val="1"/>
    <w:qFormat/>
    <w:rsid w:val="008A18FA"/>
  </w:style>
  <w:style w:type="character" w:customStyle="1" w:styleId="CharDivText">
    <w:name w:val="CharDivText"/>
    <w:basedOn w:val="OPCCharBase"/>
    <w:uiPriority w:val="1"/>
    <w:qFormat/>
    <w:rsid w:val="008A18FA"/>
  </w:style>
  <w:style w:type="character" w:customStyle="1" w:styleId="CharItalic">
    <w:name w:val="CharItalic"/>
    <w:basedOn w:val="OPCCharBase"/>
    <w:uiPriority w:val="1"/>
    <w:qFormat/>
    <w:rsid w:val="008A18FA"/>
    <w:rPr>
      <w:i/>
    </w:rPr>
  </w:style>
  <w:style w:type="character" w:customStyle="1" w:styleId="CharPartNo">
    <w:name w:val="CharPartNo"/>
    <w:basedOn w:val="OPCCharBase"/>
    <w:uiPriority w:val="1"/>
    <w:qFormat/>
    <w:rsid w:val="008A18FA"/>
  </w:style>
  <w:style w:type="character" w:customStyle="1" w:styleId="CharPartText">
    <w:name w:val="CharPartText"/>
    <w:basedOn w:val="OPCCharBase"/>
    <w:uiPriority w:val="1"/>
    <w:qFormat/>
    <w:rsid w:val="008A18FA"/>
  </w:style>
  <w:style w:type="character" w:customStyle="1" w:styleId="CharSectno">
    <w:name w:val="CharSectno"/>
    <w:basedOn w:val="OPCCharBase"/>
    <w:qFormat/>
    <w:rsid w:val="008A18FA"/>
  </w:style>
  <w:style w:type="character" w:customStyle="1" w:styleId="CharSubdNo">
    <w:name w:val="CharSubdNo"/>
    <w:basedOn w:val="OPCCharBase"/>
    <w:uiPriority w:val="1"/>
    <w:qFormat/>
    <w:rsid w:val="008A18FA"/>
  </w:style>
  <w:style w:type="character" w:customStyle="1" w:styleId="CharSubdText">
    <w:name w:val="CharSubdText"/>
    <w:basedOn w:val="OPCCharBase"/>
    <w:uiPriority w:val="1"/>
    <w:qFormat/>
    <w:rsid w:val="008A18FA"/>
  </w:style>
  <w:style w:type="paragraph" w:customStyle="1" w:styleId="CTA--">
    <w:name w:val="CTA --"/>
    <w:basedOn w:val="OPCParaBase"/>
    <w:next w:val="Normal"/>
    <w:rsid w:val="008A18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18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18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18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18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18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18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18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18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18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18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18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18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18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18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18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18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18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18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18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18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18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18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18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18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18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18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18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18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18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18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18F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18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18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18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18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18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18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18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18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18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18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18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18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18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18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18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18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18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18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18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18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18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18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18F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18F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18F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18F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18F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18F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A18F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18F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18F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18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18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18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18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18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18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18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18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18FA"/>
    <w:rPr>
      <w:sz w:val="16"/>
    </w:rPr>
  </w:style>
  <w:style w:type="table" w:customStyle="1" w:styleId="CFlag">
    <w:name w:val="CFlag"/>
    <w:basedOn w:val="TableNormal"/>
    <w:uiPriority w:val="99"/>
    <w:rsid w:val="008A18F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A18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18F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18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18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18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18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18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18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18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18FA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18F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18F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18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18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18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18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18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8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18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18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18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18F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18FA"/>
  </w:style>
  <w:style w:type="character" w:customStyle="1" w:styleId="CharSubPartNoCASA">
    <w:name w:val="CharSubPartNo(CASA)"/>
    <w:basedOn w:val="OPCCharBase"/>
    <w:uiPriority w:val="1"/>
    <w:rsid w:val="008A18FA"/>
  </w:style>
  <w:style w:type="paragraph" w:customStyle="1" w:styleId="ENoteTTIndentHeadingSub">
    <w:name w:val="ENoteTTIndentHeadingSub"/>
    <w:aliases w:val="enTTHis"/>
    <w:basedOn w:val="OPCParaBase"/>
    <w:rsid w:val="008A18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18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18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18F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A18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18FA"/>
    <w:rPr>
      <w:sz w:val="22"/>
    </w:rPr>
  </w:style>
  <w:style w:type="paragraph" w:customStyle="1" w:styleId="SOTextNote">
    <w:name w:val="SO TextNote"/>
    <w:aliases w:val="sont"/>
    <w:basedOn w:val="SOText"/>
    <w:qFormat/>
    <w:rsid w:val="008A18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18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18FA"/>
    <w:rPr>
      <w:sz w:val="22"/>
    </w:rPr>
  </w:style>
  <w:style w:type="paragraph" w:customStyle="1" w:styleId="FileName">
    <w:name w:val="FileName"/>
    <w:basedOn w:val="Normal"/>
    <w:rsid w:val="008A18F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18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18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18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18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18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18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18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18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18F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5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6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6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6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6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A8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1D070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1D070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1D0704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052ED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52ED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52ED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52ED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52ED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52ED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52ED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52EDC"/>
  </w:style>
  <w:style w:type="character" w:customStyle="1" w:styleId="ShortTCPChar">
    <w:name w:val="ShortTCP Char"/>
    <w:basedOn w:val="ShortTChar"/>
    <w:link w:val="ShortTCP"/>
    <w:rsid w:val="00052ED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52EDC"/>
    <w:pPr>
      <w:spacing w:before="400"/>
    </w:pPr>
  </w:style>
  <w:style w:type="character" w:customStyle="1" w:styleId="ActNoCPChar">
    <w:name w:val="ActNoCP Char"/>
    <w:basedOn w:val="ActnoChar"/>
    <w:link w:val="ActNoCP"/>
    <w:rsid w:val="00052ED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52E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3B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3B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3BD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18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6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6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6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18FA"/>
  </w:style>
  <w:style w:type="paragraph" w:customStyle="1" w:styleId="OPCParaBase">
    <w:name w:val="OPCParaBase"/>
    <w:link w:val="OPCParaBaseChar"/>
    <w:qFormat/>
    <w:rsid w:val="008A18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A18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18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18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18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18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A18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18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18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18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18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A18FA"/>
  </w:style>
  <w:style w:type="paragraph" w:customStyle="1" w:styleId="Blocks">
    <w:name w:val="Blocks"/>
    <w:aliases w:val="bb"/>
    <w:basedOn w:val="OPCParaBase"/>
    <w:qFormat/>
    <w:rsid w:val="008A18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18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18FA"/>
    <w:rPr>
      <w:i/>
    </w:rPr>
  </w:style>
  <w:style w:type="paragraph" w:customStyle="1" w:styleId="BoxList">
    <w:name w:val="BoxList"/>
    <w:aliases w:val="bl"/>
    <w:basedOn w:val="BoxText"/>
    <w:qFormat/>
    <w:rsid w:val="008A18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18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18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18FA"/>
    <w:pPr>
      <w:ind w:left="1985" w:hanging="851"/>
    </w:pPr>
  </w:style>
  <w:style w:type="character" w:customStyle="1" w:styleId="CharAmPartNo">
    <w:name w:val="CharAmPartNo"/>
    <w:basedOn w:val="OPCCharBase"/>
    <w:qFormat/>
    <w:rsid w:val="008A18FA"/>
  </w:style>
  <w:style w:type="character" w:customStyle="1" w:styleId="CharAmPartText">
    <w:name w:val="CharAmPartText"/>
    <w:basedOn w:val="OPCCharBase"/>
    <w:qFormat/>
    <w:rsid w:val="008A18FA"/>
  </w:style>
  <w:style w:type="character" w:customStyle="1" w:styleId="CharAmSchNo">
    <w:name w:val="CharAmSchNo"/>
    <w:basedOn w:val="OPCCharBase"/>
    <w:qFormat/>
    <w:rsid w:val="008A18FA"/>
  </w:style>
  <w:style w:type="character" w:customStyle="1" w:styleId="CharAmSchText">
    <w:name w:val="CharAmSchText"/>
    <w:basedOn w:val="OPCCharBase"/>
    <w:qFormat/>
    <w:rsid w:val="008A18FA"/>
  </w:style>
  <w:style w:type="character" w:customStyle="1" w:styleId="CharBoldItalic">
    <w:name w:val="CharBoldItalic"/>
    <w:basedOn w:val="OPCCharBase"/>
    <w:uiPriority w:val="1"/>
    <w:qFormat/>
    <w:rsid w:val="008A18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A18FA"/>
  </w:style>
  <w:style w:type="character" w:customStyle="1" w:styleId="CharChapText">
    <w:name w:val="CharChapText"/>
    <w:basedOn w:val="OPCCharBase"/>
    <w:uiPriority w:val="1"/>
    <w:qFormat/>
    <w:rsid w:val="008A18FA"/>
  </w:style>
  <w:style w:type="character" w:customStyle="1" w:styleId="CharDivNo">
    <w:name w:val="CharDivNo"/>
    <w:basedOn w:val="OPCCharBase"/>
    <w:uiPriority w:val="1"/>
    <w:qFormat/>
    <w:rsid w:val="008A18FA"/>
  </w:style>
  <w:style w:type="character" w:customStyle="1" w:styleId="CharDivText">
    <w:name w:val="CharDivText"/>
    <w:basedOn w:val="OPCCharBase"/>
    <w:uiPriority w:val="1"/>
    <w:qFormat/>
    <w:rsid w:val="008A18FA"/>
  </w:style>
  <w:style w:type="character" w:customStyle="1" w:styleId="CharItalic">
    <w:name w:val="CharItalic"/>
    <w:basedOn w:val="OPCCharBase"/>
    <w:uiPriority w:val="1"/>
    <w:qFormat/>
    <w:rsid w:val="008A18FA"/>
    <w:rPr>
      <w:i/>
    </w:rPr>
  </w:style>
  <w:style w:type="character" w:customStyle="1" w:styleId="CharPartNo">
    <w:name w:val="CharPartNo"/>
    <w:basedOn w:val="OPCCharBase"/>
    <w:uiPriority w:val="1"/>
    <w:qFormat/>
    <w:rsid w:val="008A18FA"/>
  </w:style>
  <w:style w:type="character" w:customStyle="1" w:styleId="CharPartText">
    <w:name w:val="CharPartText"/>
    <w:basedOn w:val="OPCCharBase"/>
    <w:uiPriority w:val="1"/>
    <w:qFormat/>
    <w:rsid w:val="008A18FA"/>
  </w:style>
  <w:style w:type="character" w:customStyle="1" w:styleId="CharSectno">
    <w:name w:val="CharSectno"/>
    <w:basedOn w:val="OPCCharBase"/>
    <w:qFormat/>
    <w:rsid w:val="008A18FA"/>
  </w:style>
  <w:style w:type="character" w:customStyle="1" w:styleId="CharSubdNo">
    <w:name w:val="CharSubdNo"/>
    <w:basedOn w:val="OPCCharBase"/>
    <w:uiPriority w:val="1"/>
    <w:qFormat/>
    <w:rsid w:val="008A18FA"/>
  </w:style>
  <w:style w:type="character" w:customStyle="1" w:styleId="CharSubdText">
    <w:name w:val="CharSubdText"/>
    <w:basedOn w:val="OPCCharBase"/>
    <w:uiPriority w:val="1"/>
    <w:qFormat/>
    <w:rsid w:val="008A18FA"/>
  </w:style>
  <w:style w:type="paragraph" w:customStyle="1" w:styleId="CTA--">
    <w:name w:val="CTA --"/>
    <w:basedOn w:val="OPCParaBase"/>
    <w:next w:val="Normal"/>
    <w:rsid w:val="008A18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18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18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18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18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18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18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18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18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18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18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18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18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18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18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18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A18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A18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A18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A18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18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18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18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18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18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18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18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18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18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18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18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18F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18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18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18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A18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18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18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18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18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18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18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18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18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18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18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18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18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18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18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18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18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18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18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18F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A18F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18F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18F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18F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18F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A18F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18F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18F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18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18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18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18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18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18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18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18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18FA"/>
    <w:rPr>
      <w:sz w:val="16"/>
    </w:rPr>
  </w:style>
  <w:style w:type="table" w:customStyle="1" w:styleId="CFlag">
    <w:name w:val="CFlag"/>
    <w:basedOn w:val="TableNormal"/>
    <w:uiPriority w:val="99"/>
    <w:rsid w:val="008A18F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A18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18F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A18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18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A18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A18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18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18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18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A18FA"/>
    <w:pPr>
      <w:spacing w:before="120"/>
    </w:pPr>
  </w:style>
  <w:style w:type="paragraph" w:customStyle="1" w:styleId="TableTextEndNotes">
    <w:name w:val="TableTextEndNotes"/>
    <w:aliases w:val="Tten"/>
    <w:basedOn w:val="Normal"/>
    <w:rsid w:val="008A18F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A18F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A18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18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18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18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18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8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18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A18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18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A18F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A18FA"/>
  </w:style>
  <w:style w:type="character" w:customStyle="1" w:styleId="CharSubPartNoCASA">
    <w:name w:val="CharSubPartNo(CASA)"/>
    <w:basedOn w:val="OPCCharBase"/>
    <w:uiPriority w:val="1"/>
    <w:rsid w:val="008A18FA"/>
  </w:style>
  <w:style w:type="paragraph" w:customStyle="1" w:styleId="ENoteTTIndentHeadingSub">
    <w:name w:val="ENoteTTIndentHeadingSub"/>
    <w:aliases w:val="enTTHis"/>
    <w:basedOn w:val="OPCParaBase"/>
    <w:rsid w:val="008A18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18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18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18F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A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A18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18FA"/>
    <w:rPr>
      <w:sz w:val="22"/>
    </w:rPr>
  </w:style>
  <w:style w:type="paragraph" w:customStyle="1" w:styleId="SOTextNote">
    <w:name w:val="SO TextNote"/>
    <w:aliases w:val="sont"/>
    <w:basedOn w:val="SOText"/>
    <w:qFormat/>
    <w:rsid w:val="008A18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18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18FA"/>
    <w:rPr>
      <w:sz w:val="22"/>
    </w:rPr>
  </w:style>
  <w:style w:type="paragraph" w:customStyle="1" w:styleId="FileName">
    <w:name w:val="FileName"/>
    <w:basedOn w:val="Normal"/>
    <w:rsid w:val="008A18F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18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18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18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18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18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18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18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18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18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18F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5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6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6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6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6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A8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1D0704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1D0704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1D0704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052ED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52ED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52ED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52ED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52ED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52ED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52ED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52EDC"/>
  </w:style>
  <w:style w:type="character" w:customStyle="1" w:styleId="ShortTCPChar">
    <w:name w:val="ShortTCP Char"/>
    <w:basedOn w:val="ShortTChar"/>
    <w:link w:val="ShortTCP"/>
    <w:rsid w:val="00052ED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52EDC"/>
    <w:pPr>
      <w:spacing w:before="400"/>
    </w:pPr>
  </w:style>
  <w:style w:type="character" w:customStyle="1" w:styleId="ActNoCPChar">
    <w:name w:val="ActNoCP Char"/>
    <w:basedOn w:val="ActnoChar"/>
    <w:link w:val="ActNoCP"/>
    <w:rsid w:val="00052ED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52E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3B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3B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3BD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633</Words>
  <Characters>3610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2015-03-26T22:17:00Z</dcterms:created>
  <dcterms:modified xsi:type="dcterms:W3CDTF">2015-03-26T22:25:00Z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Offshore Petroleum and Greenhouse Gas Storage (Regulatory Levies) Amendment (Designated Coastal Waters) Act 2015</vt:lpwstr>
  </property>
  <property fmtid="{D5CDD505-2E9C-101B-9397-08002B2CF9AE}" pid="3" name="Actno">
    <vt:lpwstr>No. 16, 2015</vt:lpwstr>
  </property>
</Properties>
</file>