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4E" w:rsidRDefault="000F3A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03704E" w:rsidRDefault="0003704E"/>
    <w:p w:rsidR="0003704E" w:rsidRDefault="0003704E" w:rsidP="0003704E">
      <w:pPr>
        <w:spacing w:line="240" w:lineRule="auto"/>
      </w:pPr>
    </w:p>
    <w:p w:rsidR="0003704E" w:rsidRDefault="0003704E" w:rsidP="0003704E"/>
    <w:p w:rsidR="0003704E" w:rsidRDefault="0003704E" w:rsidP="0003704E"/>
    <w:p w:rsidR="0003704E" w:rsidRDefault="0003704E" w:rsidP="0003704E"/>
    <w:p w:rsidR="0003704E" w:rsidRDefault="0003704E" w:rsidP="0003704E"/>
    <w:p w:rsidR="0048364F" w:rsidRPr="00C20C28" w:rsidRDefault="00827D7C" w:rsidP="0048364F">
      <w:pPr>
        <w:pStyle w:val="ShortT"/>
      </w:pPr>
      <w:r w:rsidRPr="00C20C28">
        <w:t>Australian River Co</w:t>
      </w:r>
      <w:r w:rsidR="00C93751" w:rsidRPr="00C20C28">
        <w:t>.</w:t>
      </w:r>
      <w:r w:rsidRPr="00C20C28">
        <w:t xml:space="preserve"> L</w:t>
      </w:r>
      <w:r w:rsidR="00C93751" w:rsidRPr="00C20C28">
        <w:t>imited</w:t>
      </w:r>
      <w:r w:rsidRPr="00C20C28">
        <w:t xml:space="preserve"> </w:t>
      </w:r>
      <w:r w:rsidR="0003704E">
        <w:t>Act</w:t>
      </w:r>
      <w:r w:rsidRPr="00C20C28">
        <w:t xml:space="preserve"> 2015</w:t>
      </w:r>
    </w:p>
    <w:p w:rsidR="0048364F" w:rsidRPr="00C20C28" w:rsidRDefault="0048364F" w:rsidP="0048364F"/>
    <w:p w:rsidR="0048364F" w:rsidRPr="00C20C28" w:rsidRDefault="00C164CA" w:rsidP="0003704E">
      <w:pPr>
        <w:pStyle w:val="Actno"/>
        <w:spacing w:before="400"/>
      </w:pPr>
      <w:r w:rsidRPr="00C20C28">
        <w:t>No.</w:t>
      </w:r>
      <w:r w:rsidR="00CE2BA1">
        <w:t xml:space="preserve"> 27</w:t>
      </w:r>
      <w:r w:rsidRPr="00C20C28">
        <w:t>, 201</w:t>
      </w:r>
      <w:r w:rsidR="00F92D35" w:rsidRPr="00C20C28">
        <w:t>5</w:t>
      </w:r>
    </w:p>
    <w:p w:rsidR="0048364F" w:rsidRPr="00C20C28" w:rsidRDefault="0048364F" w:rsidP="0048364F"/>
    <w:p w:rsidR="0003704E" w:rsidRDefault="0003704E" w:rsidP="0003704E"/>
    <w:p w:rsidR="0003704E" w:rsidRDefault="0003704E" w:rsidP="0003704E"/>
    <w:p w:rsidR="0003704E" w:rsidRDefault="0003704E" w:rsidP="0003704E"/>
    <w:p w:rsidR="0003704E" w:rsidRDefault="0003704E" w:rsidP="0003704E"/>
    <w:p w:rsidR="0048364F" w:rsidRPr="00C20C28" w:rsidRDefault="0003704E" w:rsidP="0048364F">
      <w:pPr>
        <w:pStyle w:val="LongT"/>
      </w:pPr>
      <w:r>
        <w:t>An Act</w:t>
      </w:r>
      <w:r w:rsidR="0048364F" w:rsidRPr="00C20C28">
        <w:t xml:space="preserve"> to </w:t>
      </w:r>
      <w:r w:rsidR="00BD67B1" w:rsidRPr="00C20C28">
        <w:t>deal with matters relating to Australian River Co. Limited</w:t>
      </w:r>
      <w:r w:rsidR="0048364F" w:rsidRPr="00C20C28">
        <w:t>, and for related purposes</w:t>
      </w:r>
    </w:p>
    <w:p w:rsidR="0048364F" w:rsidRPr="00C20C28" w:rsidRDefault="0048364F" w:rsidP="00C20C28">
      <w:pPr>
        <w:pStyle w:val="Header"/>
        <w:tabs>
          <w:tab w:val="clear" w:pos="4150"/>
          <w:tab w:val="clear" w:pos="8307"/>
        </w:tabs>
      </w:pPr>
      <w:r w:rsidRPr="00C20C28">
        <w:rPr>
          <w:rStyle w:val="CharAmSchNo"/>
        </w:rPr>
        <w:t xml:space="preserve"> </w:t>
      </w:r>
      <w:r w:rsidRPr="00C20C28">
        <w:rPr>
          <w:rStyle w:val="CharAmSchText"/>
        </w:rPr>
        <w:t xml:space="preserve"> </w:t>
      </w:r>
    </w:p>
    <w:p w:rsidR="0048364F" w:rsidRPr="00C20C28" w:rsidRDefault="0048364F" w:rsidP="00C20C28">
      <w:pPr>
        <w:pStyle w:val="Header"/>
        <w:tabs>
          <w:tab w:val="clear" w:pos="4150"/>
          <w:tab w:val="clear" w:pos="8307"/>
        </w:tabs>
      </w:pPr>
      <w:r w:rsidRPr="00C20C28">
        <w:rPr>
          <w:rStyle w:val="CharAmPartNo"/>
        </w:rPr>
        <w:t xml:space="preserve"> </w:t>
      </w:r>
      <w:r w:rsidRPr="00C20C28">
        <w:rPr>
          <w:rStyle w:val="CharAmPartText"/>
        </w:rPr>
        <w:t xml:space="preserve"> </w:t>
      </w:r>
    </w:p>
    <w:p w:rsidR="0048364F" w:rsidRPr="00C20C28" w:rsidRDefault="0048364F" w:rsidP="0048364F">
      <w:pPr>
        <w:sectPr w:rsidR="0048364F" w:rsidRPr="00C20C28" w:rsidSect="000370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20C28" w:rsidRDefault="0048364F" w:rsidP="00BE2E38">
      <w:pPr>
        <w:rPr>
          <w:sz w:val="36"/>
        </w:rPr>
      </w:pPr>
      <w:r w:rsidRPr="00C20C28">
        <w:rPr>
          <w:sz w:val="36"/>
        </w:rPr>
        <w:lastRenderedPageBreak/>
        <w:t>Contents</w:t>
      </w:r>
    </w:p>
    <w:bookmarkStart w:id="0" w:name="BKCheck15B_1"/>
    <w:bookmarkEnd w:id="0"/>
    <w:p w:rsidR="00156BB9" w:rsidRDefault="00156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56BB9">
        <w:rPr>
          <w:noProof/>
        </w:rPr>
        <w:tab/>
      </w:r>
      <w:r w:rsidRPr="00156BB9">
        <w:rPr>
          <w:noProof/>
        </w:rPr>
        <w:fldChar w:fldCharType="begin"/>
      </w:r>
      <w:r w:rsidRPr="00156BB9">
        <w:rPr>
          <w:noProof/>
        </w:rPr>
        <w:instrText xml:space="preserve"> PAGEREF _Toc416266215 \h </w:instrText>
      </w:r>
      <w:r w:rsidRPr="00156BB9">
        <w:rPr>
          <w:noProof/>
        </w:rPr>
      </w:r>
      <w:r w:rsidRPr="00156BB9">
        <w:rPr>
          <w:noProof/>
        </w:rPr>
        <w:fldChar w:fldCharType="separate"/>
      </w:r>
      <w:r w:rsidR="000F3AC4">
        <w:rPr>
          <w:noProof/>
        </w:rPr>
        <w:t>1</w:t>
      </w:r>
      <w:r w:rsidRPr="00156BB9">
        <w:rPr>
          <w:noProof/>
        </w:rPr>
        <w:fldChar w:fldCharType="end"/>
      </w:r>
    </w:p>
    <w:p w:rsidR="00156BB9" w:rsidRDefault="00156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56BB9">
        <w:rPr>
          <w:noProof/>
        </w:rPr>
        <w:tab/>
      </w:r>
      <w:r w:rsidRPr="00156BB9">
        <w:rPr>
          <w:noProof/>
        </w:rPr>
        <w:fldChar w:fldCharType="begin"/>
      </w:r>
      <w:r w:rsidRPr="00156BB9">
        <w:rPr>
          <w:noProof/>
        </w:rPr>
        <w:instrText xml:space="preserve"> PAGEREF _Toc416266216 \h </w:instrText>
      </w:r>
      <w:r w:rsidRPr="00156BB9">
        <w:rPr>
          <w:noProof/>
        </w:rPr>
      </w:r>
      <w:r w:rsidRPr="00156BB9">
        <w:rPr>
          <w:noProof/>
        </w:rPr>
        <w:fldChar w:fldCharType="separate"/>
      </w:r>
      <w:r w:rsidR="000F3AC4">
        <w:rPr>
          <w:noProof/>
        </w:rPr>
        <w:t>1</w:t>
      </w:r>
      <w:r w:rsidRPr="00156BB9">
        <w:rPr>
          <w:noProof/>
        </w:rPr>
        <w:fldChar w:fldCharType="end"/>
      </w:r>
    </w:p>
    <w:p w:rsidR="00156BB9" w:rsidRDefault="00156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56BB9">
        <w:rPr>
          <w:noProof/>
        </w:rPr>
        <w:tab/>
      </w:r>
      <w:r w:rsidRPr="00156BB9">
        <w:rPr>
          <w:noProof/>
        </w:rPr>
        <w:fldChar w:fldCharType="begin"/>
      </w:r>
      <w:r w:rsidRPr="00156BB9">
        <w:rPr>
          <w:noProof/>
        </w:rPr>
        <w:instrText xml:space="preserve"> PAGEREF _Toc416266217 \h </w:instrText>
      </w:r>
      <w:r w:rsidRPr="00156BB9">
        <w:rPr>
          <w:noProof/>
        </w:rPr>
      </w:r>
      <w:r w:rsidRPr="00156BB9">
        <w:rPr>
          <w:noProof/>
        </w:rPr>
        <w:fldChar w:fldCharType="separate"/>
      </w:r>
      <w:r w:rsidR="000F3AC4">
        <w:rPr>
          <w:noProof/>
        </w:rPr>
        <w:t>2</w:t>
      </w:r>
      <w:r w:rsidRPr="00156BB9">
        <w:rPr>
          <w:noProof/>
        </w:rPr>
        <w:fldChar w:fldCharType="end"/>
      </w:r>
    </w:p>
    <w:p w:rsidR="00156BB9" w:rsidRDefault="00156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Extended geographic application of this Act</w:t>
      </w:r>
      <w:r w:rsidRPr="00156BB9">
        <w:rPr>
          <w:noProof/>
        </w:rPr>
        <w:tab/>
      </w:r>
      <w:r w:rsidRPr="00156BB9">
        <w:rPr>
          <w:noProof/>
        </w:rPr>
        <w:fldChar w:fldCharType="begin"/>
      </w:r>
      <w:r w:rsidRPr="00156BB9">
        <w:rPr>
          <w:noProof/>
        </w:rPr>
        <w:instrText xml:space="preserve"> PAGEREF _Toc416266218 \h </w:instrText>
      </w:r>
      <w:r w:rsidRPr="00156BB9">
        <w:rPr>
          <w:noProof/>
        </w:rPr>
      </w:r>
      <w:r w:rsidRPr="00156BB9">
        <w:rPr>
          <w:noProof/>
        </w:rPr>
        <w:fldChar w:fldCharType="separate"/>
      </w:r>
      <w:r w:rsidR="000F3AC4">
        <w:rPr>
          <w:noProof/>
        </w:rPr>
        <w:t>2</w:t>
      </w:r>
      <w:r w:rsidRPr="00156BB9">
        <w:rPr>
          <w:noProof/>
        </w:rPr>
        <w:fldChar w:fldCharType="end"/>
      </w:r>
    </w:p>
    <w:p w:rsidR="00156BB9" w:rsidRDefault="00156B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1—The Australian River Co. Limited</w:t>
      </w:r>
      <w:r w:rsidRPr="00156BB9">
        <w:rPr>
          <w:b w:val="0"/>
          <w:noProof/>
          <w:sz w:val="18"/>
        </w:rPr>
        <w:tab/>
      </w:r>
      <w:r w:rsidRPr="00156BB9">
        <w:rPr>
          <w:b w:val="0"/>
          <w:noProof/>
          <w:sz w:val="18"/>
        </w:rPr>
        <w:fldChar w:fldCharType="begin"/>
      </w:r>
      <w:r w:rsidRPr="00156BB9">
        <w:rPr>
          <w:b w:val="0"/>
          <w:noProof/>
          <w:sz w:val="18"/>
        </w:rPr>
        <w:instrText xml:space="preserve"> PAGEREF _Toc416266219 \h </w:instrText>
      </w:r>
      <w:r w:rsidRPr="00156BB9">
        <w:rPr>
          <w:b w:val="0"/>
          <w:noProof/>
          <w:sz w:val="18"/>
        </w:rPr>
      </w:r>
      <w:r w:rsidRPr="00156BB9">
        <w:rPr>
          <w:b w:val="0"/>
          <w:noProof/>
          <w:sz w:val="18"/>
        </w:rPr>
        <w:fldChar w:fldCharType="separate"/>
      </w:r>
      <w:r w:rsidR="000F3AC4">
        <w:rPr>
          <w:b w:val="0"/>
          <w:noProof/>
          <w:sz w:val="18"/>
        </w:rPr>
        <w:t>3</w:t>
      </w:r>
      <w:r w:rsidRPr="00156BB9">
        <w:rPr>
          <w:b w:val="0"/>
          <w:noProof/>
          <w:sz w:val="18"/>
        </w:rPr>
        <w:fldChar w:fldCharType="end"/>
      </w:r>
    </w:p>
    <w:p w:rsidR="00156BB9" w:rsidRDefault="00156B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1—Preliminary</w:t>
      </w:r>
      <w:r w:rsidRPr="00156BB9">
        <w:rPr>
          <w:noProof/>
          <w:sz w:val="18"/>
        </w:rPr>
        <w:tab/>
      </w:r>
      <w:r w:rsidRPr="00156BB9">
        <w:rPr>
          <w:noProof/>
          <w:sz w:val="18"/>
        </w:rPr>
        <w:fldChar w:fldCharType="begin"/>
      </w:r>
      <w:r w:rsidRPr="00156BB9">
        <w:rPr>
          <w:noProof/>
          <w:sz w:val="18"/>
        </w:rPr>
        <w:instrText xml:space="preserve"> PAGEREF _Toc416266220 \h </w:instrText>
      </w:r>
      <w:r w:rsidRPr="00156BB9">
        <w:rPr>
          <w:noProof/>
          <w:sz w:val="18"/>
        </w:rPr>
      </w:r>
      <w:r w:rsidRPr="00156BB9">
        <w:rPr>
          <w:noProof/>
          <w:sz w:val="18"/>
        </w:rPr>
        <w:fldChar w:fldCharType="separate"/>
      </w:r>
      <w:r w:rsidR="000F3AC4">
        <w:rPr>
          <w:noProof/>
          <w:sz w:val="18"/>
        </w:rPr>
        <w:t>3</w:t>
      </w:r>
      <w:r w:rsidRPr="00156BB9">
        <w:rPr>
          <w:noProof/>
          <w:sz w:val="18"/>
        </w:rPr>
        <w:fldChar w:fldCharType="end"/>
      </w:r>
    </w:p>
    <w:p w:rsidR="00156BB9" w:rsidRDefault="00156B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2—Transfer of assets and liabilities of ARCo</w:t>
      </w:r>
      <w:r w:rsidRPr="00156BB9">
        <w:rPr>
          <w:noProof/>
          <w:sz w:val="18"/>
        </w:rPr>
        <w:tab/>
      </w:r>
      <w:r w:rsidRPr="00156BB9">
        <w:rPr>
          <w:noProof/>
          <w:sz w:val="18"/>
        </w:rPr>
        <w:fldChar w:fldCharType="begin"/>
      </w:r>
      <w:r w:rsidRPr="00156BB9">
        <w:rPr>
          <w:noProof/>
          <w:sz w:val="18"/>
        </w:rPr>
        <w:instrText xml:space="preserve"> PAGEREF _Toc416266221 \h </w:instrText>
      </w:r>
      <w:r w:rsidRPr="00156BB9">
        <w:rPr>
          <w:noProof/>
          <w:sz w:val="18"/>
        </w:rPr>
      </w:r>
      <w:r w:rsidRPr="00156BB9">
        <w:rPr>
          <w:noProof/>
          <w:sz w:val="18"/>
        </w:rPr>
        <w:fldChar w:fldCharType="separate"/>
      </w:r>
      <w:r w:rsidR="000F3AC4">
        <w:rPr>
          <w:noProof/>
          <w:sz w:val="18"/>
        </w:rPr>
        <w:t>4</w:t>
      </w:r>
      <w:r w:rsidRPr="00156BB9">
        <w:rPr>
          <w:noProof/>
          <w:sz w:val="18"/>
        </w:rPr>
        <w:fldChar w:fldCharType="end"/>
      </w:r>
    </w:p>
    <w:p w:rsidR="00156BB9" w:rsidRDefault="00156B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3—Transfer of other matters relating to ARCo</w:t>
      </w:r>
      <w:r w:rsidRPr="00156BB9">
        <w:rPr>
          <w:noProof/>
          <w:sz w:val="18"/>
        </w:rPr>
        <w:tab/>
      </w:r>
      <w:r w:rsidRPr="00156BB9">
        <w:rPr>
          <w:noProof/>
          <w:sz w:val="18"/>
        </w:rPr>
        <w:fldChar w:fldCharType="begin"/>
      </w:r>
      <w:r w:rsidRPr="00156BB9">
        <w:rPr>
          <w:noProof/>
          <w:sz w:val="18"/>
        </w:rPr>
        <w:instrText xml:space="preserve"> PAGEREF _Toc416266222 \h </w:instrText>
      </w:r>
      <w:r w:rsidRPr="00156BB9">
        <w:rPr>
          <w:noProof/>
          <w:sz w:val="18"/>
        </w:rPr>
      </w:r>
      <w:r w:rsidRPr="00156BB9">
        <w:rPr>
          <w:noProof/>
          <w:sz w:val="18"/>
        </w:rPr>
        <w:fldChar w:fldCharType="separate"/>
      </w:r>
      <w:r w:rsidR="000F3AC4">
        <w:rPr>
          <w:noProof/>
          <w:sz w:val="18"/>
        </w:rPr>
        <w:t>6</w:t>
      </w:r>
      <w:r w:rsidRPr="00156BB9">
        <w:rPr>
          <w:noProof/>
          <w:sz w:val="18"/>
        </w:rPr>
        <w:fldChar w:fldCharType="end"/>
      </w:r>
    </w:p>
    <w:p w:rsidR="00156BB9" w:rsidRDefault="00156B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4—Other matters</w:t>
      </w:r>
      <w:r w:rsidRPr="00156BB9">
        <w:rPr>
          <w:noProof/>
          <w:sz w:val="18"/>
        </w:rPr>
        <w:tab/>
      </w:r>
      <w:r w:rsidRPr="00156BB9">
        <w:rPr>
          <w:noProof/>
          <w:sz w:val="18"/>
        </w:rPr>
        <w:fldChar w:fldCharType="begin"/>
      </w:r>
      <w:r w:rsidRPr="00156BB9">
        <w:rPr>
          <w:noProof/>
          <w:sz w:val="18"/>
        </w:rPr>
        <w:instrText xml:space="preserve"> PAGEREF _Toc416266223 \h </w:instrText>
      </w:r>
      <w:r w:rsidRPr="00156BB9">
        <w:rPr>
          <w:noProof/>
          <w:sz w:val="18"/>
        </w:rPr>
      </w:r>
      <w:r w:rsidRPr="00156BB9">
        <w:rPr>
          <w:noProof/>
          <w:sz w:val="18"/>
        </w:rPr>
        <w:fldChar w:fldCharType="separate"/>
      </w:r>
      <w:r w:rsidR="000F3AC4">
        <w:rPr>
          <w:noProof/>
          <w:sz w:val="18"/>
        </w:rPr>
        <w:t>8</w:t>
      </w:r>
      <w:r w:rsidRPr="00156BB9">
        <w:rPr>
          <w:noProof/>
          <w:sz w:val="18"/>
        </w:rPr>
        <w:fldChar w:fldCharType="end"/>
      </w:r>
    </w:p>
    <w:p w:rsidR="00055B5C" w:rsidRPr="00C20C28" w:rsidRDefault="00156BB9" w:rsidP="0048364F">
      <w:r>
        <w:fldChar w:fldCharType="end"/>
      </w:r>
    </w:p>
    <w:p w:rsidR="00FE7F93" w:rsidRPr="00C20C28" w:rsidRDefault="00FE7F93" w:rsidP="0048364F">
      <w:pPr>
        <w:sectPr w:rsidR="00FE7F93" w:rsidRPr="00C20C28" w:rsidSect="000370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3704E" w:rsidRDefault="000F3AC4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03704E" w:rsidRDefault="0003704E"/>
    <w:p w:rsidR="0003704E" w:rsidRDefault="0003704E" w:rsidP="0003704E">
      <w:pPr>
        <w:spacing w:line="240" w:lineRule="auto"/>
      </w:pPr>
    </w:p>
    <w:p w:rsidR="0003704E" w:rsidRDefault="000F3AC4" w:rsidP="0003704E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River Co. Limited Act 2015</w:t>
      </w:r>
      <w:r>
        <w:rPr>
          <w:noProof/>
        </w:rPr>
        <w:fldChar w:fldCharType="end"/>
      </w:r>
    </w:p>
    <w:p w:rsidR="0003704E" w:rsidRDefault="000F3AC4" w:rsidP="0003704E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27, 2015</w:t>
      </w:r>
      <w:r>
        <w:rPr>
          <w:noProof/>
        </w:rPr>
        <w:fldChar w:fldCharType="end"/>
      </w:r>
    </w:p>
    <w:p w:rsidR="0003704E" w:rsidRPr="009A0728" w:rsidRDefault="0003704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3704E" w:rsidRPr="009A0728" w:rsidRDefault="0003704E" w:rsidP="009A0728">
      <w:pPr>
        <w:spacing w:line="40" w:lineRule="exact"/>
        <w:rPr>
          <w:rFonts w:eastAsia="Calibri"/>
          <w:b/>
          <w:sz w:val="28"/>
        </w:rPr>
      </w:pPr>
    </w:p>
    <w:p w:rsidR="0003704E" w:rsidRPr="009A0728" w:rsidRDefault="0003704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20C28" w:rsidRDefault="0003704E" w:rsidP="00C20C28">
      <w:pPr>
        <w:pStyle w:val="Page1"/>
      </w:pPr>
      <w:r>
        <w:t>An Act</w:t>
      </w:r>
      <w:r w:rsidR="00C20C28" w:rsidRPr="00C20C28">
        <w:t xml:space="preserve"> to deal with matters relating to Australian River Co. Limited, and for related purposes</w:t>
      </w:r>
    </w:p>
    <w:p w:rsidR="00CE2BA1" w:rsidRDefault="00CE2BA1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April 2015</w:t>
      </w:r>
      <w:r>
        <w:rPr>
          <w:sz w:val="24"/>
        </w:rPr>
        <w:t>]</w:t>
      </w:r>
    </w:p>
    <w:p w:rsidR="0048364F" w:rsidRPr="00C20C28" w:rsidRDefault="0048364F" w:rsidP="00C20C28">
      <w:pPr>
        <w:spacing w:before="240" w:line="240" w:lineRule="auto"/>
        <w:rPr>
          <w:sz w:val="32"/>
        </w:rPr>
      </w:pPr>
      <w:r w:rsidRPr="00C20C28">
        <w:rPr>
          <w:sz w:val="32"/>
        </w:rPr>
        <w:t>The Parliament of Australia enacts:</w:t>
      </w:r>
    </w:p>
    <w:p w:rsidR="0048364F" w:rsidRPr="00C20C28" w:rsidRDefault="0048364F" w:rsidP="00C20C28">
      <w:pPr>
        <w:pStyle w:val="ActHead5"/>
      </w:pPr>
      <w:bookmarkStart w:id="1" w:name="_Toc416266215"/>
      <w:r w:rsidRPr="00C20C28">
        <w:rPr>
          <w:rStyle w:val="CharSectno"/>
        </w:rPr>
        <w:t>1</w:t>
      </w:r>
      <w:r w:rsidRPr="00C20C28">
        <w:t xml:space="preserve">  Short title</w:t>
      </w:r>
      <w:bookmarkEnd w:id="1"/>
    </w:p>
    <w:p w:rsidR="0048364F" w:rsidRPr="00C20C28" w:rsidRDefault="0048364F" w:rsidP="00C20C28">
      <w:pPr>
        <w:pStyle w:val="subsection"/>
      </w:pPr>
      <w:r w:rsidRPr="00C20C28">
        <w:tab/>
      </w:r>
      <w:r w:rsidRPr="00C20C28">
        <w:tab/>
        <w:t xml:space="preserve">This Act may be cited as the </w:t>
      </w:r>
      <w:r w:rsidR="00F6432A" w:rsidRPr="00C20C28">
        <w:rPr>
          <w:i/>
        </w:rPr>
        <w:t xml:space="preserve">Australian River Co. Limited </w:t>
      </w:r>
      <w:r w:rsidR="00C164CA" w:rsidRPr="00C20C28">
        <w:rPr>
          <w:i/>
        </w:rPr>
        <w:t>Act 201</w:t>
      </w:r>
      <w:r w:rsidR="00F92D35" w:rsidRPr="00C20C28">
        <w:rPr>
          <w:i/>
        </w:rPr>
        <w:t>5</w:t>
      </w:r>
      <w:r w:rsidRPr="00C20C28">
        <w:t>.</w:t>
      </w:r>
    </w:p>
    <w:p w:rsidR="0048364F" w:rsidRPr="00C20C28" w:rsidRDefault="0048364F" w:rsidP="00C20C28">
      <w:pPr>
        <w:pStyle w:val="ActHead5"/>
      </w:pPr>
      <w:bookmarkStart w:id="2" w:name="_Toc416266216"/>
      <w:r w:rsidRPr="00C20C28">
        <w:rPr>
          <w:rStyle w:val="CharSectno"/>
        </w:rPr>
        <w:t>2</w:t>
      </w:r>
      <w:r w:rsidRPr="00C20C28">
        <w:t xml:space="preserve">  Commencement</w:t>
      </w:r>
      <w:bookmarkEnd w:id="2"/>
    </w:p>
    <w:p w:rsidR="0048364F" w:rsidRPr="00C20C28" w:rsidRDefault="0048364F" w:rsidP="00C20C28">
      <w:pPr>
        <w:pStyle w:val="subsection"/>
      </w:pPr>
      <w:r w:rsidRPr="00C20C28">
        <w:tab/>
        <w:t>(1)</w:t>
      </w:r>
      <w:r w:rsidRPr="00C20C2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C20C28" w:rsidRDefault="0048364F" w:rsidP="00C20C2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20C28" w:rsidTr="00F6432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Heading"/>
            </w:pPr>
            <w:r w:rsidRPr="00C20C28">
              <w:t>Commencement information</w:t>
            </w:r>
          </w:p>
        </w:tc>
      </w:tr>
      <w:tr w:rsidR="0048364F" w:rsidRPr="00C20C28" w:rsidTr="00F6432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Heading"/>
            </w:pPr>
            <w:r w:rsidRPr="00C20C2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Heading"/>
            </w:pPr>
            <w:r w:rsidRPr="00C20C2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Heading"/>
            </w:pPr>
            <w:r w:rsidRPr="00C20C28">
              <w:t>Column 3</w:t>
            </w:r>
          </w:p>
        </w:tc>
      </w:tr>
      <w:tr w:rsidR="0048364F" w:rsidRPr="00C20C28" w:rsidTr="00F6432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Heading"/>
            </w:pPr>
            <w:r w:rsidRPr="00C20C2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Heading"/>
            </w:pPr>
            <w:r w:rsidRPr="00C20C2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Heading"/>
            </w:pPr>
            <w:r w:rsidRPr="00C20C28">
              <w:t>Date/Details</w:t>
            </w:r>
          </w:p>
        </w:tc>
      </w:tr>
      <w:tr w:rsidR="0048364F" w:rsidRPr="00C20C28" w:rsidTr="00F6432A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text"/>
            </w:pPr>
            <w:r w:rsidRPr="00C20C28">
              <w:t>1.  Sections</w:t>
            </w:r>
            <w:r w:rsidR="00C20C28" w:rsidRPr="00C20C28">
              <w:t> </w:t>
            </w:r>
            <w:r w:rsidRPr="00C20C28">
              <w:t xml:space="preserve">1 to </w:t>
            </w:r>
            <w:r w:rsidR="00D06EAB" w:rsidRPr="00C20C28">
              <w:t>4</w:t>
            </w:r>
            <w:r w:rsidRPr="00C20C28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text"/>
            </w:pPr>
            <w:r w:rsidRPr="00C20C2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20C28" w:rsidRDefault="00004AB3" w:rsidP="00C20C28">
            <w:pPr>
              <w:pStyle w:val="Tabletext"/>
            </w:pPr>
            <w:r>
              <w:t>1 April 2015</w:t>
            </w:r>
          </w:p>
        </w:tc>
      </w:tr>
      <w:tr w:rsidR="0048364F" w:rsidRPr="00C20C28" w:rsidTr="00F6432A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20C28" w:rsidRDefault="0048364F" w:rsidP="00C20C28">
            <w:pPr>
              <w:pStyle w:val="Tabletext"/>
            </w:pPr>
            <w:r w:rsidRPr="00C20C28">
              <w:t xml:space="preserve">2.  </w:t>
            </w:r>
            <w:r w:rsidR="00827D7C" w:rsidRPr="00C20C28">
              <w:t>Schedule</w:t>
            </w:r>
            <w:r w:rsidR="00C20C28" w:rsidRPr="00C20C28">
              <w:t> </w:t>
            </w:r>
            <w:r w:rsidR="00827D7C" w:rsidRPr="00C20C28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827D7C" w:rsidRPr="00C20C28" w:rsidRDefault="00827D7C" w:rsidP="00C20C28">
            <w:pPr>
              <w:pStyle w:val="Tabletext"/>
            </w:pPr>
            <w:r w:rsidRPr="00C20C28">
              <w:t>A single day to be fixed by Proclamation.</w:t>
            </w:r>
          </w:p>
          <w:p w:rsidR="0048364F" w:rsidRPr="00C20C28" w:rsidRDefault="00827D7C" w:rsidP="00C20C28">
            <w:pPr>
              <w:pStyle w:val="Tabletext"/>
            </w:pPr>
            <w:r w:rsidRPr="00C20C28">
              <w:t xml:space="preserve">However, if the provisions do not commence within the period of </w:t>
            </w:r>
            <w:r w:rsidR="00BD67B1" w:rsidRPr="00C20C28">
              <w:t>12</w:t>
            </w:r>
            <w:r w:rsidRPr="00C20C28">
              <w:t xml:space="preserve"> months beginning on the day this Act receives the Royal Assent, the provisions are repealed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Default="000F3AC4" w:rsidP="00C20C28">
            <w:pPr>
              <w:pStyle w:val="Tabletext"/>
            </w:pPr>
            <w:r>
              <w:t>24 April 2015</w:t>
            </w:r>
          </w:p>
          <w:p w:rsidR="000F3AC4" w:rsidRPr="00C20C28" w:rsidRDefault="000F3AC4" w:rsidP="00C20C28">
            <w:pPr>
              <w:pStyle w:val="Tabletext"/>
            </w:pPr>
            <w:r>
              <w:t>(F2015L00575)</w:t>
            </w:r>
            <w:bookmarkStart w:id="3" w:name="_GoBack"/>
            <w:bookmarkEnd w:id="3"/>
          </w:p>
        </w:tc>
      </w:tr>
    </w:tbl>
    <w:p w:rsidR="0048364F" w:rsidRPr="00C20C28" w:rsidRDefault="00201D27" w:rsidP="00C20C28">
      <w:pPr>
        <w:pStyle w:val="notetext"/>
      </w:pPr>
      <w:r w:rsidRPr="00C20C28">
        <w:t>Note:</w:t>
      </w:r>
      <w:r w:rsidRPr="00C20C28">
        <w:tab/>
        <w:t>This table relates only to the provisions of this Act as originally enacted. It will not be amended to deal with any later amendments of this Act.</w:t>
      </w:r>
    </w:p>
    <w:p w:rsidR="0048364F" w:rsidRPr="00C20C28" w:rsidRDefault="0048364F" w:rsidP="00C20C28">
      <w:pPr>
        <w:pStyle w:val="subsection"/>
      </w:pPr>
      <w:r w:rsidRPr="00C20C28">
        <w:tab/>
        <w:t>(2)</w:t>
      </w:r>
      <w:r w:rsidRPr="00C20C28">
        <w:tab/>
      </w:r>
      <w:r w:rsidR="00201D27" w:rsidRPr="00C20C28">
        <w:t xml:space="preserve">Any information in </w:t>
      </w:r>
      <w:r w:rsidR="00877D48" w:rsidRPr="00C20C28">
        <w:t>c</w:t>
      </w:r>
      <w:r w:rsidR="00201D27" w:rsidRPr="00C20C28">
        <w:t>olumn 3 of the table is not part of this Act. Information may be inserted in this column, or information in it may be edited, in any published version of this Act.</w:t>
      </w:r>
    </w:p>
    <w:p w:rsidR="0048364F" w:rsidRPr="00C20C28" w:rsidRDefault="0048364F" w:rsidP="00C20C28">
      <w:pPr>
        <w:pStyle w:val="ActHead5"/>
      </w:pPr>
      <w:bookmarkStart w:id="4" w:name="_Toc416266217"/>
      <w:r w:rsidRPr="00C20C28">
        <w:rPr>
          <w:rStyle w:val="CharSectno"/>
        </w:rPr>
        <w:t>3</w:t>
      </w:r>
      <w:r w:rsidRPr="00C20C28">
        <w:t xml:space="preserve">  Schedules</w:t>
      </w:r>
      <w:bookmarkEnd w:id="4"/>
    </w:p>
    <w:p w:rsidR="0048364F" w:rsidRPr="00C20C28" w:rsidRDefault="0048364F" w:rsidP="00C20C28">
      <w:pPr>
        <w:pStyle w:val="subsection"/>
      </w:pPr>
      <w:r w:rsidRPr="00C20C28">
        <w:tab/>
      </w:r>
      <w:r w:rsidRPr="00C20C28">
        <w:tab/>
      </w:r>
      <w:r w:rsidR="00202618" w:rsidRPr="00C20C2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63A11" w:rsidRPr="00C20C28" w:rsidRDefault="00463A11" w:rsidP="00C20C28">
      <w:pPr>
        <w:pStyle w:val="ActHead5"/>
      </w:pPr>
      <w:bookmarkStart w:id="5" w:name="_Toc416266218"/>
      <w:r w:rsidRPr="00C20C28">
        <w:rPr>
          <w:rStyle w:val="CharSectno"/>
        </w:rPr>
        <w:t>4</w:t>
      </w:r>
      <w:r w:rsidRPr="00C20C28">
        <w:t xml:space="preserve">  Extended geographic application of this Act</w:t>
      </w:r>
      <w:bookmarkEnd w:id="5"/>
    </w:p>
    <w:p w:rsidR="00463A11" w:rsidRPr="00C20C28" w:rsidRDefault="00D06EAB" w:rsidP="00C20C28">
      <w:pPr>
        <w:pStyle w:val="subsection"/>
      </w:pPr>
      <w:r w:rsidRPr="00C20C28">
        <w:tab/>
      </w:r>
      <w:r w:rsidR="00463A11" w:rsidRPr="00C20C28">
        <w:tab/>
        <w:t>This Act applies both within and outside Australia.</w:t>
      </w:r>
    </w:p>
    <w:p w:rsidR="00827D7C" w:rsidRPr="00C20C28" w:rsidRDefault="00F6432A" w:rsidP="00C20C28">
      <w:pPr>
        <w:pStyle w:val="ActHead6"/>
        <w:pageBreakBefore/>
      </w:pPr>
      <w:bookmarkStart w:id="6" w:name="_Toc416266219"/>
      <w:bookmarkStart w:id="7" w:name="opcAmSched"/>
      <w:bookmarkStart w:id="8" w:name="opcCurrentFind"/>
      <w:r w:rsidRPr="00C20C28">
        <w:rPr>
          <w:rStyle w:val="CharAmSchNo"/>
        </w:rPr>
        <w:t>Schedule</w:t>
      </w:r>
      <w:r w:rsidR="00C20C28" w:rsidRPr="00C20C28">
        <w:rPr>
          <w:rStyle w:val="CharAmSchNo"/>
        </w:rPr>
        <w:t> </w:t>
      </w:r>
      <w:r w:rsidRPr="00C20C28">
        <w:rPr>
          <w:rStyle w:val="CharAmSchNo"/>
        </w:rPr>
        <w:t>1</w:t>
      </w:r>
      <w:r w:rsidR="00827D7C" w:rsidRPr="00C20C28">
        <w:t>—</w:t>
      </w:r>
      <w:r w:rsidR="00362393" w:rsidRPr="00C20C28">
        <w:rPr>
          <w:rStyle w:val="CharAmSchText"/>
        </w:rPr>
        <w:t>T</w:t>
      </w:r>
      <w:r w:rsidR="00DA1271" w:rsidRPr="00C20C28">
        <w:rPr>
          <w:rStyle w:val="CharAmSchText"/>
        </w:rPr>
        <w:t>he Australian River Co. Limited</w:t>
      </w:r>
      <w:bookmarkEnd w:id="6"/>
    </w:p>
    <w:p w:rsidR="00827D7C" w:rsidRPr="00C20C28" w:rsidRDefault="00827D7C" w:rsidP="00C20C28">
      <w:pPr>
        <w:pStyle w:val="ActHead7"/>
      </w:pPr>
      <w:bookmarkStart w:id="9" w:name="_Toc416266220"/>
      <w:bookmarkEnd w:id="7"/>
      <w:bookmarkEnd w:id="8"/>
      <w:r w:rsidRPr="00C20C28">
        <w:rPr>
          <w:rStyle w:val="CharAmPartNo"/>
        </w:rPr>
        <w:t>Part</w:t>
      </w:r>
      <w:r w:rsidR="00C20C28" w:rsidRPr="00C20C28">
        <w:rPr>
          <w:rStyle w:val="CharAmPartNo"/>
        </w:rPr>
        <w:t> </w:t>
      </w:r>
      <w:r w:rsidRPr="00C20C28">
        <w:rPr>
          <w:rStyle w:val="CharAmPartNo"/>
        </w:rPr>
        <w:t>1</w:t>
      </w:r>
      <w:r w:rsidRPr="00C20C28">
        <w:t>—</w:t>
      </w:r>
      <w:r w:rsidR="003F1F5A" w:rsidRPr="00C20C28">
        <w:rPr>
          <w:rStyle w:val="CharAmPartText"/>
        </w:rPr>
        <w:t>Preliminary</w:t>
      </w:r>
      <w:bookmarkEnd w:id="9"/>
    </w:p>
    <w:p w:rsidR="00827D7C" w:rsidRPr="00C20C28" w:rsidRDefault="00A518B0" w:rsidP="00C20C28">
      <w:pPr>
        <w:pStyle w:val="ItemHead"/>
      </w:pPr>
      <w:r w:rsidRPr="00C20C28">
        <w:t>1</w:t>
      </w:r>
      <w:r w:rsidR="00827D7C" w:rsidRPr="00C20C28">
        <w:t xml:space="preserve">  Definitions</w:t>
      </w:r>
    </w:p>
    <w:p w:rsidR="00827D7C" w:rsidRPr="00C20C28" w:rsidRDefault="00827D7C" w:rsidP="00C20C28">
      <w:pPr>
        <w:pStyle w:val="Item"/>
      </w:pPr>
      <w:r w:rsidRPr="00C20C28">
        <w:t>In this Schedule:</w:t>
      </w:r>
    </w:p>
    <w:p w:rsidR="00827D7C" w:rsidRPr="00C20C28" w:rsidRDefault="00C62C84" w:rsidP="00C20C28">
      <w:pPr>
        <w:pStyle w:val="Item"/>
      </w:pPr>
      <w:r w:rsidRPr="00C20C28">
        <w:rPr>
          <w:b/>
          <w:i/>
        </w:rPr>
        <w:t>ARCo</w:t>
      </w:r>
      <w:r w:rsidR="00827D7C" w:rsidRPr="00C20C28">
        <w:t xml:space="preserve"> means the Australian </w:t>
      </w:r>
      <w:r w:rsidR="00F6432A" w:rsidRPr="00C20C28">
        <w:t>River Co. Limited (ACN 008</w:t>
      </w:r>
      <w:r w:rsidR="00C20C28" w:rsidRPr="00C20C28">
        <w:t> </w:t>
      </w:r>
      <w:r w:rsidR="00F6432A" w:rsidRPr="00C20C28">
        <w:t>654</w:t>
      </w:r>
      <w:r w:rsidR="00C20C28" w:rsidRPr="00C20C28">
        <w:t> </w:t>
      </w:r>
      <w:r w:rsidR="00F6432A" w:rsidRPr="00C20C28">
        <w:t>206</w:t>
      </w:r>
      <w:r w:rsidR="00BE2E38" w:rsidRPr="00C20C28">
        <w:t>)</w:t>
      </w:r>
      <w:r w:rsidR="00827D7C" w:rsidRPr="00C20C28">
        <w:t>.</w:t>
      </w:r>
    </w:p>
    <w:p w:rsidR="00827D7C" w:rsidRPr="00C20C28" w:rsidRDefault="00827D7C" w:rsidP="00C20C28">
      <w:pPr>
        <w:pStyle w:val="Item"/>
      </w:pPr>
      <w:r w:rsidRPr="00C20C28">
        <w:rPr>
          <w:b/>
          <w:i/>
        </w:rPr>
        <w:t>asset</w:t>
      </w:r>
      <w:r w:rsidRPr="00C20C28">
        <w:t xml:space="preserve"> means:</w:t>
      </w:r>
    </w:p>
    <w:p w:rsidR="00827D7C" w:rsidRPr="00C20C28" w:rsidRDefault="00827D7C" w:rsidP="00C20C28">
      <w:pPr>
        <w:pStyle w:val="paragraph"/>
      </w:pPr>
      <w:r w:rsidRPr="00C20C28">
        <w:tab/>
        <w:t>(a)</w:t>
      </w:r>
      <w:r w:rsidRPr="00C20C28">
        <w:tab/>
        <w:t>any legal or equitable estate or interest in real or personal property, whether actual, contingent or prospective; and</w:t>
      </w:r>
    </w:p>
    <w:p w:rsidR="00827D7C" w:rsidRPr="00C20C28" w:rsidRDefault="00827D7C" w:rsidP="00C20C28">
      <w:pPr>
        <w:pStyle w:val="paragraph"/>
      </w:pPr>
      <w:r w:rsidRPr="00C20C28">
        <w:tab/>
        <w:t>(b)</w:t>
      </w:r>
      <w:r w:rsidRPr="00C20C28">
        <w:tab/>
        <w:t>any right, power, privilege or immunity, whether actual, contingent or prospective.</w:t>
      </w:r>
    </w:p>
    <w:p w:rsidR="00920A3A" w:rsidRPr="00C20C28" w:rsidRDefault="00920A3A" w:rsidP="00C20C28">
      <w:pPr>
        <w:pStyle w:val="Item"/>
      </w:pPr>
      <w:r w:rsidRPr="00C20C28">
        <w:rPr>
          <w:b/>
          <w:i/>
        </w:rPr>
        <w:t>assets official</w:t>
      </w:r>
      <w:r w:rsidRPr="00C20C28">
        <w:t>, in relation to an asset other than land, means the person or authority who, under a law of the Commonwealth, a State or a Territory, under a trust instrument or otherwise, has responsibility for keeping a register in relation to assets of the kind concerned.</w:t>
      </w:r>
    </w:p>
    <w:p w:rsidR="00583056" w:rsidRPr="00C20C28" w:rsidRDefault="00583056" w:rsidP="00C20C28">
      <w:pPr>
        <w:pStyle w:val="Item"/>
      </w:pPr>
      <w:r w:rsidRPr="00C20C28">
        <w:rPr>
          <w:b/>
          <w:i/>
        </w:rPr>
        <w:t>instrument</w:t>
      </w:r>
      <w:r w:rsidRPr="00C20C28">
        <w:t>:</w:t>
      </w:r>
    </w:p>
    <w:p w:rsidR="00583056" w:rsidRPr="00C20C28" w:rsidRDefault="00583056" w:rsidP="00C20C28">
      <w:pPr>
        <w:pStyle w:val="paragraph"/>
      </w:pPr>
      <w:r w:rsidRPr="00C20C28">
        <w:tab/>
        <w:t>(a)</w:t>
      </w:r>
      <w:r w:rsidRPr="00C20C28">
        <w:tab/>
        <w:t>includes:</w:t>
      </w:r>
    </w:p>
    <w:p w:rsidR="00583056" w:rsidRPr="00C20C28" w:rsidRDefault="00583056" w:rsidP="00C20C28">
      <w:pPr>
        <w:pStyle w:val="paragraphsub"/>
      </w:pPr>
      <w:r w:rsidRPr="00C20C28">
        <w:tab/>
        <w:t>(i)</w:t>
      </w:r>
      <w:r w:rsidRPr="00C20C28">
        <w:tab/>
        <w:t>a contract, deed, undertaking or agreement; and</w:t>
      </w:r>
    </w:p>
    <w:p w:rsidR="00583056" w:rsidRPr="00C20C28" w:rsidRDefault="00583056" w:rsidP="00C20C28">
      <w:pPr>
        <w:pStyle w:val="paragraphsub"/>
      </w:pPr>
      <w:r w:rsidRPr="00C20C28">
        <w:tab/>
        <w:t>(ii)</w:t>
      </w:r>
      <w:r w:rsidRPr="00C20C28">
        <w:tab/>
        <w:t>a notice, authority, order or instruction; and</w:t>
      </w:r>
    </w:p>
    <w:p w:rsidR="00583056" w:rsidRPr="00C20C28" w:rsidRDefault="00583056" w:rsidP="00C20C28">
      <w:pPr>
        <w:pStyle w:val="paragraphsub"/>
      </w:pPr>
      <w:r w:rsidRPr="00C20C28">
        <w:tab/>
        <w:t>(iii)</w:t>
      </w:r>
      <w:r w:rsidRPr="00C20C28">
        <w:tab/>
        <w:t xml:space="preserve">an instrument made under an Act or </w:t>
      </w:r>
      <w:r w:rsidR="000F2B7D" w:rsidRPr="00C20C28">
        <w:t>instrument</w:t>
      </w:r>
      <w:r w:rsidRPr="00C20C28">
        <w:t>; but</w:t>
      </w:r>
    </w:p>
    <w:p w:rsidR="00583056" w:rsidRPr="00C20C28" w:rsidRDefault="00583056" w:rsidP="00C20C28">
      <w:pPr>
        <w:pStyle w:val="paragraph"/>
      </w:pPr>
      <w:r w:rsidRPr="00C20C28">
        <w:tab/>
        <w:t>(b)</w:t>
      </w:r>
      <w:r w:rsidRPr="00C20C28">
        <w:tab/>
        <w:t>does not include:</w:t>
      </w:r>
    </w:p>
    <w:p w:rsidR="00583056" w:rsidRPr="00C20C28" w:rsidRDefault="00583056" w:rsidP="00C20C28">
      <w:pPr>
        <w:pStyle w:val="paragraphsub"/>
      </w:pPr>
      <w:r w:rsidRPr="00C20C28">
        <w:tab/>
        <w:t>(i)</w:t>
      </w:r>
      <w:r w:rsidRPr="00C20C28">
        <w:tab/>
        <w:t>an Act; or</w:t>
      </w:r>
    </w:p>
    <w:p w:rsidR="00583056" w:rsidRPr="00C20C28" w:rsidRDefault="00583056" w:rsidP="00C20C28">
      <w:pPr>
        <w:pStyle w:val="paragraphsub"/>
      </w:pPr>
      <w:r w:rsidRPr="00C20C28">
        <w:tab/>
        <w:t>(ii)</w:t>
      </w:r>
      <w:r w:rsidRPr="00C20C28">
        <w:tab/>
        <w:t>instruments made under this Act.</w:t>
      </w:r>
    </w:p>
    <w:p w:rsidR="00920A3A" w:rsidRPr="00C20C28" w:rsidRDefault="00920A3A" w:rsidP="00C20C28">
      <w:pPr>
        <w:pStyle w:val="Item"/>
      </w:pPr>
      <w:r w:rsidRPr="00C20C28">
        <w:rPr>
          <w:b/>
          <w:i/>
        </w:rPr>
        <w:t>land</w:t>
      </w:r>
      <w:r w:rsidRPr="00C20C28">
        <w:t xml:space="preserve"> means any legal or equitable estate or interest in real property, whether actual, contingent or prospective.</w:t>
      </w:r>
    </w:p>
    <w:p w:rsidR="00920A3A" w:rsidRPr="00C20C28" w:rsidRDefault="00920A3A" w:rsidP="00C20C28">
      <w:pPr>
        <w:pStyle w:val="Item"/>
      </w:pPr>
      <w:r w:rsidRPr="00C20C28">
        <w:rPr>
          <w:b/>
          <w:i/>
        </w:rPr>
        <w:t>land registration official</w:t>
      </w:r>
      <w:r w:rsidRPr="00C20C28">
        <w:t>, in relation to land, means the Registrar of Titles or other proper officer of the State or Territory in which the land is situated.</w:t>
      </w:r>
    </w:p>
    <w:p w:rsidR="00827D7C" w:rsidRPr="00C20C28" w:rsidRDefault="00827D7C" w:rsidP="00C20C28">
      <w:pPr>
        <w:pStyle w:val="Item"/>
      </w:pPr>
      <w:r w:rsidRPr="00C20C28">
        <w:rPr>
          <w:b/>
          <w:i/>
        </w:rPr>
        <w:t>liability</w:t>
      </w:r>
      <w:r w:rsidRPr="00C20C28">
        <w:t xml:space="preserve"> means any liability, duty or obligation, whether actual, contingent or prospective.</w:t>
      </w:r>
    </w:p>
    <w:p w:rsidR="00A83DFC" w:rsidRPr="00C20C28" w:rsidRDefault="00A83DFC" w:rsidP="00C20C28">
      <w:pPr>
        <w:pStyle w:val="Item"/>
      </w:pPr>
      <w:r w:rsidRPr="00C20C28">
        <w:rPr>
          <w:b/>
          <w:i/>
        </w:rPr>
        <w:t xml:space="preserve">rules </w:t>
      </w:r>
      <w:r w:rsidR="00FF0BA9" w:rsidRPr="00C20C28">
        <w:t>means rules made under item</w:t>
      </w:r>
      <w:r w:rsidR="00C20C28" w:rsidRPr="00C20C28">
        <w:t> </w:t>
      </w:r>
      <w:r w:rsidRPr="00C20C28">
        <w:t>15.</w:t>
      </w:r>
    </w:p>
    <w:p w:rsidR="00827D7C" w:rsidRPr="00C20C28" w:rsidRDefault="003F1F5A" w:rsidP="00C20C28">
      <w:pPr>
        <w:pStyle w:val="Item"/>
      </w:pPr>
      <w:r w:rsidRPr="00C20C28">
        <w:rPr>
          <w:b/>
          <w:i/>
        </w:rPr>
        <w:t>transfer time</w:t>
      </w:r>
      <w:r w:rsidR="00827D7C" w:rsidRPr="00C20C28">
        <w:t xml:space="preserve"> means the commencement of </w:t>
      </w:r>
      <w:r w:rsidR="00425B35" w:rsidRPr="00C20C28">
        <w:t>this Schedule</w:t>
      </w:r>
      <w:r w:rsidR="00827D7C" w:rsidRPr="00C20C28">
        <w:t>.</w:t>
      </w:r>
    </w:p>
    <w:p w:rsidR="00827D7C" w:rsidRPr="00C20C28" w:rsidRDefault="00827D7C" w:rsidP="00C20C28">
      <w:pPr>
        <w:pStyle w:val="ActHead7"/>
        <w:pageBreakBefore/>
      </w:pPr>
      <w:bookmarkStart w:id="10" w:name="_Toc416266221"/>
      <w:r w:rsidRPr="00C20C28">
        <w:rPr>
          <w:rStyle w:val="CharAmPartNo"/>
        </w:rPr>
        <w:t>Part</w:t>
      </w:r>
      <w:r w:rsidR="00C20C28" w:rsidRPr="00C20C28">
        <w:rPr>
          <w:rStyle w:val="CharAmPartNo"/>
        </w:rPr>
        <w:t> </w:t>
      </w:r>
      <w:r w:rsidRPr="00C20C28">
        <w:rPr>
          <w:rStyle w:val="CharAmPartNo"/>
        </w:rPr>
        <w:t>2</w:t>
      </w:r>
      <w:r w:rsidRPr="00C20C28">
        <w:t>—</w:t>
      </w:r>
      <w:r w:rsidR="00723EB1" w:rsidRPr="00C20C28">
        <w:rPr>
          <w:rStyle w:val="CharAmPartText"/>
        </w:rPr>
        <w:t>Transfer of a</w:t>
      </w:r>
      <w:r w:rsidRPr="00C20C28">
        <w:rPr>
          <w:rStyle w:val="CharAmPartText"/>
        </w:rPr>
        <w:t xml:space="preserve">ssets and liabilities of </w:t>
      </w:r>
      <w:r w:rsidR="00C62C84" w:rsidRPr="00C20C28">
        <w:rPr>
          <w:rStyle w:val="CharAmPartText"/>
        </w:rPr>
        <w:t>ARCo</w:t>
      </w:r>
      <w:bookmarkEnd w:id="10"/>
    </w:p>
    <w:p w:rsidR="00827D7C" w:rsidRPr="00C20C28" w:rsidRDefault="00A518B0" w:rsidP="00C20C28">
      <w:pPr>
        <w:pStyle w:val="ItemHead"/>
      </w:pPr>
      <w:r w:rsidRPr="00C20C28">
        <w:t>2</w:t>
      </w:r>
      <w:r w:rsidR="00827D7C" w:rsidRPr="00C20C28">
        <w:t xml:space="preserve">  Transfer of assets and liabilities of </w:t>
      </w:r>
      <w:r w:rsidR="00C62C84" w:rsidRPr="00C20C28">
        <w:t>ARCo</w:t>
      </w:r>
    </w:p>
    <w:p w:rsidR="00827D7C" w:rsidRPr="00C20C28" w:rsidRDefault="00827D7C" w:rsidP="00C20C28">
      <w:pPr>
        <w:pStyle w:val="Subitem"/>
      </w:pPr>
      <w:r w:rsidRPr="00C20C28">
        <w:t>(1)</w:t>
      </w:r>
      <w:r w:rsidRPr="00C20C28">
        <w:tab/>
        <w:t xml:space="preserve">This item applies to assets and liabilities of </w:t>
      </w:r>
      <w:r w:rsidR="00C62C84" w:rsidRPr="00C20C28">
        <w:t>ARCo</w:t>
      </w:r>
      <w:r w:rsidRPr="00C20C28">
        <w:t xml:space="preserve"> immediately before the </w:t>
      </w:r>
      <w:r w:rsidR="003F1F5A" w:rsidRPr="00C20C28">
        <w:t>transfer time</w:t>
      </w:r>
      <w:r w:rsidRPr="00C20C28">
        <w:t>.</w:t>
      </w:r>
    </w:p>
    <w:p w:rsidR="00827D7C" w:rsidRPr="00C20C28" w:rsidRDefault="00827D7C" w:rsidP="00C20C28">
      <w:pPr>
        <w:pStyle w:val="Subitem"/>
      </w:pPr>
      <w:r w:rsidRPr="00C20C28">
        <w:t>(2)</w:t>
      </w:r>
      <w:r w:rsidRPr="00C20C28">
        <w:tab/>
      </w:r>
      <w:r w:rsidR="0073778C" w:rsidRPr="00C20C28">
        <w:t>At</w:t>
      </w:r>
      <w:r w:rsidRPr="00C20C28">
        <w:t xml:space="preserve"> the </w:t>
      </w:r>
      <w:r w:rsidR="003F1F5A" w:rsidRPr="00C20C28">
        <w:t>transfer time</w:t>
      </w:r>
      <w:r w:rsidRPr="00C20C28">
        <w:t xml:space="preserve"> the assets and liabilities cease to be assets and liabilities of </w:t>
      </w:r>
      <w:r w:rsidR="00C62C84" w:rsidRPr="00C20C28">
        <w:t>ARCo</w:t>
      </w:r>
      <w:r w:rsidRPr="00C20C28">
        <w:t xml:space="preserve"> and become assets and liabilities of </w:t>
      </w:r>
      <w:r w:rsidR="00425B35" w:rsidRPr="00C20C28">
        <w:t>the Commonwealth</w:t>
      </w:r>
      <w:r w:rsidRPr="00C20C28">
        <w:t xml:space="preserve"> without any conveyance, transfer or assignment.</w:t>
      </w:r>
      <w:r w:rsidR="00D63C0D" w:rsidRPr="00C20C28">
        <w:t xml:space="preserve"> </w:t>
      </w:r>
      <w:r w:rsidR="00BD67B1" w:rsidRPr="00C20C28">
        <w:t>T</w:t>
      </w:r>
      <w:r w:rsidR="0006121E" w:rsidRPr="00C20C28">
        <w:t>he Commonwealth</w:t>
      </w:r>
      <w:r w:rsidRPr="00C20C28">
        <w:t xml:space="preserve"> becomes the successor in law in relation to those assets and liabilities.</w:t>
      </w:r>
    </w:p>
    <w:p w:rsidR="00827D7C" w:rsidRPr="00C20C28" w:rsidRDefault="00A518B0" w:rsidP="00C20C28">
      <w:pPr>
        <w:pStyle w:val="ItemHead"/>
      </w:pPr>
      <w:r w:rsidRPr="00C20C28">
        <w:t>3</w:t>
      </w:r>
      <w:r w:rsidR="00827D7C" w:rsidRPr="00C20C28">
        <w:t xml:space="preserve">  Certificates relating to vesting of land</w:t>
      </w:r>
    </w:p>
    <w:p w:rsidR="00827D7C" w:rsidRPr="00C20C28" w:rsidRDefault="00827D7C" w:rsidP="00C20C28">
      <w:pPr>
        <w:pStyle w:val="Subitem"/>
      </w:pPr>
      <w:r w:rsidRPr="00C20C28">
        <w:t>(1)</w:t>
      </w:r>
      <w:r w:rsidRPr="00C20C28">
        <w:tab/>
        <w:t>This item applies if:</w:t>
      </w:r>
    </w:p>
    <w:p w:rsidR="00827D7C" w:rsidRPr="00C20C28" w:rsidRDefault="00827D7C" w:rsidP="00C20C28">
      <w:pPr>
        <w:pStyle w:val="paragraph"/>
      </w:pPr>
      <w:r w:rsidRPr="00C20C28">
        <w:tab/>
        <w:t>(a)</w:t>
      </w:r>
      <w:r w:rsidRPr="00C20C28">
        <w:tab/>
        <w:t xml:space="preserve">any land vests in </w:t>
      </w:r>
      <w:r w:rsidR="00F75C12" w:rsidRPr="00C20C28">
        <w:t>the Commonwealth</w:t>
      </w:r>
      <w:r w:rsidR="0073778C" w:rsidRPr="00C20C28">
        <w:t xml:space="preserve"> </w:t>
      </w:r>
      <w:r w:rsidRPr="00C20C28">
        <w:t>under item</w:t>
      </w:r>
      <w:r w:rsidR="00C20C28" w:rsidRPr="00C20C28">
        <w:t> </w:t>
      </w:r>
      <w:r w:rsidRPr="00C20C28">
        <w:t>2; and</w:t>
      </w:r>
    </w:p>
    <w:p w:rsidR="00827D7C" w:rsidRPr="00C20C28" w:rsidRDefault="00827D7C" w:rsidP="00C20C28">
      <w:pPr>
        <w:pStyle w:val="paragraph"/>
      </w:pPr>
      <w:r w:rsidRPr="00C20C28">
        <w:tab/>
        <w:t>(b)</w:t>
      </w:r>
      <w:r w:rsidRPr="00C20C28">
        <w:tab/>
        <w:t>there is lodged with a land registration official a certificate that:</w:t>
      </w:r>
    </w:p>
    <w:p w:rsidR="00827D7C" w:rsidRPr="00C20C28" w:rsidRDefault="00827D7C" w:rsidP="00C20C28">
      <w:pPr>
        <w:pStyle w:val="paragraphsub"/>
      </w:pPr>
      <w:r w:rsidRPr="00C20C28">
        <w:tab/>
        <w:t>(i)</w:t>
      </w:r>
      <w:r w:rsidRPr="00C20C28">
        <w:tab/>
        <w:t xml:space="preserve">is signed by the </w:t>
      </w:r>
      <w:r w:rsidR="00351AC1" w:rsidRPr="00C20C28">
        <w:t>Minister</w:t>
      </w:r>
      <w:r w:rsidRPr="00C20C28">
        <w:t>; and</w:t>
      </w:r>
    </w:p>
    <w:p w:rsidR="00827D7C" w:rsidRPr="00C20C28" w:rsidRDefault="00827D7C" w:rsidP="00C20C28">
      <w:pPr>
        <w:pStyle w:val="paragraphsub"/>
      </w:pPr>
      <w:r w:rsidRPr="00C20C28">
        <w:tab/>
        <w:t>(ii)</w:t>
      </w:r>
      <w:r w:rsidRPr="00C20C28">
        <w:tab/>
        <w:t>identifies the land, whether by reference to a map or otherwise; and</w:t>
      </w:r>
    </w:p>
    <w:p w:rsidR="00827D7C" w:rsidRPr="00C20C28" w:rsidRDefault="00827D7C" w:rsidP="00C20C28">
      <w:pPr>
        <w:pStyle w:val="paragraphsub"/>
      </w:pPr>
      <w:r w:rsidRPr="00C20C28">
        <w:tab/>
        <w:t>(iii)</w:t>
      </w:r>
      <w:r w:rsidRPr="00C20C28">
        <w:tab/>
        <w:t xml:space="preserve">states that the land has become vested in </w:t>
      </w:r>
      <w:r w:rsidR="00F75C12" w:rsidRPr="00C20C28">
        <w:t>the Commonwealth</w:t>
      </w:r>
      <w:r w:rsidRPr="00C20C28">
        <w:t xml:space="preserve"> under this Act.</w:t>
      </w:r>
    </w:p>
    <w:p w:rsidR="00827D7C" w:rsidRPr="00C20C28" w:rsidRDefault="00827D7C" w:rsidP="00C20C28">
      <w:pPr>
        <w:pStyle w:val="Subitem"/>
      </w:pPr>
      <w:r w:rsidRPr="00C20C28">
        <w:t>(2)</w:t>
      </w:r>
      <w:r w:rsidRPr="00C20C28">
        <w:tab/>
        <w:t>The land registration official may:</w:t>
      </w:r>
    </w:p>
    <w:p w:rsidR="00827D7C" w:rsidRPr="00C20C28" w:rsidRDefault="00827D7C" w:rsidP="00C20C28">
      <w:pPr>
        <w:pStyle w:val="paragraph"/>
      </w:pPr>
      <w:r w:rsidRPr="00C20C28">
        <w:tab/>
        <w:t>(a)</w:t>
      </w:r>
      <w:r w:rsidRPr="00C20C28">
        <w:tab/>
        <w:t>register the matter in a way that is the same as, or similar to, the way in which dealings in land of that kind are registered; and</w:t>
      </w:r>
    </w:p>
    <w:p w:rsidR="00827D7C" w:rsidRPr="00C20C28" w:rsidRDefault="00827D7C" w:rsidP="00C20C28">
      <w:pPr>
        <w:pStyle w:val="paragraph"/>
      </w:pPr>
      <w:r w:rsidRPr="00C20C28">
        <w:tab/>
        <w:t>(b)</w:t>
      </w:r>
      <w:r w:rsidRPr="00C20C28">
        <w:tab/>
        <w:t>deal with, and give effect to, the certificate.</w:t>
      </w:r>
    </w:p>
    <w:p w:rsidR="00827D7C" w:rsidRPr="00C20C28" w:rsidRDefault="00827D7C" w:rsidP="00C20C28">
      <w:pPr>
        <w:pStyle w:val="Subitem"/>
      </w:pPr>
      <w:r w:rsidRPr="00C20C28">
        <w:t>(3)</w:t>
      </w:r>
      <w:r w:rsidRPr="00C20C28">
        <w:tab/>
        <w:t xml:space="preserve">A certificate made under </w:t>
      </w:r>
      <w:r w:rsidR="00C20C28" w:rsidRPr="00C20C28">
        <w:t>subitem (</w:t>
      </w:r>
      <w:r w:rsidRPr="00C20C28">
        <w:t>1) is not a legislative instrument.</w:t>
      </w:r>
    </w:p>
    <w:p w:rsidR="00827D7C" w:rsidRPr="00C20C28" w:rsidRDefault="00A518B0" w:rsidP="00C20C28">
      <w:pPr>
        <w:pStyle w:val="ItemHead"/>
      </w:pPr>
      <w:r w:rsidRPr="00C20C28">
        <w:t>4</w:t>
      </w:r>
      <w:r w:rsidR="00827D7C" w:rsidRPr="00C20C28">
        <w:t xml:space="preserve">  Certificates for vesting of assets other than land</w:t>
      </w:r>
    </w:p>
    <w:p w:rsidR="00827D7C" w:rsidRPr="00C20C28" w:rsidRDefault="00827D7C" w:rsidP="00C20C28">
      <w:pPr>
        <w:pStyle w:val="Subitem"/>
      </w:pPr>
      <w:r w:rsidRPr="00C20C28">
        <w:t>(1)</w:t>
      </w:r>
      <w:r w:rsidRPr="00C20C28">
        <w:tab/>
        <w:t>This item applies if:</w:t>
      </w:r>
    </w:p>
    <w:p w:rsidR="00827D7C" w:rsidRPr="00C20C28" w:rsidRDefault="00827D7C" w:rsidP="00C20C28">
      <w:pPr>
        <w:pStyle w:val="paragraph"/>
      </w:pPr>
      <w:r w:rsidRPr="00C20C28">
        <w:tab/>
        <w:t>(a)</w:t>
      </w:r>
      <w:r w:rsidRPr="00C20C28">
        <w:tab/>
        <w:t xml:space="preserve">an asset other than land becomes an asset of </w:t>
      </w:r>
      <w:r w:rsidR="00BF033B" w:rsidRPr="00C20C28">
        <w:t xml:space="preserve">the </w:t>
      </w:r>
      <w:r w:rsidR="00F75C12" w:rsidRPr="00C20C28">
        <w:t>Commonwealth</w:t>
      </w:r>
      <w:r w:rsidRPr="00C20C28">
        <w:t xml:space="preserve"> under item</w:t>
      </w:r>
      <w:r w:rsidR="00C20C28" w:rsidRPr="00C20C28">
        <w:t> </w:t>
      </w:r>
      <w:r w:rsidRPr="00C20C28">
        <w:t>2; and</w:t>
      </w:r>
    </w:p>
    <w:p w:rsidR="00827D7C" w:rsidRPr="00C20C28" w:rsidRDefault="00827D7C" w:rsidP="00C20C28">
      <w:pPr>
        <w:pStyle w:val="paragraph"/>
      </w:pPr>
      <w:r w:rsidRPr="00C20C28">
        <w:tab/>
        <w:t>(b)</w:t>
      </w:r>
      <w:r w:rsidRPr="00C20C28">
        <w:tab/>
        <w:t>there is lodged with an assets official a certificate that:</w:t>
      </w:r>
    </w:p>
    <w:p w:rsidR="00827D7C" w:rsidRPr="00C20C28" w:rsidRDefault="00827D7C" w:rsidP="00C20C28">
      <w:pPr>
        <w:pStyle w:val="paragraphsub"/>
      </w:pPr>
      <w:r w:rsidRPr="00C20C28">
        <w:tab/>
        <w:t>(i)</w:t>
      </w:r>
      <w:r w:rsidRPr="00C20C28">
        <w:tab/>
        <w:t xml:space="preserve">is signed by the </w:t>
      </w:r>
      <w:r w:rsidR="00351AC1" w:rsidRPr="00C20C28">
        <w:t>Minister</w:t>
      </w:r>
      <w:r w:rsidRPr="00C20C28">
        <w:t>; and</w:t>
      </w:r>
    </w:p>
    <w:p w:rsidR="00827D7C" w:rsidRPr="00C20C28" w:rsidRDefault="00827D7C" w:rsidP="00C20C28">
      <w:pPr>
        <w:pStyle w:val="paragraphsub"/>
      </w:pPr>
      <w:r w:rsidRPr="00C20C28">
        <w:tab/>
        <w:t>(ii)</w:t>
      </w:r>
      <w:r w:rsidRPr="00C20C28">
        <w:tab/>
        <w:t>identifies the asset; and</w:t>
      </w:r>
    </w:p>
    <w:p w:rsidR="00827D7C" w:rsidRPr="00C20C28" w:rsidRDefault="00827D7C" w:rsidP="00C20C28">
      <w:pPr>
        <w:pStyle w:val="paragraphsub"/>
      </w:pPr>
      <w:r w:rsidRPr="00C20C28">
        <w:tab/>
        <w:t>(iii)</w:t>
      </w:r>
      <w:r w:rsidRPr="00C20C28">
        <w:tab/>
        <w:t>states that the asset has become vested in</w:t>
      </w:r>
      <w:r w:rsidR="00F75C12" w:rsidRPr="00C20C28">
        <w:t xml:space="preserve"> </w:t>
      </w:r>
      <w:r w:rsidR="00BF033B" w:rsidRPr="00C20C28">
        <w:t xml:space="preserve">the </w:t>
      </w:r>
      <w:r w:rsidR="00F75C12" w:rsidRPr="00C20C28">
        <w:t>Commonwealth</w:t>
      </w:r>
      <w:r w:rsidRPr="00C20C28">
        <w:t xml:space="preserve"> under this Act.</w:t>
      </w:r>
    </w:p>
    <w:p w:rsidR="00827D7C" w:rsidRPr="00C20C28" w:rsidRDefault="00827D7C" w:rsidP="00C20C28">
      <w:pPr>
        <w:pStyle w:val="Subitem"/>
      </w:pPr>
      <w:r w:rsidRPr="00C20C28">
        <w:t>(2)</w:t>
      </w:r>
      <w:r w:rsidRPr="00C20C28">
        <w:tab/>
        <w:t>The assets official may:</w:t>
      </w:r>
    </w:p>
    <w:p w:rsidR="00827D7C" w:rsidRPr="00C20C28" w:rsidRDefault="00827D7C" w:rsidP="00C20C28">
      <w:pPr>
        <w:pStyle w:val="paragraph"/>
      </w:pPr>
      <w:r w:rsidRPr="00C20C28">
        <w:tab/>
        <w:t>(a)</w:t>
      </w:r>
      <w:r w:rsidRPr="00C20C28">
        <w:tab/>
        <w:t>deal with, and give effect to, the certificate as if it were a proper and appropriate instrument for transactions in relation to assets of that kind; and</w:t>
      </w:r>
    </w:p>
    <w:p w:rsidR="00827D7C" w:rsidRPr="00C20C28" w:rsidRDefault="00827D7C" w:rsidP="00C20C28">
      <w:pPr>
        <w:pStyle w:val="paragraph"/>
      </w:pPr>
      <w:r w:rsidRPr="00C20C28">
        <w:tab/>
        <w:t>(b)</w:t>
      </w:r>
      <w:r w:rsidRPr="00C20C28">
        <w:tab/>
        <w:t>make such entries in the register in relation to assets of that kind as are necessary, having regard to the effect of this Part.</w:t>
      </w:r>
    </w:p>
    <w:p w:rsidR="00827D7C" w:rsidRPr="00C20C28" w:rsidRDefault="00827D7C" w:rsidP="00C20C28">
      <w:pPr>
        <w:pStyle w:val="Subitem"/>
      </w:pPr>
      <w:r w:rsidRPr="00C20C28">
        <w:t>(3)</w:t>
      </w:r>
      <w:r w:rsidRPr="00C20C28">
        <w:tab/>
        <w:t xml:space="preserve">A certificate made under </w:t>
      </w:r>
      <w:r w:rsidR="00C20C28" w:rsidRPr="00C20C28">
        <w:t>subitem (</w:t>
      </w:r>
      <w:r w:rsidRPr="00C20C28">
        <w:t>1) is not a legislative instrument.</w:t>
      </w:r>
    </w:p>
    <w:p w:rsidR="00A55E67" w:rsidRPr="00C20C28" w:rsidRDefault="0006121E" w:rsidP="00C20C28">
      <w:pPr>
        <w:pStyle w:val="ActHead7"/>
        <w:pageBreakBefore/>
      </w:pPr>
      <w:bookmarkStart w:id="11" w:name="_Toc416266222"/>
      <w:r w:rsidRPr="00C20C28">
        <w:rPr>
          <w:rStyle w:val="CharAmPartNo"/>
        </w:rPr>
        <w:t>Part</w:t>
      </w:r>
      <w:r w:rsidR="00C20C28" w:rsidRPr="00C20C28">
        <w:rPr>
          <w:rStyle w:val="CharAmPartNo"/>
        </w:rPr>
        <w:t> </w:t>
      </w:r>
      <w:r w:rsidRPr="00C20C28">
        <w:rPr>
          <w:rStyle w:val="CharAmPartNo"/>
        </w:rPr>
        <w:t>3</w:t>
      </w:r>
      <w:r w:rsidR="00A55E67" w:rsidRPr="00C20C28">
        <w:t>—</w:t>
      </w:r>
      <w:r w:rsidR="00A55E67" w:rsidRPr="00C20C28">
        <w:rPr>
          <w:rStyle w:val="CharAmPartText"/>
        </w:rPr>
        <w:t>T</w:t>
      </w:r>
      <w:r w:rsidR="00A13127" w:rsidRPr="00C20C28">
        <w:rPr>
          <w:rStyle w:val="CharAmPartText"/>
        </w:rPr>
        <w:t>ransfer of other matters relating to</w:t>
      </w:r>
      <w:r w:rsidR="00A55E67" w:rsidRPr="00C20C28">
        <w:rPr>
          <w:rStyle w:val="CharAmPartText"/>
        </w:rPr>
        <w:t xml:space="preserve"> </w:t>
      </w:r>
      <w:r w:rsidR="00C62C84" w:rsidRPr="00C20C28">
        <w:rPr>
          <w:rStyle w:val="CharAmPartText"/>
        </w:rPr>
        <w:t>ARCo</w:t>
      </w:r>
      <w:bookmarkEnd w:id="11"/>
    </w:p>
    <w:p w:rsidR="00A55E67" w:rsidRPr="00C20C28" w:rsidRDefault="00A518B0" w:rsidP="00C20C28">
      <w:pPr>
        <w:pStyle w:val="ItemHead"/>
      </w:pPr>
      <w:r w:rsidRPr="00C20C28">
        <w:t>5</w:t>
      </w:r>
      <w:r w:rsidR="00A55E67" w:rsidRPr="00C20C28">
        <w:t xml:space="preserve">  Things done by, or in relation to, </w:t>
      </w:r>
      <w:r w:rsidR="00C62C84" w:rsidRPr="00C20C28">
        <w:t>ARCo</w:t>
      </w:r>
    </w:p>
    <w:p w:rsidR="00A55E67" w:rsidRPr="00C20C28" w:rsidRDefault="00A55E67" w:rsidP="00C20C28">
      <w:pPr>
        <w:pStyle w:val="Subitem"/>
      </w:pPr>
      <w:r w:rsidRPr="00C20C28">
        <w:t>(1)</w:t>
      </w:r>
      <w:r w:rsidRPr="00C20C28">
        <w:tab/>
        <w:t xml:space="preserve">This item applies to a thing done by, or in relation to, </w:t>
      </w:r>
      <w:r w:rsidR="00C62C84" w:rsidRPr="00C20C28">
        <w:t>ARCo</w:t>
      </w:r>
      <w:r w:rsidRPr="00C20C28">
        <w:t xml:space="preserve"> before the </w:t>
      </w:r>
      <w:r w:rsidR="003F1F5A" w:rsidRPr="00C20C28">
        <w:t>transfer time</w:t>
      </w:r>
      <w:r w:rsidRPr="00C20C28">
        <w:t>.</w:t>
      </w:r>
    </w:p>
    <w:p w:rsidR="00A55E67" w:rsidRPr="00C20C28" w:rsidRDefault="00A55E67" w:rsidP="00C20C28">
      <w:pPr>
        <w:pStyle w:val="Subitem"/>
      </w:pPr>
      <w:r w:rsidRPr="00C20C28">
        <w:t>(2)</w:t>
      </w:r>
      <w:r w:rsidRPr="00C20C28">
        <w:tab/>
        <w:t xml:space="preserve">The </w:t>
      </w:r>
      <w:r w:rsidR="00351AC1" w:rsidRPr="00C20C28">
        <w:t>Minister</w:t>
      </w:r>
      <w:r w:rsidRPr="00C20C28">
        <w:t xml:space="preserve"> may determine, in writing, that the thing is taken, at and after the </w:t>
      </w:r>
      <w:r w:rsidR="003F1F5A" w:rsidRPr="00C20C28">
        <w:t>transfer time</w:t>
      </w:r>
      <w:r w:rsidRPr="00C20C28">
        <w:t xml:space="preserve">, to have been done by, or in relation to, </w:t>
      </w:r>
      <w:r w:rsidR="0006121E" w:rsidRPr="00C20C28">
        <w:t>the Commonwealth</w:t>
      </w:r>
      <w:r w:rsidR="009A17F2" w:rsidRPr="00C20C28">
        <w:t>.</w:t>
      </w:r>
    </w:p>
    <w:p w:rsidR="00A55E67" w:rsidRPr="00C20C28" w:rsidRDefault="00A55E67" w:rsidP="00C20C28">
      <w:pPr>
        <w:pStyle w:val="Subitem"/>
      </w:pPr>
      <w:r w:rsidRPr="00C20C28">
        <w:t>(3)</w:t>
      </w:r>
      <w:r w:rsidRPr="00C20C28">
        <w:tab/>
        <w:t xml:space="preserve">A determination made under </w:t>
      </w:r>
      <w:r w:rsidR="00C20C28" w:rsidRPr="00C20C28">
        <w:t>subitem (</w:t>
      </w:r>
      <w:r w:rsidRPr="00C20C28">
        <w:t>2) has effect accordingly.</w:t>
      </w:r>
    </w:p>
    <w:p w:rsidR="00A55E67" w:rsidRPr="00C20C28" w:rsidRDefault="00A55E67" w:rsidP="00C20C28">
      <w:pPr>
        <w:pStyle w:val="Subitem"/>
      </w:pPr>
      <w:r w:rsidRPr="00C20C28">
        <w:t>(4)</w:t>
      </w:r>
      <w:r w:rsidRPr="00C20C28">
        <w:tab/>
        <w:t xml:space="preserve">The </w:t>
      </w:r>
      <w:r w:rsidR="00351AC1" w:rsidRPr="00C20C28">
        <w:t>Minister</w:t>
      </w:r>
      <w:r w:rsidRPr="00C20C28">
        <w:t xml:space="preserve"> may make a determination under </w:t>
      </w:r>
      <w:r w:rsidR="00C20C28" w:rsidRPr="00C20C28">
        <w:t>subitem (</w:t>
      </w:r>
      <w:r w:rsidRPr="00C20C28">
        <w:t xml:space="preserve">2) before or after the </w:t>
      </w:r>
      <w:r w:rsidR="003F1F5A" w:rsidRPr="00C20C28">
        <w:t>transfer time</w:t>
      </w:r>
      <w:r w:rsidRPr="00C20C28">
        <w:t>.</w:t>
      </w:r>
    </w:p>
    <w:p w:rsidR="00A55E67" w:rsidRPr="00C20C28" w:rsidRDefault="00A55E67" w:rsidP="00C20C28">
      <w:pPr>
        <w:pStyle w:val="Subitem"/>
      </w:pPr>
      <w:r w:rsidRPr="00C20C28">
        <w:t>(5)</w:t>
      </w:r>
      <w:r w:rsidRPr="00C20C28">
        <w:tab/>
        <w:t xml:space="preserve">A determination made under </w:t>
      </w:r>
      <w:r w:rsidR="00C20C28" w:rsidRPr="00C20C28">
        <w:t>subitem (</w:t>
      </w:r>
      <w:r w:rsidRPr="00C20C28">
        <w:t>2) is not a legislative instrument.</w:t>
      </w:r>
    </w:p>
    <w:p w:rsidR="00A55E67" w:rsidRPr="00C20C28" w:rsidRDefault="00A55E67" w:rsidP="00C20C28">
      <w:pPr>
        <w:pStyle w:val="Subitem"/>
      </w:pPr>
      <w:r w:rsidRPr="00C20C28">
        <w:t>(6)</w:t>
      </w:r>
      <w:r w:rsidRPr="00C20C28">
        <w:tab/>
        <w:t>This item does not limit the operation of item</w:t>
      </w:r>
      <w:r w:rsidR="00C20C28" w:rsidRPr="00C20C28">
        <w:t> </w:t>
      </w:r>
      <w:r w:rsidRPr="00C20C28">
        <w:t>2.</w:t>
      </w:r>
    </w:p>
    <w:p w:rsidR="00A55E67" w:rsidRPr="00C20C28" w:rsidRDefault="00A518B0" w:rsidP="00C20C28">
      <w:pPr>
        <w:pStyle w:val="ItemHead"/>
      </w:pPr>
      <w:r w:rsidRPr="00C20C28">
        <w:t>6</w:t>
      </w:r>
      <w:r w:rsidR="00A55E67" w:rsidRPr="00C20C28">
        <w:t xml:space="preserve">  References in instruments to </w:t>
      </w:r>
      <w:r w:rsidR="00C62C84" w:rsidRPr="00C20C28">
        <w:t>ARCo</w:t>
      </w:r>
    </w:p>
    <w:p w:rsidR="00A55E67" w:rsidRPr="00C20C28" w:rsidRDefault="00A55E67" w:rsidP="00C20C28">
      <w:pPr>
        <w:pStyle w:val="Subitem"/>
      </w:pPr>
      <w:r w:rsidRPr="00C20C28">
        <w:t>(1)</w:t>
      </w:r>
      <w:r w:rsidRPr="00C20C28">
        <w:tab/>
        <w:t>This item applies to an instrument that:</w:t>
      </w:r>
    </w:p>
    <w:p w:rsidR="00A55E67" w:rsidRPr="00C20C28" w:rsidRDefault="00A55E67" w:rsidP="00C20C28">
      <w:pPr>
        <w:pStyle w:val="paragraph"/>
      </w:pPr>
      <w:r w:rsidRPr="00C20C28">
        <w:tab/>
        <w:t>(a)</w:t>
      </w:r>
      <w:r w:rsidRPr="00C20C28">
        <w:tab/>
        <w:t xml:space="preserve">is in force immediately before the </w:t>
      </w:r>
      <w:r w:rsidR="003F1F5A" w:rsidRPr="00C20C28">
        <w:t>transfer time</w:t>
      </w:r>
      <w:r w:rsidRPr="00C20C28">
        <w:t>; and</w:t>
      </w:r>
    </w:p>
    <w:p w:rsidR="00A55E67" w:rsidRPr="00C20C28" w:rsidRDefault="00A55E67" w:rsidP="00C20C28">
      <w:pPr>
        <w:pStyle w:val="paragraph"/>
      </w:pPr>
      <w:r w:rsidRPr="00C20C28">
        <w:tab/>
        <w:t>(b)</w:t>
      </w:r>
      <w:r w:rsidRPr="00C20C28">
        <w:tab/>
        <w:t xml:space="preserve">contains a reference to </w:t>
      </w:r>
      <w:r w:rsidR="00C62C84" w:rsidRPr="00C20C28">
        <w:t>ARCo</w:t>
      </w:r>
      <w:r w:rsidRPr="00C20C28">
        <w:t>.</w:t>
      </w:r>
    </w:p>
    <w:p w:rsidR="00A55E67" w:rsidRPr="00C20C28" w:rsidRDefault="00A55E67" w:rsidP="00C20C28">
      <w:pPr>
        <w:pStyle w:val="Subitem"/>
      </w:pPr>
      <w:r w:rsidRPr="00C20C28">
        <w:t>(2)</w:t>
      </w:r>
      <w:r w:rsidRPr="00C20C28">
        <w:tab/>
        <w:t>If the instrument relates to:</w:t>
      </w:r>
    </w:p>
    <w:p w:rsidR="00A55E67" w:rsidRPr="00C20C28" w:rsidRDefault="00A55E67" w:rsidP="00C20C28">
      <w:pPr>
        <w:pStyle w:val="paragraph"/>
      </w:pPr>
      <w:r w:rsidRPr="00C20C28">
        <w:tab/>
        <w:t>(a)</w:t>
      </w:r>
      <w:r w:rsidRPr="00C20C28">
        <w:tab/>
        <w:t xml:space="preserve">an asset or liability of </w:t>
      </w:r>
      <w:r w:rsidR="00C62C84" w:rsidRPr="00C20C28">
        <w:t>ARCo</w:t>
      </w:r>
      <w:r w:rsidRPr="00C20C28">
        <w:t xml:space="preserve"> that, as a result of the operation of item</w:t>
      </w:r>
      <w:r w:rsidR="00C20C28" w:rsidRPr="00C20C28">
        <w:t> </w:t>
      </w:r>
      <w:r w:rsidRPr="00C20C28">
        <w:t xml:space="preserve">2, becomes an asset or liability of </w:t>
      </w:r>
      <w:r w:rsidR="0006121E" w:rsidRPr="00C20C28">
        <w:t>the Commonwealth</w:t>
      </w:r>
      <w:r w:rsidRPr="00C20C28">
        <w:t>; or</w:t>
      </w:r>
    </w:p>
    <w:p w:rsidR="00A55E67" w:rsidRPr="00C20C28" w:rsidRDefault="00A55E67" w:rsidP="00C20C28">
      <w:pPr>
        <w:pStyle w:val="paragraph"/>
      </w:pPr>
      <w:r w:rsidRPr="00C20C28">
        <w:tab/>
        <w:t>(b)</w:t>
      </w:r>
      <w:r w:rsidRPr="00C20C28">
        <w:tab/>
        <w:t xml:space="preserve">a thing done by, or in relation to, </w:t>
      </w:r>
      <w:r w:rsidR="00C62C84" w:rsidRPr="00C20C28">
        <w:t>ARCo</w:t>
      </w:r>
      <w:r w:rsidRPr="00C20C28">
        <w:t>, that, as a result of the operation of item</w:t>
      </w:r>
      <w:r w:rsidR="00C20C28" w:rsidRPr="00C20C28">
        <w:t> </w:t>
      </w:r>
      <w:r w:rsidR="00CB6871" w:rsidRPr="00C20C28">
        <w:t>5</w:t>
      </w:r>
      <w:r w:rsidRPr="00C20C28">
        <w:t xml:space="preserve">, is taken to have been done by, or in relation to, </w:t>
      </w:r>
      <w:r w:rsidR="0006121E" w:rsidRPr="00C20C28">
        <w:t>the Commonwealth</w:t>
      </w:r>
      <w:r w:rsidRPr="00C20C28">
        <w:t>;</w:t>
      </w:r>
    </w:p>
    <w:p w:rsidR="00A55E67" w:rsidRPr="00C20C28" w:rsidRDefault="00A55E67" w:rsidP="00C20C28">
      <w:pPr>
        <w:pStyle w:val="Item"/>
      </w:pPr>
      <w:r w:rsidRPr="00C20C28">
        <w:t xml:space="preserve">then the reference to </w:t>
      </w:r>
      <w:r w:rsidR="00C62C84" w:rsidRPr="00C20C28">
        <w:t>ARCo</w:t>
      </w:r>
      <w:r w:rsidRPr="00C20C28">
        <w:t xml:space="preserve"> has effect, at and after the </w:t>
      </w:r>
      <w:r w:rsidR="003F1F5A" w:rsidRPr="00C20C28">
        <w:t>transfer time</w:t>
      </w:r>
      <w:r w:rsidRPr="00C20C28">
        <w:t xml:space="preserve">, as if it were a reference to </w:t>
      </w:r>
      <w:r w:rsidR="0006121E" w:rsidRPr="00C20C28">
        <w:t>the Commonwealth</w:t>
      </w:r>
      <w:r w:rsidRPr="00C20C28">
        <w:t>.</w:t>
      </w:r>
    </w:p>
    <w:p w:rsidR="00A55E67" w:rsidRPr="00C20C28" w:rsidRDefault="00BE2E38" w:rsidP="00C20C28">
      <w:pPr>
        <w:pStyle w:val="Subitem"/>
      </w:pPr>
      <w:r w:rsidRPr="00C20C28">
        <w:t>(</w:t>
      </w:r>
      <w:r w:rsidR="00BB21EB" w:rsidRPr="00C20C28">
        <w:t>3</w:t>
      </w:r>
      <w:r w:rsidR="00A55E67" w:rsidRPr="00C20C28">
        <w:t>)</w:t>
      </w:r>
      <w:r w:rsidR="00A55E67" w:rsidRPr="00C20C28">
        <w:tab/>
        <w:t xml:space="preserve">If </w:t>
      </w:r>
      <w:r w:rsidR="00C20C28" w:rsidRPr="00C20C28">
        <w:t>subitem (</w:t>
      </w:r>
      <w:r w:rsidR="00A55E67" w:rsidRPr="00C20C28">
        <w:t>2) do</w:t>
      </w:r>
      <w:r w:rsidR="0073778C" w:rsidRPr="00C20C28">
        <w:t>es</w:t>
      </w:r>
      <w:r w:rsidR="00A55E67" w:rsidRPr="00C20C28">
        <w:t xml:space="preserve"> not apply to the instrument, then the </w:t>
      </w:r>
      <w:r w:rsidR="00351AC1" w:rsidRPr="00C20C28">
        <w:t>Minister</w:t>
      </w:r>
      <w:r w:rsidR="00A55E67" w:rsidRPr="00C20C28">
        <w:t xml:space="preserve"> may determine, in writing, that the reference to </w:t>
      </w:r>
      <w:r w:rsidR="00C62C84" w:rsidRPr="00C20C28">
        <w:t>ARCo</w:t>
      </w:r>
      <w:r w:rsidR="00A55E67" w:rsidRPr="00C20C28">
        <w:t xml:space="preserve"> has effect, at and after the </w:t>
      </w:r>
      <w:r w:rsidR="003F1F5A" w:rsidRPr="00C20C28">
        <w:t>transfer time</w:t>
      </w:r>
      <w:r w:rsidR="00A55E67" w:rsidRPr="00C20C28">
        <w:t xml:space="preserve">, as if it were a reference to </w:t>
      </w:r>
      <w:r w:rsidR="003175C3" w:rsidRPr="00C20C28">
        <w:t>t</w:t>
      </w:r>
      <w:r w:rsidR="0006121E" w:rsidRPr="00C20C28">
        <w:t>he Commonwealth</w:t>
      </w:r>
      <w:r w:rsidR="003175C3" w:rsidRPr="00C20C28">
        <w:t>.</w:t>
      </w:r>
    </w:p>
    <w:p w:rsidR="00A55E67" w:rsidRPr="00C20C28" w:rsidRDefault="00BE2E38" w:rsidP="00C20C28">
      <w:pPr>
        <w:pStyle w:val="Subitem"/>
      </w:pPr>
      <w:r w:rsidRPr="00C20C28">
        <w:t>(</w:t>
      </w:r>
      <w:r w:rsidR="00BB21EB" w:rsidRPr="00C20C28">
        <w:t>4</w:t>
      </w:r>
      <w:r w:rsidR="00A55E67" w:rsidRPr="00C20C28">
        <w:t>)</w:t>
      </w:r>
      <w:r w:rsidR="00A55E67" w:rsidRPr="00C20C28">
        <w:tab/>
        <w:t>A det</w:t>
      </w:r>
      <w:r w:rsidRPr="00C20C28">
        <w:t xml:space="preserve">ermination made under </w:t>
      </w:r>
      <w:r w:rsidR="00C20C28" w:rsidRPr="00C20C28">
        <w:t>subitem (</w:t>
      </w:r>
      <w:r w:rsidR="00BB21EB" w:rsidRPr="00C20C28">
        <w:t>3</w:t>
      </w:r>
      <w:r w:rsidR="00A55E67" w:rsidRPr="00C20C28">
        <w:t>) has effect accordingly.</w:t>
      </w:r>
    </w:p>
    <w:p w:rsidR="00A55E67" w:rsidRPr="00C20C28" w:rsidRDefault="00BE2E38" w:rsidP="00C20C28">
      <w:pPr>
        <w:pStyle w:val="Subitem"/>
      </w:pPr>
      <w:r w:rsidRPr="00C20C28">
        <w:t>(</w:t>
      </w:r>
      <w:r w:rsidR="00BB21EB" w:rsidRPr="00C20C28">
        <w:t>5</w:t>
      </w:r>
      <w:r w:rsidR="00A55E67" w:rsidRPr="00C20C28">
        <w:t>)</w:t>
      </w:r>
      <w:r w:rsidR="00A55E67" w:rsidRPr="00C20C28">
        <w:tab/>
        <w:t xml:space="preserve">The </w:t>
      </w:r>
      <w:r w:rsidR="00351AC1" w:rsidRPr="00C20C28">
        <w:t>Minister</w:t>
      </w:r>
      <w:r w:rsidR="00A55E67" w:rsidRPr="00C20C28">
        <w:t xml:space="preserve"> may make </w:t>
      </w:r>
      <w:r w:rsidRPr="00C20C28">
        <w:t xml:space="preserve">a determination under </w:t>
      </w:r>
      <w:r w:rsidR="00C20C28" w:rsidRPr="00C20C28">
        <w:t>subitem (</w:t>
      </w:r>
      <w:r w:rsidR="00BB21EB" w:rsidRPr="00C20C28">
        <w:t>3</w:t>
      </w:r>
      <w:r w:rsidR="00A55E67" w:rsidRPr="00C20C28">
        <w:t xml:space="preserve">) before or after the </w:t>
      </w:r>
      <w:r w:rsidR="003F1F5A" w:rsidRPr="00C20C28">
        <w:t>transfer time</w:t>
      </w:r>
      <w:r w:rsidR="00A55E67" w:rsidRPr="00C20C28">
        <w:t>.</w:t>
      </w:r>
    </w:p>
    <w:p w:rsidR="00A55E67" w:rsidRPr="00C20C28" w:rsidRDefault="00BE2E38" w:rsidP="00C20C28">
      <w:pPr>
        <w:pStyle w:val="Subitem"/>
      </w:pPr>
      <w:r w:rsidRPr="00C20C28">
        <w:t>(</w:t>
      </w:r>
      <w:r w:rsidR="00BB21EB" w:rsidRPr="00C20C28">
        <w:t>6</w:t>
      </w:r>
      <w:r w:rsidR="00A55E67" w:rsidRPr="00C20C28">
        <w:t>)</w:t>
      </w:r>
      <w:r w:rsidR="00A55E67" w:rsidRPr="00C20C28">
        <w:tab/>
        <w:t>A det</w:t>
      </w:r>
      <w:r w:rsidRPr="00C20C28">
        <w:t xml:space="preserve">ermination made under </w:t>
      </w:r>
      <w:r w:rsidR="00C20C28" w:rsidRPr="00C20C28">
        <w:t>subitem (</w:t>
      </w:r>
      <w:r w:rsidR="00BB21EB" w:rsidRPr="00C20C28">
        <w:t>3</w:t>
      </w:r>
      <w:r w:rsidR="00A55E67" w:rsidRPr="00C20C28">
        <w:t>) is not a legislative instrument.</w:t>
      </w:r>
    </w:p>
    <w:p w:rsidR="00A55E67" w:rsidRPr="00C20C28" w:rsidRDefault="00A518B0" w:rsidP="00C20C28">
      <w:pPr>
        <w:pStyle w:val="ItemHead"/>
      </w:pPr>
      <w:r w:rsidRPr="00C20C28">
        <w:t>7</w:t>
      </w:r>
      <w:r w:rsidR="00A55E67" w:rsidRPr="00C20C28">
        <w:t xml:space="preserve">  Legal proceedings of </w:t>
      </w:r>
      <w:r w:rsidR="00C62C84" w:rsidRPr="00C20C28">
        <w:t>ARCo</w:t>
      </w:r>
    </w:p>
    <w:p w:rsidR="00A55E67" w:rsidRPr="00C20C28" w:rsidRDefault="00A55E67" w:rsidP="00C20C28">
      <w:pPr>
        <w:pStyle w:val="Subitem"/>
      </w:pPr>
      <w:r w:rsidRPr="00C20C28">
        <w:t>(1)</w:t>
      </w:r>
      <w:r w:rsidRPr="00C20C28">
        <w:tab/>
        <w:t>This item applies to any proceedings</w:t>
      </w:r>
      <w:r w:rsidR="00583056" w:rsidRPr="00C20C28">
        <w:t xml:space="preserve"> to which </w:t>
      </w:r>
      <w:r w:rsidR="00C62C84" w:rsidRPr="00C20C28">
        <w:t>ARCo</w:t>
      </w:r>
      <w:r w:rsidR="00583056" w:rsidRPr="00C20C28">
        <w:t xml:space="preserve"> was a party that were pending in any court or tribunal immediately before the </w:t>
      </w:r>
      <w:r w:rsidR="003F1F5A" w:rsidRPr="00C20C28">
        <w:t>transfer time</w:t>
      </w:r>
      <w:r w:rsidR="00583056" w:rsidRPr="00C20C28">
        <w:t>.</w:t>
      </w:r>
    </w:p>
    <w:p w:rsidR="00A55E67" w:rsidRPr="00C20C28" w:rsidRDefault="00A55E67" w:rsidP="00C20C28">
      <w:pPr>
        <w:pStyle w:val="Subitem"/>
      </w:pPr>
      <w:r w:rsidRPr="00C20C28">
        <w:t>(2)</w:t>
      </w:r>
      <w:r w:rsidRPr="00C20C28">
        <w:tab/>
        <w:t>If the proceedings related, in whole or part, to an asset or liability that, as a result of the operation of item</w:t>
      </w:r>
      <w:r w:rsidR="00C20C28" w:rsidRPr="00C20C28">
        <w:t> </w:t>
      </w:r>
      <w:r w:rsidRPr="00C20C28">
        <w:t xml:space="preserve">2, becomes an asset or liability of </w:t>
      </w:r>
      <w:r w:rsidR="0006121E" w:rsidRPr="00C20C28">
        <w:t>the Commonwealth</w:t>
      </w:r>
      <w:r w:rsidRPr="00C20C28">
        <w:t xml:space="preserve">, then </w:t>
      </w:r>
      <w:r w:rsidR="0006121E" w:rsidRPr="00C20C28">
        <w:t>the Commonwealth</w:t>
      </w:r>
      <w:r w:rsidRPr="00C20C28">
        <w:t xml:space="preserve"> is taken, at and after the </w:t>
      </w:r>
      <w:r w:rsidR="003F1F5A" w:rsidRPr="00C20C28">
        <w:t>transfer time</w:t>
      </w:r>
      <w:r w:rsidRPr="00C20C28">
        <w:t xml:space="preserve">, to be substituted for </w:t>
      </w:r>
      <w:r w:rsidR="00C62C84" w:rsidRPr="00C20C28">
        <w:t>ARCo</w:t>
      </w:r>
      <w:r w:rsidRPr="00C20C28">
        <w:t xml:space="preserve"> as a party to the proceedings.</w:t>
      </w:r>
    </w:p>
    <w:p w:rsidR="00A55E67" w:rsidRPr="00C20C28" w:rsidRDefault="00BE2E38" w:rsidP="00C20C28">
      <w:pPr>
        <w:pStyle w:val="Subitem"/>
      </w:pPr>
      <w:r w:rsidRPr="00C20C28">
        <w:t>(</w:t>
      </w:r>
      <w:r w:rsidR="00BB21EB" w:rsidRPr="00C20C28">
        <w:t>3</w:t>
      </w:r>
      <w:r w:rsidR="00347150" w:rsidRPr="00C20C28">
        <w:t>)</w:t>
      </w:r>
      <w:r w:rsidR="00347150" w:rsidRPr="00C20C28">
        <w:tab/>
        <w:t xml:space="preserve">If </w:t>
      </w:r>
      <w:r w:rsidR="00C20C28" w:rsidRPr="00C20C28">
        <w:t>subitem (</w:t>
      </w:r>
      <w:r w:rsidR="00347150" w:rsidRPr="00C20C28">
        <w:t xml:space="preserve">2) </w:t>
      </w:r>
      <w:r w:rsidR="00A55E67" w:rsidRPr="00C20C28">
        <w:t>do</w:t>
      </w:r>
      <w:r w:rsidR="0073778C" w:rsidRPr="00C20C28">
        <w:t>es</w:t>
      </w:r>
      <w:r w:rsidR="00A55E67" w:rsidRPr="00C20C28">
        <w:t xml:space="preserve"> not apply to the proceedings, then the </w:t>
      </w:r>
      <w:r w:rsidR="00351AC1" w:rsidRPr="00C20C28">
        <w:t>Minister</w:t>
      </w:r>
      <w:r w:rsidR="00A55E67" w:rsidRPr="00C20C28">
        <w:t xml:space="preserve"> may determine, in writing, that </w:t>
      </w:r>
      <w:r w:rsidR="003175C3" w:rsidRPr="00C20C28">
        <w:t xml:space="preserve">the Commonwealth </w:t>
      </w:r>
      <w:r w:rsidR="0073778C" w:rsidRPr="00C20C28">
        <w:t>is</w:t>
      </w:r>
      <w:r w:rsidR="00A55E67" w:rsidRPr="00C20C28">
        <w:t xml:space="preserve"> taken, at and after the </w:t>
      </w:r>
      <w:r w:rsidR="003F1F5A" w:rsidRPr="00C20C28">
        <w:t>transfer time</w:t>
      </w:r>
      <w:r w:rsidR="00A55E67" w:rsidRPr="00C20C28">
        <w:t xml:space="preserve">, to be substituted for </w:t>
      </w:r>
      <w:r w:rsidR="00C62C84" w:rsidRPr="00C20C28">
        <w:t>ARCo</w:t>
      </w:r>
      <w:r w:rsidR="003175C3" w:rsidRPr="00C20C28">
        <w:t xml:space="preserve"> as a party to the proceedings.</w:t>
      </w:r>
    </w:p>
    <w:p w:rsidR="00A55E67" w:rsidRPr="00C20C28" w:rsidRDefault="00BB21EB" w:rsidP="00C20C28">
      <w:pPr>
        <w:pStyle w:val="Subitem"/>
      </w:pPr>
      <w:r w:rsidRPr="00C20C28">
        <w:t>(4</w:t>
      </w:r>
      <w:r w:rsidR="00A55E67" w:rsidRPr="00C20C28">
        <w:t>)</w:t>
      </w:r>
      <w:r w:rsidR="00A55E67" w:rsidRPr="00C20C28">
        <w:tab/>
        <w:t>A det</w:t>
      </w:r>
      <w:r w:rsidR="00BE2E38" w:rsidRPr="00C20C28">
        <w:t xml:space="preserve">ermination made under </w:t>
      </w:r>
      <w:r w:rsidR="00C20C28" w:rsidRPr="00C20C28">
        <w:t>subitem (</w:t>
      </w:r>
      <w:r w:rsidRPr="00C20C28">
        <w:t>3</w:t>
      </w:r>
      <w:r w:rsidR="00A55E67" w:rsidRPr="00C20C28">
        <w:t>) has effect accordingly.</w:t>
      </w:r>
    </w:p>
    <w:p w:rsidR="00A55E67" w:rsidRPr="00C20C28" w:rsidRDefault="00BE2E38" w:rsidP="00C20C28">
      <w:pPr>
        <w:pStyle w:val="Subitem"/>
      </w:pPr>
      <w:r w:rsidRPr="00C20C28">
        <w:t>(</w:t>
      </w:r>
      <w:r w:rsidR="00BB21EB" w:rsidRPr="00C20C28">
        <w:t>5</w:t>
      </w:r>
      <w:r w:rsidR="00A55E67" w:rsidRPr="00C20C28">
        <w:t>)</w:t>
      </w:r>
      <w:r w:rsidR="00A55E67" w:rsidRPr="00C20C28">
        <w:tab/>
        <w:t xml:space="preserve">The </w:t>
      </w:r>
      <w:r w:rsidR="00351AC1" w:rsidRPr="00C20C28">
        <w:t>Minister</w:t>
      </w:r>
      <w:r w:rsidR="00A55E67" w:rsidRPr="00C20C28">
        <w:t xml:space="preserve"> may make a determination under </w:t>
      </w:r>
      <w:r w:rsidR="00C20C28" w:rsidRPr="00C20C28">
        <w:t>subitem (</w:t>
      </w:r>
      <w:r w:rsidR="00BB21EB" w:rsidRPr="00C20C28">
        <w:t>3</w:t>
      </w:r>
      <w:r w:rsidR="00A55E67" w:rsidRPr="00C20C28">
        <w:t xml:space="preserve">) before or after the </w:t>
      </w:r>
      <w:r w:rsidR="003F1F5A" w:rsidRPr="00C20C28">
        <w:t>transfer time</w:t>
      </w:r>
      <w:r w:rsidR="00A55E67" w:rsidRPr="00C20C28">
        <w:t>.</w:t>
      </w:r>
    </w:p>
    <w:p w:rsidR="00A55E67" w:rsidRPr="00C20C28" w:rsidRDefault="00BE2E38" w:rsidP="00C20C28">
      <w:pPr>
        <w:pStyle w:val="Subitem"/>
      </w:pPr>
      <w:r w:rsidRPr="00C20C28">
        <w:t>(</w:t>
      </w:r>
      <w:r w:rsidR="00BB21EB" w:rsidRPr="00C20C28">
        <w:t>6</w:t>
      </w:r>
      <w:r w:rsidR="00A55E67" w:rsidRPr="00C20C28">
        <w:t>)</w:t>
      </w:r>
      <w:r w:rsidR="00A55E67" w:rsidRPr="00C20C28">
        <w:tab/>
        <w:t>A det</w:t>
      </w:r>
      <w:r w:rsidRPr="00C20C28">
        <w:t xml:space="preserve">ermination made under </w:t>
      </w:r>
      <w:r w:rsidR="00C20C28" w:rsidRPr="00C20C28">
        <w:t>subitem (</w:t>
      </w:r>
      <w:r w:rsidR="00BB21EB" w:rsidRPr="00C20C28">
        <w:t>3</w:t>
      </w:r>
      <w:r w:rsidR="00A55E67" w:rsidRPr="00C20C28">
        <w:t>) is not a legislative instrument.</w:t>
      </w:r>
    </w:p>
    <w:p w:rsidR="00A55E67" w:rsidRPr="00C20C28" w:rsidRDefault="00A518B0" w:rsidP="00C20C28">
      <w:pPr>
        <w:pStyle w:val="ItemHead"/>
      </w:pPr>
      <w:r w:rsidRPr="00C20C28">
        <w:t>8</w:t>
      </w:r>
      <w:r w:rsidR="00A55E67" w:rsidRPr="00C20C28">
        <w:t xml:space="preserve">  Transfer of custody of records of </w:t>
      </w:r>
      <w:r w:rsidR="00C62C84" w:rsidRPr="00C20C28">
        <w:t>ARCo</w:t>
      </w:r>
    </w:p>
    <w:p w:rsidR="00A55E67" w:rsidRPr="00C20C28" w:rsidRDefault="00A55E67" w:rsidP="00C20C28">
      <w:pPr>
        <w:pStyle w:val="Subitem"/>
      </w:pPr>
      <w:r w:rsidRPr="00C20C28">
        <w:t>(1)</w:t>
      </w:r>
      <w:r w:rsidRPr="00C20C28">
        <w:tab/>
        <w:t xml:space="preserve">This item applies to a record or document that, immediately before the </w:t>
      </w:r>
      <w:r w:rsidR="003F1F5A" w:rsidRPr="00C20C28">
        <w:t>transfer time</w:t>
      </w:r>
      <w:r w:rsidRPr="00C20C28">
        <w:t xml:space="preserve">, is in the custody of </w:t>
      </w:r>
      <w:r w:rsidR="00C62C84" w:rsidRPr="00C20C28">
        <w:t>ARCo</w:t>
      </w:r>
      <w:r w:rsidRPr="00C20C28">
        <w:t>.</w:t>
      </w:r>
    </w:p>
    <w:p w:rsidR="007E04C8" w:rsidRPr="00C20C28" w:rsidRDefault="00A55E67" w:rsidP="00C20C28">
      <w:pPr>
        <w:pStyle w:val="Subitem"/>
      </w:pPr>
      <w:r w:rsidRPr="00C20C28">
        <w:t>(2)</w:t>
      </w:r>
      <w:r w:rsidRPr="00C20C28">
        <w:tab/>
      </w:r>
      <w:r w:rsidR="007E04C8" w:rsidRPr="00C20C28">
        <w:t xml:space="preserve">After the </w:t>
      </w:r>
      <w:r w:rsidR="003F1F5A" w:rsidRPr="00C20C28">
        <w:t>transfer time</w:t>
      </w:r>
      <w:r w:rsidR="007E04C8" w:rsidRPr="00C20C28">
        <w:t>, the record or document is to be transferred into the custody of the Commonwealth.</w:t>
      </w:r>
    </w:p>
    <w:p w:rsidR="00A83DFC" w:rsidRPr="00C20C28" w:rsidRDefault="00A83DFC" w:rsidP="00C20C28">
      <w:pPr>
        <w:pStyle w:val="notemargin"/>
      </w:pPr>
      <w:r w:rsidRPr="00C20C28">
        <w:t>Note:</w:t>
      </w:r>
      <w:r w:rsidRPr="00C20C28">
        <w:tab/>
        <w:t xml:space="preserve">The record or document is a Commonwealth record for the purposes of the </w:t>
      </w:r>
      <w:r w:rsidRPr="00C20C28">
        <w:rPr>
          <w:i/>
        </w:rPr>
        <w:t>Archives Act 1983</w:t>
      </w:r>
      <w:r w:rsidR="008F4CA2" w:rsidRPr="00C20C28">
        <w:rPr>
          <w:i/>
        </w:rPr>
        <w:t xml:space="preserve"> </w:t>
      </w:r>
      <w:r w:rsidR="008F4CA2" w:rsidRPr="00C20C28">
        <w:t xml:space="preserve">(see the definition of </w:t>
      </w:r>
      <w:r w:rsidR="008F4CA2" w:rsidRPr="00C20C28">
        <w:rPr>
          <w:b/>
          <w:i/>
        </w:rPr>
        <w:t>Common</w:t>
      </w:r>
      <w:r w:rsidR="001F4DF5" w:rsidRPr="00C20C28">
        <w:rPr>
          <w:b/>
          <w:i/>
        </w:rPr>
        <w:t>w</w:t>
      </w:r>
      <w:r w:rsidR="008F4CA2" w:rsidRPr="00C20C28">
        <w:rPr>
          <w:b/>
          <w:i/>
        </w:rPr>
        <w:t>ealth record</w:t>
      </w:r>
      <w:r w:rsidR="00494559" w:rsidRPr="00C20C28">
        <w:rPr>
          <w:b/>
          <w:i/>
        </w:rPr>
        <w:t xml:space="preserve"> </w:t>
      </w:r>
      <w:r w:rsidR="008F4CA2" w:rsidRPr="00C20C28">
        <w:t>in section</w:t>
      </w:r>
      <w:r w:rsidR="00C20C28" w:rsidRPr="00C20C28">
        <w:t> </w:t>
      </w:r>
      <w:r w:rsidR="008F4CA2" w:rsidRPr="00C20C28">
        <w:t>3 of that Act)</w:t>
      </w:r>
      <w:r w:rsidRPr="00C20C28">
        <w:t>.</w:t>
      </w:r>
    </w:p>
    <w:p w:rsidR="00A55E67" w:rsidRPr="00C20C28" w:rsidRDefault="00A55E67" w:rsidP="00C20C28">
      <w:pPr>
        <w:pStyle w:val="ActHead7"/>
        <w:pageBreakBefore/>
      </w:pPr>
      <w:bookmarkStart w:id="12" w:name="_Toc416266223"/>
      <w:r w:rsidRPr="00C20C28">
        <w:rPr>
          <w:rStyle w:val="CharAmPartNo"/>
        </w:rPr>
        <w:t>Part</w:t>
      </w:r>
      <w:r w:rsidR="00C20C28" w:rsidRPr="00C20C28">
        <w:rPr>
          <w:rStyle w:val="CharAmPartNo"/>
        </w:rPr>
        <w:t> </w:t>
      </w:r>
      <w:r w:rsidR="00D06EAB" w:rsidRPr="00C20C28">
        <w:rPr>
          <w:rStyle w:val="CharAmPartNo"/>
        </w:rPr>
        <w:t>4</w:t>
      </w:r>
      <w:r w:rsidRPr="00C20C28">
        <w:t>—</w:t>
      </w:r>
      <w:r w:rsidRPr="00C20C28">
        <w:rPr>
          <w:rStyle w:val="CharAmPartText"/>
        </w:rPr>
        <w:t>Other matters</w:t>
      </w:r>
      <w:bookmarkEnd w:id="12"/>
    </w:p>
    <w:p w:rsidR="00D06EAB" w:rsidRPr="00C20C28" w:rsidRDefault="00D06EAB" w:rsidP="00C20C28">
      <w:pPr>
        <w:pStyle w:val="ItemHead"/>
      </w:pPr>
      <w:r w:rsidRPr="00C20C28">
        <w:t>9  Additional function</w:t>
      </w:r>
      <w:r w:rsidR="00AA5014" w:rsidRPr="00C20C28">
        <w:t xml:space="preserve"> of specified Commonwealth entities</w:t>
      </w:r>
    </w:p>
    <w:p w:rsidR="00A83DFC" w:rsidRPr="00C20C28" w:rsidRDefault="00A83DFC" w:rsidP="00C20C28">
      <w:pPr>
        <w:pStyle w:val="Subitem"/>
      </w:pPr>
      <w:r w:rsidRPr="00C20C28">
        <w:t>(1)</w:t>
      </w:r>
      <w:r w:rsidRPr="00C20C28">
        <w:tab/>
        <w:t xml:space="preserve">The rules may provide that a specified Commonwealth entity (within the meaning of the </w:t>
      </w:r>
      <w:r w:rsidRPr="00C20C28">
        <w:rPr>
          <w:i/>
        </w:rPr>
        <w:t>Public Governance, Performance and Accountability Act 2013</w:t>
      </w:r>
      <w:r w:rsidRPr="00C20C28">
        <w:t xml:space="preserve">) has </w:t>
      </w:r>
      <w:r w:rsidR="00D06EAB" w:rsidRPr="00C20C28">
        <w:t>the function of</w:t>
      </w:r>
      <w:r w:rsidR="008C613B" w:rsidRPr="00C20C28">
        <w:t xml:space="preserve"> managing any liabilities that</w:t>
      </w:r>
      <w:r w:rsidRPr="00C20C28">
        <w:t>:</w:t>
      </w:r>
    </w:p>
    <w:p w:rsidR="00D06EAB" w:rsidRPr="00C20C28" w:rsidRDefault="00A83DFC" w:rsidP="00C20C28">
      <w:pPr>
        <w:pStyle w:val="paragraph"/>
      </w:pPr>
      <w:r w:rsidRPr="00C20C28">
        <w:tab/>
        <w:t>(a)</w:t>
      </w:r>
      <w:r w:rsidRPr="00C20C28">
        <w:tab/>
      </w:r>
      <w:r w:rsidR="00D06EAB" w:rsidRPr="00C20C28">
        <w:t>as a result of the operation of this Schedule are liabilities of the Commonwealth; and</w:t>
      </w:r>
    </w:p>
    <w:p w:rsidR="00D06EAB" w:rsidRPr="00C20C28" w:rsidRDefault="00D06EAB" w:rsidP="00C20C28">
      <w:pPr>
        <w:pStyle w:val="paragraph"/>
      </w:pPr>
      <w:r w:rsidRPr="00C20C28">
        <w:tab/>
        <w:t>(b)</w:t>
      </w:r>
      <w:r w:rsidRPr="00C20C28">
        <w:tab/>
      </w:r>
      <w:r w:rsidR="00A83DFC" w:rsidRPr="00C20C28">
        <w:t xml:space="preserve">the entity </w:t>
      </w:r>
      <w:r w:rsidRPr="00C20C28">
        <w:t>has agreed to manage on the Commonwealth’s behalf.</w:t>
      </w:r>
    </w:p>
    <w:p w:rsidR="00A83DFC" w:rsidRPr="00C20C28" w:rsidRDefault="00A83DFC" w:rsidP="00C20C28">
      <w:pPr>
        <w:pStyle w:val="Subitem"/>
      </w:pPr>
      <w:r w:rsidRPr="00C20C28">
        <w:t>(2)</w:t>
      </w:r>
      <w:r w:rsidRPr="00C20C28">
        <w:tab/>
        <w:t>A</w:t>
      </w:r>
      <w:r w:rsidR="00635647" w:rsidRPr="00C20C28">
        <w:t>n</w:t>
      </w:r>
      <w:r w:rsidRPr="00C20C28">
        <w:t xml:space="preserve"> </w:t>
      </w:r>
      <w:r w:rsidR="00635647" w:rsidRPr="00C20C28">
        <w:t xml:space="preserve">entity </w:t>
      </w:r>
      <w:r w:rsidRPr="00C20C28">
        <w:t xml:space="preserve">specified in rules made for the purposes of </w:t>
      </w:r>
      <w:r w:rsidR="00C20C28" w:rsidRPr="00C20C28">
        <w:t>subitem (</w:t>
      </w:r>
      <w:r w:rsidRPr="00C20C28">
        <w:t>1) has the function referred to in that subitem.</w:t>
      </w:r>
    </w:p>
    <w:p w:rsidR="00A13127" w:rsidRPr="00C20C28" w:rsidRDefault="00A518B0" w:rsidP="00C20C28">
      <w:pPr>
        <w:pStyle w:val="ItemHead"/>
      </w:pPr>
      <w:r w:rsidRPr="00C20C28">
        <w:t>10</w:t>
      </w:r>
      <w:r w:rsidR="00A13127" w:rsidRPr="00C20C28">
        <w:t xml:space="preserve">  Directors’ obligations—</w:t>
      </w:r>
      <w:r w:rsidR="00C62C84" w:rsidRPr="00C20C28">
        <w:t>ARCo</w:t>
      </w:r>
      <w:r w:rsidR="00A13127" w:rsidRPr="00C20C28">
        <w:t>’s books</w:t>
      </w:r>
    </w:p>
    <w:p w:rsidR="00A13127" w:rsidRPr="00C20C28" w:rsidRDefault="00A13127" w:rsidP="00C20C28">
      <w:pPr>
        <w:pStyle w:val="Item"/>
      </w:pPr>
      <w:r w:rsidRPr="00C20C28">
        <w:t>Subsection</w:t>
      </w:r>
      <w:r w:rsidR="00C20C28" w:rsidRPr="00C20C28">
        <w:t> </w:t>
      </w:r>
      <w:r w:rsidRPr="00C20C28">
        <w:t xml:space="preserve">601AD(5) of the </w:t>
      </w:r>
      <w:r w:rsidRPr="00C20C28">
        <w:rPr>
          <w:i/>
        </w:rPr>
        <w:t xml:space="preserve">Corporations Act 2001 </w:t>
      </w:r>
      <w:r w:rsidRPr="00C20C28">
        <w:t xml:space="preserve">has effect in relation to </w:t>
      </w:r>
      <w:r w:rsidR="00C62C84" w:rsidRPr="00C20C28">
        <w:t>ARCo</w:t>
      </w:r>
      <w:r w:rsidRPr="00C20C28">
        <w:t xml:space="preserve">’s books (within the meaning of that Act) at and after the </w:t>
      </w:r>
      <w:r w:rsidR="003F1F5A" w:rsidRPr="00C20C28">
        <w:t>transfer time</w:t>
      </w:r>
      <w:r w:rsidRPr="00C20C28">
        <w:t xml:space="preserve"> as if the reference to the directors of the company immediately before deregistration were</w:t>
      </w:r>
      <w:r w:rsidR="000F2B7D" w:rsidRPr="00C20C28">
        <w:t xml:space="preserve"> a reference to the Commonwealth.</w:t>
      </w:r>
    </w:p>
    <w:p w:rsidR="00A13127" w:rsidRPr="00C20C28" w:rsidRDefault="00A518B0" w:rsidP="00C20C28">
      <w:pPr>
        <w:pStyle w:val="ItemHead"/>
      </w:pPr>
      <w:r w:rsidRPr="00C20C28">
        <w:t>11</w:t>
      </w:r>
      <w:r w:rsidR="00A13127" w:rsidRPr="00C20C28">
        <w:t xml:space="preserve">  Exemption from stamp duty and other State or Territory taxes</w:t>
      </w:r>
    </w:p>
    <w:p w:rsidR="00A13127" w:rsidRPr="00C20C28" w:rsidRDefault="00A13127" w:rsidP="00C20C28">
      <w:pPr>
        <w:pStyle w:val="Subitem"/>
      </w:pPr>
      <w:r w:rsidRPr="00C20C28">
        <w:t>(1)</w:t>
      </w:r>
      <w:r w:rsidRPr="00C20C28">
        <w:tab/>
        <w:t>No stamp duty or other tax is payable under a law of a State or Territory in re</w:t>
      </w:r>
      <w:r w:rsidR="00CD1062" w:rsidRPr="00C20C28">
        <w:t>lation to</w:t>
      </w:r>
      <w:r w:rsidRPr="00C20C28">
        <w:t xml:space="preserve"> an exempt matter, or anything connected with an exempt matter.</w:t>
      </w:r>
    </w:p>
    <w:p w:rsidR="00A13127" w:rsidRPr="00C20C28" w:rsidRDefault="00A13127" w:rsidP="00C20C28">
      <w:pPr>
        <w:pStyle w:val="Subitem"/>
      </w:pPr>
      <w:r w:rsidRPr="00C20C28">
        <w:t>(2)</w:t>
      </w:r>
      <w:r w:rsidRPr="00C20C28">
        <w:tab/>
        <w:t xml:space="preserve">For the purposes of this item, an </w:t>
      </w:r>
      <w:r w:rsidRPr="00C20C28">
        <w:rPr>
          <w:b/>
          <w:i/>
        </w:rPr>
        <w:t>exempt matter</w:t>
      </w:r>
      <w:r w:rsidRPr="00C20C28">
        <w:t xml:space="preserve"> is:</w:t>
      </w:r>
    </w:p>
    <w:p w:rsidR="00A13127" w:rsidRPr="00C20C28" w:rsidRDefault="00A13127" w:rsidP="00C20C28">
      <w:pPr>
        <w:pStyle w:val="paragraph"/>
      </w:pPr>
      <w:r w:rsidRPr="00C20C28">
        <w:tab/>
        <w:t>(a)</w:t>
      </w:r>
      <w:r w:rsidRPr="00C20C28">
        <w:tab/>
        <w:t>the vesting of an asset or liability under item</w:t>
      </w:r>
      <w:r w:rsidR="00C20C28" w:rsidRPr="00C20C28">
        <w:t> </w:t>
      </w:r>
      <w:r w:rsidRPr="00C20C28">
        <w:t>2; or</w:t>
      </w:r>
    </w:p>
    <w:p w:rsidR="00A13127" w:rsidRPr="00C20C28" w:rsidRDefault="00A13127" w:rsidP="00C20C28">
      <w:pPr>
        <w:pStyle w:val="paragraph"/>
      </w:pPr>
      <w:r w:rsidRPr="00C20C28">
        <w:tab/>
        <w:t>(b)</w:t>
      </w:r>
      <w:r w:rsidRPr="00C20C28">
        <w:tab/>
        <w:t xml:space="preserve">the operation of this Schedule </w:t>
      </w:r>
      <w:r w:rsidR="00C1765D" w:rsidRPr="00C20C28">
        <w:t xml:space="preserve">(including rules made for the purpose of this Schedule) </w:t>
      </w:r>
      <w:r w:rsidRPr="00C20C28">
        <w:t>in any other respect.</w:t>
      </w:r>
    </w:p>
    <w:p w:rsidR="00A13127" w:rsidRPr="00C20C28" w:rsidRDefault="00A13127" w:rsidP="00C20C28">
      <w:pPr>
        <w:pStyle w:val="Subitem"/>
      </w:pPr>
      <w:r w:rsidRPr="00C20C28">
        <w:t>(3)</w:t>
      </w:r>
      <w:r w:rsidRPr="00C20C28">
        <w:tab/>
        <w:t xml:space="preserve">The </w:t>
      </w:r>
      <w:r w:rsidR="00351AC1" w:rsidRPr="00C20C28">
        <w:t>Minister</w:t>
      </w:r>
      <w:r w:rsidRPr="00C20C28">
        <w:t xml:space="preserve"> may certify in writing</w:t>
      </w:r>
      <w:r w:rsidR="008C4235" w:rsidRPr="00C20C28">
        <w:t xml:space="preserve"> that</w:t>
      </w:r>
      <w:r w:rsidRPr="00C20C28">
        <w:t>:</w:t>
      </w:r>
    </w:p>
    <w:p w:rsidR="00A13127" w:rsidRPr="00C20C28" w:rsidRDefault="008C4235" w:rsidP="00C20C28">
      <w:pPr>
        <w:pStyle w:val="paragraph"/>
      </w:pPr>
      <w:r w:rsidRPr="00C20C28">
        <w:tab/>
        <w:t>(a)</w:t>
      </w:r>
      <w:r w:rsidRPr="00C20C28">
        <w:tab/>
      </w:r>
      <w:r w:rsidR="00A13127" w:rsidRPr="00C20C28">
        <w:t>a specified matter is an exempt matter; or</w:t>
      </w:r>
    </w:p>
    <w:p w:rsidR="00A13127" w:rsidRPr="00C20C28" w:rsidRDefault="00A13127" w:rsidP="00C20C28">
      <w:pPr>
        <w:pStyle w:val="paragraph"/>
      </w:pPr>
      <w:r w:rsidRPr="00C20C28">
        <w:tab/>
        <w:t>(b)</w:t>
      </w:r>
      <w:r w:rsidRPr="00C20C28">
        <w:tab/>
        <w:t>a specified thing was connected with a specified exempt matter.</w:t>
      </w:r>
    </w:p>
    <w:p w:rsidR="00A13127" w:rsidRPr="00C20C28" w:rsidRDefault="00A13127" w:rsidP="00C20C28">
      <w:pPr>
        <w:pStyle w:val="Subitem"/>
      </w:pPr>
      <w:r w:rsidRPr="00C20C28">
        <w:t>(4)</w:t>
      </w:r>
      <w:r w:rsidRPr="00C20C28">
        <w:tab/>
        <w:t xml:space="preserve">In all courts, and for all purposes (other than for the purposes of criminal proceedings), a certificate </w:t>
      </w:r>
      <w:r w:rsidR="00CD1062" w:rsidRPr="00C20C28">
        <w:t xml:space="preserve">made </w:t>
      </w:r>
      <w:r w:rsidRPr="00C20C28">
        <w:t xml:space="preserve">under </w:t>
      </w:r>
      <w:r w:rsidR="00C20C28" w:rsidRPr="00C20C28">
        <w:t>subitem (</w:t>
      </w:r>
      <w:r w:rsidRPr="00C20C28">
        <w:t>3) is prima facie evidence of the matters stated in the certificate.</w:t>
      </w:r>
    </w:p>
    <w:p w:rsidR="00A13127" w:rsidRPr="00C20C28" w:rsidRDefault="00A13127" w:rsidP="00C20C28">
      <w:pPr>
        <w:pStyle w:val="Subitem"/>
      </w:pPr>
      <w:r w:rsidRPr="00C20C28">
        <w:t>(5)</w:t>
      </w:r>
      <w:r w:rsidRPr="00C20C28">
        <w:tab/>
        <w:t xml:space="preserve">A certificate made under </w:t>
      </w:r>
      <w:r w:rsidR="00C20C28" w:rsidRPr="00C20C28">
        <w:t>subitem (</w:t>
      </w:r>
      <w:r w:rsidRPr="00C20C28">
        <w:t>3) is not a legislative instrument.</w:t>
      </w:r>
    </w:p>
    <w:p w:rsidR="00C1765D" w:rsidRPr="00C20C28" w:rsidRDefault="00A518B0" w:rsidP="00C20C28">
      <w:pPr>
        <w:pStyle w:val="ItemHead"/>
      </w:pPr>
      <w:r w:rsidRPr="00C20C28">
        <w:t>12</w:t>
      </w:r>
      <w:r w:rsidR="00C1765D" w:rsidRPr="00C20C28">
        <w:t xml:space="preserve">  Certificates taken to be authentic</w:t>
      </w:r>
    </w:p>
    <w:p w:rsidR="00C1765D" w:rsidRPr="00C20C28" w:rsidRDefault="00C1765D" w:rsidP="00C20C28">
      <w:pPr>
        <w:pStyle w:val="Item"/>
      </w:pPr>
      <w:r w:rsidRPr="00C20C28">
        <w:t>A document that appears to be a certificate made under item</w:t>
      </w:r>
      <w:r w:rsidR="00C20C28" w:rsidRPr="00C20C28">
        <w:t> </w:t>
      </w:r>
      <w:r w:rsidR="00CB6871" w:rsidRPr="00C20C28">
        <w:t>3</w:t>
      </w:r>
      <w:r w:rsidRPr="00C20C28">
        <w:t xml:space="preserve">, </w:t>
      </w:r>
      <w:r w:rsidR="00CB6871" w:rsidRPr="00C20C28">
        <w:t>4</w:t>
      </w:r>
      <w:r w:rsidRPr="00C20C28">
        <w:t xml:space="preserve"> or </w:t>
      </w:r>
      <w:r w:rsidR="00A518B0" w:rsidRPr="00C20C28">
        <w:t>11</w:t>
      </w:r>
      <w:r w:rsidRPr="00C20C28">
        <w:t>:</w:t>
      </w:r>
    </w:p>
    <w:p w:rsidR="00C1765D" w:rsidRPr="00C20C28" w:rsidRDefault="00C1765D" w:rsidP="00C20C28">
      <w:pPr>
        <w:pStyle w:val="paragraph"/>
      </w:pPr>
      <w:r w:rsidRPr="00C20C28">
        <w:tab/>
        <w:t>(a)</w:t>
      </w:r>
      <w:r w:rsidRPr="00C20C28">
        <w:tab/>
        <w:t>is taken to be such a certificate; and</w:t>
      </w:r>
    </w:p>
    <w:p w:rsidR="00C1765D" w:rsidRPr="00C20C28" w:rsidRDefault="00C1765D" w:rsidP="00C20C28">
      <w:pPr>
        <w:pStyle w:val="paragraph"/>
      </w:pPr>
      <w:r w:rsidRPr="00C20C28">
        <w:tab/>
        <w:t>(b)</w:t>
      </w:r>
      <w:r w:rsidRPr="00C20C28">
        <w:tab/>
        <w:t>is taken to have been properly given;</w:t>
      </w:r>
    </w:p>
    <w:p w:rsidR="00C1765D" w:rsidRPr="00C20C28" w:rsidRDefault="00C1765D" w:rsidP="00C20C28">
      <w:pPr>
        <w:pStyle w:val="Item"/>
      </w:pPr>
      <w:r w:rsidRPr="00C20C28">
        <w:t>unless the contrary is established.</w:t>
      </w:r>
    </w:p>
    <w:p w:rsidR="00A55E67" w:rsidRPr="00C20C28" w:rsidRDefault="00A518B0" w:rsidP="00C20C28">
      <w:pPr>
        <w:pStyle w:val="ItemHead"/>
      </w:pPr>
      <w:r w:rsidRPr="00C20C28">
        <w:t>13</w:t>
      </w:r>
      <w:r w:rsidR="00A55E67" w:rsidRPr="00C20C28">
        <w:t xml:space="preserve">  Compensation for acquisition of property</w:t>
      </w:r>
    </w:p>
    <w:p w:rsidR="00A55E67" w:rsidRPr="00C20C28" w:rsidRDefault="00A55E67" w:rsidP="00C20C28">
      <w:pPr>
        <w:pStyle w:val="Subitem"/>
      </w:pPr>
      <w:r w:rsidRPr="00C20C28">
        <w:t>(1)</w:t>
      </w:r>
      <w:r w:rsidRPr="00C20C28">
        <w:tab/>
        <w:t xml:space="preserve">If the operation of this Act would result in an acquisition of property </w:t>
      </w:r>
      <w:r w:rsidR="00C27B8F" w:rsidRPr="00C20C28">
        <w:t>(within the meaning of paragraph</w:t>
      </w:r>
      <w:r w:rsidR="00C20C28" w:rsidRPr="00C20C28">
        <w:t> </w:t>
      </w:r>
      <w:r w:rsidR="00C27B8F" w:rsidRPr="00C20C28">
        <w:t xml:space="preserve">51(xxxi) of the Constitution) </w:t>
      </w:r>
      <w:r w:rsidRPr="00C20C28">
        <w:t>from a person otherwise than on just terms</w:t>
      </w:r>
      <w:r w:rsidR="00C27B8F" w:rsidRPr="00C20C28">
        <w:t xml:space="preserve"> (within the meaning of that paragraph)</w:t>
      </w:r>
      <w:r w:rsidRPr="00C20C28">
        <w:t>, the Commonwealth is liable to pay a reasonable amount of compensation to the person.</w:t>
      </w:r>
    </w:p>
    <w:p w:rsidR="00A55E67" w:rsidRPr="00C20C28" w:rsidRDefault="00A55E67" w:rsidP="00C20C28">
      <w:pPr>
        <w:pStyle w:val="Subitem"/>
      </w:pPr>
      <w:r w:rsidRPr="00C20C28">
        <w:t>(2)</w:t>
      </w:r>
      <w:r w:rsidRPr="00C20C28">
        <w:tab/>
        <w:t>If the Commonwealth and the person do not agree on the amount of the compensation, the person may institute proceedings in the Federal Court of Australia</w:t>
      </w:r>
      <w:r w:rsidR="006372CA" w:rsidRPr="00C20C28">
        <w:t xml:space="preserve"> </w:t>
      </w:r>
      <w:r w:rsidRPr="00C20C28">
        <w:t>for the recovery from the Commonwealth of such reasonable amount of compensation as the court determines.</w:t>
      </w:r>
    </w:p>
    <w:p w:rsidR="00A55E67" w:rsidRPr="00C20C28" w:rsidRDefault="00A518B0" w:rsidP="00C20C28">
      <w:pPr>
        <w:pStyle w:val="ItemHead"/>
      </w:pPr>
      <w:r w:rsidRPr="00C20C28">
        <w:t>14</w:t>
      </w:r>
      <w:r w:rsidR="00A55E67" w:rsidRPr="00C20C28">
        <w:t xml:space="preserve">  Delegation by </w:t>
      </w:r>
      <w:r w:rsidR="00351AC1" w:rsidRPr="00C20C28">
        <w:t>Minister</w:t>
      </w:r>
    </w:p>
    <w:p w:rsidR="00A55E67" w:rsidRPr="00C20C28" w:rsidRDefault="00A55E67" w:rsidP="00C20C28">
      <w:pPr>
        <w:pStyle w:val="Subitem"/>
      </w:pPr>
      <w:r w:rsidRPr="00C20C28">
        <w:t>(1)</w:t>
      </w:r>
      <w:r w:rsidRPr="00C20C28">
        <w:tab/>
        <w:t xml:space="preserve">The </w:t>
      </w:r>
      <w:r w:rsidR="00351AC1" w:rsidRPr="00C20C28">
        <w:t>Minister</w:t>
      </w:r>
      <w:r w:rsidRPr="00C20C28">
        <w:t xml:space="preserve"> may delegate, in writing, all or any of his or her powers and functions under this Act </w:t>
      </w:r>
      <w:r w:rsidR="009C4B83" w:rsidRPr="00C20C28">
        <w:t>(other than item</w:t>
      </w:r>
      <w:r w:rsidR="00C20C28" w:rsidRPr="00C20C28">
        <w:t> </w:t>
      </w:r>
      <w:r w:rsidR="009C4B83" w:rsidRPr="00C20C28">
        <w:t>1</w:t>
      </w:r>
      <w:r w:rsidR="000C02E6" w:rsidRPr="00C20C28">
        <w:t>5</w:t>
      </w:r>
      <w:r w:rsidR="009C4B83" w:rsidRPr="00C20C28">
        <w:t xml:space="preserve">) </w:t>
      </w:r>
      <w:r w:rsidRPr="00C20C28">
        <w:t>to:</w:t>
      </w:r>
    </w:p>
    <w:p w:rsidR="00A55E67" w:rsidRPr="00C20C28" w:rsidRDefault="00A55E67" w:rsidP="00C20C28">
      <w:pPr>
        <w:pStyle w:val="paragraph"/>
      </w:pPr>
      <w:r w:rsidRPr="00C20C28">
        <w:tab/>
        <w:t>(a)</w:t>
      </w:r>
      <w:r w:rsidRPr="00C20C28">
        <w:tab/>
        <w:t>the Secretary of the Department; or</w:t>
      </w:r>
    </w:p>
    <w:p w:rsidR="00A55E67" w:rsidRPr="00C20C28" w:rsidRDefault="00A55E67" w:rsidP="00C20C28">
      <w:pPr>
        <w:pStyle w:val="paragraph"/>
      </w:pPr>
      <w:r w:rsidRPr="00C20C28">
        <w:tab/>
        <w:t>(b)</w:t>
      </w:r>
      <w:r w:rsidRPr="00C20C28">
        <w:tab/>
        <w:t>an SES employee, or acting SES employee, in the Department.</w:t>
      </w:r>
    </w:p>
    <w:p w:rsidR="00A55E67" w:rsidRPr="00C20C28" w:rsidRDefault="00A55E67" w:rsidP="00C20C28">
      <w:pPr>
        <w:pStyle w:val="Subitem"/>
      </w:pPr>
      <w:r w:rsidRPr="00C20C28">
        <w:t>(2)</w:t>
      </w:r>
      <w:r w:rsidRPr="00C20C28">
        <w:tab/>
        <w:t xml:space="preserve">In exercising powers or functions under a delegation, the delegate must comply with any directions of the </w:t>
      </w:r>
      <w:r w:rsidR="00351AC1" w:rsidRPr="00C20C28">
        <w:t>Minister</w:t>
      </w:r>
      <w:r w:rsidRPr="00C20C28">
        <w:t>.</w:t>
      </w:r>
    </w:p>
    <w:p w:rsidR="00A55E67" w:rsidRPr="00C20C28" w:rsidRDefault="00A518B0" w:rsidP="00C20C28">
      <w:pPr>
        <w:pStyle w:val="ItemHead"/>
      </w:pPr>
      <w:r w:rsidRPr="00C20C28">
        <w:t>15</w:t>
      </w:r>
      <w:r w:rsidR="00A55E67" w:rsidRPr="00C20C28">
        <w:t xml:space="preserve">  R</w:t>
      </w:r>
      <w:r w:rsidR="009A17F2" w:rsidRPr="00C20C28">
        <w:t>ules</w:t>
      </w:r>
    </w:p>
    <w:p w:rsidR="009A17F2" w:rsidRPr="00C20C28" w:rsidRDefault="009A17F2" w:rsidP="00C20C28">
      <w:pPr>
        <w:pStyle w:val="Subitem"/>
      </w:pPr>
      <w:r w:rsidRPr="00C20C28">
        <w:t>(1)</w:t>
      </w:r>
      <w:r w:rsidRPr="00C20C28">
        <w:tab/>
        <w:t xml:space="preserve">The </w:t>
      </w:r>
      <w:r w:rsidR="00351AC1" w:rsidRPr="00C20C28">
        <w:t>Minister</w:t>
      </w:r>
      <w:r w:rsidRPr="00C20C28">
        <w:t xml:space="preserve"> may, by legislative instrument</w:t>
      </w:r>
      <w:r w:rsidR="009D0E45" w:rsidRPr="00C20C28">
        <w:t xml:space="preserve"> (and subject to </w:t>
      </w:r>
      <w:r w:rsidR="00C20C28" w:rsidRPr="00C20C28">
        <w:t>subitem (</w:t>
      </w:r>
      <w:r w:rsidR="000C02E6" w:rsidRPr="00C20C28">
        <w:t>5</w:t>
      </w:r>
      <w:r w:rsidR="009D0E45" w:rsidRPr="00C20C28">
        <w:t>))</w:t>
      </w:r>
      <w:r w:rsidRPr="00C20C28">
        <w:t>, make rules prescribing matters:</w:t>
      </w:r>
    </w:p>
    <w:p w:rsidR="009A17F2" w:rsidRPr="00C20C28" w:rsidRDefault="009A17F2" w:rsidP="00C20C28">
      <w:pPr>
        <w:pStyle w:val="paragraph"/>
      </w:pPr>
      <w:r w:rsidRPr="00C20C28">
        <w:tab/>
        <w:t>(a)</w:t>
      </w:r>
      <w:r w:rsidRPr="00C20C28">
        <w:tab/>
        <w:t>required or permitted by this Act to be prescribed by the rules; or</w:t>
      </w:r>
    </w:p>
    <w:p w:rsidR="009A17F2" w:rsidRPr="00C20C28" w:rsidRDefault="009A17F2" w:rsidP="00C20C28">
      <w:pPr>
        <w:pStyle w:val="paragraph"/>
      </w:pPr>
      <w:r w:rsidRPr="00C20C28">
        <w:tab/>
        <w:t>(b)</w:t>
      </w:r>
      <w:r w:rsidRPr="00C20C28">
        <w:tab/>
        <w:t>necessary or convenient to be prescribed for carrying out or giving effect to this Act.</w:t>
      </w:r>
    </w:p>
    <w:p w:rsidR="00C174E4" w:rsidRPr="00C20C28" w:rsidRDefault="009A17F2" w:rsidP="00C20C28">
      <w:pPr>
        <w:pStyle w:val="Subitem"/>
      </w:pPr>
      <w:r w:rsidRPr="00C20C28">
        <w:t>(</w:t>
      </w:r>
      <w:r w:rsidR="009D0E45" w:rsidRPr="00C20C28">
        <w:t>2</w:t>
      </w:r>
      <w:r w:rsidRPr="00C20C28">
        <w:t>)</w:t>
      </w:r>
      <w:r w:rsidRPr="00C20C28">
        <w:tab/>
      </w:r>
      <w:r w:rsidR="00C174E4" w:rsidRPr="00C20C28">
        <w:t>The r</w:t>
      </w:r>
      <w:r w:rsidRPr="00C20C28">
        <w:t>ules may prescrib</w:t>
      </w:r>
      <w:r w:rsidR="00C174E4" w:rsidRPr="00C20C28">
        <w:t>e</w:t>
      </w:r>
      <w:r w:rsidRPr="00C20C28">
        <w:t xml:space="preserve"> matters </w:t>
      </w:r>
      <w:r w:rsidR="00C174E4" w:rsidRPr="00C20C28">
        <w:t>relating to</w:t>
      </w:r>
      <w:r w:rsidR="00A83DFC" w:rsidRPr="00C20C28">
        <w:t xml:space="preserve"> any one or more of the following</w:t>
      </w:r>
      <w:r w:rsidR="00C174E4" w:rsidRPr="00C20C28">
        <w:t>:</w:t>
      </w:r>
    </w:p>
    <w:p w:rsidR="00C174E4" w:rsidRPr="00C20C28" w:rsidRDefault="00723EB1" w:rsidP="00C20C28">
      <w:pPr>
        <w:pStyle w:val="paragraph"/>
      </w:pPr>
      <w:r w:rsidRPr="00C20C28">
        <w:tab/>
        <w:t>(a)</w:t>
      </w:r>
      <w:r w:rsidRPr="00C20C28">
        <w:tab/>
      </w:r>
      <w:r w:rsidR="00C174E4" w:rsidRPr="00C20C28">
        <w:t xml:space="preserve">the </w:t>
      </w:r>
      <w:r w:rsidR="000F2B7D" w:rsidRPr="00C20C28">
        <w:t>deregistration</w:t>
      </w:r>
      <w:r w:rsidR="00C174E4" w:rsidRPr="00C20C28">
        <w:t xml:space="preserve"> of </w:t>
      </w:r>
      <w:r w:rsidR="00C62C84" w:rsidRPr="00C20C28">
        <w:t>ARCo</w:t>
      </w:r>
      <w:r w:rsidR="000F2B7D" w:rsidRPr="00C20C28">
        <w:t xml:space="preserve"> under the </w:t>
      </w:r>
      <w:r w:rsidR="000F2B7D" w:rsidRPr="00C20C28">
        <w:rPr>
          <w:i/>
        </w:rPr>
        <w:t>Corporations Act</w:t>
      </w:r>
      <w:r w:rsidRPr="00C20C28">
        <w:rPr>
          <w:i/>
        </w:rPr>
        <w:t xml:space="preserve"> 2001</w:t>
      </w:r>
      <w:r w:rsidR="00A83DFC" w:rsidRPr="00C20C28">
        <w:t>;</w:t>
      </w:r>
    </w:p>
    <w:p w:rsidR="00B80CCE" w:rsidRPr="00C20C28" w:rsidRDefault="00B80CCE" w:rsidP="00C20C28">
      <w:pPr>
        <w:pStyle w:val="paragraph"/>
      </w:pPr>
      <w:r w:rsidRPr="00C20C28">
        <w:tab/>
        <w:t>(b)</w:t>
      </w:r>
      <w:r w:rsidRPr="00C20C28">
        <w:tab/>
        <w:t>matters that occur after the transf</w:t>
      </w:r>
      <w:r w:rsidR="00A83DFC" w:rsidRPr="00C20C28">
        <w:t>er time that relate to ARCo;</w:t>
      </w:r>
    </w:p>
    <w:p w:rsidR="00223D4F" w:rsidRPr="00C20C28" w:rsidRDefault="00223D4F" w:rsidP="00C20C28">
      <w:pPr>
        <w:pStyle w:val="paragraph"/>
      </w:pPr>
      <w:r w:rsidRPr="00C20C28">
        <w:tab/>
        <w:t>(c)</w:t>
      </w:r>
      <w:r w:rsidRPr="00C20C28">
        <w:tab/>
      </w:r>
      <w:r w:rsidR="008C5BEE" w:rsidRPr="00C20C28">
        <w:t xml:space="preserve">a report, return or document that </w:t>
      </w:r>
      <w:r w:rsidRPr="00C20C28">
        <w:t>any of the following persons is required, by or under a law of the Commonwealth, to prepare or lodge in relation to ARCo</w:t>
      </w:r>
      <w:r w:rsidR="00635647" w:rsidRPr="00C20C28">
        <w:t xml:space="preserve"> after the transfer time:</w:t>
      </w:r>
    </w:p>
    <w:p w:rsidR="00223D4F" w:rsidRPr="00C20C28" w:rsidRDefault="00223D4F" w:rsidP="00C20C28">
      <w:pPr>
        <w:pStyle w:val="paragraphsub"/>
      </w:pPr>
      <w:r w:rsidRPr="00C20C28">
        <w:tab/>
        <w:t>(i)</w:t>
      </w:r>
      <w:r w:rsidRPr="00C20C28">
        <w:tab/>
        <w:t>ARCo;</w:t>
      </w:r>
    </w:p>
    <w:p w:rsidR="00223D4F" w:rsidRPr="00C20C28" w:rsidRDefault="00223D4F" w:rsidP="00C20C28">
      <w:pPr>
        <w:pStyle w:val="paragraphsub"/>
      </w:pPr>
      <w:r w:rsidRPr="00C20C28">
        <w:tab/>
        <w:t>(ii)</w:t>
      </w:r>
      <w:r w:rsidRPr="00C20C28">
        <w:tab/>
        <w:t>a director or former director of ARCo;</w:t>
      </w:r>
    </w:p>
    <w:p w:rsidR="00223D4F" w:rsidRPr="00C20C28" w:rsidRDefault="00223D4F" w:rsidP="00C20C28">
      <w:pPr>
        <w:pStyle w:val="paragraphsub"/>
      </w:pPr>
      <w:r w:rsidRPr="00C20C28">
        <w:tab/>
        <w:t>(iii)</w:t>
      </w:r>
      <w:r w:rsidRPr="00C20C28">
        <w:tab/>
        <w:t>any other officer or member of the staff, or former officer or member of the staff, of ARCo;</w:t>
      </w:r>
    </w:p>
    <w:p w:rsidR="009A17F2" w:rsidRPr="00C20C28" w:rsidRDefault="00E34745" w:rsidP="00C20C28">
      <w:pPr>
        <w:pStyle w:val="paragraph"/>
      </w:pPr>
      <w:r w:rsidRPr="00C20C28">
        <w:tab/>
        <w:t>(d</w:t>
      </w:r>
      <w:r w:rsidR="00C174E4" w:rsidRPr="00C20C28">
        <w:t>)</w:t>
      </w:r>
      <w:r w:rsidR="00C174E4" w:rsidRPr="00C20C28">
        <w:tab/>
      </w:r>
      <w:r w:rsidR="009A17F2" w:rsidRPr="00C20C28">
        <w:t>the enactment of this Act</w:t>
      </w:r>
      <w:r w:rsidR="003175C3" w:rsidRPr="00C20C28">
        <w:t>.</w:t>
      </w:r>
    </w:p>
    <w:p w:rsidR="000C02E6" w:rsidRPr="00C20C28" w:rsidRDefault="009D0E45" w:rsidP="00C20C28">
      <w:pPr>
        <w:pStyle w:val="Subitem"/>
      </w:pPr>
      <w:r w:rsidRPr="00C20C28">
        <w:t>(3</w:t>
      </w:r>
      <w:r w:rsidR="008C6170" w:rsidRPr="00C20C28">
        <w:t>)</w:t>
      </w:r>
      <w:r w:rsidR="008C6170" w:rsidRPr="00C20C28">
        <w:tab/>
      </w:r>
      <w:r w:rsidR="000C02E6" w:rsidRPr="00C20C28">
        <w:t>Despite subsection</w:t>
      </w:r>
      <w:r w:rsidR="00C20C28" w:rsidRPr="00C20C28">
        <w:t> </w:t>
      </w:r>
      <w:r w:rsidR="000C02E6" w:rsidRPr="00C20C28">
        <w:t xml:space="preserve">12(2) of the </w:t>
      </w:r>
      <w:r w:rsidR="000C02E6" w:rsidRPr="00C20C28">
        <w:rPr>
          <w:i/>
        </w:rPr>
        <w:t>Legislative Instruments Act 2003</w:t>
      </w:r>
      <w:r w:rsidR="000C02E6" w:rsidRPr="00C20C28">
        <w:t>, r</w:t>
      </w:r>
      <w:r w:rsidR="00F92559" w:rsidRPr="00C20C28">
        <w:t>ules</w:t>
      </w:r>
      <w:r w:rsidR="000C02E6" w:rsidRPr="00C20C28">
        <w:t xml:space="preserve"> made for the purposes of </w:t>
      </w:r>
      <w:r w:rsidR="00C20C28" w:rsidRPr="00C20C28">
        <w:t>paragraph (</w:t>
      </w:r>
      <w:r w:rsidR="00F92559" w:rsidRPr="00C20C28">
        <w:t>2)(a)</w:t>
      </w:r>
      <w:r w:rsidR="000C02E6" w:rsidRPr="00C20C28">
        <w:t xml:space="preserve"> </w:t>
      </w:r>
      <w:r w:rsidR="00CD1062" w:rsidRPr="00C20C28">
        <w:t xml:space="preserve">or (b) </w:t>
      </w:r>
      <w:r w:rsidR="00D63C0D" w:rsidRPr="00C20C28">
        <w:t xml:space="preserve">of this item </w:t>
      </w:r>
      <w:r w:rsidR="000C02E6" w:rsidRPr="00C20C28">
        <w:t xml:space="preserve">may be expressed to take effect from a date before the </w:t>
      </w:r>
      <w:r w:rsidR="00F92559" w:rsidRPr="00C20C28">
        <w:t>rules</w:t>
      </w:r>
      <w:r w:rsidR="000C02E6" w:rsidRPr="00C20C28">
        <w:t xml:space="preserve"> are registered under that Act.</w:t>
      </w:r>
    </w:p>
    <w:p w:rsidR="008C6170" w:rsidRPr="00C20C28" w:rsidRDefault="000C02E6" w:rsidP="00C20C28">
      <w:pPr>
        <w:pStyle w:val="Subitem"/>
      </w:pPr>
      <w:r w:rsidRPr="00C20C28">
        <w:t>(4)</w:t>
      </w:r>
      <w:r w:rsidRPr="00C20C28">
        <w:tab/>
      </w:r>
      <w:r w:rsidR="008C6170" w:rsidRPr="00C20C28">
        <w:t xml:space="preserve">The rules may provide that provisions of this Schedule are taken to be modified as set out in the </w:t>
      </w:r>
      <w:r w:rsidR="00C174E4" w:rsidRPr="00C20C28">
        <w:t>rules</w:t>
      </w:r>
      <w:r w:rsidR="008C6170" w:rsidRPr="00C20C28">
        <w:t>. Those provisions then have effect as if they were so modified.</w:t>
      </w:r>
    </w:p>
    <w:p w:rsidR="009D0E45" w:rsidRPr="00C20C28" w:rsidRDefault="000C02E6" w:rsidP="00C20C28">
      <w:pPr>
        <w:pStyle w:val="Subitem"/>
      </w:pPr>
      <w:r w:rsidRPr="00C20C28">
        <w:t>(5</w:t>
      </w:r>
      <w:r w:rsidR="009D0E45" w:rsidRPr="00C20C28">
        <w:t>)</w:t>
      </w:r>
      <w:r w:rsidR="009D0E45" w:rsidRPr="00C20C28">
        <w:tab/>
        <w:t>To avoid doubt, the rules may not do the following:</w:t>
      </w:r>
    </w:p>
    <w:p w:rsidR="009D0E45" w:rsidRPr="00C20C28" w:rsidRDefault="009D0E45" w:rsidP="00C20C28">
      <w:pPr>
        <w:pStyle w:val="paragraph"/>
      </w:pPr>
      <w:r w:rsidRPr="00C20C28">
        <w:tab/>
        <w:t>(a)</w:t>
      </w:r>
      <w:r w:rsidRPr="00C20C28">
        <w:tab/>
        <w:t>create an offence or civil penalty;</w:t>
      </w:r>
    </w:p>
    <w:p w:rsidR="009D0E45" w:rsidRPr="00C20C28" w:rsidRDefault="009D0E45" w:rsidP="00C20C28">
      <w:pPr>
        <w:pStyle w:val="paragraph"/>
      </w:pPr>
      <w:r w:rsidRPr="00C20C28">
        <w:tab/>
        <w:t>(b)</w:t>
      </w:r>
      <w:r w:rsidRPr="00C20C28">
        <w:tab/>
        <w:t>provide powers of:</w:t>
      </w:r>
    </w:p>
    <w:p w:rsidR="009D0E45" w:rsidRPr="00C20C28" w:rsidRDefault="009D0E45" w:rsidP="00C20C28">
      <w:pPr>
        <w:pStyle w:val="paragraphsub"/>
      </w:pPr>
      <w:r w:rsidRPr="00C20C28">
        <w:tab/>
        <w:t>(i)</w:t>
      </w:r>
      <w:r w:rsidRPr="00C20C28">
        <w:tab/>
        <w:t>arrest or detention; or</w:t>
      </w:r>
    </w:p>
    <w:p w:rsidR="009D0E45" w:rsidRPr="00C20C28" w:rsidRDefault="009D0E45" w:rsidP="00C20C28">
      <w:pPr>
        <w:pStyle w:val="paragraphsub"/>
      </w:pPr>
      <w:r w:rsidRPr="00C20C28">
        <w:tab/>
        <w:t>(ii)</w:t>
      </w:r>
      <w:r w:rsidRPr="00C20C28">
        <w:tab/>
        <w:t>entry, search or seizure;</w:t>
      </w:r>
    </w:p>
    <w:p w:rsidR="009D0E45" w:rsidRPr="00C20C28" w:rsidRDefault="009D0E45" w:rsidP="00C20C28">
      <w:pPr>
        <w:pStyle w:val="paragraph"/>
      </w:pPr>
      <w:r w:rsidRPr="00C20C28">
        <w:tab/>
        <w:t>(c)</w:t>
      </w:r>
      <w:r w:rsidRPr="00C20C28">
        <w:tab/>
        <w:t>impose a tax;</w:t>
      </w:r>
    </w:p>
    <w:p w:rsidR="009D0E45" w:rsidRPr="00C20C28" w:rsidRDefault="009D0E45" w:rsidP="00C20C28">
      <w:pPr>
        <w:pStyle w:val="paragraph"/>
      </w:pPr>
      <w:r w:rsidRPr="00C20C28">
        <w:tab/>
        <w:t>(d)</w:t>
      </w:r>
      <w:r w:rsidRPr="00C20C28">
        <w:tab/>
        <w:t>set an amount to be appropriated from the Consolidated Revenue Fund under an appropriation in this Act;</w:t>
      </w:r>
    </w:p>
    <w:p w:rsidR="009D0E45" w:rsidRPr="00C20C28" w:rsidRDefault="009D0E45" w:rsidP="00C20C28">
      <w:pPr>
        <w:pStyle w:val="paragraph"/>
      </w:pPr>
      <w:r w:rsidRPr="00C20C28">
        <w:tab/>
        <w:t>(e)</w:t>
      </w:r>
      <w:r w:rsidRPr="00C20C28">
        <w:tab/>
        <w:t>amend this Act.</w:t>
      </w:r>
    </w:p>
    <w:p w:rsidR="00AD4A4D" w:rsidRDefault="000C02E6" w:rsidP="00C20C28">
      <w:pPr>
        <w:pStyle w:val="Subitem"/>
      </w:pPr>
      <w:r w:rsidRPr="00C20C28">
        <w:t>(6</w:t>
      </w:r>
      <w:r w:rsidR="009A17F2" w:rsidRPr="00C20C28">
        <w:t>)</w:t>
      </w:r>
      <w:r w:rsidR="009A17F2" w:rsidRPr="00C20C28">
        <w:tab/>
        <w:t>This Act does not limit the rules that may be made under this item.</w:t>
      </w:r>
    </w:p>
    <w:p w:rsidR="0003704E" w:rsidRDefault="0003704E" w:rsidP="00C20C28">
      <w:pPr>
        <w:pStyle w:val="Subitem"/>
        <w:sectPr w:rsidR="0003704E" w:rsidSect="0003704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CE2BA1" w:rsidRDefault="00CE2BA1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E2BA1" w:rsidRDefault="00CE2BA1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February 2015</w:t>
      </w:r>
    </w:p>
    <w:p w:rsidR="00CE2BA1" w:rsidRDefault="00CE2BA1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March 2015</w:t>
      </w:r>
      <w:r>
        <w:t>]</w:t>
      </w:r>
    </w:p>
    <w:p w:rsidR="00CE2BA1" w:rsidRDefault="00CE2BA1" w:rsidP="00004AB3">
      <w:pPr>
        <w:framePr w:hSpace="180" w:wrap="around" w:vAnchor="text" w:hAnchor="page" w:x="2371" w:y="9680"/>
      </w:pPr>
      <w:r>
        <w:t>(21/15)</w:t>
      </w:r>
    </w:p>
    <w:p w:rsidR="00CE2BA1" w:rsidRDefault="00CE2BA1"/>
    <w:sectPr w:rsidR="00CE2BA1" w:rsidSect="0003704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83" w:rsidRDefault="00DA4C83" w:rsidP="0048364F">
      <w:pPr>
        <w:spacing w:line="240" w:lineRule="auto"/>
      </w:pPr>
      <w:r>
        <w:separator/>
      </w:r>
    </w:p>
  </w:endnote>
  <w:endnote w:type="continuationSeparator" w:id="0">
    <w:p w:rsidR="00DA4C83" w:rsidRDefault="00DA4C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5F1388" w:rsidRDefault="00DA4C83" w:rsidP="00C20C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E" w:rsidRPr="00A961C4" w:rsidRDefault="0003704E" w:rsidP="00C20C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3704E" w:rsidTr="00C20C28">
      <w:tc>
        <w:tcPr>
          <w:tcW w:w="1247" w:type="dxa"/>
        </w:tcPr>
        <w:p w:rsidR="0003704E" w:rsidRDefault="00156BB9" w:rsidP="003A6314">
          <w:pPr>
            <w:rPr>
              <w:sz w:val="18"/>
            </w:rPr>
          </w:pPr>
          <w:r>
            <w:rPr>
              <w:i/>
              <w:sz w:val="18"/>
            </w:rPr>
            <w:t>No. 27, 2015</w:t>
          </w:r>
        </w:p>
      </w:tc>
      <w:tc>
        <w:tcPr>
          <w:tcW w:w="5387" w:type="dxa"/>
        </w:tcPr>
        <w:p w:rsidR="0003704E" w:rsidRDefault="00B242A5" w:rsidP="003A6314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River Co. Limited Act 2015</w:t>
          </w:r>
        </w:p>
      </w:tc>
      <w:tc>
        <w:tcPr>
          <w:tcW w:w="669" w:type="dxa"/>
        </w:tcPr>
        <w:p w:rsidR="0003704E" w:rsidRDefault="0003704E" w:rsidP="003A631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3704E" w:rsidRPr="00055B5C" w:rsidRDefault="0003704E" w:rsidP="00CC6FE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E" w:rsidRPr="00A961C4" w:rsidRDefault="0003704E" w:rsidP="00C20C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3704E" w:rsidTr="00C20C28">
      <w:tc>
        <w:tcPr>
          <w:tcW w:w="1247" w:type="dxa"/>
        </w:tcPr>
        <w:p w:rsidR="0003704E" w:rsidRDefault="0003704E" w:rsidP="003A631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sz w:val="18"/>
            </w:rPr>
            <w:t>No. 27,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3704E" w:rsidRDefault="0003704E" w:rsidP="003A631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sz w:val="18"/>
            </w:rPr>
            <w:t>Australian River Co. Limited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3704E" w:rsidRDefault="0003704E" w:rsidP="003A631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3704E" w:rsidRPr="00A961C4" w:rsidRDefault="0003704E" w:rsidP="00CC6FE4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A1" w:rsidRDefault="00CE2BA1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DA4C83" w:rsidRDefault="00DA4C83" w:rsidP="00C20C28">
    <w:pPr>
      <w:pStyle w:val="Footer"/>
      <w:spacing w:before="120"/>
    </w:pPr>
  </w:p>
  <w:p w:rsidR="00DA4C83" w:rsidRPr="005F1388" w:rsidRDefault="00DA4C83" w:rsidP="00CC6F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ED79B6" w:rsidRDefault="00DA4C83" w:rsidP="00C20C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Default="00DA4C83" w:rsidP="00C20C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A4C83" w:rsidTr="003A6314">
      <w:tc>
        <w:tcPr>
          <w:tcW w:w="646" w:type="dxa"/>
        </w:tcPr>
        <w:p w:rsidR="00DA4C83" w:rsidRDefault="00DA4C83" w:rsidP="003A631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A4C83" w:rsidRDefault="00B242A5" w:rsidP="003A6314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River Co. Limited Act 2015</w:t>
          </w:r>
        </w:p>
      </w:tc>
      <w:tc>
        <w:tcPr>
          <w:tcW w:w="1270" w:type="dxa"/>
        </w:tcPr>
        <w:p w:rsidR="00DA4C83" w:rsidRDefault="00B242A5" w:rsidP="003A631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DA4C83" w:rsidRDefault="00DA4C83" w:rsidP="00CC6F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Default="00DA4C83" w:rsidP="00C20C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4C83" w:rsidTr="003A6314">
      <w:tc>
        <w:tcPr>
          <w:tcW w:w="1247" w:type="dxa"/>
        </w:tcPr>
        <w:p w:rsidR="00DA4C83" w:rsidRDefault="00B242A5" w:rsidP="00156BB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156BB9">
            <w:rPr>
              <w:i/>
              <w:sz w:val="18"/>
            </w:rPr>
            <w:t>27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DA4C83" w:rsidRDefault="00B242A5" w:rsidP="003A6314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Australian River Co. Limited Act 2015</w:t>
          </w:r>
        </w:p>
      </w:tc>
      <w:tc>
        <w:tcPr>
          <w:tcW w:w="669" w:type="dxa"/>
        </w:tcPr>
        <w:p w:rsidR="00DA4C83" w:rsidRDefault="00DA4C83" w:rsidP="003A631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4C83" w:rsidRPr="00ED79B6" w:rsidRDefault="00DA4C83" w:rsidP="00CC6FE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A961C4" w:rsidRDefault="00DA4C83" w:rsidP="00C20C2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A4C83" w:rsidTr="00C20C28">
      <w:tc>
        <w:tcPr>
          <w:tcW w:w="646" w:type="dxa"/>
        </w:tcPr>
        <w:p w:rsidR="00DA4C83" w:rsidRDefault="00DA4C83" w:rsidP="003A631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A4C83" w:rsidRDefault="00B242A5" w:rsidP="003A6314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River Co. Limited Act 2015</w:t>
          </w:r>
        </w:p>
      </w:tc>
      <w:tc>
        <w:tcPr>
          <w:tcW w:w="1270" w:type="dxa"/>
        </w:tcPr>
        <w:p w:rsidR="00DA4C83" w:rsidRDefault="00156BB9" w:rsidP="003A631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27, 2015</w:t>
          </w:r>
        </w:p>
      </w:tc>
    </w:tr>
  </w:tbl>
  <w:p w:rsidR="00DA4C83" w:rsidRPr="00A961C4" w:rsidRDefault="00DA4C83" w:rsidP="00CC6FE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A961C4" w:rsidRDefault="00DA4C83" w:rsidP="00C20C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4C83" w:rsidTr="00C20C28">
      <w:tc>
        <w:tcPr>
          <w:tcW w:w="1247" w:type="dxa"/>
        </w:tcPr>
        <w:p w:rsidR="00DA4C83" w:rsidRDefault="00156BB9" w:rsidP="003A6314">
          <w:pPr>
            <w:rPr>
              <w:sz w:val="18"/>
            </w:rPr>
          </w:pPr>
          <w:r>
            <w:rPr>
              <w:i/>
              <w:sz w:val="18"/>
            </w:rPr>
            <w:t>No. 27, 2015</w:t>
          </w:r>
        </w:p>
      </w:tc>
      <w:tc>
        <w:tcPr>
          <w:tcW w:w="5387" w:type="dxa"/>
        </w:tcPr>
        <w:p w:rsidR="00DA4C83" w:rsidRDefault="00B242A5" w:rsidP="003A6314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River Co. Limited Act 2015</w:t>
          </w:r>
        </w:p>
      </w:tc>
      <w:tc>
        <w:tcPr>
          <w:tcW w:w="669" w:type="dxa"/>
        </w:tcPr>
        <w:p w:rsidR="00DA4C83" w:rsidRDefault="00DA4C83" w:rsidP="003A631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A4C83" w:rsidRPr="00055B5C" w:rsidRDefault="00DA4C83" w:rsidP="00CC6FE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A961C4" w:rsidRDefault="00DA4C83" w:rsidP="00C20C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4C83" w:rsidTr="00C20C28">
      <w:tc>
        <w:tcPr>
          <w:tcW w:w="1247" w:type="dxa"/>
        </w:tcPr>
        <w:p w:rsidR="00DA4C83" w:rsidRDefault="00156BB9" w:rsidP="003A6314">
          <w:pPr>
            <w:rPr>
              <w:sz w:val="18"/>
            </w:rPr>
          </w:pPr>
          <w:r>
            <w:rPr>
              <w:i/>
              <w:sz w:val="18"/>
            </w:rPr>
            <w:t>No. 27, 2015</w:t>
          </w:r>
        </w:p>
      </w:tc>
      <w:tc>
        <w:tcPr>
          <w:tcW w:w="5387" w:type="dxa"/>
        </w:tcPr>
        <w:p w:rsidR="00DA4C83" w:rsidRDefault="00B242A5" w:rsidP="003A6314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River Co. Limited Act 2015</w:t>
          </w:r>
        </w:p>
      </w:tc>
      <w:tc>
        <w:tcPr>
          <w:tcW w:w="669" w:type="dxa"/>
        </w:tcPr>
        <w:p w:rsidR="00DA4C83" w:rsidRDefault="00DA4C83" w:rsidP="003A631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A4C83" w:rsidRPr="00A961C4" w:rsidRDefault="00DA4C83" w:rsidP="00CC6FE4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E" w:rsidRPr="00A961C4" w:rsidRDefault="0003704E" w:rsidP="00C20C2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3704E" w:rsidTr="00C20C28">
      <w:tc>
        <w:tcPr>
          <w:tcW w:w="646" w:type="dxa"/>
        </w:tcPr>
        <w:p w:rsidR="0003704E" w:rsidRDefault="0003704E" w:rsidP="003A631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3AC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3704E" w:rsidRDefault="00B242A5" w:rsidP="003A6314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River Co. Limited Act 2015</w:t>
          </w:r>
        </w:p>
      </w:tc>
      <w:tc>
        <w:tcPr>
          <w:tcW w:w="1270" w:type="dxa"/>
        </w:tcPr>
        <w:p w:rsidR="0003704E" w:rsidRDefault="00B242A5" w:rsidP="003A631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03704E" w:rsidRPr="00A961C4" w:rsidRDefault="0003704E" w:rsidP="00CC6FE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83" w:rsidRDefault="00DA4C83" w:rsidP="0048364F">
      <w:pPr>
        <w:spacing w:line="240" w:lineRule="auto"/>
      </w:pPr>
      <w:r>
        <w:separator/>
      </w:r>
    </w:p>
  </w:footnote>
  <w:footnote w:type="continuationSeparator" w:id="0">
    <w:p w:rsidR="00DA4C83" w:rsidRDefault="00DA4C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5F1388" w:rsidRDefault="00DA4C83" w:rsidP="00CC6FE4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E" w:rsidRPr="00A961C4" w:rsidRDefault="0003704E" w:rsidP="00CC6FE4">
    <w:pPr>
      <w:rPr>
        <w:b/>
        <w:sz w:val="20"/>
      </w:rPr>
    </w:pPr>
  </w:p>
  <w:p w:rsidR="0003704E" w:rsidRPr="00A961C4" w:rsidRDefault="0003704E" w:rsidP="00CC6FE4">
    <w:pPr>
      <w:rPr>
        <w:b/>
        <w:sz w:val="20"/>
      </w:rPr>
    </w:pPr>
  </w:p>
  <w:p w:rsidR="0003704E" w:rsidRPr="00A961C4" w:rsidRDefault="0003704E" w:rsidP="00CC6FE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E" w:rsidRPr="00A961C4" w:rsidRDefault="0003704E" w:rsidP="00CC6FE4">
    <w:pPr>
      <w:jc w:val="right"/>
      <w:rPr>
        <w:sz w:val="20"/>
      </w:rPr>
    </w:pPr>
  </w:p>
  <w:p w:rsidR="0003704E" w:rsidRPr="00A961C4" w:rsidRDefault="0003704E" w:rsidP="00CC6FE4">
    <w:pPr>
      <w:jc w:val="right"/>
      <w:rPr>
        <w:b/>
        <w:sz w:val="20"/>
      </w:rPr>
    </w:pPr>
  </w:p>
  <w:p w:rsidR="0003704E" w:rsidRPr="00A961C4" w:rsidRDefault="0003704E" w:rsidP="00CC6FE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E" w:rsidRPr="00A961C4" w:rsidRDefault="0003704E" w:rsidP="00CC6F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5F1388" w:rsidRDefault="00DA4C83" w:rsidP="00CC6FE4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5F1388" w:rsidRDefault="00DA4C83" w:rsidP="00CC6FE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ED79B6" w:rsidRDefault="00DA4C83" w:rsidP="00CC6FE4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ED79B6" w:rsidRDefault="00DA4C83" w:rsidP="00CC6FE4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ED79B6" w:rsidRDefault="00DA4C83" w:rsidP="00CC6FE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A961C4" w:rsidRDefault="00DA4C83" w:rsidP="00CC6FE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DA4C83" w:rsidRPr="00A961C4" w:rsidRDefault="00DA4C83" w:rsidP="00CC6FE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A4C83" w:rsidRPr="00A961C4" w:rsidRDefault="00DA4C83" w:rsidP="00CC6FE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A961C4" w:rsidRDefault="00DA4C83" w:rsidP="00CC6FE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F3AC4">
      <w:rPr>
        <w:sz w:val="20"/>
      </w:rPr>
      <w:fldChar w:fldCharType="separate"/>
    </w:r>
    <w:r w:rsidR="000F3AC4">
      <w:rPr>
        <w:noProof/>
        <w:sz w:val="20"/>
      </w:rPr>
      <w:t>The Australian River Co. Limited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3AC4">
      <w:rPr>
        <w:b/>
        <w:sz w:val="20"/>
      </w:rPr>
      <w:fldChar w:fldCharType="separate"/>
    </w:r>
    <w:r w:rsidR="000F3AC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A4C83" w:rsidRPr="00A961C4" w:rsidRDefault="00DA4C83" w:rsidP="00CC6FE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F3AC4">
      <w:rPr>
        <w:sz w:val="20"/>
      </w:rPr>
      <w:fldChar w:fldCharType="separate"/>
    </w:r>
    <w:r w:rsidR="000F3AC4">
      <w:rPr>
        <w:noProof/>
        <w:sz w:val="20"/>
      </w:rPr>
      <w:t>Other matters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F3AC4">
      <w:rPr>
        <w:b/>
        <w:sz w:val="20"/>
      </w:rPr>
      <w:fldChar w:fldCharType="separate"/>
    </w:r>
    <w:r w:rsidR="000F3AC4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:rsidR="00DA4C83" w:rsidRPr="00A961C4" w:rsidRDefault="00DA4C83" w:rsidP="00CC6FE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3" w:rsidRPr="00A961C4" w:rsidRDefault="00DA4C83" w:rsidP="00CC6F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7C"/>
    <w:rsid w:val="00004AB3"/>
    <w:rsid w:val="000113BC"/>
    <w:rsid w:val="000136AF"/>
    <w:rsid w:val="0003704E"/>
    <w:rsid w:val="000417C9"/>
    <w:rsid w:val="00055B5C"/>
    <w:rsid w:val="00060FF9"/>
    <w:rsid w:val="0006121E"/>
    <w:rsid w:val="000614BF"/>
    <w:rsid w:val="000B1FD2"/>
    <w:rsid w:val="000C02E6"/>
    <w:rsid w:val="000D05EF"/>
    <w:rsid w:val="000E2D02"/>
    <w:rsid w:val="000F21C1"/>
    <w:rsid w:val="000F2B7D"/>
    <w:rsid w:val="000F3AC4"/>
    <w:rsid w:val="00101D90"/>
    <w:rsid w:val="0010745C"/>
    <w:rsid w:val="00113BD1"/>
    <w:rsid w:val="00122206"/>
    <w:rsid w:val="0015646E"/>
    <w:rsid w:val="00156BB9"/>
    <w:rsid w:val="001643C9"/>
    <w:rsid w:val="00165568"/>
    <w:rsid w:val="00166C2F"/>
    <w:rsid w:val="001716C9"/>
    <w:rsid w:val="00173363"/>
    <w:rsid w:val="00173B94"/>
    <w:rsid w:val="00174D92"/>
    <w:rsid w:val="001854B4"/>
    <w:rsid w:val="001939E1"/>
    <w:rsid w:val="00195382"/>
    <w:rsid w:val="001A3658"/>
    <w:rsid w:val="001A759A"/>
    <w:rsid w:val="001B7A5D"/>
    <w:rsid w:val="001C2418"/>
    <w:rsid w:val="001C69C4"/>
    <w:rsid w:val="001D5A8B"/>
    <w:rsid w:val="001E3590"/>
    <w:rsid w:val="001E71A2"/>
    <w:rsid w:val="001E7407"/>
    <w:rsid w:val="001F1E7E"/>
    <w:rsid w:val="001F4DF5"/>
    <w:rsid w:val="00201D27"/>
    <w:rsid w:val="00202618"/>
    <w:rsid w:val="00223D4F"/>
    <w:rsid w:val="00240749"/>
    <w:rsid w:val="00255273"/>
    <w:rsid w:val="00263820"/>
    <w:rsid w:val="00293B89"/>
    <w:rsid w:val="00297ECB"/>
    <w:rsid w:val="002B5A30"/>
    <w:rsid w:val="002D043A"/>
    <w:rsid w:val="002D1AA1"/>
    <w:rsid w:val="002D395A"/>
    <w:rsid w:val="003175C3"/>
    <w:rsid w:val="00335203"/>
    <w:rsid w:val="003415D3"/>
    <w:rsid w:val="00346E99"/>
    <w:rsid w:val="00347150"/>
    <w:rsid w:val="00350417"/>
    <w:rsid w:val="00351AC1"/>
    <w:rsid w:val="00352B0F"/>
    <w:rsid w:val="00353F6D"/>
    <w:rsid w:val="00362393"/>
    <w:rsid w:val="00363AAB"/>
    <w:rsid w:val="00375C6C"/>
    <w:rsid w:val="003A6314"/>
    <w:rsid w:val="003B1355"/>
    <w:rsid w:val="003B4C7A"/>
    <w:rsid w:val="003C5F2B"/>
    <w:rsid w:val="003D0BFE"/>
    <w:rsid w:val="003D47EB"/>
    <w:rsid w:val="003D5700"/>
    <w:rsid w:val="003F1F5A"/>
    <w:rsid w:val="003F2919"/>
    <w:rsid w:val="003F5121"/>
    <w:rsid w:val="00403942"/>
    <w:rsid w:val="00405579"/>
    <w:rsid w:val="00410B8E"/>
    <w:rsid w:val="004116CD"/>
    <w:rsid w:val="00421FC1"/>
    <w:rsid w:val="004229C7"/>
    <w:rsid w:val="00424CA9"/>
    <w:rsid w:val="00425B35"/>
    <w:rsid w:val="00436785"/>
    <w:rsid w:val="00436BD5"/>
    <w:rsid w:val="00437E4B"/>
    <w:rsid w:val="0044291A"/>
    <w:rsid w:val="00463A11"/>
    <w:rsid w:val="00476006"/>
    <w:rsid w:val="0048196B"/>
    <w:rsid w:val="0048364F"/>
    <w:rsid w:val="00494559"/>
    <w:rsid w:val="00496F97"/>
    <w:rsid w:val="004A7915"/>
    <w:rsid w:val="004C0575"/>
    <w:rsid w:val="004C361C"/>
    <w:rsid w:val="004C7C8C"/>
    <w:rsid w:val="004D14C9"/>
    <w:rsid w:val="004D446F"/>
    <w:rsid w:val="004E2A4A"/>
    <w:rsid w:val="004F0D23"/>
    <w:rsid w:val="004F1FAC"/>
    <w:rsid w:val="00501FBD"/>
    <w:rsid w:val="00516B8D"/>
    <w:rsid w:val="00537FBC"/>
    <w:rsid w:val="00543469"/>
    <w:rsid w:val="00551B54"/>
    <w:rsid w:val="005524C7"/>
    <w:rsid w:val="00567282"/>
    <w:rsid w:val="00582E1C"/>
    <w:rsid w:val="00583056"/>
    <w:rsid w:val="00584811"/>
    <w:rsid w:val="00593AA6"/>
    <w:rsid w:val="00594161"/>
    <w:rsid w:val="00594749"/>
    <w:rsid w:val="005A0D92"/>
    <w:rsid w:val="005A5F0B"/>
    <w:rsid w:val="005B4067"/>
    <w:rsid w:val="005C3F41"/>
    <w:rsid w:val="005C6182"/>
    <w:rsid w:val="005E152A"/>
    <w:rsid w:val="005E7CF5"/>
    <w:rsid w:val="00600219"/>
    <w:rsid w:val="00610B3D"/>
    <w:rsid w:val="00635647"/>
    <w:rsid w:val="006372CA"/>
    <w:rsid w:val="00641DE5"/>
    <w:rsid w:val="00656F0C"/>
    <w:rsid w:val="00671E8A"/>
    <w:rsid w:val="00677CC2"/>
    <w:rsid w:val="00681F92"/>
    <w:rsid w:val="006842C2"/>
    <w:rsid w:val="00685F42"/>
    <w:rsid w:val="0069207B"/>
    <w:rsid w:val="006C2874"/>
    <w:rsid w:val="006C7F8C"/>
    <w:rsid w:val="006D380D"/>
    <w:rsid w:val="006D6549"/>
    <w:rsid w:val="006E0135"/>
    <w:rsid w:val="006E303A"/>
    <w:rsid w:val="006F395C"/>
    <w:rsid w:val="006F7E19"/>
    <w:rsid w:val="00700B2C"/>
    <w:rsid w:val="00712D8D"/>
    <w:rsid w:val="00713084"/>
    <w:rsid w:val="00714B26"/>
    <w:rsid w:val="00723EB1"/>
    <w:rsid w:val="00731E00"/>
    <w:rsid w:val="0073778C"/>
    <w:rsid w:val="007440B7"/>
    <w:rsid w:val="007634AD"/>
    <w:rsid w:val="007715C9"/>
    <w:rsid w:val="00774EDD"/>
    <w:rsid w:val="007757EC"/>
    <w:rsid w:val="007B65EE"/>
    <w:rsid w:val="007E04C8"/>
    <w:rsid w:val="007E5738"/>
    <w:rsid w:val="007E7D4A"/>
    <w:rsid w:val="007F5481"/>
    <w:rsid w:val="008006CC"/>
    <w:rsid w:val="00807F18"/>
    <w:rsid w:val="00812596"/>
    <w:rsid w:val="00827D7C"/>
    <w:rsid w:val="00831A36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B27A6"/>
    <w:rsid w:val="008C396F"/>
    <w:rsid w:val="008C4235"/>
    <w:rsid w:val="008C5BEE"/>
    <w:rsid w:val="008C613B"/>
    <w:rsid w:val="008C6170"/>
    <w:rsid w:val="008C6D96"/>
    <w:rsid w:val="008C6F6F"/>
    <w:rsid w:val="008D0EE0"/>
    <w:rsid w:val="008F4CA2"/>
    <w:rsid w:val="008F4F1C"/>
    <w:rsid w:val="008F5EC9"/>
    <w:rsid w:val="008F77C4"/>
    <w:rsid w:val="00902F16"/>
    <w:rsid w:val="009103F3"/>
    <w:rsid w:val="00920A3A"/>
    <w:rsid w:val="00932377"/>
    <w:rsid w:val="00933A57"/>
    <w:rsid w:val="00941DC7"/>
    <w:rsid w:val="00951A46"/>
    <w:rsid w:val="00967042"/>
    <w:rsid w:val="0098255A"/>
    <w:rsid w:val="009845BE"/>
    <w:rsid w:val="00985584"/>
    <w:rsid w:val="009969C9"/>
    <w:rsid w:val="009A062C"/>
    <w:rsid w:val="009A17F2"/>
    <w:rsid w:val="009C0E72"/>
    <w:rsid w:val="009C4B83"/>
    <w:rsid w:val="009D0E45"/>
    <w:rsid w:val="009F5F36"/>
    <w:rsid w:val="00A10775"/>
    <w:rsid w:val="00A13127"/>
    <w:rsid w:val="00A231E2"/>
    <w:rsid w:val="00A36C48"/>
    <w:rsid w:val="00A41E0B"/>
    <w:rsid w:val="00A456DF"/>
    <w:rsid w:val="00A518B0"/>
    <w:rsid w:val="00A55631"/>
    <w:rsid w:val="00A55E67"/>
    <w:rsid w:val="00A64912"/>
    <w:rsid w:val="00A70A74"/>
    <w:rsid w:val="00A83DFC"/>
    <w:rsid w:val="00AA3795"/>
    <w:rsid w:val="00AA5014"/>
    <w:rsid w:val="00AC1E75"/>
    <w:rsid w:val="00AD4A4D"/>
    <w:rsid w:val="00AD5641"/>
    <w:rsid w:val="00AD5747"/>
    <w:rsid w:val="00AE1088"/>
    <w:rsid w:val="00AF1BA4"/>
    <w:rsid w:val="00B0270C"/>
    <w:rsid w:val="00B032D8"/>
    <w:rsid w:val="00B23A8D"/>
    <w:rsid w:val="00B242A5"/>
    <w:rsid w:val="00B33B3C"/>
    <w:rsid w:val="00B36DF3"/>
    <w:rsid w:val="00B6382D"/>
    <w:rsid w:val="00B80CCE"/>
    <w:rsid w:val="00B87DF3"/>
    <w:rsid w:val="00BA204C"/>
    <w:rsid w:val="00BA5026"/>
    <w:rsid w:val="00BB21EB"/>
    <w:rsid w:val="00BB40BF"/>
    <w:rsid w:val="00BB60F6"/>
    <w:rsid w:val="00BC01EA"/>
    <w:rsid w:val="00BC0CD1"/>
    <w:rsid w:val="00BD67B1"/>
    <w:rsid w:val="00BE2E38"/>
    <w:rsid w:val="00BE719A"/>
    <w:rsid w:val="00BE720A"/>
    <w:rsid w:val="00BF033B"/>
    <w:rsid w:val="00BF0461"/>
    <w:rsid w:val="00BF4944"/>
    <w:rsid w:val="00C04409"/>
    <w:rsid w:val="00C067E5"/>
    <w:rsid w:val="00C164CA"/>
    <w:rsid w:val="00C174E4"/>
    <w:rsid w:val="00C1765D"/>
    <w:rsid w:val="00C176CF"/>
    <w:rsid w:val="00C20C28"/>
    <w:rsid w:val="00C23273"/>
    <w:rsid w:val="00C27B8F"/>
    <w:rsid w:val="00C42BF8"/>
    <w:rsid w:val="00C460AE"/>
    <w:rsid w:val="00C50043"/>
    <w:rsid w:val="00C54E84"/>
    <w:rsid w:val="00C62C84"/>
    <w:rsid w:val="00C7573B"/>
    <w:rsid w:val="00C76CF3"/>
    <w:rsid w:val="00C93751"/>
    <w:rsid w:val="00CB6871"/>
    <w:rsid w:val="00CC6FE4"/>
    <w:rsid w:val="00CD1062"/>
    <w:rsid w:val="00CE142B"/>
    <w:rsid w:val="00CE189E"/>
    <w:rsid w:val="00CE1E31"/>
    <w:rsid w:val="00CE2BA1"/>
    <w:rsid w:val="00CE44F7"/>
    <w:rsid w:val="00CF0BB2"/>
    <w:rsid w:val="00D00EAA"/>
    <w:rsid w:val="00D06EAB"/>
    <w:rsid w:val="00D13441"/>
    <w:rsid w:val="00D243A3"/>
    <w:rsid w:val="00D477C3"/>
    <w:rsid w:val="00D52EFE"/>
    <w:rsid w:val="00D63C0D"/>
    <w:rsid w:val="00D63EF6"/>
    <w:rsid w:val="00D70DFB"/>
    <w:rsid w:val="00D73029"/>
    <w:rsid w:val="00D766DF"/>
    <w:rsid w:val="00DA1271"/>
    <w:rsid w:val="00DA4C83"/>
    <w:rsid w:val="00DF7AE9"/>
    <w:rsid w:val="00E05704"/>
    <w:rsid w:val="00E24D66"/>
    <w:rsid w:val="00E34745"/>
    <w:rsid w:val="00E54040"/>
    <w:rsid w:val="00E54292"/>
    <w:rsid w:val="00E55E2B"/>
    <w:rsid w:val="00E74DC7"/>
    <w:rsid w:val="00E87699"/>
    <w:rsid w:val="00ED492F"/>
    <w:rsid w:val="00EE7D0B"/>
    <w:rsid w:val="00EF2E3A"/>
    <w:rsid w:val="00F047E2"/>
    <w:rsid w:val="00F078DC"/>
    <w:rsid w:val="00F13E86"/>
    <w:rsid w:val="00F17B00"/>
    <w:rsid w:val="00F52612"/>
    <w:rsid w:val="00F57AE1"/>
    <w:rsid w:val="00F6432A"/>
    <w:rsid w:val="00F677A9"/>
    <w:rsid w:val="00F75C12"/>
    <w:rsid w:val="00F84CF5"/>
    <w:rsid w:val="00F92559"/>
    <w:rsid w:val="00F92D35"/>
    <w:rsid w:val="00FA420B"/>
    <w:rsid w:val="00FC4FF3"/>
    <w:rsid w:val="00FD1E13"/>
    <w:rsid w:val="00FE41C9"/>
    <w:rsid w:val="00FE7F93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0C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0C28"/>
  </w:style>
  <w:style w:type="paragraph" w:customStyle="1" w:styleId="OPCParaBase">
    <w:name w:val="OPCParaBase"/>
    <w:link w:val="OPCParaBaseChar"/>
    <w:qFormat/>
    <w:rsid w:val="00C20C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20C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0C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0C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0C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0C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20C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0C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0C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0C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0C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20C28"/>
  </w:style>
  <w:style w:type="paragraph" w:customStyle="1" w:styleId="Blocks">
    <w:name w:val="Blocks"/>
    <w:aliases w:val="bb"/>
    <w:basedOn w:val="OPCParaBase"/>
    <w:qFormat/>
    <w:rsid w:val="00C20C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0C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0C28"/>
    <w:rPr>
      <w:i/>
    </w:rPr>
  </w:style>
  <w:style w:type="paragraph" w:customStyle="1" w:styleId="BoxList">
    <w:name w:val="BoxList"/>
    <w:aliases w:val="bl"/>
    <w:basedOn w:val="BoxText"/>
    <w:qFormat/>
    <w:rsid w:val="00C20C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0C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0C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0C28"/>
    <w:pPr>
      <w:ind w:left="1985" w:hanging="851"/>
    </w:pPr>
  </w:style>
  <w:style w:type="character" w:customStyle="1" w:styleId="CharAmPartNo">
    <w:name w:val="CharAmPartNo"/>
    <w:basedOn w:val="OPCCharBase"/>
    <w:qFormat/>
    <w:rsid w:val="00C20C28"/>
  </w:style>
  <w:style w:type="character" w:customStyle="1" w:styleId="CharAmPartText">
    <w:name w:val="CharAmPartText"/>
    <w:basedOn w:val="OPCCharBase"/>
    <w:qFormat/>
    <w:rsid w:val="00C20C28"/>
  </w:style>
  <w:style w:type="character" w:customStyle="1" w:styleId="CharAmSchNo">
    <w:name w:val="CharAmSchNo"/>
    <w:basedOn w:val="OPCCharBase"/>
    <w:qFormat/>
    <w:rsid w:val="00C20C28"/>
  </w:style>
  <w:style w:type="character" w:customStyle="1" w:styleId="CharAmSchText">
    <w:name w:val="CharAmSchText"/>
    <w:basedOn w:val="OPCCharBase"/>
    <w:qFormat/>
    <w:rsid w:val="00C20C28"/>
  </w:style>
  <w:style w:type="character" w:customStyle="1" w:styleId="CharBoldItalic">
    <w:name w:val="CharBoldItalic"/>
    <w:basedOn w:val="OPCCharBase"/>
    <w:uiPriority w:val="1"/>
    <w:qFormat/>
    <w:rsid w:val="00C20C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0C28"/>
  </w:style>
  <w:style w:type="character" w:customStyle="1" w:styleId="CharChapText">
    <w:name w:val="CharChapText"/>
    <w:basedOn w:val="OPCCharBase"/>
    <w:uiPriority w:val="1"/>
    <w:qFormat/>
    <w:rsid w:val="00C20C28"/>
  </w:style>
  <w:style w:type="character" w:customStyle="1" w:styleId="CharDivNo">
    <w:name w:val="CharDivNo"/>
    <w:basedOn w:val="OPCCharBase"/>
    <w:uiPriority w:val="1"/>
    <w:qFormat/>
    <w:rsid w:val="00C20C28"/>
  </w:style>
  <w:style w:type="character" w:customStyle="1" w:styleId="CharDivText">
    <w:name w:val="CharDivText"/>
    <w:basedOn w:val="OPCCharBase"/>
    <w:uiPriority w:val="1"/>
    <w:qFormat/>
    <w:rsid w:val="00C20C28"/>
  </w:style>
  <w:style w:type="character" w:customStyle="1" w:styleId="CharItalic">
    <w:name w:val="CharItalic"/>
    <w:basedOn w:val="OPCCharBase"/>
    <w:uiPriority w:val="1"/>
    <w:qFormat/>
    <w:rsid w:val="00C20C28"/>
    <w:rPr>
      <w:i/>
    </w:rPr>
  </w:style>
  <w:style w:type="character" w:customStyle="1" w:styleId="CharPartNo">
    <w:name w:val="CharPartNo"/>
    <w:basedOn w:val="OPCCharBase"/>
    <w:uiPriority w:val="1"/>
    <w:qFormat/>
    <w:rsid w:val="00C20C28"/>
  </w:style>
  <w:style w:type="character" w:customStyle="1" w:styleId="CharPartText">
    <w:name w:val="CharPartText"/>
    <w:basedOn w:val="OPCCharBase"/>
    <w:uiPriority w:val="1"/>
    <w:qFormat/>
    <w:rsid w:val="00C20C28"/>
  </w:style>
  <w:style w:type="character" w:customStyle="1" w:styleId="CharSectno">
    <w:name w:val="CharSectno"/>
    <w:basedOn w:val="OPCCharBase"/>
    <w:qFormat/>
    <w:rsid w:val="00C20C28"/>
  </w:style>
  <w:style w:type="character" w:customStyle="1" w:styleId="CharSubdNo">
    <w:name w:val="CharSubdNo"/>
    <w:basedOn w:val="OPCCharBase"/>
    <w:uiPriority w:val="1"/>
    <w:qFormat/>
    <w:rsid w:val="00C20C28"/>
  </w:style>
  <w:style w:type="character" w:customStyle="1" w:styleId="CharSubdText">
    <w:name w:val="CharSubdText"/>
    <w:basedOn w:val="OPCCharBase"/>
    <w:uiPriority w:val="1"/>
    <w:qFormat/>
    <w:rsid w:val="00C20C28"/>
  </w:style>
  <w:style w:type="paragraph" w:customStyle="1" w:styleId="CTA--">
    <w:name w:val="CTA --"/>
    <w:basedOn w:val="OPCParaBase"/>
    <w:next w:val="Normal"/>
    <w:rsid w:val="00C20C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0C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0C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0C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0C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0C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0C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0C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0C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0C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0C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0C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0C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0C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20C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0C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0C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0C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0C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0C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0C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0C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0C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0C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0C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0C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0C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0C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0C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0C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0C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0C2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0C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0C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0C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20C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0C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0C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0C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0C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0C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0C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0C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0C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0C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0C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0C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0C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0C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0C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0C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0C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0C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0C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20C2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20C2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20C2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20C2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20C2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20C2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20C2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20C2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20C2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20C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0C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0C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0C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0C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0C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0C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0C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20C28"/>
    <w:rPr>
      <w:sz w:val="16"/>
    </w:rPr>
  </w:style>
  <w:style w:type="table" w:customStyle="1" w:styleId="CFlag">
    <w:name w:val="CFlag"/>
    <w:basedOn w:val="TableNormal"/>
    <w:uiPriority w:val="99"/>
    <w:rsid w:val="00C20C2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20C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0C2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20C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0C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20C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0C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0C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0C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0C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20C28"/>
    <w:pPr>
      <w:spacing w:before="120"/>
    </w:pPr>
  </w:style>
  <w:style w:type="paragraph" w:customStyle="1" w:styleId="TableTextEndNotes">
    <w:name w:val="TableTextEndNotes"/>
    <w:aliases w:val="Tten"/>
    <w:basedOn w:val="Normal"/>
    <w:rsid w:val="00C20C2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20C2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20C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0C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0C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0C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0C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0C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0C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0C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0C2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20C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20C28"/>
  </w:style>
  <w:style w:type="character" w:customStyle="1" w:styleId="CharSubPartNoCASA">
    <w:name w:val="CharSubPartNo(CASA)"/>
    <w:basedOn w:val="OPCCharBase"/>
    <w:uiPriority w:val="1"/>
    <w:rsid w:val="00C20C28"/>
  </w:style>
  <w:style w:type="paragraph" w:customStyle="1" w:styleId="ENoteTTIndentHeadingSub">
    <w:name w:val="ENoteTTIndentHeadingSub"/>
    <w:aliases w:val="enTTHis"/>
    <w:basedOn w:val="OPCParaBase"/>
    <w:rsid w:val="00C20C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0C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0C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0C2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2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20C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0C28"/>
    <w:rPr>
      <w:sz w:val="22"/>
    </w:rPr>
  </w:style>
  <w:style w:type="paragraph" w:customStyle="1" w:styleId="SOTextNote">
    <w:name w:val="SO TextNote"/>
    <w:aliases w:val="sont"/>
    <w:basedOn w:val="SOText"/>
    <w:qFormat/>
    <w:rsid w:val="00C20C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0C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0C28"/>
    <w:rPr>
      <w:sz w:val="22"/>
    </w:rPr>
  </w:style>
  <w:style w:type="paragraph" w:customStyle="1" w:styleId="FileName">
    <w:name w:val="FileName"/>
    <w:basedOn w:val="Normal"/>
    <w:rsid w:val="00C20C2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0C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0C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0C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0C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0C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0C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0C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0C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0C28"/>
    <w:rPr>
      <w:sz w:val="22"/>
    </w:rPr>
  </w:style>
  <w:style w:type="character" w:customStyle="1" w:styleId="charst1">
    <w:name w:val="charst1"/>
    <w:basedOn w:val="DefaultParagraphFont"/>
    <w:rsid w:val="00F6432A"/>
  </w:style>
  <w:style w:type="character" w:customStyle="1" w:styleId="paragraphChar">
    <w:name w:val="paragraph Char"/>
    <w:aliases w:val="a Char"/>
    <w:basedOn w:val="DefaultParagraphFont"/>
    <w:link w:val="paragraph"/>
    <w:locked/>
    <w:rsid w:val="009A17F2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7D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7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D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8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03704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3704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3704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3704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3704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3704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3704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3704E"/>
  </w:style>
  <w:style w:type="character" w:customStyle="1" w:styleId="ShortTCPChar">
    <w:name w:val="ShortTCP Char"/>
    <w:basedOn w:val="ShortTChar"/>
    <w:link w:val="ShortTCP"/>
    <w:rsid w:val="0003704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3704E"/>
    <w:pPr>
      <w:spacing w:before="400"/>
    </w:pPr>
  </w:style>
  <w:style w:type="character" w:customStyle="1" w:styleId="ActNoCPChar">
    <w:name w:val="ActNoCP Char"/>
    <w:basedOn w:val="ActnoChar"/>
    <w:link w:val="ActNoCP"/>
    <w:rsid w:val="0003704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3704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E2BA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E2BA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E2BA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0C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0C28"/>
  </w:style>
  <w:style w:type="paragraph" w:customStyle="1" w:styleId="OPCParaBase">
    <w:name w:val="OPCParaBase"/>
    <w:link w:val="OPCParaBaseChar"/>
    <w:qFormat/>
    <w:rsid w:val="00C20C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20C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0C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0C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0C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0C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20C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0C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0C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0C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0C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20C28"/>
  </w:style>
  <w:style w:type="paragraph" w:customStyle="1" w:styleId="Blocks">
    <w:name w:val="Blocks"/>
    <w:aliases w:val="bb"/>
    <w:basedOn w:val="OPCParaBase"/>
    <w:qFormat/>
    <w:rsid w:val="00C20C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0C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0C28"/>
    <w:rPr>
      <w:i/>
    </w:rPr>
  </w:style>
  <w:style w:type="paragraph" w:customStyle="1" w:styleId="BoxList">
    <w:name w:val="BoxList"/>
    <w:aliases w:val="bl"/>
    <w:basedOn w:val="BoxText"/>
    <w:qFormat/>
    <w:rsid w:val="00C20C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0C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0C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0C28"/>
    <w:pPr>
      <w:ind w:left="1985" w:hanging="851"/>
    </w:pPr>
  </w:style>
  <w:style w:type="character" w:customStyle="1" w:styleId="CharAmPartNo">
    <w:name w:val="CharAmPartNo"/>
    <w:basedOn w:val="OPCCharBase"/>
    <w:qFormat/>
    <w:rsid w:val="00C20C28"/>
  </w:style>
  <w:style w:type="character" w:customStyle="1" w:styleId="CharAmPartText">
    <w:name w:val="CharAmPartText"/>
    <w:basedOn w:val="OPCCharBase"/>
    <w:qFormat/>
    <w:rsid w:val="00C20C28"/>
  </w:style>
  <w:style w:type="character" w:customStyle="1" w:styleId="CharAmSchNo">
    <w:name w:val="CharAmSchNo"/>
    <w:basedOn w:val="OPCCharBase"/>
    <w:qFormat/>
    <w:rsid w:val="00C20C28"/>
  </w:style>
  <w:style w:type="character" w:customStyle="1" w:styleId="CharAmSchText">
    <w:name w:val="CharAmSchText"/>
    <w:basedOn w:val="OPCCharBase"/>
    <w:qFormat/>
    <w:rsid w:val="00C20C28"/>
  </w:style>
  <w:style w:type="character" w:customStyle="1" w:styleId="CharBoldItalic">
    <w:name w:val="CharBoldItalic"/>
    <w:basedOn w:val="OPCCharBase"/>
    <w:uiPriority w:val="1"/>
    <w:qFormat/>
    <w:rsid w:val="00C20C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0C28"/>
  </w:style>
  <w:style w:type="character" w:customStyle="1" w:styleId="CharChapText">
    <w:name w:val="CharChapText"/>
    <w:basedOn w:val="OPCCharBase"/>
    <w:uiPriority w:val="1"/>
    <w:qFormat/>
    <w:rsid w:val="00C20C28"/>
  </w:style>
  <w:style w:type="character" w:customStyle="1" w:styleId="CharDivNo">
    <w:name w:val="CharDivNo"/>
    <w:basedOn w:val="OPCCharBase"/>
    <w:uiPriority w:val="1"/>
    <w:qFormat/>
    <w:rsid w:val="00C20C28"/>
  </w:style>
  <w:style w:type="character" w:customStyle="1" w:styleId="CharDivText">
    <w:name w:val="CharDivText"/>
    <w:basedOn w:val="OPCCharBase"/>
    <w:uiPriority w:val="1"/>
    <w:qFormat/>
    <w:rsid w:val="00C20C28"/>
  </w:style>
  <w:style w:type="character" w:customStyle="1" w:styleId="CharItalic">
    <w:name w:val="CharItalic"/>
    <w:basedOn w:val="OPCCharBase"/>
    <w:uiPriority w:val="1"/>
    <w:qFormat/>
    <w:rsid w:val="00C20C28"/>
    <w:rPr>
      <w:i/>
    </w:rPr>
  </w:style>
  <w:style w:type="character" w:customStyle="1" w:styleId="CharPartNo">
    <w:name w:val="CharPartNo"/>
    <w:basedOn w:val="OPCCharBase"/>
    <w:uiPriority w:val="1"/>
    <w:qFormat/>
    <w:rsid w:val="00C20C28"/>
  </w:style>
  <w:style w:type="character" w:customStyle="1" w:styleId="CharPartText">
    <w:name w:val="CharPartText"/>
    <w:basedOn w:val="OPCCharBase"/>
    <w:uiPriority w:val="1"/>
    <w:qFormat/>
    <w:rsid w:val="00C20C28"/>
  </w:style>
  <w:style w:type="character" w:customStyle="1" w:styleId="CharSectno">
    <w:name w:val="CharSectno"/>
    <w:basedOn w:val="OPCCharBase"/>
    <w:qFormat/>
    <w:rsid w:val="00C20C28"/>
  </w:style>
  <w:style w:type="character" w:customStyle="1" w:styleId="CharSubdNo">
    <w:name w:val="CharSubdNo"/>
    <w:basedOn w:val="OPCCharBase"/>
    <w:uiPriority w:val="1"/>
    <w:qFormat/>
    <w:rsid w:val="00C20C28"/>
  </w:style>
  <w:style w:type="character" w:customStyle="1" w:styleId="CharSubdText">
    <w:name w:val="CharSubdText"/>
    <w:basedOn w:val="OPCCharBase"/>
    <w:uiPriority w:val="1"/>
    <w:qFormat/>
    <w:rsid w:val="00C20C28"/>
  </w:style>
  <w:style w:type="paragraph" w:customStyle="1" w:styleId="CTA--">
    <w:name w:val="CTA --"/>
    <w:basedOn w:val="OPCParaBase"/>
    <w:next w:val="Normal"/>
    <w:rsid w:val="00C20C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0C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0C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0C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0C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0C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0C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0C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0C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0C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0C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0C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0C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0C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20C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0C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0C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0C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0C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0C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0C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0C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0C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0C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0C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0C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0C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0C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0C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0C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0C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0C2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0C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0C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0C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20C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0C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0C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0C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0C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0C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0C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0C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0C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0C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0C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0C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0C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0C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0C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0C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0C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0C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0C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20C2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20C2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20C2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20C2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20C2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20C2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20C2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20C2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20C2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20C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0C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0C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0C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0C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0C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0C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0C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20C28"/>
    <w:rPr>
      <w:sz w:val="16"/>
    </w:rPr>
  </w:style>
  <w:style w:type="table" w:customStyle="1" w:styleId="CFlag">
    <w:name w:val="CFlag"/>
    <w:basedOn w:val="TableNormal"/>
    <w:uiPriority w:val="99"/>
    <w:rsid w:val="00C20C2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20C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0C2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20C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0C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20C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0C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0C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0C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0C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20C28"/>
    <w:pPr>
      <w:spacing w:before="120"/>
    </w:pPr>
  </w:style>
  <w:style w:type="paragraph" w:customStyle="1" w:styleId="TableTextEndNotes">
    <w:name w:val="TableTextEndNotes"/>
    <w:aliases w:val="Tten"/>
    <w:basedOn w:val="Normal"/>
    <w:rsid w:val="00C20C2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20C2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20C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0C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0C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0C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0C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0C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0C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0C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0C2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20C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20C28"/>
  </w:style>
  <w:style w:type="character" w:customStyle="1" w:styleId="CharSubPartNoCASA">
    <w:name w:val="CharSubPartNo(CASA)"/>
    <w:basedOn w:val="OPCCharBase"/>
    <w:uiPriority w:val="1"/>
    <w:rsid w:val="00C20C28"/>
  </w:style>
  <w:style w:type="paragraph" w:customStyle="1" w:styleId="ENoteTTIndentHeadingSub">
    <w:name w:val="ENoteTTIndentHeadingSub"/>
    <w:aliases w:val="enTTHis"/>
    <w:basedOn w:val="OPCParaBase"/>
    <w:rsid w:val="00C20C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0C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0C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0C2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2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20C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0C28"/>
    <w:rPr>
      <w:sz w:val="22"/>
    </w:rPr>
  </w:style>
  <w:style w:type="paragraph" w:customStyle="1" w:styleId="SOTextNote">
    <w:name w:val="SO TextNote"/>
    <w:aliases w:val="sont"/>
    <w:basedOn w:val="SOText"/>
    <w:qFormat/>
    <w:rsid w:val="00C20C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0C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0C28"/>
    <w:rPr>
      <w:sz w:val="22"/>
    </w:rPr>
  </w:style>
  <w:style w:type="paragraph" w:customStyle="1" w:styleId="FileName">
    <w:name w:val="FileName"/>
    <w:basedOn w:val="Normal"/>
    <w:rsid w:val="00C20C2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0C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0C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0C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0C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0C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0C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0C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0C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0C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0C28"/>
    <w:rPr>
      <w:sz w:val="22"/>
    </w:rPr>
  </w:style>
  <w:style w:type="character" w:customStyle="1" w:styleId="charst1">
    <w:name w:val="charst1"/>
    <w:basedOn w:val="DefaultParagraphFont"/>
    <w:rsid w:val="00F6432A"/>
  </w:style>
  <w:style w:type="character" w:customStyle="1" w:styleId="paragraphChar">
    <w:name w:val="paragraph Char"/>
    <w:aliases w:val="a Char"/>
    <w:basedOn w:val="DefaultParagraphFont"/>
    <w:link w:val="paragraph"/>
    <w:locked/>
    <w:rsid w:val="009A17F2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7D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7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D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8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03704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3704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3704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3704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3704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3704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3704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3704E"/>
  </w:style>
  <w:style w:type="character" w:customStyle="1" w:styleId="ShortTCPChar">
    <w:name w:val="ShortTCP Char"/>
    <w:basedOn w:val="ShortTChar"/>
    <w:link w:val="ShortTCP"/>
    <w:rsid w:val="0003704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3704E"/>
    <w:pPr>
      <w:spacing w:before="400"/>
    </w:pPr>
  </w:style>
  <w:style w:type="character" w:customStyle="1" w:styleId="ActNoCPChar">
    <w:name w:val="ActNoCP Char"/>
    <w:basedOn w:val="ActnoChar"/>
    <w:link w:val="ActNoCP"/>
    <w:rsid w:val="0003704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3704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E2BA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E2BA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E2BA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2573</Words>
  <Characters>11169</Characters>
  <Application>Microsoft Office Word</Application>
  <DocSecurity>0</DocSecurity>
  <PresentationFormat/>
  <Lines>1116</Lines>
  <Paragraphs>981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2015-04-20T04:52:00Z</dcterms:created>
  <dcterms:modified xsi:type="dcterms:W3CDTF">2015-04-20T04:54:00Z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River Co. Limited Act 2015</vt:lpwstr>
  </property>
  <property fmtid="{D5CDD505-2E9C-101B-9397-08002B2CF9AE}" pid="3" name="Actno">
    <vt:lpwstr>No. 27, 2015</vt:lpwstr>
  </property>
</Properties>
</file>