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0" w:rsidRDefault="00A467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2B6B70" w:rsidRDefault="002B6B70"/>
    <w:p w:rsidR="002B6B70" w:rsidRDefault="002B6B70" w:rsidP="002B6B70">
      <w:pPr>
        <w:spacing w:line="240" w:lineRule="auto"/>
      </w:pPr>
    </w:p>
    <w:p w:rsidR="002B6B70" w:rsidRDefault="002B6B70" w:rsidP="002B6B70"/>
    <w:p w:rsidR="002B6B70" w:rsidRDefault="002B6B70" w:rsidP="002B6B70"/>
    <w:p w:rsidR="002B6B70" w:rsidRDefault="002B6B70" w:rsidP="002B6B70"/>
    <w:p w:rsidR="002B6B70" w:rsidRDefault="002B6B70" w:rsidP="002B6B70"/>
    <w:p w:rsidR="0048364F" w:rsidRPr="00E661B1" w:rsidRDefault="00126CB2" w:rsidP="0048364F">
      <w:pPr>
        <w:pStyle w:val="ShortT"/>
      </w:pPr>
      <w:r w:rsidRPr="00E661B1">
        <w:t>Gene Technology Amendment</w:t>
      </w:r>
      <w:r w:rsidR="00C164CA" w:rsidRPr="00E661B1">
        <w:t xml:space="preserve"> </w:t>
      </w:r>
      <w:r w:rsidR="002B6B70">
        <w:t>Act</w:t>
      </w:r>
      <w:r w:rsidR="00C164CA" w:rsidRPr="00E661B1">
        <w:t xml:space="preserve"> 201</w:t>
      </w:r>
      <w:r w:rsidR="00C606AC" w:rsidRPr="00E661B1">
        <w:t>5</w:t>
      </w:r>
    </w:p>
    <w:p w:rsidR="0048364F" w:rsidRPr="00E661B1" w:rsidRDefault="0048364F" w:rsidP="0048364F"/>
    <w:p w:rsidR="0048364F" w:rsidRPr="00E661B1" w:rsidRDefault="00C164CA" w:rsidP="002B6B70">
      <w:pPr>
        <w:pStyle w:val="Actno"/>
        <w:spacing w:before="400"/>
      </w:pPr>
      <w:r w:rsidRPr="00E661B1">
        <w:t>No.</w:t>
      </w:r>
      <w:r w:rsidR="00344994">
        <w:t xml:space="preserve"> 121</w:t>
      </w:r>
      <w:r w:rsidRPr="00E661B1">
        <w:t>, 201</w:t>
      </w:r>
      <w:r w:rsidR="00C606AC" w:rsidRPr="00E661B1">
        <w:t>5</w:t>
      </w:r>
    </w:p>
    <w:p w:rsidR="0048364F" w:rsidRPr="00E661B1" w:rsidRDefault="0048364F" w:rsidP="0048364F"/>
    <w:p w:rsidR="002B6B70" w:rsidRDefault="002B6B70" w:rsidP="002B6B70"/>
    <w:p w:rsidR="002B6B70" w:rsidRDefault="002B6B70" w:rsidP="002B6B70"/>
    <w:p w:rsidR="002B6B70" w:rsidRDefault="002B6B70" w:rsidP="002B6B70"/>
    <w:p w:rsidR="002B6B70" w:rsidRDefault="002B6B70" w:rsidP="002B6B70"/>
    <w:p w:rsidR="0048364F" w:rsidRPr="00E661B1" w:rsidRDefault="002B6B70" w:rsidP="0048364F">
      <w:pPr>
        <w:pStyle w:val="LongT"/>
      </w:pPr>
      <w:r>
        <w:t>An Act</w:t>
      </w:r>
      <w:r w:rsidR="00A87F41" w:rsidRPr="00E661B1">
        <w:t xml:space="preserve"> to amend the </w:t>
      </w:r>
      <w:r w:rsidR="00A87F41" w:rsidRPr="00E661B1">
        <w:rPr>
          <w:i/>
          <w:iCs/>
        </w:rPr>
        <w:t>Gene Technology Act 2000</w:t>
      </w:r>
      <w:r w:rsidR="0048364F" w:rsidRPr="00E661B1">
        <w:t>, and for related purposes</w:t>
      </w:r>
    </w:p>
    <w:p w:rsidR="00C746C9" w:rsidRPr="00E661B1" w:rsidRDefault="00C746C9" w:rsidP="00E661B1">
      <w:pPr>
        <w:pStyle w:val="Header"/>
        <w:tabs>
          <w:tab w:val="clear" w:pos="4150"/>
          <w:tab w:val="clear" w:pos="8307"/>
        </w:tabs>
      </w:pPr>
      <w:r w:rsidRPr="00E661B1">
        <w:rPr>
          <w:rStyle w:val="CharAmSchNo"/>
        </w:rPr>
        <w:t xml:space="preserve"> </w:t>
      </w:r>
      <w:r w:rsidRPr="00E661B1">
        <w:rPr>
          <w:rStyle w:val="CharAmSchText"/>
        </w:rPr>
        <w:t xml:space="preserve"> </w:t>
      </w:r>
    </w:p>
    <w:p w:rsidR="00C746C9" w:rsidRPr="00E661B1" w:rsidRDefault="00C746C9" w:rsidP="00E661B1">
      <w:pPr>
        <w:pStyle w:val="Header"/>
        <w:tabs>
          <w:tab w:val="clear" w:pos="4150"/>
          <w:tab w:val="clear" w:pos="8307"/>
        </w:tabs>
      </w:pPr>
      <w:r w:rsidRPr="00E661B1">
        <w:rPr>
          <w:rStyle w:val="CharAmPartNo"/>
        </w:rPr>
        <w:t xml:space="preserve"> </w:t>
      </w:r>
      <w:r w:rsidRPr="00E661B1">
        <w:rPr>
          <w:rStyle w:val="CharAmPartText"/>
        </w:rPr>
        <w:t xml:space="preserve"> </w:t>
      </w:r>
    </w:p>
    <w:p w:rsidR="0048364F" w:rsidRPr="00E661B1" w:rsidRDefault="0048364F" w:rsidP="0048364F">
      <w:pPr>
        <w:sectPr w:rsidR="0048364F" w:rsidRPr="00E661B1" w:rsidSect="002B6B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661B1" w:rsidRDefault="0048364F" w:rsidP="00E753B3">
      <w:pPr>
        <w:rPr>
          <w:sz w:val="36"/>
        </w:rPr>
      </w:pPr>
      <w:r w:rsidRPr="00E661B1">
        <w:rPr>
          <w:sz w:val="36"/>
        </w:rPr>
        <w:lastRenderedPageBreak/>
        <w:t>Contents</w:t>
      </w:r>
    </w:p>
    <w:bookmarkStart w:id="0" w:name="BKCheck15B_1"/>
    <w:bookmarkEnd w:id="0"/>
    <w:p w:rsidR="00344994" w:rsidRDefault="00344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44994">
        <w:rPr>
          <w:noProof/>
        </w:rPr>
        <w:tab/>
      </w:r>
      <w:r w:rsidRPr="00344994">
        <w:rPr>
          <w:noProof/>
        </w:rPr>
        <w:fldChar w:fldCharType="begin"/>
      </w:r>
      <w:r w:rsidRPr="00344994">
        <w:rPr>
          <w:noProof/>
        </w:rPr>
        <w:instrText xml:space="preserve"> PAGEREF _Toc430004684 \h </w:instrText>
      </w:r>
      <w:r w:rsidRPr="00344994">
        <w:rPr>
          <w:noProof/>
        </w:rPr>
      </w:r>
      <w:r w:rsidRPr="00344994">
        <w:rPr>
          <w:noProof/>
        </w:rPr>
        <w:fldChar w:fldCharType="separate"/>
      </w:r>
      <w:r w:rsidR="00A46784">
        <w:rPr>
          <w:noProof/>
        </w:rPr>
        <w:t>1</w:t>
      </w:r>
      <w:r w:rsidRPr="00344994">
        <w:rPr>
          <w:noProof/>
        </w:rPr>
        <w:fldChar w:fldCharType="end"/>
      </w:r>
    </w:p>
    <w:p w:rsidR="00344994" w:rsidRDefault="00344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344994">
        <w:rPr>
          <w:noProof/>
        </w:rPr>
        <w:tab/>
      </w:r>
      <w:r w:rsidRPr="00344994">
        <w:rPr>
          <w:noProof/>
        </w:rPr>
        <w:fldChar w:fldCharType="begin"/>
      </w:r>
      <w:r w:rsidRPr="00344994">
        <w:rPr>
          <w:noProof/>
        </w:rPr>
        <w:instrText xml:space="preserve"> PAGEREF _Toc430004685 \h </w:instrText>
      </w:r>
      <w:r w:rsidRPr="00344994">
        <w:rPr>
          <w:noProof/>
        </w:rPr>
      </w:r>
      <w:r w:rsidRPr="00344994">
        <w:rPr>
          <w:noProof/>
        </w:rPr>
        <w:fldChar w:fldCharType="separate"/>
      </w:r>
      <w:r w:rsidR="00A46784">
        <w:rPr>
          <w:noProof/>
        </w:rPr>
        <w:t>1</w:t>
      </w:r>
      <w:r w:rsidRPr="00344994">
        <w:rPr>
          <w:noProof/>
        </w:rPr>
        <w:fldChar w:fldCharType="end"/>
      </w:r>
    </w:p>
    <w:p w:rsidR="00344994" w:rsidRDefault="00344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44994">
        <w:rPr>
          <w:noProof/>
        </w:rPr>
        <w:tab/>
      </w:r>
      <w:r w:rsidRPr="00344994">
        <w:rPr>
          <w:noProof/>
        </w:rPr>
        <w:fldChar w:fldCharType="begin"/>
      </w:r>
      <w:r w:rsidRPr="00344994">
        <w:rPr>
          <w:noProof/>
        </w:rPr>
        <w:instrText xml:space="preserve"> PAGEREF _Toc430004686 \h </w:instrText>
      </w:r>
      <w:r w:rsidRPr="00344994">
        <w:rPr>
          <w:noProof/>
        </w:rPr>
      </w:r>
      <w:r w:rsidRPr="00344994">
        <w:rPr>
          <w:noProof/>
        </w:rPr>
        <w:fldChar w:fldCharType="separate"/>
      </w:r>
      <w:r w:rsidR="00A46784">
        <w:rPr>
          <w:noProof/>
        </w:rPr>
        <w:t>2</w:t>
      </w:r>
      <w:r w:rsidRPr="00344994">
        <w:rPr>
          <w:noProof/>
        </w:rPr>
        <w:fldChar w:fldCharType="end"/>
      </w:r>
    </w:p>
    <w:p w:rsidR="00344994" w:rsidRDefault="003449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1—Gene Technology Act 2000</w:t>
      </w:r>
      <w:r w:rsidRPr="00344994">
        <w:rPr>
          <w:b w:val="0"/>
          <w:noProof/>
          <w:sz w:val="18"/>
        </w:rPr>
        <w:tab/>
      </w:r>
      <w:r w:rsidRPr="00344994">
        <w:rPr>
          <w:b w:val="0"/>
          <w:noProof/>
          <w:sz w:val="18"/>
        </w:rPr>
        <w:fldChar w:fldCharType="begin"/>
      </w:r>
      <w:r w:rsidRPr="00344994">
        <w:rPr>
          <w:b w:val="0"/>
          <w:noProof/>
          <w:sz w:val="18"/>
        </w:rPr>
        <w:instrText xml:space="preserve"> PAGEREF _Toc430004687 \h </w:instrText>
      </w:r>
      <w:r w:rsidRPr="00344994">
        <w:rPr>
          <w:b w:val="0"/>
          <w:noProof/>
          <w:sz w:val="18"/>
        </w:rPr>
      </w:r>
      <w:r w:rsidRPr="00344994">
        <w:rPr>
          <w:b w:val="0"/>
          <w:noProof/>
          <w:sz w:val="18"/>
        </w:rPr>
        <w:fldChar w:fldCharType="separate"/>
      </w:r>
      <w:r w:rsidR="00A46784">
        <w:rPr>
          <w:b w:val="0"/>
          <w:noProof/>
          <w:sz w:val="18"/>
        </w:rPr>
        <w:t>3</w:t>
      </w:r>
      <w:r w:rsidRPr="00344994">
        <w:rPr>
          <w:b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1—Reporting requirements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_Toc430004688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3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_Toc430004689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3</w:t>
      </w:r>
      <w:r w:rsidRPr="00344994">
        <w:rPr>
          <w:i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2—Inadvertent dealings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_Toc430004690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5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_Toc430004691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5</w:t>
      </w:r>
      <w:r w:rsidRPr="00344994">
        <w:rPr>
          <w:i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3—Public notification of risk assessment etc.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_Toc430004692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6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_Toc430004693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6</w:t>
      </w:r>
      <w:r w:rsidRPr="00344994">
        <w:rPr>
          <w:i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4—GM products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_Toc430004694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7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_Toc430004695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7</w:t>
      </w:r>
      <w:r w:rsidRPr="00344994">
        <w:rPr>
          <w:i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5—Restrictions on licence variations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_Toc430004698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9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_Toc430004699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9</w:t>
      </w:r>
      <w:r w:rsidRPr="00344994">
        <w:rPr>
          <w:i w:val="0"/>
          <w:noProof/>
          <w:sz w:val="18"/>
        </w:rPr>
        <w:fldChar w:fldCharType="end"/>
      </w:r>
    </w:p>
    <w:p w:rsidR="00344994" w:rsidRDefault="003449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6—Technical amendments</w:t>
      </w:r>
      <w:r w:rsidRPr="00344994">
        <w:rPr>
          <w:noProof/>
          <w:sz w:val="18"/>
        </w:rPr>
        <w:tab/>
      </w:r>
      <w:r w:rsidRPr="00344994">
        <w:rPr>
          <w:noProof/>
          <w:sz w:val="18"/>
        </w:rPr>
        <w:fldChar w:fldCharType="begin"/>
      </w:r>
      <w:r w:rsidRPr="00344994">
        <w:rPr>
          <w:noProof/>
          <w:sz w:val="18"/>
        </w:rPr>
        <w:instrText xml:space="preserve"> PAGEREF _Toc430004700 \h </w:instrText>
      </w:r>
      <w:r w:rsidRPr="00344994">
        <w:rPr>
          <w:noProof/>
          <w:sz w:val="18"/>
        </w:rPr>
      </w:r>
      <w:r w:rsidRPr="00344994">
        <w:rPr>
          <w:noProof/>
          <w:sz w:val="18"/>
        </w:rPr>
        <w:fldChar w:fldCharType="separate"/>
      </w:r>
      <w:r w:rsidR="00A46784">
        <w:rPr>
          <w:noProof/>
          <w:sz w:val="18"/>
        </w:rPr>
        <w:t>10</w:t>
      </w:r>
      <w:r w:rsidRPr="00344994">
        <w:rPr>
          <w:noProof/>
          <w:sz w:val="18"/>
        </w:rPr>
        <w:fldChar w:fldCharType="end"/>
      </w:r>
    </w:p>
    <w:p w:rsidR="00344994" w:rsidRDefault="00344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 Technology Act 2000</w:t>
      </w:r>
      <w:r w:rsidRPr="00344994">
        <w:rPr>
          <w:i w:val="0"/>
          <w:noProof/>
          <w:sz w:val="18"/>
        </w:rPr>
        <w:tab/>
      </w:r>
      <w:r w:rsidRPr="00344994">
        <w:rPr>
          <w:i w:val="0"/>
          <w:noProof/>
          <w:sz w:val="18"/>
        </w:rPr>
        <w:fldChar w:fldCharType="begin"/>
      </w:r>
      <w:r w:rsidRPr="00344994">
        <w:rPr>
          <w:i w:val="0"/>
          <w:noProof/>
          <w:sz w:val="18"/>
        </w:rPr>
        <w:instrText xml:space="preserve"> PAGEREF _Toc430004701 \h </w:instrText>
      </w:r>
      <w:r w:rsidRPr="00344994">
        <w:rPr>
          <w:i w:val="0"/>
          <w:noProof/>
          <w:sz w:val="18"/>
        </w:rPr>
      </w:r>
      <w:r w:rsidRPr="00344994">
        <w:rPr>
          <w:i w:val="0"/>
          <w:noProof/>
          <w:sz w:val="18"/>
        </w:rPr>
        <w:fldChar w:fldCharType="separate"/>
      </w:r>
      <w:r w:rsidR="00A46784">
        <w:rPr>
          <w:i w:val="0"/>
          <w:noProof/>
          <w:sz w:val="18"/>
        </w:rPr>
        <w:t>10</w:t>
      </w:r>
      <w:r w:rsidRPr="00344994">
        <w:rPr>
          <w:i w:val="0"/>
          <w:noProof/>
          <w:sz w:val="18"/>
        </w:rPr>
        <w:fldChar w:fldCharType="end"/>
      </w:r>
    </w:p>
    <w:p w:rsidR="00055B5C" w:rsidRPr="00E661B1" w:rsidRDefault="00344994" w:rsidP="0048364F">
      <w:r>
        <w:fldChar w:fldCharType="end"/>
      </w:r>
    </w:p>
    <w:p w:rsidR="00060FF9" w:rsidRPr="00E661B1" w:rsidRDefault="00060FF9" w:rsidP="0048364F"/>
    <w:p w:rsidR="00FE7F93" w:rsidRPr="00E661B1" w:rsidRDefault="00FE7F93" w:rsidP="0048364F">
      <w:pPr>
        <w:sectPr w:rsidR="00FE7F93" w:rsidRPr="00E661B1" w:rsidSect="002B6B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B6B70" w:rsidRDefault="00A46784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2B6B70" w:rsidRDefault="002B6B70"/>
    <w:p w:rsidR="002B6B70" w:rsidRDefault="002B6B70" w:rsidP="002B6B70">
      <w:pPr>
        <w:spacing w:line="240" w:lineRule="auto"/>
      </w:pPr>
    </w:p>
    <w:p w:rsidR="002B6B70" w:rsidRDefault="00A46784" w:rsidP="002B6B7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Gene Technology Amendment Act 2015</w:t>
      </w:r>
      <w:r>
        <w:rPr>
          <w:noProof/>
        </w:rPr>
        <w:fldChar w:fldCharType="end"/>
      </w:r>
    </w:p>
    <w:p w:rsidR="002B6B70" w:rsidRDefault="00A46784" w:rsidP="002B6B7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121, 2015</w:t>
      </w:r>
      <w:r>
        <w:rPr>
          <w:noProof/>
        </w:rPr>
        <w:fldChar w:fldCharType="end"/>
      </w:r>
    </w:p>
    <w:p w:rsidR="002B6B70" w:rsidRPr="009A0728" w:rsidRDefault="002B6B7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B6B70" w:rsidRPr="009A0728" w:rsidRDefault="002B6B70" w:rsidP="009A0728">
      <w:pPr>
        <w:spacing w:line="40" w:lineRule="exact"/>
        <w:rPr>
          <w:rFonts w:eastAsia="Calibri"/>
          <w:b/>
          <w:sz w:val="28"/>
        </w:rPr>
      </w:pPr>
    </w:p>
    <w:p w:rsidR="002B6B70" w:rsidRPr="009A0728" w:rsidRDefault="002B6B7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661B1" w:rsidRDefault="002B6B70" w:rsidP="00E661B1">
      <w:pPr>
        <w:pStyle w:val="Page1"/>
      </w:pPr>
      <w:r>
        <w:t>An Act</w:t>
      </w:r>
      <w:r w:rsidR="00E661B1" w:rsidRPr="00E661B1">
        <w:t xml:space="preserve"> to amend the </w:t>
      </w:r>
      <w:r w:rsidR="00E661B1" w:rsidRPr="00E661B1">
        <w:rPr>
          <w:i/>
          <w:iCs/>
        </w:rPr>
        <w:t>Gene Technology Act 2000</w:t>
      </w:r>
      <w:r w:rsidR="00E661B1" w:rsidRPr="00E661B1">
        <w:t>, and for related purposes</w:t>
      </w:r>
    </w:p>
    <w:p w:rsidR="00344994" w:rsidRDefault="0034499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2015</w:t>
      </w:r>
      <w:r>
        <w:rPr>
          <w:sz w:val="24"/>
        </w:rPr>
        <w:t>]</w:t>
      </w:r>
    </w:p>
    <w:p w:rsidR="0048364F" w:rsidRPr="00E661B1" w:rsidRDefault="0048364F" w:rsidP="00E661B1">
      <w:pPr>
        <w:spacing w:before="240" w:line="240" w:lineRule="auto"/>
        <w:rPr>
          <w:sz w:val="32"/>
        </w:rPr>
      </w:pPr>
      <w:r w:rsidRPr="00E661B1">
        <w:rPr>
          <w:sz w:val="32"/>
        </w:rPr>
        <w:t>The Parliament of Australia enacts:</w:t>
      </w:r>
    </w:p>
    <w:p w:rsidR="0048364F" w:rsidRPr="00E661B1" w:rsidRDefault="0048364F" w:rsidP="00E661B1">
      <w:pPr>
        <w:pStyle w:val="ActHead5"/>
      </w:pPr>
      <w:bookmarkStart w:id="2" w:name="_Toc430004684"/>
      <w:r w:rsidRPr="00E661B1">
        <w:rPr>
          <w:rStyle w:val="CharSectno"/>
        </w:rPr>
        <w:t>1</w:t>
      </w:r>
      <w:r w:rsidRPr="00E661B1">
        <w:t xml:space="preserve">  Short title</w:t>
      </w:r>
      <w:bookmarkEnd w:id="2"/>
    </w:p>
    <w:p w:rsidR="0048364F" w:rsidRPr="00E661B1" w:rsidRDefault="0048364F" w:rsidP="00E661B1">
      <w:pPr>
        <w:pStyle w:val="subsection"/>
      </w:pPr>
      <w:r w:rsidRPr="00E661B1">
        <w:tab/>
      </w:r>
      <w:r w:rsidRPr="00E661B1">
        <w:tab/>
        <w:t xml:space="preserve">This Act may be cited as the </w:t>
      </w:r>
      <w:r w:rsidR="00A87F41" w:rsidRPr="00E661B1">
        <w:rPr>
          <w:i/>
        </w:rPr>
        <w:t>Gene Technology Amendment</w:t>
      </w:r>
      <w:r w:rsidR="00C164CA" w:rsidRPr="00E661B1">
        <w:rPr>
          <w:i/>
        </w:rPr>
        <w:t xml:space="preserve"> Act 201</w:t>
      </w:r>
      <w:r w:rsidR="00C606AC" w:rsidRPr="00E661B1">
        <w:rPr>
          <w:i/>
        </w:rPr>
        <w:t>5</w:t>
      </w:r>
      <w:r w:rsidRPr="00E661B1">
        <w:t>.</w:t>
      </w:r>
    </w:p>
    <w:p w:rsidR="0048364F" w:rsidRPr="00E661B1" w:rsidRDefault="0048364F" w:rsidP="00E661B1">
      <w:pPr>
        <w:pStyle w:val="ActHead5"/>
      </w:pPr>
      <w:bookmarkStart w:id="3" w:name="_Toc430004685"/>
      <w:r w:rsidRPr="00E661B1">
        <w:rPr>
          <w:rStyle w:val="CharSectno"/>
        </w:rPr>
        <w:t>2</w:t>
      </w:r>
      <w:r w:rsidRPr="00E661B1">
        <w:t xml:space="preserve">  Commencement</w:t>
      </w:r>
      <w:bookmarkEnd w:id="3"/>
    </w:p>
    <w:p w:rsidR="008B464F" w:rsidRPr="00E661B1" w:rsidRDefault="008B464F" w:rsidP="00E661B1">
      <w:pPr>
        <w:pStyle w:val="subsection"/>
      </w:pPr>
      <w:r w:rsidRPr="00E661B1">
        <w:tab/>
        <w:t>(1)</w:t>
      </w:r>
      <w:r w:rsidRPr="00E661B1">
        <w:tab/>
        <w:t xml:space="preserve">Each provision of this Act specified in column 1 of the table commences, or is taken to have commenced, in accordance with </w:t>
      </w:r>
      <w:r w:rsidRPr="00E661B1">
        <w:lastRenderedPageBreak/>
        <w:t>column 2 of the table. Any other statement in column 2 has effect according to its terms.</w:t>
      </w:r>
    </w:p>
    <w:p w:rsidR="008B464F" w:rsidRPr="00E661B1" w:rsidRDefault="008B464F" w:rsidP="00E661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B464F" w:rsidRPr="00E661B1" w:rsidTr="008D02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Commencement information</w:t>
            </w:r>
          </w:p>
        </w:tc>
      </w:tr>
      <w:tr w:rsidR="008B464F" w:rsidRPr="00E661B1" w:rsidTr="008D027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Column 3</w:t>
            </w:r>
          </w:p>
        </w:tc>
      </w:tr>
      <w:tr w:rsidR="008B464F" w:rsidRPr="00E661B1" w:rsidTr="008D027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Heading"/>
            </w:pPr>
            <w:r w:rsidRPr="00E661B1">
              <w:t>Date/Details</w:t>
            </w:r>
          </w:p>
        </w:tc>
      </w:tr>
      <w:tr w:rsidR="008B464F" w:rsidRPr="00E661B1" w:rsidTr="008D0275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text"/>
            </w:pPr>
            <w:r w:rsidRPr="00E661B1">
              <w:t>1.  Sections</w:t>
            </w:r>
            <w:r w:rsidR="00E661B1" w:rsidRPr="00E661B1">
              <w:t> </w:t>
            </w:r>
            <w:r w:rsidRPr="00E661B1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text"/>
            </w:pPr>
            <w:r w:rsidRPr="00E661B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464F" w:rsidRPr="00E661B1" w:rsidRDefault="00344994" w:rsidP="00E661B1">
            <w:pPr>
              <w:pStyle w:val="Tabletext"/>
            </w:pPr>
            <w:r>
              <w:t>10 September 2015</w:t>
            </w:r>
          </w:p>
        </w:tc>
      </w:tr>
      <w:tr w:rsidR="008B464F" w:rsidRPr="00E661B1" w:rsidTr="008D027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8B464F" w:rsidRPr="00E661B1" w:rsidRDefault="008B464F" w:rsidP="00E661B1">
            <w:pPr>
              <w:pStyle w:val="Tabletext"/>
            </w:pPr>
            <w:r w:rsidRPr="00E661B1">
              <w:t>2.  Schedule</w:t>
            </w:r>
            <w:r w:rsidR="00E661B1" w:rsidRPr="00E661B1">
              <w:t> </w:t>
            </w:r>
            <w:r w:rsidRPr="00E661B1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8B464F" w:rsidRPr="00E661B1" w:rsidRDefault="008B464F" w:rsidP="00E661B1">
            <w:pPr>
              <w:pStyle w:val="Tabletext"/>
            </w:pPr>
            <w:r w:rsidRPr="00E661B1">
              <w:t>A single day to be fixed by Proclamation.</w:t>
            </w:r>
          </w:p>
          <w:p w:rsidR="008B464F" w:rsidRPr="00E661B1" w:rsidRDefault="008B464F" w:rsidP="00E661B1">
            <w:pPr>
              <w:pStyle w:val="Tabletext"/>
            </w:pPr>
            <w:r w:rsidRPr="00E661B1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8B464F" w:rsidRPr="00E661B1" w:rsidRDefault="00A46784" w:rsidP="00E661B1">
            <w:pPr>
              <w:pStyle w:val="Tabletext"/>
            </w:pPr>
            <w:r>
              <w:t>10 March 2016</w:t>
            </w:r>
          </w:p>
        </w:tc>
      </w:tr>
    </w:tbl>
    <w:p w:rsidR="008B464F" w:rsidRPr="00E661B1" w:rsidRDefault="008B464F" w:rsidP="00E661B1">
      <w:pPr>
        <w:pStyle w:val="notetext"/>
      </w:pPr>
      <w:r w:rsidRPr="00E661B1">
        <w:rPr>
          <w:snapToGrid w:val="0"/>
          <w:lang w:eastAsia="en-US"/>
        </w:rPr>
        <w:t xml:space="preserve">Note: </w:t>
      </w:r>
      <w:r w:rsidRPr="00E661B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8B464F" w:rsidRPr="00E661B1" w:rsidRDefault="008B464F" w:rsidP="00E661B1">
      <w:pPr>
        <w:pStyle w:val="subsection"/>
      </w:pPr>
      <w:r w:rsidRPr="00E661B1">
        <w:tab/>
        <w:t>(2)</w:t>
      </w:r>
      <w:r w:rsidRPr="00E661B1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661B1" w:rsidRDefault="0048364F" w:rsidP="00E661B1">
      <w:pPr>
        <w:pStyle w:val="ActHead5"/>
      </w:pPr>
      <w:bookmarkStart w:id="4" w:name="_Toc430004686"/>
      <w:r w:rsidRPr="00E661B1">
        <w:rPr>
          <w:rStyle w:val="CharSectno"/>
        </w:rPr>
        <w:t>3</w:t>
      </w:r>
      <w:r w:rsidR="00E16735" w:rsidRPr="00E661B1">
        <w:t xml:space="preserve">  Schedule</w:t>
      </w:r>
      <w:r w:rsidRPr="00E661B1">
        <w:t>s</w:t>
      </w:r>
      <w:bookmarkEnd w:id="4"/>
    </w:p>
    <w:p w:rsidR="0048364F" w:rsidRPr="00E661B1" w:rsidRDefault="0048364F" w:rsidP="00E661B1">
      <w:pPr>
        <w:pStyle w:val="subsection"/>
      </w:pPr>
      <w:r w:rsidRPr="00E661B1">
        <w:tab/>
      </w:r>
      <w:r w:rsidRPr="00E661B1">
        <w:tab/>
      </w:r>
      <w:r w:rsidR="00E16735" w:rsidRPr="00E661B1">
        <w:t xml:space="preserve">Legislation </w:t>
      </w:r>
      <w:r w:rsidRPr="00E661B1">
        <w:t>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661B1" w:rsidRDefault="0048364F" w:rsidP="00E661B1">
      <w:pPr>
        <w:pStyle w:val="ActHead6"/>
        <w:pageBreakBefore/>
      </w:pPr>
      <w:bookmarkStart w:id="5" w:name="_Toc430004687"/>
      <w:bookmarkStart w:id="6" w:name="opcAmSched"/>
      <w:bookmarkStart w:id="7" w:name="opcCurrentFind"/>
      <w:r w:rsidRPr="00E661B1">
        <w:rPr>
          <w:rStyle w:val="CharAmSchNo"/>
        </w:rPr>
        <w:lastRenderedPageBreak/>
        <w:t>Schedule</w:t>
      </w:r>
      <w:r w:rsidR="00E661B1" w:rsidRPr="00E661B1">
        <w:rPr>
          <w:rStyle w:val="CharAmSchNo"/>
        </w:rPr>
        <w:t> </w:t>
      </w:r>
      <w:r w:rsidRPr="00E661B1">
        <w:rPr>
          <w:rStyle w:val="CharAmSchNo"/>
        </w:rPr>
        <w:t>1</w:t>
      </w:r>
      <w:r w:rsidRPr="00E661B1">
        <w:t>—</w:t>
      </w:r>
      <w:r w:rsidR="00A87F41" w:rsidRPr="00E661B1">
        <w:rPr>
          <w:rStyle w:val="CharAmSchText"/>
        </w:rPr>
        <w:t>Gene Technology Act 2000</w:t>
      </w:r>
      <w:bookmarkEnd w:id="5"/>
    </w:p>
    <w:p w:rsidR="0048364F" w:rsidRPr="00E661B1" w:rsidRDefault="00A87F41" w:rsidP="00E661B1">
      <w:pPr>
        <w:pStyle w:val="ActHead7"/>
      </w:pPr>
      <w:bookmarkStart w:id="8" w:name="_Toc430004688"/>
      <w:bookmarkEnd w:id="6"/>
      <w:bookmarkEnd w:id="7"/>
      <w:r w:rsidRPr="00E661B1">
        <w:rPr>
          <w:rStyle w:val="CharAmPartNo"/>
        </w:rPr>
        <w:t>Part</w:t>
      </w:r>
      <w:r w:rsidR="00E661B1" w:rsidRPr="00E661B1">
        <w:rPr>
          <w:rStyle w:val="CharAmPartNo"/>
        </w:rPr>
        <w:t> </w:t>
      </w:r>
      <w:r w:rsidR="001103A2" w:rsidRPr="00E661B1">
        <w:rPr>
          <w:rStyle w:val="CharAmPartNo"/>
        </w:rPr>
        <w:t>1</w:t>
      </w:r>
      <w:r w:rsidRPr="00E661B1">
        <w:t>—</w:t>
      </w:r>
      <w:r w:rsidRPr="00E661B1">
        <w:rPr>
          <w:rStyle w:val="CharAmPartText"/>
        </w:rPr>
        <w:t>Reporting requirements</w:t>
      </w:r>
      <w:bookmarkEnd w:id="8"/>
    </w:p>
    <w:p w:rsidR="00BC0DBB" w:rsidRPr="00E661B1" w:rsidRDefault="00BC0DBB" w:rsidP="00E661B1">
      <w:pPr>
        <w:pStyle w:val="ActHead9"/>
        <w:rPr>
          <w:i w:val="0"/>
        </w:rPr>
      </w:pPr>
      <w:bookmarkStart w:id="9" w:name="_Toc430004689"/>
      <w:r w:rsidRPr="00E661B1">
        <w:t>Gene Technology Act 2000</w:t>
      </w:r>
      <w:bookmarkEnd w:id="9"/>
    </w:p>
    <w:p w:rsidR="00793C38" w:rsidRPr="00E661B1" w:rsidRDefault="00852418" w:rsidP="00E661B1">
      <w:pPr>
        <w:pStyle w:val="ItemHead"/>
      </w:pPr>
      <w:r w:rsidRPr="00E661B1">
        <w:t>1</w:t>
      </w:r>
      <w:r w:rsidR="00793C38" w:rsidRPr="00E661B1">
        <w:t xml:space="preserve">  After subsection</w:t>
      </w:r>
      <w:r w:rsidR="00E661B1" w:rsidRPr="00E661B1">
        <w:t> </w:t>
      </w:r>
      <w:r w:rsidR="00793C38" w:rsidRPr="00E661B1">
        <w:t>136(1)</w:t>
      </w:r>
    </w:p>
    <w:p w:rsidR="00793C38" w:rsidRPr="00E661B1" w:rsidRDefault="00793C38" w:rsidP="00E661B1">
      <w:pPr>
        <w:pStyle w:val="Item"/>
      </w:pPr>
      <w:r w:rsidRPr="00E661B1">
        <w:t>Insert:</w:t>
      </w:r>
    </w:p>
    <w:p w:rsidR="00793C38" w:rsidRPr="00E661B1" w:rsidRDefault="00793C38" w:rsidP="00E661B1">
      <w:pPr>
        <w:pStyle w:val="subsection"/>
      </w:pPr>
      <w:r w:rsidRPr="00E661B1">
        <w:tab/>
        <w:t>(1A)</w:t>
      </w:r>
      <w:r w:rsidRPr="00E661B1">
        <w:tab/>
        <w:t>The report must include information about the following:</w:t>
      </w:r>
    </w:p>
    <w:p w:rsidR="00793C38" w:rsidRPr="00E661B1" w:rsidRDefault="00793C38" w:rsidP="00E661B1">
      <w:pPr>
        <w:pStyle w:val="paragraph"/>
      </w:pPr>
      <w:r w:rsidRPr="00E661B1">
        <w:tab/>
        <w:t>(a)</w:t>
      </w:r>
      <w:r w:rsidRPr="00E661B1">
        <w:tab/>
        <w:t>GMO lice</w:t>
      </w:r>
      <w:r w:rsidR="007D10BD" w:rsidRPr="00E661B1">
        <w:t xml:space="preserve">nces issued during the </w:t>
      </w:r>
      <w:r w:rsidR="007D47B8" w:rsidRPr="00E661B1">
        <w:t>financial year</w:t>
      </w:r>
      <w:r w:rsidR="007D10BD" w:rsidRPr="00E661B1">
        <w:t>;</w:t>
      </w:r>
    </w:p>
    <w:p w:rsidR="00793C38" w:rsidRPr="00E661B1" w:rsidRDefault="00793C38" w:rsidP="00E661B1">
      <w:pPr>
        <w:pStyle w:val="paragraph"/>
      </w:pPr>
      <w:r w:rsidRPr="00E661B1">
        <w:tab/>
        <w:t>(b)</w:t>
      </w:r>
      <w:r w:rsidRPr="00E661B1">
        <w:tab/>
        <w:t xml:space="preserve">any breaches of conditions of a GMO licence that have come to the Regulator’s attention during the </w:t>
      </w:r>
      <w:r w:rsidR="007D47B8" w:rsidRPr="00E661B1">
        <w:t>financial year</w:t>
      </w:r>
      <w:r w:rsidRPr="00E661B1">
        <w:t>;</w:t>
      </w:r>
    </w:p>
    <w:p w:rsidR="00793C38" w:rsidRPr="00E661B1" w:rsidRDefault="00793C38" w:rsidP="00E661B1">
      <w:pPr>
        <w:pStyle w:val="paragraph"/>
      </w:pPr>
      <w:r w:rsidRPr="00E661B1">
        <w:tab/>
        <w:t>(</w:t>
      </w:r>
      <w:r w:rsidR="006554FF" w:rsidRPr="00E661B1">
        <w:t>c</w:t>
      </w:r>
      <w:r w:rsidRPr="00E661B1">
        <w:t>)</w:t>
      </w:r>
      <w:r w:rsidRPr="00E661B1">
        <w:tab/>
        <w:t xml:space="preserve">emergency dealing determinations made by the Minister during the </w:t>
      </w:r>
      <w:r w:rsidR="007D47B8" w:rsidRPr="00E661B1">
        <w:t>financial year</w:t>
      </w:r>
      <w:r w:rsidRPr="00E661B1">
        <w:t>;</w:t>
      </w:r>
    </w:p>
    <w:p w:rsidR="00793C38" w:rsidRPr="00E661B1" w:rsidRDefault="00793C38" w:rsidP="00E661B1">
      <w:pPr>
        <w:pStyle w:val="paragraph"/>
      </w:pPr>
      <w:r w:rsidRPr="00E661B1">
        <w:tab/>
        <w:t>(</w:t>
      </w:r>
      <w:r w:rsidR="006554FF" w:rsidRPr="00E661B1">
        <w:t>d)</w:t>
      </w:r>
      <w:r w:rsidRPr="00E661B1">
        <w:tab/>
        <w:t xml:space="preserve">any breaches of conditions of an emergency dealing determination that have come to the Regulator’s attention during the </w:t>
      </w:r>
      <w:r w:rsidR="007D47B8" w:rsidRPr="00E661B1">
        <w:t>financial year</w:t>
      </w:r>
      <w:r w:rsidRPr="00E661B1">
        <w:t>;</w:t>
      </w:r>
    </w:p>
    <w:p w:rsidR="00793C38" w:rsidRPr="00E661B1" w:rsidRDefault="006554FF" w:rsidP="00E661B1">
      <w:pPr>
        <w:pStyle w:val="paragraph"/>
      </w:pPr>
      <w:r w:rsidRPr="00E661B1">
        <w:tab/>
        <w:t>(e</w:t>
      </w:r>
      <w:r w:rsidR="00793C38" w:rsidRPr="00E661B1">
        <w:t>)</w:t>
      </w:r>
      <w:r w:rsidR="00793C38" w:rsidRPr="00E661B1">
        <w:tab/>
        <w:t xml:space="preserve">auditing and monitoring of dealings with GMOs under this Act by the Regulator or an inspector during the </w:t>
      </w:r>
      <w:r w:rsidR="007D47B8" w:rsidRPr="00E661B1">
        <w:t>financial year</w:t>
      </w:r>
      <w:r w:rsidR="00793C38" w:rsidRPr="00E661B1">
        <w:t>.</w:t>
      </w:r>
    </w:p>
    <w:p w:rsidR="00793C38" w:rsidRPr="00E661B1" w:rsidRDefault="00793C38" w:rsidP="00E661B1">
      <w:pPr>
        <w:pStyle w:val="notetext"/>
      </w:pPr>
      <w:r w:rsidRPr="00E661B1">
        <w:t xml:space="preserve">Note: </w:t>
      </w:r>
      <w:r w:rsidRPr="00E661B1">
        <w:tab/>
        <w:t>Auditing and monitoring may include spot checks.</w:t>
      </w:r>
    </w:p>
    <w:p w:rsidR="00A87F41" w:rsidRPr="00E661B1" w:rsidRDefault="00852418" w:rsidP="00E661B1">
      <w:pPr>
        <w:pStyle w:val="ItemHead"/>
      </w:pPr>
      <w:r w:rsidRPr="00E661B1">
        <w:t>2</w:t>
      </w:r>
      <w:r w:rsidR="00A87F41" w:rsidRPr="00E661B1">
        <w:t xml:space="preserve">  Section</w:t>
      </w:r>
      <w:r w:rsidR="00E661B1" w:rsidRPr="00E661B1">
        <w:t> </w:t>
      </w:r>
      <w:r w:rsidR="00A87F41" w:rsidRPr="00E661B1">
        <w:t>136A</w:t>
      </w:r>
    </w:p>
    <w:p w:rsidR="00A87F41" w:rsidRPr="00E661B1" w:rsidRDefault="00793C38" w:rsidP="00E661B1">
      <w:pPr>
        <w:pStyle w:val="Item"/>
      </w:pPr>
      <w:r w:rsidRPr="00E661B1">
        <w:t xml:space="preserve">Repeal the </w:t>
      </w:r>
      <w:r w:rsidR="00E90487" w:rsidRPr="00E661B1">
        <w:t>section</w:t>
      </w:r>
      <w:r w:rsidR="00A87F41" w:rsidRPr="00E661B1">
        <w:t>.</w:t>
      </w:r>
    </w:p>
    <w:p w:rsidR="006554FF" w:rsidRPr="00E661B1" w:rsidRDefault="00852418" w:rsidP="00E661B1">
      <w:pPr>
        <w:pStyle w:val="ItemHead"/>
      </w:pPr>
      <w:r w:rsidRPr="00E661B1">
        <w:t>3</w:t>
      </w:r>
      <w:r w:rsidR="00A87F41" w:rsidRPr="00E661B1">
        <w:t xml:space="preserve">  Transitional provision</w:t>
      </w:r>
    </w:p>
    <w:p w:rsidR="00A87F41" w:rsidRPr="00E661B1" w:rsidRDefault="006554FF" w:rsidP="00E661B1">
      <w:pPr>
        <w:pStyle w:val="Subitem"/>
      </w:pPr>
      <w:r w:rsidRPr="00E661B1">
        <w:t>(1)</w:t>
      </w:r>
      <w:r w:rsidRPr="00E661B1">
        <w:tab/>
      </w:r>
      <w:r w:rsidR="00A87F41" w:rsidRPr="00E661B1">
        <w:t xml:space="preserve">If, </w:t>
      </w:r>
      <w:r w:rsidR="009908EC" w:rsidRPr="00E661B1">
        <w:t>when</w:t>
      </w:r>
      <w:r w:rsidR="00A87F41" w:rsidRPr="00E661B1">
        <w:t xml:space="preserve"> this item commences:</w:t>
      </w:r>
    </w:p>
    <w:p w:rsidR="00A87F41" w:rsidRPr="00E661B1" w:rsidRDefault="009908EC" w:rsidP="00E661B1">
      <w:pPr>
        <w:pStyle w:val="paragraph"/>
      </w:pPr>
      <w:r w:rsidRPr="00E661B1">
        <w:tab/>
      </w:r>
      <w:r w:rsidR="00E478EC" w:rsidRPr="00E661B1">
        <w:t>(a)</w:t>
      </w:r>
      <w:r w:rsidR="00E478EC" w:rsidRPr="00E661B1">
        <w:tab/>
        <w:t>the Regulator has</w:t>
      </w:r>
      <w:r w:rsidR="00A87F41" w:rsidRPr="00E661B1">
        <w:t xml:space="preserve"> given a report to the Minister under subsection</w:t>
      </w:r>
      <w:r w:rsidR="00E661B1" w:rsidRPr="00E661B1">
        <w:t> </w:t>
      </w:r>
      <w:r w:rsidR="00A87F41" w:rsidRPr="00E661B1">
        <w:t>136A(1) of the old Act; and</w:t>
      </w:r>
    </w:p>
    <w:p w:rsidR="009908EC" w:rsidRPr="00E661B1" w:rsidRDefault="00E478EC" w:rsidP="00E661B1">
      <w:pPr>
        <w:pStyle w:val="paragraph"/>
      </w:pPr>
      <w:r w:rsidRPr="00E661B1">
        <w:tab/>
        <w:t>(b)</w:t>
      </w:r>
      <w:r w:rsidRPr="00E661B1">
        <w:tab/>
        <w:t>the Minister has</w:t>
      </w:r>
      <w:r w:rsidR="00A87F41" w:rsidRPr="00E661B1">
        <w:t xml:space="preserve"> not yet caused a copy of the report to be laid before each House of the Parliament in accordance with subsection</w:t>
      </w:r>
      <w:r w:rsidR="00E661B1" w:rsidRPr="00E661B1">
        <w:t> </w:t>
      </w:r>
      <w:r w:rsidR="00A87F41" w:rsidRPr="00E661B1">
        <w:t>136A(3) of the old Act;</w:t>
      </w:r>
    </w:p>
    <w:p w:rsidR="00A87F41" w:rsidRPr="00E661B1" w:rsidRDefault="00A87F41" w:rsidP="00E661B1">
      <w:pPr>
        <w:pStyle w:val="Item"/>
      </w:pPr>
      <w:r w:rsidRPr="00E661B1">
        <w:t>subsection</w:t>
      </w:r>
      <w:r w:rsidR="00E661B1" w:rsidRPr="00E661B1">
        <w:t> </w:t>
      </w:r>
      <w:r w:rsidRPr="00E661B1">
        <w:t xml:space="preserve">136A(3) of the old Act </w:t>
      </w:r>
      <w:r w:rsidR="007D10BD" w:rsidRPr="00E661B1">
        <w:t xml:space="preserve">continues to have effect, </w:t>
      </w:r>
      <w:r w:rsidRPr="00E661B1">
        <w:t xml:space="preserve">in relation to the </w:t>
      </w:r>
      <w:r w:rsidR="007D10BD" w:rsidRPr="00E661B1">
        <w:t xml:space="preserve">report, as if that subsection </w:t>
      </w:r>
      <w:r w:rsidRPr="00E661B1">
        <w:t>had not been repealed.</w:t>
      </w:r>
    </w:p>
    <w:p w:rsidR="006554FF" w:rsidRPr="00E661B1" w:rsidRDefault="006554FF" w:rsidP="00E661B1">
      <w:pPr>
        <w:pStyle w:val="Subitem"/>
      </w:pPr>
      <w:r w:rsidRPr="00E661B1">
        <w:t>(2)</w:t>
      </w:r>
      <w:r w:rsidRPr="00E661B1">
        <w:tab/>
        <w:t>In this item:</w:t>
      </w:r>
    </w:p>
    <w:p w:rsidR="008C640F" w:rsidRPr="00E661B1" w:rsidRDefault="006554FF" w:rsidP="00E661B1">
      <w:pPr>
        <w:pStyle w:val="Item"/>
      </w:pPr>
      <w:r w:rsidRPr="00E661B1">
        <w:rPr>
          <w:b/>
          <w:i/>
        </w:rPr>
        <w:lastRenderedPageBreak/>
        <w:t>old Act</w:t>
      </w:r>
      <w:r w:rsidRPr="00E661B1">
        <w:t xml:space="preserve"> means the </w:t>
      </w:r>
      <w:r w:rsidRPr="00E661B1">
        <w:rPr>
          <w:i/>
        </w:rPr>
        <w:t>Gene Technology Act 2000</w:t>
      </w:r>
      <w:r w:rsidRPr="00E661B1">
        <w:t>, as in force immediately befor</w:t>
      </w:r>
      <w:r w:rsidR="008C640F" w:rsidRPr="00E661B1">
        <w:t>e the commencement of this item.</w:t>
      </w:r>
    </w:p>
    <w:p w:rsidR="00CB474E" w:rsidRPr="00E661B1" w:rsidRDefault="00CB474E" w:rsidP="00E661B1">
      <w:pPr>
        <w:pStyle w:val="ActHead7"/>
        <w:pageBreakBefore/>
      </w:pPr>
      <w:bookmarkStart w:id="10" w:name="_Toc430004690"/>
      <w:r w:rsidRPr="00E661B1">
        <w:rPr>
          <w:rStyle w:val="CharAmPartNo"/>
        </w:rPr>
        <w:lastRenderedPageBreak/>
        <w:t>Part</w:t>
      </w:r>
      <w:r w:rsidR="00E661B1" w:rsidRPr="00E661B1">
        <w:rPr>
          <w:rStyle w:val="CharAmPartNo"/>
        </w:rPr>
        <w:t> </w:t>
      </w:r>
      <w:r w:rsidR="001103A2" w:rsidRPr="00E661B1">
        <w:rPr>
          <w:rStyle w:val="CharAmPartNo"/>
        </w:rPr>
        <w:t>2</w:t>
      </w:r>
      <w:r w:rsidRPr="00E661B1">
        <w:t>—</w:t>
      </w:r>
      <w:r w:rsidRPr="00E661B1">
        <w:rPr>
          <w:rStyle w:val="CharAmPartText"/>
        </w:rPr>
        <w:t>Inadvertent dealings</w:t>
      </w:r>
      <w:bookmarkEnd w:id="10"/>
    </w:p>
    <w:p w:rsidR="00EC01CF" w:rsidRPr="00E661B1" w:rsidRDefault="00EC01CF" w:rsidP="00E661B1">
      <w:pPr>
        <w:pStyle w:val="ActHead9"/>
        <w:rPr>
          <w:i w:val="0"/>
        </w:rPr>
      </w:pPr>
      <w:bookmarkStart w:id="11" w:name="_Toc430004691"/>
      <w:r w:rsidRPr="00E661B1">
        <w:t>Gene Technology Act 2000</w:t>
      </w:r>
      <w:bookmarkEnd w:id="11"/>
    </w:p>
    <w:p w:rsidR="00CB474E" w:rsidRPr="00E661B1" w:rsidRDefault="00852418" w:rsidP="00E661B1">
      <w:pPr>
        <w:pStyle w:val="ItemHead"/>
      </w:pPr>
      <w:r w:rsidRPr="00E661B1">
        <w:t>4</w:t>
      </w:r>
      <w:r w:rsidR="00CB474E" w:rsidRPr="00E661B1">
        <w:t xml:space="preserve">  Paragraph 46A(a)</w:t>
      </w:r>
    </w:p>
    <w:p w:rsidR="00CB474E" w:rsidRPr="00E661B1" w:rsidRDefault="00CB474E" w:rsidP="00E661B1">
      <w:pPr>
        <w:pStyle w:val="Item"/>
      </w:pPr>
      <w:r w:rsidRPr="00E661B1">
        <w:t>Repeal the paragraph, substitute:</w:t>
      </w:r>
    </w:p>
    <w:p w:rsidR="00CB474E" w:rsidRPr="00E661B1" w:rsidRDefault="00CB474E" w:rsidP="00E661B1">
      <w:pPr>
        <w:pStyle w:val="paragraph"/>
      </w:pPr>
      <w:r w:rsidRPr="00E661B1">
        <w:tab/>
        <w:t>(a)</w:t>
      </w:r>
      <w:r w:rsidRPr="00E661B1">
        <w:tab/>
        <w:t>the dealings proposed to be authorised by the licence are limited to one or more of the following for purposes relating to disposing of a GMO:</w:t>
      </w:r>
    </w:p>
    <w:p w:rsidR="00CB474E" w:rsidRPr="00E661B1" w:rsidRDefault="00CB474E" w:rsidP="00E661B1">
      <w:pPr>
        <w:pStyle w:val="paragraphsub"/>
      </w:pPr>
      <w:r w:rsidRPr="00E661B1">
        <w:tab/>
        <w:t>(i)</w:t>
      </w:r>
      <w:r w:rsidRPr="00E661B1">
        <w:tab/>
        <w:t>conducting experiments with the GMO;</w:t>
      </w:r>
    </w:p>
    <w:p w:rsidR="00CB474E" w:rsidRPr="00E661B1" w:rsidRDefault="00CB474E" w:rsidP="00E661B1">
      <w:pPr>
        <w:pStyle w:val="paragraphsub"/>
      </w:pPr>
      <w:r w:rsidRPr="00E661B1">
        <w:tab/>
        <w:t>(ii)</w:t>
      </w:r>
      <w:r w:rsidRPr="00E661B1">
        <w:tab/>
        <w:t>propagating the GMO;</w:t>
      </w:r>
    </w:p>
    <w:p w:rsidR="00CB474E" w:rsidRPr="00E661B1" w:rsidRDefault="00CB474E" w:rsidP="00E661B1">
      <w:pPr>
        <w:pStyle w:val="paragraphsub"/>
      </w:pPr>
      <w:r w:rsidRPr="00E661B1">
        <w:tab/>
        <w:t>(iii)</w:t>
      </w:r>
      <w:r w:rsidRPr="00E661B1">
        <w:tab/>
        <w:t>growing, raising or culturing the GMO;</w:t>
      </w:r>
    </w:p>
    <w:p w:rsidR="00CB474E" w:rsidRPr="00E661B1" w:rsidRDefault="00CB474E" w:rsidP="00E661B1">
      <w:pPr>
        <w:pStyle w:val="paragraphsub"/>
      </w:pPr>
      <w:r w:rsidRPr="00E661B1">
        <w:tab/>
        <w:t>(iv)</w:t>
      </w:r>
      <w:r w:rsidRPr="00E661B1">
        <w:tab/>
        <w:t>transporting the GMO;</w:t>
      </w:r>
    </w:p>
    <w:p w:rsidR="00CB474E" w:rsidRPr="00E661B1" w:rsidRDefault="00CB474E" w:rsidP="00E661B1">
      <w:pPr>
        <w:pStyle w:val="paragraphsub"/>
      </w:pPr>
      <w:r w:rsidRPr="00E661B1">
        <w:tab/>
        <w:t>(v)</w:t>
      </w:r>
      <w:r w:rsidRPr="00E661B1">
        <w:tab/>
        <w:t>any other dealings to be undertaken for the purposes of, or for purposes relating to, disposing of the GMO; and</w:t>
      </w:r>
    </w:p>
    <w:p w:rsidR="00CB474E" w:rsidRPr="00E661B1" w:rsidRDefault="00852418" w:rsidP="00E661B1">
      <w:pPr>
        <w:pStyle w:val="ItemHead"/>
      </w:pPr>
      <w:r w:rsidRPr="00E661B1">
        <w:t>5</w:t>
      </w:r>
      <w:r w:rsidR="00CB474E" w:rsidRPr="00E661B1">
        <w:t xml:space="preserve">  Paragraph 49(a)</w:t>
      </w:r>
    </w:p>
    <w:p w:rsidR="00CB474E" w:rsidRPr="00E661B1" w:rsidRDefault="00CB474E" w:rsidP="00E661B1">
      <w:pPr>
        <w:pStyle w:val="Item"/>
      </w:pPr>
      <w:r w:rsidRPr="00E661B1">
        <w:t>Repeal the paragraph, substitute:</w:t>
      </w:r>
    </w:p>
    <w:p w:rsidR="00CB474E" w:rsidRPr="00E661B1" w:rsidRDefault="00CB474E" w:rsidP="00E661B1">
      <w:pPr>
        <w:pStyle w:val="paragraph"/>
      </w:pPr>
      <w:r w:rsidRPr="00E661B1">
        <w:tab/>
        <w:t>(a)</w:t>
      </w:r>
      <w:r w:rsidRPr="00E661B1">
        <w:tab/>
        <w:t xml:space="preserve">the dealings proposed to be authorised by the licence are limited to one or more </w:t>
      </w:r>
      <w:r w:rsidR="003B2D72" w:rsidRPr="00E661B1">
        <w:t xml:space="preserve">of the following </w:t>
      </w:r>
      <w:r w:rsidRPr="00E661B1">
        <w:t>for purposes relating to disposing of a GMO:</w:t>
      </w:r>
    </w:p>
    <w:p w:rsidR="00CB474E" w:rsidRPr="00E661B1" w:rsidRDefault="00CB474E" w:rsidP="00E661B1">
      <w:pPr>
        <w:pStyle w:val="paragraphsub"/>
      </w:pPr>
      <w:r w:rsidRPr="00E661B1">
        <w:tab/>
        <w:t>(i)</w:t>
      </w:r>
      <w:r w:rsidRPr="00E661B1">
        <w:tab/>
        <w:t>conducting experiments with the GMO;</w:t>
      </w:r>
    </w:p>
    <w:p w:rsidR="00CB474E" w:rsidRPr="00E661B1" w:rsidRDefault="00CB474E" w:rsidP="00E661B1">
      <w:pPr>
        <w:pStyle w:val="paragraphsub"/>
      </w:pPr>
      <w:r w:rsidRPr="00E661B1">
        <w:tab/>
        <w:t>(ii)</w:t>
      </w:r>
      <w:r w:rsidRPr="00E661B1">
        <w:tab/>
        <w:t>propagating the GMO;</w:t>
      </w:r>
    </w:p>
    <w:p w:rsidR="00CB474E" w:rsidRPr="00E661B1" w:rsidRDefault="00CB474E" w:rsidP="00E661B1">
      <w:pPr>
        <w:pStyle w:val="paragraphsub"/>
      </w:pPr>
      <w:r w:rsidRPr="00E661B1">
        <w:tab/>
        <w:t>(iii)</w:t>
      </w:r>
      <w:r w:rsidRPr="00E661B1">
        <w:tab/>
        <w:t>growing, raising or culturing the GMO;</w:t>
      </w:r>
    </w:p>
    <w:p w:rsidR="00CB474E" w:rsidRPr="00E661B1" w:rsidRDefault="00CB474E" w:rsidP="00E661B1">
      <w:pPr>
        <w:pStyle w:val="paragraphsub"/>
      </w:pPr>
      <w:r w:rsidRPr="00E661B1">
        <w:tab/>
        <w:t>(iv)</w:t>
      </w:r>
      <w:r w:rsidRPr="00E661B1">
        <w:tab/>
        <w:t>transporting the GMO;</w:t>
      </w:r>
    </w:p>
    <w:p w:rsidR="00CB474E" w:rsidRPr="00E661B1" w:rsidRDefault="00CB474E" w:rsidP="00E661B1">
      <w:pPr>
        <w:pStyle w:val="paragraphsub"/>
      </w:pPr>
      <w:r w:rsidRPr="00E661B1">
        <w:tab/>
        <w:t>(v)</w:t>
      </w:r>
      <w:r w:rsidRPr="00E661B1">
        <w:tab/>
        <w:t>any other dealings to be undertaken for the purposes of, or for purposes relating to, disposing of the GMO; and</w:t>
      </w:r>
    </w:p>
    <w:p w:rsidR="00CB474E" w:rsidRPr="00E661B1" w:rsidRDefault="00852418" w:rsidP="00E661B1">
      <w:pPr>
        <w:pStyle w:val="ItemHead"/>
      </w:pPr>
      <w:r w:rsidRPr="00E661B1">
        <w:t>6</w:t>
      </w:r>
      <w:r w:rsidR="00CB474E" w:rsidRPr="00E661B1">
        <w:t xml:space="preserve">  Application</w:t>
      </w:r>
    </w:p>
    <w:p w:rsidR="00CB474E" w:rsidRPr="00E661B1" w:rsidRDefault="00CB474E" w:rsidP="00E661B1">
      <w:pPr>
        <w:pStyle w:val="Item"/>
      </w:pPr>
      <w:r w:rsidRPr="00E661B1">
        <w:t xml:space="preserve">The amendments of the </w:t>
      </w:r>
      <w:r w:rsidRPr="00E661B1">
        <w:rPr>
          <w:i/>
        </w:rPr>
        <w:t>Gene Technology Act 2000</w:t>
      </w:r>
      <w:r w:rsidRPr="00E661B1">
        <w:t xml:space="preserve"> made by this Part apply in relation to:</w:t>
      </w:r>
    </w:p>
    <w:p w:rsidR="00CB474E" w:rsidRPr="00E661B1" w:rsidRDefault="00CB474E" w:rsidP="00E661B1">
      <w:pPr>
        <w:pStyle w:val="paragraph"/>
      </w:pPr>
      <w:r w:rsidRPr="00E661B1">
        <w:tab/>
        <w:t>(a)</w:t>
      </w:r>
      <w:r w:rsidRPr="00E661B1">
        <w:tab/>
        <w:t xml:space="preserve">an </w:t>
      </w:r>
      <w:r w:rsidR="0063555A" w:rsidRPr="00E661B1">
        <w:t xml:space="preserve">inadvertent dealings </w:t>
      </w:r>
      <w:r w:rsidRPr="00E661B1">
        <w:t>application made</w:t>
      </w:r>
      <w:r w:rsidR="00852418" w:rsidRPr="00E661B1">
        <w:t xml:space="preserve"> on or</w:t>
      </w:r>
      <w:r w:rsidRPr="00E661B1">
        <w:t xml:space="preserve"> after the commencement of this item; and</w:t>
      </w:r>
    </w:p>
    <w:p w:rsidR="00CB474E" w:rsidRPr="00E661B1" w:rsidRDefault="00CB474E" w:rsidP="00E661B1">
      <w:pPr>
        <w:pStyle w:val="paragraph"/>
      </w:pPr>
      <w:r w:rsidRPr="00E661B1">
        <w:tab/>
        <w:t>(b)</w:t>
      </w:r>
      <w:r w:rsidRPr="00E661B1">
        <w:tab/>
        <w:t xml:space="preserve">an </w:t>
      </w:r>
      <w:r w:rsidR="0063555A" w:rsidRPr="00E661B1">
        <w:t>inadvertent dealings application</w:t>
      </w:r>
      <w:r w:rsidRPr="00E661B1">
        <w:t xml:space="preserve"> made, but not decided, before that commencement.</w:t>
      </w:r>
    </w:p>
    <w:p w:rsidR="00121601" w:rsidRPr="00E661B1" w:rsidRDefault="00121601" w:rsidP="00E661B1">
      <w:pPr>
        <w:pStyle w:val="ActHead7"/>
        <w:pageBreakBefore/>
      </w:pPr>
      <w:bookmarkStart w:id="12" w:name="_Toc430004692"/>
      <w:r w:rsidRPr="00E661B1">
        <w:rPr>
          <w:rStyle w:val="CharAmPartNo"/>
        </w:rPr>
        <w:lastRenderedPageBreak/>
        <w:t>Part</w:t>
      </w:r>
      <w:r w:rsidR="00E661B1" w:rsidRPr="00E661B1">
        <w:rPr>
          <w:rStyle w:val="CharAmPartNo"/>
        </w:rPr>
        <w:t> </w:t>
      </w:r>
      <w:r w:rsidR="001103A2" w:rsidRPr="00E661B1">
        <w:rPr>
          <w:rStyle w:val="CharAmPartNo"/>
        </w:rPr>
        <w:t>3</w:t>
      </w:r>
      <w:r w:rsidRPr="00E661B1">
        <w:t>—</w:t>
      </w:r>
      <w:r w:rsidR="00505D7F" w:rsidRPr="00E661B1">
        <w:rPr>
          <w:rStyle w:val="CharAmPartText"/>
        </w:rPr>
        <w:t>Public n</w:t>
      </w:r>
      <w:r w:rsidR="00FF73BE" w:rsidRPr="00E661B1">
        <w:rPr>
          <w:rStyle w:val="CharAmPartText"/>
        </w:rPr>
        <w:t>otification</w:t>
      </w:r>
      <w:r w:rsidRPr="00E661B1">
        <w:rPr>
          <w:rStyle w:val="CharAmPartText"/>
        </w:rPr>
        <w:t xml:space="preserve"> </w:t>
      </w:r>
      <w:r w:rsidR="00FF73BE" w:rsidRPr="00E661B1">
        <w:rPr>
          <w:rStyle w:val="CharAmPartText"/>
        </w:rPr>
        <w:t xml:space="preserve">of </w:t>
      </w:r>
      <w:r w:rsidR="00505D7F" w:rsidRPr="00E661B1">
        <w:rPr>
          <w:rStyle w:val="CharAmPartText"/>
        </w:rPr>
        <w:t>risk assessment etc.</w:t>
      </w:r>
      <w:bookmarkEnd w:id="12"/>
    </w:p>
    <w:p w:rsidR="00EC01CF" w:rsidRPr="00E661B1" w:rsidRDefault="00EC01CF" w:rsidP="00E661B1">
      <w:pPr>
        <w:pStyle w:val="ActHead9"/>
        <w:rPr>
          <w:i w:val="0"/>
        </w:rPr>
      </w:pPr>
      <w:bookmarkStart w:id="13" w:name="_Toc430004693"/>
      <w:r w:rsidRPr="00E661B1">
        <w:t>Gene Technology Act 2000</w:t>
      </w:r>
      <w:bookmarkEnd w:id="13"/>
    </w:p>
    <w:p w:rsidR="00D934DA" w:rsidRPr="00E661B1" w:rsidRDefault="00852418" w:rsidP="00E661B1">
      <w:pPr>
        <w:pStyle w:val="ItemHead"/>
      </w:pPr>
      <w:r w:rsidRPr="00E661B1">
        <w:t>7</w:t>
      </w:r>
      <w:r w:rsidR="00D934DA" w:rsidRPr="00E661B1">
        <w:t xml:space="preserve">  Paragraph 52(1)(b)</w:t>
      </w:r>
    </w:p>
    <w:p w:rsidR="008C640F" w:rsidRPr="00E661B1" w:rsidRDefault="00D934DA" w:rsidP="00E661B1">
      <w:pPr>
        <w:pStyle w:val="Item"/>
      </w:pPr>
      <w:r w:rsidRPr="00E661B1">
        <w:t>Repeal the paragraph, substitute:</w:t>
      </w:r>
    </w:p>
    <w:p w:rsidR="008C640F" w:rsidRPr="00E661B1" w:rsidRDefault="00D934DA" w:rsidP="00E661B1">
      <w:pPr>
        <w:pStyle w:val="paragraph"/>
      </w:pPr>
      <w:r w:rsidRPr="00E661B1">
        <w:tab/>
      </w:r>
      <w:r w:rsidR="008C640F" w:rsidRPr="00E661B1">
        <w:t>(b)</w:t>
      </w:r>
      <w:r w:rsidR="008C640F" w:rsidRPr="00E661B1">
        <w:tab/>
        <w:t xml:space="preserve">in </w:t>
      </w:r>
      <w:r w:rsidR="00A75D45" w:rsidRPr="00E661B1">
        <w:t xml:space="preserve">one or more </w:t>
      </w:r>
      <w:r w:rsidR="0091161B" w:rsidRPr="00E661B1">
        <w:t xml:space="preserve">newspapers that the Regulator considers appropriate, having regard to </w:t>
      </w:r>
      <w:r w:rsidRPr="00E661B1">
        <w:t xml:space="preserve">the geographic area in which the dealings proposed to be authorised by the licence </w:t>
      </w:r>
      <w:r w:rsidR="0091161B" w:rsidRPr="00E661B1">
        <w:t>may occur</w:t>
      </w:r>
      <w:r w:rsidR="008C640F" w:rsidRPr="00E661B1">
        <w:t>; and</w:t>
      </w:r>
    </w:p>
    <w:p w:rsidR="001F691F" w:rsidRPr="00E661B1" w:rsidRDefault="00852418" w:rsidP="00E661B1">
      <w:pPr>
        <w:pStyle w:val="ItemHead"/>
      </w:pPr>
      <w:r w:rsidRPr="00E661B1">
        <w:t>8</w:t>
      </w:r>
      <w:r w:rsidR="001F691F" w:rsidRPr="00E661B1">
        <w:t xml:space="preserve">  Paragraph 52(</w:t>
      </w:r>
      <w:r w:rsidR="00830CEC" w:rsidRPr="00E661B1">
        <w:t>1</w:t>
      </w:r>
      <w:r w:rsidR="001F691F" w:rsidRPr="00E661B1">
        <w:t>)(c)</w:t>
      </w:r>
    </w:p>
    <w:p w:rsidR="001F691F" w:rsidRPr="00E661B1" w:rsidRDefault="001F691F" w:rsidP="00E661B1">
      <w:pPr>
        <w:pStyle w:val="Item"/>
      </w:pPr>
      <w:r w:rsidRPr="00E661B1">
        <w:t>Omit</w:t>
      </w:r>
      <w:r w:rsidR="007427D4" w:rsidRPr="00E661B1">
        <w:t xml:space="preserve"> “</w:t>
      </w:r>
      <w:r w:rsidRPr="00E661B1">
        <w:t>(if any)”.</w:t>
      </w:r>
    </w:p>
    <w:p w:rsidR="00E8300D" w:rsidRPr="00E661B1" w:rsidRDefault="00E8300D" w:rsidP="00E661B1">
      <w:pPr>
        <w:pStyle w:val="ActHead7"/>
        <w:pageBreakBefore/>
      </w:pPr>
      <w:bookmarkStart w:id="14" w:name="_Toc430004694"/>
      <w:r w:rsidRPr="00E661B1">
        <w:rPr>
          <w:rStyle w:val="CharAmPartNo"/>
        </w:rPr>
        <w:lastRenderedPageBreak/>
        <w:t>Part</w:t>
      </w:r>
      <w:r w:rsidR="00E661B1" w:rsidRPr="00E661B1">
        <w:rPr>
          <w:rStyle w:val="CharAmPartNo"/>
        </w:rPr>
        <w:t> </w:t>
      </w:r>
      <w:r w:rsidR="001103A2" w:rsidRPr="00E661B1">
        <w:rPr>
          <w:rStyle w:val="CharAmPartNo"/>
        </w:rPr>
        <w:t>4</w:t>
      </w:r>
      <w:r w:rsidRPr="00E661B1">
        <w:t>—</w:t>
      </w:r>
      <w:r w:rsidRPr="00E661B1">
        <w:rPr>
          <w:rStyle w:val="CharAmPartText"/>
        </w:rPr>
        <w:t>GM products</w:t>
      </w:r>
      <w:bookmarkEnd w:id="14"/>
    </w:p>
    <w:p w:rsidR="00EC01CF" w:rsidRPr="00E661B1" w:rsidRDefault="00EC01CF" w:rsidP="00E661B1">
      <w:pPr>
        <w:pStyle w:val="ActHead9"/>
        <w:rPr>
          <w:i w:val="0"/>
        </w:rPr>
      </w:pPr>
      <w:bookmarkStart w:id="15" w:name="_Toc430004695"/>
      <w:r w:rsidRPr="00E661B1">
        <w:t>Gene Technology Act 2000</w:t>
      </w:r>
      <w:bookmarkEnd w:id="15"/>
    </w:p>
    <w:p w:rsidR="00642BA9" w:rsidRPr="00E661B1" w:rsidRDefault="00852418" w:rsidP="00E661B1">
      <w:pPr>
        <w:pStyle w:val="ItemHead"/>
      </w:pPr>
      <w:r w:rsidRPr="00E661B1">
        <w:t>9</w:t>
      </w:r>
      <w:r w:rsidR="00642BA9" w:rsidRPr="00E661B1">
        <w:t xml:space="preserve">  Section</w:t>
      </w:r>
      <w:r w:rsidR="00E661B1" w:rsidRPr="00E661B1">
        <w:t> </w:t>
      </w:r>
      <w:r w:rsidR="00642BA9" w:rsidRPr="00E661B1">
        <w:t>10(1) (definition of</w:t>
      </w:r>
      <w:r w:rsidR="00642BA9" w:rsidRPr="00E661B1">
        <w:rPr>
          <w:i/>
        </w:rPr>
        <w:t xml:space="preserve"> Record)</w:t>
      </w:r>
    </w:p>
    <w:p w:rsidR="00642BA9" w:rsidRPr="00E661B1" w:rsidRDefault="00642BA9" w:rsidP="00E661B1">
      <w:pPr>
        <w:pStyle w:val="Item"/>
      </w:pPr>
      <w:r w:rsidRPr="00E661B1">
        <w:t>Omit “and GM Product”.</w:t>
      </w:r>
    </w:p>
    <w:p w:rsidR="0086448D" w:rsidRPr="00E661B1" w:rsidRDefault="00852418" w:rsidP="00E661B1">
      <w:pPr>
        <w:pStyle w:val="ItemHead"/>
      </w:pPr>
      <w:r w:rsidRPr="00E661B1">
        <w:t>10</w:t>
      </w:r>
      <w:r w:rsidR="0086448D" w:rsidRPr="00E661B1">
        <w:t xml:space="preserve">  Subsection</w:t>
      </w:r>
      <w:r w:rsidR="00E661B1" w:rsidRPr="00E661B1">
        <w:t> </w:t>
      </w:r>
      <w:r w:rsidR="0086448D" w:rsidRPr="00E661B1">
        <w:t>17(5)</w:t>
      </w:r>
    </w:p>
    <w:p w:rsidR="0086448D" w:rsidRPr="00E661B1" w:rsidRDefault="0086448D" w:rsidP="00E661B1">
      <w:pPr>
        <w:pStyle w:val="Item"/>
      </w:pPr>
      <w:r w:rsidRPr="00E661B1">
        <w:t xml:space="preserve">Omit “and GM </w:t>
      </w:r>
      <w:r w:rsidR="006B2711" w:rsidRPr="00E661B1">
        <w:t>P</w:t>
      </w:r>
      <w:r w:rsidRPr="00E661B1">
        <w:t>roduct”.</w:t>
      </w:r>
    </w:p>
    <w:p w:rsidR="0086448D" w:rsidRPr="00E661B1" w:rsidRDefault="00852418" w:rsidP="00E661B1">
      <w:pPr>
        <w:pStyle w:val="ItemHead"/>
      </w:pPr>
      <w:r w:rsidRPr="00E661B1">
        <w:t>11</w:t>
      </w:r>
      <w:r w:rsidR="0086448D" w:rsidRPr="00E661B1">
        <w:t xml:space="preserve">  Paragraph 17(6)(b)</w:t>
      </w:r>
    </w:p>
    <w:p w:rsidR="0086448D" w:rsidRPr="00E661B1" w:rsidRDefault="006B2711" w:rsidP="00E661B1">
      <w:pPr>
        <w:pStyle w:val="Item"/>
      </w:pPr>
      <w:r w:rsidRPr="00E661B1">
        <w:t>Omit “and GM P</w:t>
      </w:r>
      <w:r w:rsidR="0086448D" w:rsidRPr="00E661B1">
        <w:t>roduct”.</w:t>
      </w:r>
    </w:p>
    <w:p w:rsidR="0086448D" w:rsidRPr="00E661B1" w:rsidRDefault="00852418" w:rsidP="00E661B1">
      <w:pPr>
        <w:pStyle w:val="ItemHead"/>
      </w:pPr>
      <w:r w:rsidRPr="00E661B1">
        <w:t>12</w:t>
      </w:r>
      <w:r w:rsidR="0086448D" w:rsidRPr="00E661B1">
        <w:t xml:space="preserve">  Section</w:t>
      </w:r>
      <w:r w:rsidR="00E661B1" w:rsidRPr="00E661B1">
        <w:t> </w:t>
      </w:r>
      <w:r w:rsidR="0086448D" w:rsidRPr="00E661B1">
        <w:t>117</w:t>
      </w:r>
      <w:r w:rsidR="00BA4494" w:rsidRPr="00E661B1">
        <w:t xml:space="preserve"> (paragraph relating to Division</w:t>
      </w:r>
      <w:r w:rsidR="00E661B1" w:rsidRPr="00E661B1">
        <w:t> </w:t>
      </w:r>
      <w:r w:rsidR="00BA4494" w:rsidRPr="00E661B1">
        <w:t>6)</w:t>
      </w:r>
    </w:p>
    <w:p w:rsidR="0086448D" w:rsidRPr="00E661B1" w:rsidRDefault="0086448D" w:rsidP="00E661B1">
      <w:pPr>
        <w:pStyle w:val="Item"/>
      </w:pPr>
      <w:r w:rsidRPr="00E661B1">
        <w:t>Omit “</w:t>
      </w:r>
      <w:r w:rsidR="00A00674" w:rsidRPr="00E661B1">
        <w:t xml:space="preserve">GMOs </w:t>
      </w:r>
      <w:r w:rsidRPr="00E661B1">
        <w:t>and GM prod</w:t>
      </w:r>
      <w:r w:rsidR="00A00674" w:rsidRPr="00E661B1">
        <w:t>ucts”, substitute “GMO dealings”.</w:t>
      </w:r>
    </w:p>
    <w:p w:rsidR="0086448D" w:rsidRPr="00E661B1" w:rsidRDefault="00852418" w:rsidP="00E661B1">
      <w:pPr>
        <w:pStyle w:val="ItemHead"/>
      </w:pPr>
      <w:r w:rsidRPr="00E661B1">
        <w:t>13</w:t>
      </w:r>
      <w:r w:rsidR="0086448D" w:rsidRPr="00E661B1">
        <w:t xml:space="preserve">  Division</w:t>
      </w:r>
      <w:r w:rsidR="00E661B1" w:rsidRPr="00E661B1">
        <w:t> </w:t>
      </w:r>
      <w:r w:rsidR="0086448D" w:rsidRPr="00E661B1">
        <w:t>6 of Part</w:t>
      </w:r>
      <w:r w:rsidR="00E661B1" w:rsidRPr="00E661B1">
        <w:t> </w:t>
      </w:r>
      <w:r w:rsidR="0086448D" w:rsidRPr="00E661B1">
        <w:t>9 (heading)</w:t>
      </w:r>
    </w:p>
    <w:p w:rsidR="0086448D" w:rsidRPr="00E661B1" w:rsidRDefault="0086448D" w:rsidP="00E661B1">
      <w:pPr>
        <w:pStyle w:val="Item"/>
      </w:pPr>
      <w:r w:rsidRPr="00E661B1">
        <w:t>Repeal the heading, substitute:</w:t>
      </w:r>
    </w:p>
    <w:p w:rsidR="0086448D" w:rsidRPr="00E661B1" w:rsidRDefault="0086448D" w:rsidP="00E661B1">
      <w:pPr>
        <w:pStyle w:val="ActHead3"/>
      </w:pPr>
      <w:bookmarkStart w:id="16" w:name="_Toc430004696"/>
      <w:r w:rsidRPr="00E661B1">
        <w:rPr>
          <w:rStyle w:val="CharDivNo"/>
        </w:rPr>
        <w:t>Division</w:t>
      </w:r>
      <w:r w:rsidR="00E661B1" w:rsidRPr="00E661B1">
        <w:rPr>
          <w:rStyle w:val="CharDivNo"/>
        </w:rPr>
        <w:t> </w:t>
      </w:r>
      <w:r w:rsidRPr="00E661B1">
        <w:rPr>
          <w:rStyle w:val="CharDivNo"/>
        </w:rPr>
        <w:t>6</w:t>
      </w:r>
      <w:r w:rsidRPr="00E661B1">
        <w:t>—</w:t>
      </w:r>
      <w:r w:rsidRPr="00E661B1">
        <w:rPr>
          <w:rStyle w:val="CharDivText"/>
        </w:rPr>
        <w:t>Record of GMO Dealings</w:t>
      </w:r>
      <w:bookmarkEnd w:id="16"/>
    </w:p>
    <w:p w:rsidR="0086448D" w:rsidRPr="00E661B1" w:rsidRDefault="00852418" w:rsidP="00E661B1">
      <w:pPr>
        <w:pStyle w:val="ItemHead"/>
      </w:pPr>
      <w:r w:rsidRPr="00E661B1">
        <w:t>14</w:t>
      </w:r>
      <w:r w:rsidR="0086448D" w:rsidRPr="00E661B1">
        <w:t xml:space="preserve">  Section</w:t>
      </w:r>
      <w:r w:rsidR="00E661B1" w:rsidRPr="00E661B1">
        <w:t> </w:t>
      </w:r>
      <w:r w:rsidR="0086448D" w:rsidRPr="00E661B1">
        <w:t>138 (heading)</w:t>
      </w:r>
    </w:p>
    <w:p w:rsidR="0086448D" w:rsidRPr="00E661B1" w:rsidRDefault="0086448D" w:rsidP="00E661B1">
      <w:pPr>
        <w:pStyle w:val="Item"/>
      </w:pPr>
      <w:r w:rsidRPr="00E661B1">
        <w:t>Repeal the heading, substitute:</w:t>
      </w:r>
    </w:p>
    <w:p w:rsidR="0086448D" w:rsidRPr="00E661B1" w:rsidRDefault="006B2711" w:rsidP="00E661B1">
      <w:pPr>
        <w:pStyle w:val="ActHead5"/>
      </w:pPr>
      <w:bookmarkStart w:id="17" w:name="_Toc430004697"/>
      <w:r w:rsidRPr="00E661B1">
        <w:rPr>
          <w:rStyle w:val="CharSectno"/>
        </w:rPr>
        <w:t>138</w:t>
      </w:r>
      <w:r w:rsidRPr="00E661B1">
        <w:t xml:space="preserve">  </w:t>
      </w:r>
      <w:r w:rsidR="0086448D" w:rsidRPr="00E661B1">
        <w:t>Record of GMO Dealings</w:t>
      </w:r>
      <w:bookmarkEnd w:id="17"/>
    </w:p>
    <w:p w:rsidR="0086448D" w:rsidRPr="00E661B1" w:rsidRDefault="00852418" w:rsidP="00E661B1">
      <w:pPr>
        <w:pStyle w:val="ItemHead"/>
      </w:pPr>
      <w:r w:rsidRPr="00E661B1">
        <w:t>15</w:t>
      </w:r>
      <w:r w:rsidR="0086448D" w:rsidRPr="00E661B1">
        <w:t xml:space="preserve">  Subsection</w:t>
      </w:r>
      <w:r w:rsidR="00E661B1" w:rsidRPr="00E661B1">
        <w:t> </w:t>
      </w:r>
      <w:r w:rsidR="0086448D" w:rsidRPr="00E661B1">
        <w:t>138(1)</w:t>
      </w:r>
    </w:p>
    <w:p w:rsidR="0086448D" w:rsidRPr="00E661B1" w:rsidRDefault="0086448D" w:rsidP="00E661B1">
      <w:pPr>
        <w:pStyle w:val="Item"/>
      </w:pPr>
      <w:r w:rsidRPr="00E661B1">
        <w:t>Omit “and GM Product”.</w:t>
      </w:r>
    </w:p>
    <w:p w:rsidR="0086448D" w:rsidRPr="00E661B1" w:rsidRDefault="00852418" w:rsidP="00E661B1">
      <w:pPr>
        <w:pStyle w:val="ItemHead"/>
      </w:pPr>
      <w:r w:rsidRPr="00E661B1">
        <w:t>16</w:t>
      </w:r>
      <w:r w:rsidR="0086448D" w:rsidRPr="00E661B1">
        <w:t xml:space="preserve">  Subsection</w:t>
      </w:r>
      <w:r w:rsidR="00E661B1" w:rsidRPr="00E661B1">
        <w:t> </w:t>
      </w:r>
      <w:r w:rsidR="0086448D" w:rsidRPr="00E661B1">
        <w:t>138(2)</w:t>
      </w:r>
    </w:p>
    <w:p w:rsidR="0086448D" w:rsidRPr="00E661B1" w:rsidRDefault="0086448D" w:rsidP="00E661B1">
      <w:pPr>
        <w:pStyle w:val="Item"/>
      </w:pPr>
      <w:r w:rsidRPr="00E661B1">
        <w:t>Omit “or GM products”.</w:t>
      </w:r>
    </w:p>
    <w:p w:rsidR="0086448D" w:rsidRPr="00E661B1" w:rsidRDefault="00852418" w:rsidP="00E661B1">
      <w:pPr>
        <w:pStyle w:val="ItemHead"/>
      </w:pPr>
      <w:r w:rsidRPr="00E661B1">
        <w:t>17</w:t>
      </w:r>
      <w:r w:rsidR="0086448D" w:rsidRPr="00E661B1">
        <w:t xml:space="preserve">  Subsection</w:t>
      </w:r>
      <w:r w:rsidR="00E661B1" w:rsidRPr="00E661B1">
        <w:t> </w:t>
      </w:r>
      <w:r w:rsidR="0086448D" w:rsidRPr="00E661B1">
        <w:t>138(5)</w:t>
      </w:r>
    </w:p>
    <w:p w:rsidR="0086448D" w:rsidRPr="00E661B1" w:rsidRDefault="0086448D" w:rsidP="00E661B1">
      <w:pPr>
        <w:pStyle w:val="Item"/>
      </w:pPr>
      <w:r w:rsidRPr="00E661B1">
        <w:t>Repeal the subsection.</w:t>
      </w:r>
    </w:p>
    <w:p w:rsidR="0086448D" w:rsidRPr="00E661B1" w:rsidRDefault="00852418" w:rsidP="00E661B1">
      <w:pPr>
        <w:pStyle w:val="ItemHead"/>
      </w:pPr>
      <w:r w:rsidRPr="00E661B1">
        <w:t>18</w:t>
      </w:r>
      <w:r w:rsidR="0086448D" w:rsidRPr="00E661B1">
        <w:t xml:space="preserve">  Subsection</w:t>
      </w:r>
      <w:r w:rsidR="00E661B1" w:rsidRPr="00E661B1">
        <w:t> </w:t>
      </w:r>
      <w:r w:rsidR="0086448D" w:rsidRPr="00E661B1">
        <w:t>138(8)</w:t>
      </w:r>
    </w:p>
    <w:p w:rsidR="0086448D" w:rsidRPr="00E661B1" w:rsidRDefault="0086448D" w:rsidP="00E661B1">
      <w:pPr>
        <w:pStyle w:val="Item"/>
      </w:pPr>
      <w:r w:rsidRPr="00E661B1">
        <w:t>Omit “</w:t>
      </w:r>
      <w:r w:rsidR="000C7DBA" w:rsidRPr="00E661B1">
        <w:t>(4), (5)”, substitute “(3A), (4)”.</w:t>
      </w:r>
    </w:p>
    <w:p w:rsidR="008B12AA" w:rsidRPr="00E661B1" w:rsidRDefault="00852418" w:rsidP="00E661B1">
      <w:pPr>
        <w:pStyle w:val="ItemHead"/>
      </w:pPr>
      <w:r w:rsidRPr="00E661B1">
        <w:lastRenderedPageBreak/>
        <w:t>19</w:t>
      </w:r>
      <w:r w:rsidR="008B12AA" w:rsidRPr="00E661B1">
        <w:t xml:space="preserve">  Transitional provision</w:t>
      </w:r>
    </w:p>
    <w:p w:rsidR="00741901" w:rsidRPr="00E661B1" w:rsidRDefault="00741901" w:rsidP="00E661B1">
      <w:pPr>
        <w:pStyle w:val="Subitem"/>
      </w:pPr>
      <w:r w:rsidRPr="00E661B1">
        <w:tab/>
      </w:r>
      <w:r w:rsidR="008B12AA" w:rsidRPr="00E661B1">
        <w:t>After this item commences</w:t>
      </w:r>
      <w:r w:rsidR="00D018AA" w:rsidRPr="00E661B1">
        <w:t xml:space="preserve">, </w:t>
      </w:r>
      <w:r w:rsidR="008B12AA" w:rsidRPr="00E661B1">
        <w:t xml:space="preserve">the Regulator may remove </w:t>
      </w:r>
      <w:r w:rsidRPr="00E661B1">
        <w:t xml:space="preserve">information </w:t>
      </w:r>
      <w:r w:rsidR="008B12AA" w:rsidRPr="00E661B1">
        <w:t>from</w:t>
      </w:r>
      <w:r w:rsidR="00607775" w:rsidRPr="00E661B1">
        <w:t xml:space="preserve"> the Record of GMO D</w:t>
      </w:r>
      <w:r w:rsidR="00D018AA" w:rsidRPr="00E661B1">
        <w:t xml:space="preserve">ealings </w:t>
      </w:r>
      <w:r w:rsidRPr="00E661B1">
        <w:t>if the information:</w:t>
      </w:r>
    </w:p>
    <w:p w:rsidR="00741901" w:rsidRPr="00E661B1" w:rsidRDefault="00741901" w:rsidP="00E661B1">
      <w:pPr>
        <w:pStyle w:val="paragraph"/>
      </w:pPr>
      <w:r w:rsidRPr="00E661B1">
        <w:tab/>
        <w:t>(a)</w:t>
      </w:r>
      <w:r w:rsidRPr="00E661B1">
        <w:tab/>
        <w:t xml:space="preserve">was </w:t>
      </w:r>
      <w:r w:rsidR="00D018AA" w:rsidRPr="00E661B1">
        <w:t xml:space="preserve">on the Record </w:t>
      </w:r>
      <w:r w:rsidR="004E6F06" w:rsidRPr="00E661B1">
        <w:t>a</w:t>
      </w:r>
      <w:r w:rsidRPr="00E661B1">
        <w:t>s at that</w:t>
      </w:r>
      <w:r w:rsidR="004E6F06" w:rsidRPr="00E661B1">
        <w:t xml:space="preserve"> commencement</w:t>
      </w:r>
      <w:r w:rsidRPr="00E661B1">
        <w:t>;</w:t>
      </w:r>
      <w:r w:rsidR="00E753B3" w:rsidRPr="00E661B1">
        <w:t xml:space="preserve"> and</w:t>
      </w:r>
    </w:p>
    <w:p w:rsidR="008B12AA" w:rsidRPr="00E661B1" w:rsidRDefault="00741901" w:rsidP="00E661B1">
      <w:pPr>
        <w:pStyle w:val="paragraph"/>
      </w:pPr>
      <w:r w:rsidRPr="00E661B1">
        <w:tab/>
        <w:t>(b)</w:t>
      </w:r>
      <w:r w:rsidRPr="00E661B1">
        <w:tab/>
      </w:r>
      <w:r w:rsidR="00D018AA" w:rsidRPr="00E661B1">
        <w:t>was included on the Record because the information involved</w:t>
      </w:r>
      <w:r w:rsidR="00785250" w:rsidRPr="00E661B1">
        <w:t xml:space="preserve"> </w:t>
      </w:r>
      <w:r w:rsidR="00D018AA" w:rsidRPr="00E661B1">
        <w:t>GM products.</w:t>
      </w:r>
    </w:p>
    <w:p w:rsidR="00E735BF" w:rsidRPr="00E661B1" w:rsidRDefault="00E735BF" w:rsidP="00E661B1">
      <w:pPr>
        <w:pStyle w:val="ActHead7"/>
        <w:pageBreakBefore/>
      </w:pPr>
      <w:bookmarkStart w:id="18" w:name="_Toc430004698"/>
      <w:r w:rsidRPr="00E661B1">
        <w:rPr>
          <w:rStyle w:val="CharAmPartNo"/>
        </w:rPr>
        <w:lastRenderedPageBreak/>
        <w:t>Part</w:t>
      </w:r>
      <w:r w:rsidR="00E661B1" w:rsidRPr="00E661B1">
        <w:rPr>
          <w:rStyle w:val="CharAmPartNo"/>
        </w:rPr>
        <w:t> </w:t>
      </w:r>
      <w:r w:rsidR="001103A2" w:rsidRPr="00E661B1">
        <w:rPr>
          <w:rStyle w:val="CharAmPartNo"/>
        </w:rPr>
        <w:t>5</w:t>
      </w:r>
      <w:r w:rsidRPr="00E661B1">
        <w:t>—</w:t>
      </w:r>
      <w:r w:rsidRPr="00E661B1">
        <w:rPr>
          <w:rStyle w:val="CharAmPartText"/>
        </w:rPr>
        <w:t>Restrictions on licence variations</w:t>
      </w:r>
      <w:bookmarkEnd w:id="18"/>
    </w:p>
    <w:p w:rsidR="00EC01CF" w:rsidRPr="00E661B1" w:rsidRDefault="00EC01CF" w:rsidP="00E661B1">
      <w:pPr>
        <w:pStyle w:val="ActHead9"/>
        <w:rPr>
          <w:i w:val="0"/>
        </w:rPr>
      </w:pPr>
      <w:bookmarkStart w:id="19" w:name="_Toc430004699"/>
      <w:r w:rsidRPr="00E661B1">
        <w:t>Gene Technology Act 2000</w:t>
      </w:r>
      <w:bookmarkEnd w:id="19"/>
    </w:p>
    <w:p w:rsidR="00E735BF" w:rsidRPr="00E661B1" w:rsidRDefault="00852418" w:rsidP="00E661B1">
      <w:pPr>
        <w:pStyle w:val="ItemHead"/>
      </w:pPr>
      <w:r w:rsidRPr="00E661B1">
        <w:t>20</w:t>
      </w:r>
      <w:r w:rsidR="00E735BF" w:rsidRPr="00E661B1">
        <w:t xml:space="preserve">  Subsection</w:t>
      </w:r>
      <w:r w:rsidR="00E661B1" w:rsidRPr="00E661B1">
        <w:t> </w:t>
      </w:r>
      <w:r w:rsidR="00E735BF" w:rsidRPr="00E661B1">
        <w:t>71(2B)</w:t>
      </w:r>
    </w:p>
    <w:p w:rsidR="00E735BF" w:rsidRPr="00E661B1" w:rsidRDefault="00E735BF" w:rsidP="00E661B1">
      <w:pPr>
        <w:pStyle w:val="Item"/>
      </w:pPr>
      <w:r w:rsidRPr="00E661B1">
        <w:t>Repeal the subsection, substitute:</w:t>
      </w:r>
    </w:p>
    <w:p w:rsidR="00E735BF" w:rsidRPr="00E661B1" w:rsidRDefault="00E735BF" w:rsidP="00E661B1">
      <w:pPr>
        <w:pStyle w:val="subsection"/>
      </w:pPr>
      <w:r w:rsidRPr="00E661B1">
        <w:tab/>
      </w:r>
      <w:r w:rsidR="00961A90" w:rsidRPr="00E661B1">
        <w:t>(2B)</w:t>
      </w:r>
      <w:r w:rsidR="00961A90" w:rsidRPr="00E661B1">
        <w:tab/>
        <w:t>If an application has been made for variation of a licence, t</w:t>
      </w:r>
      <w:r w:rsidR="003655CB" w:rsidRPr="00E661B1">
        <w:t>he Regulator must not vary the</w:t>
      </w:r>
      <w:r w:rsidR="00785250" w:rsidRPr="00E661B1">
        <w:t xml:space="preserve"> licence</w:t>
      </w:r>
      <w:r w:rsidR="003655CB" w:rsidRPr="00E661B1">
        <w:t xml:space="preserve"> </w:t>
      </w:r>
      <w:r w:rsidRPr="00E661B1">
        <w:t>unless the Regulator is satisfied that the risks posed by the dealings proposed to be authorised by the licence as varied are covered by:</w:t>
      </w:r>
    </w:p>
    <w:p w:rsidR="00E735BF" w:rsidRPr="00E661B1" w:rsidRDefault="00E735BF" w:rsidP="00E661B1">
      <w:pPr>
        <w:pStyle w:val="paragraph"/>
      </w:pPr>
      <w:r w:rsidRPr="00E661B1">
        <w:tab/>
        <w:t>(a)</w:t>
      </w:r>
      <w:r w:rsidRPr="00E661B1">
        <w:tab/>
        <w:t>the risk assessment and the risk management plan in respect of the original application for the licence; or</w:t>
      </w:r>
    </w:p>
    <w:p w:rsidR="00961A90" w:rsidRPr="00E661B1" w:rsidRDefault="00E735BF" w:rsidP="00E661B1">
      <w:pPr>
        <w:pStyle w:val="paragraph"/>
      </w:pPr>
      <w:r w:rsidRPr="00E661B1">
        <w:tab/>
        <w:t>(b)</w:t>
      </w:r>
      <w:r w:rsidRPr="00E661B1">
        <w:tab/>
        <w:t xml:space="preserve">the risk assessment and the risk management plan in respect of an </w:t>
      </w:r>
      <w:r w:rsidR="00961A90" w:rsidRPr="00E661B1">
        <w:t>application for another licence</w:t>
      </w:r>
      <w:r w:rsidR="00414491" w:rsidRPr="00E661B1">
        <w:t>, but only if that other licence was issued</w:t>
      </w:r>
      <w:r w:rsidR="00961A90" w:rsidRPr="00E661B1">
        <w:t>.</w:t>
      </w:r>
    </w:p>
    <w:p w:rsidR="00E735BF" w:rsidRPr="00E661B1" w:rsidRDefault="00852418" w:rsidP="00E661B1">
      <w:pPr>
        <w:pStyle w:val="ItemHead"/>
      </w:pPr>
      <w:r w:rsidRPr="00E661B1">
        <w:t>21</w:t>
      </w:r>
      <w:r w:rsidR="00E735BF" w:rsidRPr="00E661B1">
        <w:t xml:space="preserve">  Application</w:t>
      </w:r>
    </w:p>
    <w:p w:rsidR="001103A2" w:rsidRPr="00E661B1" w:rsidRDefault="00E735BF" w:rsidP="00E661B1">
      <w:pPr>
        <w:pStyle w:val="Item"/>
      </w:pPr>
      <w:r w:rsidRPr="00E661B1">
        <w:t xml:space="preserve">The amendment of the </w:t>
      </w:r>
      <w:r w:rsidRPr="00E661B1">
        <w:rPr>
          <w:i/>
        </w:rPr>
        <w:t>Gene Technology Act 2000</w:t>
      </w:r>
      <w:r w:rsidRPr="00E661B1">
        <w:t xml:space="preserve"> made by this Part applies in relation to</w:t>
      </w:r>
      <w:r w:rsidR="001103A2" w:rsidRPr="00E661B1">
        <w:t>:</w:t>
      </w:r>
    </w:p>
    <w:p w:rsidR="001103A2" w:rsidRPr="00E661B1" w:rsidRDefault="001103A2" w:rsidP="00E661B1">
      <w:pPr>
        <w:pStyle w:val="paragraph"/>
      </w:pPr>
      <w:r w:rsidRPr="00E661B1">
        <w:tab/>
        <w:t>(a)</w:t>
      </w:r>
      <w:r w:rsidRPr="00E661B1">
        <w:tab/>
        <w:t>an application for variation of a licence made on or after the commencement of this item; and</w:t>
      </w:r>
    </w:p>
    <w:p w:rsidR="00E735BF" w:rsidRPr="00E661B1" w:rsidRDefault="001103A2" w:rsidP="00E661B1">
      <w:pPr>
        <w:pStyle w:val="paragraph"/>
      </w:pPr>
      <w:r w:rsidRPr="00E661B1">
        <w:tab/>
        <w:t>(b)</w:t>
      </w:r>
      <w:r w:rsidRPr="00E661B1">
        <w:tab/>
        <w:t>an application for variation of a licence made, but not decided, before that commencement.</w:t>
      </w:r>
    </w:p>
    <w:p w:rsidR="00E735BF" w:rsidRPr="00E661B1" w:rsidRDefault="00E735BF" w:rsidP="00E661B1">
      <w:pPr>
        <w:pStyle w:val="ActHead7"/>
        <w:pageBreakBefore/>
      </w:pPr>
      <w:bookmarkStart w:id="20" w:name="_Toc430004700"/>
      <w:r w:rsidRPr="00E661B1">
        <w:rPr>
          <w:rStyle w:val="CharAmPartNo"/>
        </w:rPr>
        <w:lastRenderedPageBreak/>
        <w:t>Part</w:t>
      </w:r>
      <w:r w:rsidR="00E661B1" w:rsidRPr="00E661B1">
        <w:rPr>
          <w:rStyle w:val="CharAmPartNo"/>
        </w:rPr>
        <w:t> </w:t>
      </w:r>
      <w:r w:rsidR="003524AF" w:rsidRPr="00E661B1">
        <w:rPr>
          <w:rStyle w:val="CharAmPartNo"/>
        </w:rPr>
        <w:t>6</w:t>
      </w:r>
      <w:r w:rsidRPr="00E661B1">
        <w:t>—</w:t>
      </w:r>
      <w:r w:rsidRPr="00E661B1">
        <w:rPr>
          <w:rStyle w:val="CharAmPartText"/>
        </w:rPr>
        <w:t>Technical amendments</w:t>
      </w:r>
      <w:bookmarkEnd w:id="20"/>
    </w:p>
    <w:p w:rsidR="00EC01CF" w:rsidRPr="00E661B1" w:rsidRDefault="00EC01CF" w:rsidP="00E661B1">
      <w:pPr>
        <w:pStyle w:val="ActHead9"/>
        <w:rPr>
          <w:i w:val="0"/>
        </w:rPr>
      </w:pPr>
      <w:bookmarkStart w:id="21" w:name="_Toc430004701"/>
      <w:r w:rsidRPr="00E661B1">
        <w:t>Gene Technology Act 2000</w:t>
      </w:r>
      <w:bookmarkEnd w:id="21"/>
    </w:p>
    <w:p w:rsidR="00E735BF" w:rsidRPr="00E661B1" w:rsidRDefault="00852418" w:rsidP="00E661B1">
      <w:pPr>
        <w:pStyle w:val="ItemHead"/>
      </w:pPr>
      <w:r w:rsidRPr="00E661B1">
        <w:t>22</w:t>
      </w:r>
      <w:r w:rsidR="00E735BF" w:rsidRPr="00E661B1">
        <w:t xml:space="preserve">  Paragraph 30(a)</w:t>
      </w:r>
    </w:p>
    <w:p w:rsidR="00E735BF" w:rsidRPr="00E661B1" w:rsidRDefault="00E735BF" w:rsidP="00E661B1">
      <w:pPr>
        <w:pStyle w:val="Item"/>
      </w:pPr>
      <w:r w:rsidRPr="00E661B1">
        <w:t>Repeal the paragraph, substitute:</w:t>
      </w:r>
    </w:p>
    <w:p w:rsidR="00E735BF" w:rsidRPr="00E661B1" w:rsidRDefault="00E735BF" w:rsidP="00E661B1">
      <w:pPr>
        <w:pStyle w:val="paragraph"/>
      </w:pPr>
      <w:r w:rsidRPr="00E661B1">
        <w:tab/>
        <w:t>(a)</w:t>
      </w:r>
      <w:r w:rsidRPr="00E661B1">
        <w:tab/>
        <w:t>whether a GMO licence is issued or refused in relation to a particular application; or</w:t>
      </w:r>
    </w:p>
    <w:p w:rsidR="00E735BF" w:rsidRPr="00E661B1" w:rsidRDefault="00852418" w:rsidP="00E661B1">
      <w:pPr>
        <w:pStyle w:val="ItemHead"/>
      </w:pPr>
      <w:r w:rsidRPr="00E661B1">
        <w:t>23</w:t>
      </w:r>
      <w:r w:rsidR="00E735BF" w:rsidRPr="00E661B1">
        <w:t xml:space="preserve">  Subsection</w:t>
      </w:r>
      <w:r w:rsidR="00E661B1" w:rsidRPr="00E661B1">
        <w:t> </w:t>
      </w:r>
      <w:r w:rsidR="00E735BF" w:rsidRPr="00E661B1">
        <w:t>74(3)</w:t>
      </w:r>
    </w:p>
    <w:p w:rsidR="00E735BF" w:rsidRPr="00E661B1" w:rsidRDefault="00E735BF" w:rsidP="00E661B1">
      <w:pPr>
        <w:pStyle w:val="Item"/>
      </w:pPr>
      <w:r w:rsidRPr="00E661B1">
        <w:t>Repeal the subsection, substitute:</w:t>
      </w:r>
    </w:p>
    <w:p w:rsidR="00E735BF" w:rsidRPr="00E661B1" w:rsidRDefault="00E735BF" w:rsidP="00E661B1">
      <w:pPr>
        <w:pStyle w:val="subsection"/>
      </w:pPr>
      <w:r w:rsidRPr="00E661B1">
        <w:tab/>
        <w:t>(3)</w:t>
      </w:r>
      <w:r w:rsidRPr="00E661B1">
        <w:tab/>
        <w:t>Before the Governor</w:t>
      </w:r>
      <w:r w:rsidR="00AE0BB5">
        <w:noBreakHyphen/>
      </w:r>
      <w:r w:rsidRPr="00E661B1">
        <w:t>General makes regulations declaring a dealing with a GMO to be a notifiable low risk dealing, the Regulator must consider:</w:t>
      </w:r>
    </w:p>
    <w:p w:rsidR="00E735BF" w:rsidRPr="00E661B1" w:rsidRDefault="00E735BF" w:rsidP="00E661B1">
      <w:pPr>
        <w:pStyle w:val="paragraph"/>
      </w:pPr>
      <w:r w:rsidRPr="00E661B1">
        <w:tab/>
        <w:t>(a)</w:t>
      </w:r>
      <w:r w:rsidRPr="00E661B1">
        <w:tab/>
        <w:t>whether the dealing with the GMO would involve any risk to the health and safety of people, or to the environment, taking into account:</w:t>
      </w:r>
    </w:p>
    <w:p w:rsidR="00E735BF" w:rsidRPr="00E661B1" w:rsidRDefault="00E735BF" w:rsidP="00E661B1">
      <w:pPr>
        <w:pStyle w:val="paragraphsub"/>
      </w:pPr>
      <w:r w:rsidRPr="00E661B1">
        <w:tab/>
        <w:t>(i)</w:t>
      </w:r>
      <w:r w:rsidRPr="00E661B1">
        <w:tab/>
        <w:t>the properties of the GMO as a pathogen or pest; and</w:t>
      </w:r>
    </w:p>
    <w:p w:rsidR="00E735BF" w:rsidRPr="00E661B1" w:rsidRDefault="00E735BF" w:rsidP="00E661B1">
      <w:pPr>
        <w:pStyle w:val="paragraphsub"/>
      </w:pPr>
      <w:r w:rsidRPr="00E661B1">
        <w:tab/>
        <w:t>(ii)</w:t>
      </w:r>
      <w:r w:rsidRPr="00E661B1">
        <w:tab/>
        <w:t>the toxicity of any proteins produced by the GMO; and</w:t>
      </w:r>
    </w:p>
    <w:p w:rsidR="00E735BF" w:rsidRPr="00E661B1" w:rsidRDefault="00E735BF" w:rsidP="00E661B1">
      <w:pPr>
        <w:pStyle w:val="paragraph"/>
      </w:pPr>
      <w:r w:rsidRPr="00E661B1">
        <w:tab/>
        <w:t>(b)</w:t>
      </w:r>
      <w:r w:rsidRPr="00E661B1">
        <w:tab/>
        <w:t>i</w:t>
      </w:r>
      <w:r w:rsidR="00852418" w:rsidRPr="00E661B1">
        <w:t xml:space="preserve">f there is such a risk—whether </w:t>
      </w:r>
      <w:r w:rsidRPr="00E661B1">
        <w:t>one or more of the requirements prescribed in the regulations for the purposes of subsection</w:t>
      </w:r>
      <w:r w:rsidR="00E661B1" w:rsidRPr="00E661B1">
        <w:t> </w:t>
      </w:r>
      <w:r w:rsidRPr="00E661B1">
        <w:t>75(2) would be</w:t>
      </w:r>
      <w:r w:rsidR="00147C8A" w:rsidRPr="00E661B1">
        <w:t xml:space="preserve"> suff</w:t>
      </w:r>
      <w:r w:rsidR="004A44C1" w:rsidRPr="00E661B1">
        <w:t>icient to manage that risk; and</w:t>
      </w:r>
    </w:p>
    <w:p w:rsidR="00AE0BB5" w:rsidRDefault="00147C8A" w:rsidP="00E661B1">
      <w:pPr>
        <w:pStyle w:val="paragraph"/>
      </w:pPr>
      <w:r w:rsidRPr="00E661B1">
        <w:tab/>
        <w:t>(c)</w:t>
      </w:r>
      <w:r w:rsidRPr="00E661B1">
        <w:tab/>
        <w:t>any other matter the Regulator considers appropriate.</w:t>
      </w:r>
    </w:p>
    <w:p w:rsidR="009E01BE" w:rsidRDefault="009E01BE" w:rsidP="009E01BE">
      <w:pPr>
        <w:pStyle w:val="AssentBk"/>
        <w:keepNext/>
      </w:pPr>
    </w:p>
    <w:p w:rsidR="009E01BE" w:rsidRDefault="009E01BE" w:rsidP="009E01BE"/>
    <w:p w:rsidR="009E01BE" w:rsidRDefault="009E01BE" w:rsidP="009E01BE">
      <w:pPr>
        <w:pStyle w:val="2ndRd"/>
        <w:keepNext/>
        <w:pBdr>
          <w:top w:val="single" w:sz="2" w:space="1" w:color="auto"/>
        </w:pBdr>
      </w:pPr>
    </w:p>
    <w:p w:rsidR="009E01BE" w:rsidRDefault="009E01BE" w:rsidP="009E01B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E01BE" w:rsidRDefault="009E01BE" w:rsidP="009E01B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June 2015</w:t>
      </w:r>
    </w:p>
    <w:p w:rsidR="009E01BE" w:rsidRDefault="009E01BE" w:rsidP="009E01BE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August 2015</w:t>
      </w:r>
      <w:r>
        <w:t>]</w:t>
      </w:r>
    </w:p>
    <w:p w:rsidR="009E01BE" w:rsidRDefault="009E01BE" w:rsidP="009E01BE">
      <w:pPr>
        <w:framePr w:hSpace="180" w:wrap="around" w:vAnchor="text" w:hAnchor="page" w:x="2371" w:y="2126"/>
      </w:pPr>
      <w:r>
        <w:t>(103/15)</w:t>
      </w:r>
    </w:p>
    <w:p w:rsidR="009E01BE" w:rsidRDefault="009E01BE" w:rsidP="009E01BE"/>
    <w:p w:rsidR="009E01BE" w:rsidRDefault="009E01BE" w:rsidP="009E01BE">
      <w:pPr>
        <w:sectPr w:rsidR="009E01BE" w:rsidSect="002B6B7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344994" w:rsidRDefault="00344994" w:rsidP="009E01BE"/>
    <w:sectPr w:rsidR="00344994" w:rsidSect="009E01B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74" w:rsidRDefault="002C5A74" w:rsidP="0048364F">
      <w:pPr>
        <w:spacing w:line="240" w:lineRule="auto"/>
      </w:pPr>
      <w:r>
        <w:separator/>
      </w:r>
    </w:p>
  </w:endnote>
  <w:endnote w:type="continuationSeparator" w:id="0">
    <w:p w:rsidR="002C5A74" w:rsidRDefault="002C5A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5F1388" w:rsidRDefault="005965A2" w:rsidP="00E661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6B70" w:rsidTr="00E661B1">
      <w:tc>
        <w:tcPr>
          <w:tcW w:w="1247" w:type="dxa"/>
        </w:tcPr>
        <w:p w:rsidR="002B6B70" w:rsidRDefault="00344994" w:rsidP="00A75B33">
          <w:pPr>
            <w:rPr>
              <w:sz w:val="18"/>
            </w:rPr>
          </w:pPr>
          <w:r>
            <w:rPr>
              <w:i/>
              <w:sz w:val="18"/>
            </w:rPr>
            <w:t>No. 121, 2015</w:t>
          </w:r>
        </w:p>
      </w:tc>
      <w:tc>
        <w:tcPr>
          <w:tcW w:w="5387" w:type="dxa"/>
        </w:tcPr>
        <w:p w:rsidR="002B6B70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669" w:type="dxa"/>
        </w:tcPr>
        <w:p w:rsidR="002B6B70" w:rsidRDefault="002B6B70" w:rsidP="00A75B3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57BE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6B70" w:rsidRPr="00055B5C" w:rsidRDefault="002B6B70" w:rsidP="005965A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6B70" w:rsidTr="00E661B1">
      <w:tc>
        <w:tcPr>
          <w:tcW w:w="1247" w:type="dxa"/>
        </w:tcPr>
        <w:p w:rsidR="002B6B70" w:rsidRDefault="002B6B70" w:rsidP="00A75B3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6784">
            <w:rPr>
              <w:i/>
              <w:sz w:val="18"/>
            </w:rPr>
            <w:t>No. 121,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6B70" w:rsidRDefault="002B6B70" w:rsidP="00A75B3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6784">
            <w:rPr>
              <w:i/>
              <w:sz w:val="18"/>
            </w:rPr>
            <w:t>Gene Technology Amendment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B6B70" w:rsidRDefault="002B6B70" w:rsidP="00A75B3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57BE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6B70" w:rsidRPr="00A961C4" w:rsidRDefault="002B6B70" w:rsidP="005965A2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94" w:rsidRDefault="00344994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965A2" w:rsidRDefault="005965A2" w:rsidP="00E661B1">
    <w:pPr>
      <w:pStyle w:val="Footer"/>
      <w:spacing w:before="120"/>
    </w:pPr>
  </w:p>
  <w:p w:rsidR="005965A2" w:rsidRPr="005F1388" w:rsidRDefault="005965A2" w:rsidP="005965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ED79B6" w:rsidRDefault="005965A2" w:rsidP="00E661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Default="005965A2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965A2" w:rsidTr="00A75B33">
      <w:tc>
        <w:tcPr>
          <w:tcW w:w="646" w:type="dxa"/>
        </w:tcPr>
        <w:p w:rsidR="005965A2" w:rsidRDefault="005965A2" w:rsidP="00A75B3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57BE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965A2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1270" w:type="dxa"/>
        </w:tcPr>
        <w:p w:rsidR="005965A2" w:rsidRDefault="00DD4751" w:rsidP="00A75B3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5965A2" w:rsidRDefault="005965A2" w:rsidP="005965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Default="005965A2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65A2" w:rsidTr="00A75B33">
      <w:tc>
        <w:tcPr>
          <w:tcW w:w="1247" w:type="dxa"/>
        </w:tcPr>
        <w:p w:rsidR="005965A2" w:rsidRDefault="00344994" w:rsidP="00A75B33">
          <w:pPr>
            <w:rPr>
              <w:i/>
              <w:sz w:val="18"/>
            </w:rPr>
          </w:pPr>
          <w:r>
            <w:rPr>
              <w:i/>
              <w:sz w:val="18"/>
            </w:rPr>
            <w:t>No. 121</w:t>
          </w:r>
          <w:r w:rsidR="00DD4751"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5965A2" w:rsidRDefault="00DD4751" w:rsidP="00A75B33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669" w:type="dxa"/>
        </w:tcPr>
        <w:p w:rsidR="005965A2" w:rsidRDefault="005965A2" w:rsidP="00A75B3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67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65A2" w:rsidRPr="00ED79B6" w:rsidRDefault="005965A2" w:rsidP="005965A2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E661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965A2" w:rsidTr="00E661B1">
      <w:tc>
        <w:tcPr>
          <w:tcW w:w="646" w:type="dxa"/>
        </w:tcPr>
        <w:p w:rsidR="005965A2" w:rsidRDefault="005965A2" w:rsidP="00A75B3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6784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965A2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1270" w:type="dxa"/>
        </w:tcPr>
        <w:p w:rsidR="005965A2" w:rsidRDefault="00344994" w:rsidP="00A75B3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121, 2015</w:t>
          </w:r>
        </w:p>
      </w:tc>
    </w:tr>
  </w:tbl>
  <w:p w:rsidR="005965A2" w:rsidRPr="00A961C4" w:rsidRDefault="005965A2" w:rsidP="005965A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65A2" w:rsidTr="00E661B1">
      <w:tc>
        <w:tcPr>
          <w:tcW w:w="1247" w:type="dxa"/>
        </w:tcPr>
        <w:p w:rsidR="005965A2" w:rsidRDefault="00344994" w:rsidP="00A75B33">
          <w:pPr>
            <w:rPr>
              <w:sz w:val="18"/>
            </w:rPr>
          </w:pPr>
          <w:r>
            <w:rPr>
              <w:i/>
              <w:sz w:val="18"/>
            </w:rPr>
            <w:t>No. 121, 2015</w:t>
          </w:r>
        </w:p>
      </w:tc>
      <w:tc>
        <w:tcPr>
          <w:tcW w:w="5387" w:type="dxa"/>
        </w:tcPr>
        <w:p w:rsidR="005965A2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669" w:type="dxa"/>
        </w:tcPr>
        <w:p w:rsidR="005965A2" w:rsidRDefault="005965A2" w:rsidP="00A75B3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6784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965A2" w:rsidRPr="00055B5C" w:rsidRDefault="005965A2" w:rsidP="005965A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E661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65A2" w:rsidTr="00E661B1">
      <w:tc>
        <w:tcPr>
          <w:tcW w:w="1247" w:type="dxa"/>
        </w:tcPr>
        <w:p w:rsidR="005965A2" w:rsidRDefault="00344994" w:rsidP="00A75B33">
          <w:pPr>
            <w:rPr>
              <w:sz w:val="18"/>
            </w:rPr>
          </w:pPr>
          <w:r>
            <w:rPr>
              <w:i/>
              <w:sz w:val="18"/>
            </w:rPr>
            <w:t>No. 121, 2015</w:t>
          </w:r>
        </w:p>
      </w:tc>
      <w:tc>
        <w:tcPr>
          <w:tcW w:w="5387" w:type="dxa"/>
        </w:tcPr>
        <w:p w:rsidR="005965A2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669" w:type="dxa"/>
        </w:tcPr>
        <w:p w:rsidR="005965A2" w:rsidRDefault="005965A2" w:rsidP="00A75B3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678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965A2" w:rsidRPr="00A961C4" w:rsidRDefault="005965A2" w:rsidP="005965A2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E661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B6B70" w:rsidTr="00E661B1">
      <w:tc>
        <w:tcPr>
          <w:tcW w:w="646" w:type="dxa"/>
        </w:tcPr>
        <w:p w:rsidR="002B6B70" w:rsidRDefault="002B6B70" w:rsidP="00A75B3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857BE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6B70" w:rsidRDefault="00DD4751" w:rsidP="00A75B33">
          <w:pPr>
            <w:jc w:val="center"/>
            <w:rPr>
              <w:sz w:val="18"/>
            </w:rPr>
          </w:pPr>
          <w:r>
            <w:rPr>
              <w:i/>
              <w:sz w:val="18"/>
            </w:rPr>
            <w:t>Gene Technology Amendment Act 2015</w:t>
          </w:r>
        </w:p>
      </w:tc>
      <w:tc>
        <w:tcPr>
          <w:tcW w:w="1270" w:type="dxa"/>
        </w:tcPr>
        <w:p w:rsidR="002B6B70" w:rsidRDefault="00DD4751" w:rsidP="00A75B3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2B6B70" w:rsidRPr="00A961C4" w:rsidRDefault="002B6B70" w:rsidP="005965A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74" w:rsidRDefault="002C5A74" w:rsidP="0048364F">
      <w:pPr>
        <w:spacing w:line="240" w:lineRule="auto"/>
      </w:pPr>
      <w:r>
        <w:separator/>
      </w:r>
    </w:p>
  </w:footnote>
  <w:footnote w:type="continuationSeparator" w:id="0">
    <w:p w:rsidR="002C5A74" w:rsidRDefault="002C5A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5F1388" w:rsidRDefault="005965A2" w:rsidP="005965A2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5965A2">
    <w:pPr>
      <w:rPr>
        <w:b/>
        <w:sz w:val="20"/>
      </w:rPr>
    </w:pPr>
  </w:p>
  <w:p w:rsidR="002B6B70" w:rsidRPr="00A961C4" w:rsidRDefault="002B6B70" w:rsidP="005965A2">
    <w:pPr>
      <w:rPr>
        <w:b/>
        <w:sz w:val="20"/>
      </w:rPr>
    </w:pPr>
  </w:p>
  <w:p w:rsidR="002B6B70" w:rsidRPr="00A961C4" w:rsidRDefault="002B6B70" w:rsidP="005965A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5965A2">
    <w:pPr>
      <w:jc w:val="right"/>
      <w:rPr>
        <w:sz w:val="20"/>
      </w:rPr>
    </w:pPr>
  </w:p>
  <w:p w:rsidR="002B6B70" w:rsidRPr="00A961C4" w:rsidRDefault="002B6B70" w:rsidP="005965A2">
    <w:pPr>
      <w:jc w:val="right"/>
      <w:rPr>
        <w:b/>
        <w:sz w:val="20"/>
      </w:rPr>
    </w:pPr>
  </w:p>
  <w:p w:rsidR="002B6B70" w:rsidRPr="00A961C4" w:rsidRDefault="002B6B70" w:rsidP="005965A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0" w:rsidRPr="00A961C4" w:rsidRDefault="002B6B70" w:rsidP="005965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5F1388" w:rsidRDefault="005965A2" w:rsidP="005965A2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5F1388" w:rsidRDefault="005965A2" w:rsidP="005965A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ED79B6" w:rsidRDefault="005965A2" w:rsidP="005965A2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ED79B6" w:rsidRDefault="005965A2" w:rsidP="005965A2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ED79B6" w:rsidRDefault="005965A2" w:rsidP="005965A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5965A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6784">
      <w:rPr>
        <w:b/>
        <w:sz w:val="20"/>
      </w:rPr>
      <w:fldChar w:fldCharType="separate"/>
    </w:r>
    <w:r w:rsidR="00A467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6784">
      <w:rPr>
        <w:sz w:val="20"/>
      </w:rPr>
      <w:fldChar w:fldCharType="separate"/>
    </w:r>
    <w:r w:rsidR="00A46784">
      <w:rPr>
        <w:noProof/>
        <w:sz w:val="20"/>
      </w:rPr>
      <w:t>Gene Technology Act 2000</w:t>
    </w:r>
    <w:r>
      <w:rPr>
        <w:sz w:val="20"/>
      </w:rPr>
      <w:fldChar w:fldCharType="end"/>
    </w:r>
  </w:p>
  <w:p w:rsidR="005965A2" w:rsidRPr="00A961C4" w:rsidRDefault="005965A2" w:rsidP="005965A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46784">
      <w:rPr>
        <w:b/>
        <w:sz w:val="20"/>
      </w:rPr>
      <w:fldChar w:fldCharType="separate"/>
    </w:r>
    <w:r w:rsidR="00A46784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46784">
      <w:rPr>
        <w:sz w:val="20"/>
      </w:rPr>
      <w:fldChar w:fldCharType="separate"/>
    </w:r>
    <w:r w:rsidR="00A46784">
      <w:rPr>
        <w:noProof/>
        <w:sz w:val="20"/>
      </w:rPr>
      <w:t>Technical amendments</w:t>
    </w:r>
    <w:r>
      <w:rPr>
        <w:sz w:val="20"/>
      </w:rPr>
      <w:fldChar w:fldCharType="end"/>
    </w:r>
  </w:p>
  <w:p w:rsidR="005965A2" w:rsidRPr="00A961C4" w:rsidRDefault="005965A2" w:rsidP="005965A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5965A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46784">
      <w:rPr>
        <w:sz w:val="20"/>
      </w:rPr>
      <w:fldChar w:fldCharType="separate"/>
    </w:r>
    <w:r w:rsidR="00A46784">
      <w:rPr>
        <w:noProof/>
        <w:sz w:val="20"/>
      </w:rPr>
      <w:t>Gene Technology Act 2000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6784">
      <w:rPr>
        <w:b/>
        <w:sz w:val="20"/>
      </w:rPr>
      <w:fldChar w:fldCharType="separate"/>
    </w:r>
    <w:r w:rsidR="00A467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965A2" w:rsidRPr="00A961C4" w:rsidRDefault="005965A2" w:rsidP="005965A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46784">
      <w:rPr>
        <w:sz w:val="20"/>
      </w:rPr>
      <w:fldChar w:fldCharType="separate"/>
    </w:r>
    <w:r w:rsidR="00A46784">
      <w:rPr>
        <w:noProof/>
        <w:sz w:val="20"/>
      </w:rPr>
      <w:t>Restrictions on licence variations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46784">
      <w:rPr>
        <w:b/>
        <w:sz w:val="20"/>
      </w:rPr>
      <w:fldChar w:fldCharType="separate"/>
    </w:r>
    <w:r w:rsidR="00A46784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:rsidR="005965A2" w:rsidRPr="00A961C4" w:rsidRDefault="005965A2" w:rsidP="005965A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A2" w:rsidRPr="00A961C4" w:rsidRDefault="005965A2" w:rsidP="005965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B0A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58A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BE8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007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00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6A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6F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200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1C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1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2"/>
    <w:rsid w:val="00001B6C"/>
    <w:rsid w:val="00010308"/>
    <w:rsid w:val="000113BC"/>
    <w:rsid w:val="000136AF"/>
    <w:rsid w:val="00030599"/>
    <w:rsid w:val="000348D3"/>
    <w:rsid w:val="000417C9"/>
    <w:rsid w:val="00055B5C"/>
    <w:rsid w:val="0005789E"/>
    <w:rsid w:val="00060FF9"/>
    <w:rsid w:val="000614BF"/>
    <w:rsid w:val="0007470E"/>
    <w:rsid w:val="00092647"/>
    <w:rsid w:val="000B1FD2"/>
    <w:rsid w:val="000C7DBA"/>
    <w:rsid w:val="000D05EF"/>
    <w:rsid w:val="000F21C1"/>
    <w:rsid w:val="000F5A9D"/>
    <w:rsid w:val="00101D90"/>
    <w:rsid w:val="0010745C"/>
    <w:rsid w:val="001103A2"/>
    <w:rsid w:val="001110DE"/>
    <w:rsid w:val="00113BD1"/>
    <w:rsid w:val="00121601"/>
    <w:rsid w:val="00122206"/>
    <w:rsid w:val="00126CB2"/>
    <w:rsid w:val="00147C8A"/>
    <w:rsid w:val="0015544C"/>
    <w:rsid w:val="0015646E"/>
    <w:rsid w:val="001643C9"/>
    <w:rsid w:val="00165568"/>
    <w:rsid w:val="00166C2F"/>
    <w:rsid w:val="001716C9"/>
    <w:rsid w:val="00173363"/>
    <w:rsid w:val="00173B94"/>
    <w:rsid w:val="00174AF8"/>
    <w:rsid w:val="0017736F"/>
    <w:rsid w:val="001854B4"/>
    <w:rsid w:val="001939E1"/>
    <w:rsid w:val="00195382"/>
    <w:rsid w:val="001A3658"/>
    <w:rsid w:val="001A759A"/>
    <w:rsid w:val="001A7971"/>
    <w:rsid w:val="001B7A5D"/>
    <w:rsid w:val="001C2418"/>
    <w:rsid w:val="001C69C4"/>
    <w:rsid w:val="001E3590"/>
    <w:rsid w:val="001E6FA8"/>
    <w:rsid w:val="001E7407"/>
    <w:rsid w:val="001F691F"/>
    <w:rsid w:val="00201D27"/>
    <w:rsid w:val="00206FDB"/>
    <w:rsid w:val="00211AAE"/>
    <w:rsid w:val="00240749"/>
    <w:rsid w:val="00263820"/>
    <w:rsid w:val="002857BE"/>
    <w:rsid w:val="00293B89"/>
    <w:rsid w:val="00297ECB"/>
    <w:rsid w:val="002B5A30"/>
    <w:rsid w:val="002B6B70"/>
    <w:rsid w:val="002C5A74"/>
    <w:rsid w:val="002D043A"/>
    <w:rsid w:val="002D1B01"/>
    <w:rsid w:val="002D395A"/>
    <w:rsid w:val="003415D3"/>
    <w:rsid w:val="00344994"/>
    <w:rsid w:val="00350417"/>
    <w:rsid w:val="003524AF"/>
    <w:rsid w:val="00352B0F"/>
    <w:rsid w:val="003655CB"/>
    <w:rsid w:val="00375C6C"/>
    <w:rsid w:val="003A5B34"/>
    <w:rsid w:val="003B2D72"/>
    <w:rsid w:val="003B7447"/>
    <w:rsid w:val="003C5277"/>
    <w:rsid w:val="003C5F2B"/>
    <w:rsid w:val="003D0BFE"/>
    <w:rsid w:val="003D5700"/>
    <w:rsid w:val="003E3761"/>
    <w:rsid w:val="003F091B"/>
    <w:rsid w:val="00405579"/>
    <w:rsid w:val="00410B8E"/>
    <w:rsid w:val="004116CD"/>
    <w:rsid w:val="00414491"/>
    <w:rsid w:val="00421FC1"/>
    <w:rsid w:val="004229C7"/>
    <w:rsid w:val="00424CA9"/>
    <w:rsid w:val="00427174"/>
    <w:rsid w:val="00436785"/>
    <w:rsid w:val="00436BD5"/>
    <w:rsid w:val="00437E4B"/>
    <w:rsid w:val="0044291A"/>
    <w:rsid w:val="00461C46"/>
    <w:rsid w:val="0048196B"/>
    <w:rsid w:val="0048364F"/>
    <w:rsid w:val="00496F97"/>
    <w:rsid w:val="004A44C1"/>
    <w:rsid w:val="004B7C8D"/>
    <w:rsid w:val="004C7C8C"/>
    <w:rsid w:val="004E2A4A"/>
    <w:rsid w:val="004E6F06"/>
    <w:rsid w:val="004F0D23"/>
    <w:rsid w:val="004F1FAC"/>
    <w:rsid w:val="00505D7F"/>
    <w:rsid w:val="005119CB"/>
    <w:rsid w:val="00516B8D"/>
    <w:rsid w:val="005201D1"/>
    <w:rsid w:val="00537FBC"/>
    <w:rsid w:val="00542C9C"/>
    <w:rsid w:val="00543469"/>
    <w:rsid w:val="00545902"/>
    <w:rsid w:val="00551B54"/>
    <w:rsid w:val="00553FB5"/>
    <w:rsid w:val="0056429E"/>
    <w:rsid w:val="00567805"/>
    <w:rsid w:val="00584811"/>
    <w:rsid w:val="005902DA"/>
    <w:rsid w:val="00593AA6"/>
    <w:rsid w:val="00594161"/>
    <w:rsid w:val="00594749"/>
    <w:rsid w:val="005965A2"/>
    <w:rsid w:val="005A0D92"/>
    <w:rsid w:val="005A4614"/>
    <w:rsid w:val="005B4067"/>
    <w:rsid w:val="005C3F41"/>
    <w:rsid w:val="005C505A"/>
    <w:rsid w:val="005E0F36"/>
    <w:rsid w:val="00600219"/>
    <w:rsid w:val="00600387"/>
    <w:rsid w:val="00607775"/>
    <w:rsid w:val="00621865"/>
    <w:rsid w:val="0063555A"/>
    <w:rsid w:val="00641DE5"/>
    <w:rsid w:val="00642BA9"/>
    <w:rsid w:val="006554FF"/>
    <w:rsid w:val="00656F0C"/>
    <w:rsid w:val="00664135"/>
    <w:rsid w:val="00674AE7"/>
    <w:rsid w:val="00677CC2"/>
    <w:rsid w:val="00681F92"/>
    <w:rsid w:val="006842C2"/>
    <w:rsid w:val="00685F42"/>
    <w:rsid w:val="0069207B"/>
    <w:rsid w:val="006B2711"/>
    <w:rsid w:val="006B6E7E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1749C"/>
    <w:rsid w:val="00731E00"/>
    <w:rsid w:val="00741901"/>
    <w:rsid w:val="007427D4"/>
    <w:rsid w:val="007440B7"/>
    <w:rsid w:val="007634AD"/>
    <w:rsid w:val="00765527"/>
    <w:rsid w:val="007715C9"/>
    <w:rsid w:val="00774EDD"/>
    <w:rsid w:val="007757EC"/>
    <w:rsid w:val="00785250"/>
    <w:rsid w:val="00790505"/>
    <w:rsid w:val="00793C38"/>
    <w:rsid w:val="00793E5A"/>
    <w:rsid w:val="007D10BD"/>
    <w:rsid w:val="007D47B8"/>
    <w:rsid w:val="007E110E"/>
    <w:rsid w:val="007E7D4A"/>
    <w:rsid w:val="008006CC"/>
    <w:rsid w:val="00805758"/>
    <w:rsid w:val="00807F18"/>
    <w:rsid w:val="00826162"/>
    <w:rsid w:val="00830CEC"/>
    <w:rsid w:val="00831E8D"/>
    <w:rsid w:val="00852418"/>
    <w:rsid w:val="00854F7B"/>
    <w:rsid w:val="00856A31"/>
    <w:rsid w:val="00857D6B"/>
    <w:rsid w:val="0086448D"/>
    <w:rsid w:val="008728AB"/>
    <w:rsid w:val="008754D0"/>
    <w:rsid w:val="00877D48"/>
    <w:rsid w:val="00883781"/>
    <w:rsid w:val="00885570"/>
    <w:rsid w:val="00893958"/>
    <w:rsid w:val="008A2407"/>
    <w:rsid w:val="008A2E77"/>
    <w:rsid w:val="008A4541"/>
    <w:rsid w:val="008B12AA"/>
    <w:rsid w:val="008B3796"/>
    <w:rsid w:val="008B464F"/>
    <w:rsid w:val="008C640F"/>
    <w:rsid w:val="008C6F6F"/>
    <w:rsid w:val="008D0275"/>
    <w:rsid w:val="008D0EE0"/>
    <w:rsid w:val="008F4F1C"/>
    <w:rsid w:val="008F77C4"/>
    <w:rsid w:val="009103F3"/>
    <w:rsid w:val="00910BA9"/>
    <w:rsid w:val="0091161B"/>
    <w:rsid w:val="00932377"/>
    <w:rsid w:val="00961A90"/>
    <w:rsid w:val="00967042"/>
    <w:rsid w:val="0096773F"/>
    <w:rsid w:val="0098255A"/>
    <w:rsid w:val="009845BE"/>
    <w:rsid w:val="009908EC"/>
    <w:rsid w:val="009969C9"/>
    <w:rsid w:val="009A0549"/>
    <w:rsid w:val="009C7AEC"/>
    <w:rsid w:val="009E01BE"/>
    <w:rsid w:val="00A00674"/>
    <w:rsid w:val="00A07210"/>
    <w:rsid w:val="00A10775"/>
    <w:rsid w:val="00A231E2"/>
    <w:rsid w:val="00A35790"/>
    <w:rsid w:val="00A36C48"/>
    <w:rsid w:val="00A41E0B"/>
    <w:rsid w:val="00A45AA7"/>
    <w:rsid w:val="00A46784"/>
    <w:rsid w:val="00A5453B"/>
    <w:rsid w:val="00A64912"/>
    <w:rsid w:val="00A70A74"/>
    <w:rsid w:val="00A714B3"/>
    <w:rsid w:val="00A725D9"/>
    <w:rsid w:val="00A75D45"/>
    <w:rsid w:val="00A87F41"/>
    <w:rsid w:val="00AA3795"/>
    <w:rsid w:val="00AA39B7"/>
    <w:rsid w:val="00AC1E75"/>
    <w:rsid w:val="00AD5641"/>
    <w:rsid w:val="00AE0BB5"/>
    <w:rsid w:val="00AE1088"/>
    <w:rsid w:val="00AF1BA4"/>
    <w:rsid w:val="00B032D8"/>
    <w:rsid w:val="00B2711E"/>
    <w:rsid w:val="00B33B3C"/>
    <w:rsid w:val="00B6382D"/>
    <w:rsid w:val="00BA4494"/>
    <w:rsid w:val="00BA5026"/>
    <w:rsid w:val="00BB1DCA"/>
    <w:rsid w:val="00BB40BF"/>
    <w:rsid w:val="00BC0DBB"/>
    <w:rsid w:val="00BE719A"/>
    <w:rsid w:val="00BE720A"/>
    <w:rsid w:val="00BF0461"/>
    <w:rsid w:val="00BF4944"/>
    <w:rsid w:val="00C04409"/>
    <w:rsid w:val="00C067E5"/>
    <w:rsid w:val="00C11EE0"/>
    <w:rsid w:val="00C164CA"/>
    <w:rsid w:val="00C176CF"/>
    <w:rsid w:val="00C42BF8"/>
    <w:rsid w:val="00C42BF9"/>
    <w:rsid w:val="00C460AE"/>
    <w:rsid w:val="00C50043"/>
    <w:rsid w:val="00C54E84"/>
    <w:rsid w:val="00C606AC"/>
    <w:rsid w:val="00C746C9"/>
    <w:rsid w:val="00C7573B"/>
    <w:rsid w:val="00C76CF3"/>
    <w:rsid w:val="00C91E72"/>
    <w:rsid w:val="00CA19FF"/>
    <w:rsid w:val="00CA6293"/>
    <w:rsid w:val="00CB474E"/>
    <w:rsid w:val="00CB7E29"/>
    <w:rsid w:val="00CE1E31"/>
    <w:rsid w:val="00CE5B16"/>
    <w:rsid w:val="00CF0BB2"/>
    <w:rsid w:val="00D00EAA"/>
    <w:rsid w:val="00D018AA"/>
    <w:rsid w:val="00D13441"/>
    <w:rsid w:val="00D16421"/>
    <w:rsid w:val="00D243A3"/>
    <w:rsid w:val="00D25618"/>
    <w:rsid w:val="00D272E1"/>
    <w:rsid w:val="00D3699C"/>
    <w:rsid w:val="00D36A73"/>
    <w:rsid w:val="00D477C3"/>
    <w:rsid w:val="00D52EFE"/>
    <w:rsid w:val="00D63EF6"/>
    <w:rsid w:val="00D70DFB"/>
    <w:rsid w:val="00D70EC5"/>
    <w:rsid w:val="00D73029"/>
    <w:rsid w:val="00D766DF"/>
    <w:rsid w:val="00D934DA"/>
    <w:rsid w:val="00DA6E62"/>
    <w:rsid w:val="00DB0693"/>
    <w:rsid w:val="00DB4613"/>
    <w:rsid w:val="00DD0477"/>
    <w:rsid w:val="00DD4751"/>
    <w:rsid w:val="00DF185A"/>
    <w:rsid w:val="00DF7AE9"/>
    <w:rsid w:val="00E01BC7"/>
    <w:rsid w:val="00E05704"/>
    <w:rsid w:val="00E16735"/>
    <w:rsid w:val="00E24D66"/>
    <w:rsid w:val="00E2562E"/>
    <w:rsid w:val="00E478EC"/>
    <w:rsid w:val="00E54292"/>
    <w:rsid w:val="00E661B1"/>
    <w:rsid w:val="00E735BF"/>
    <w:rsid w:val="00E74DC7"/>
    <w:rsid w:val="00E753B3"/>
    <w:rsid w:val="00E8300D"/>
    <w:rsid w:val="00E83AE3"/>
    <w:rsid w:val="00E87699"/>
    <w:rsid w:val="00E876C8"/>
    <w:rsid w:val="00E90487"/>
    <w:rsid w:val="00E95C65"/>
    <w:rsid w:val="00EC01CF"/>
    <w:rsid w:val="00ED492F"/>
    <w:rsid w:val="00EF0144"/>
    <w:rsid w:val="00EF2E3A"/>
    <w:rsid w:val="00EF488E"/>
    <w:rsid w:val="00F047E2"/>
    <w:rsid w:val="00F078DC"/>
    <w:rsid w:val="00F1241C"/>
    <w:rsid w:val="00F13E86"/>
    <w:rsid w:val="00F17B00"/>
    <w:rsid w:val="00F34C3F"/>
    <w:rsid w:val="00F45005"/>
    <w:rsid w:val="00F677A9"/>
    <w:rsid w:val="00F84CF5"/>
    <w:rsid w:val="00FA420B"/>
    <w:rsid w:val="00FD1E13"/>
    <w:rsid w:val="00FE222D"/>
    <w:rsid w:val="00FE37B2"/>
    <w:rsid w:val="00FE41C9"/>
    <w:rsid w:val="00FE7F93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1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1B1"/>
  </w:style>
  <w:style w:type="paragraph" w:customStyle="1" w:styleId="OPCParaBase">
    <w:name w:val="OPCParaBase"/>
    <w:link w:val="OPCParaBaseChar"/>
    <w:qFormat/>
    <w:rsid w:val="00E661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61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1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1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1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1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1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1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1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1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1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61B1"/>
  </w:style>
  <w:style w:type="paragraph" w:customStyle="1" w:styleId="Blocks">
    <w:name w:val="Blocks"/>
    <w:aliases w:val="bb"/>
    <w:basedOn w:val="OPCParaBase"/>
    <w:qFormat/>
    <w:rsid w:val="00E661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1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1B1"/>
    <w:rPr>
      <w:i/>
    </w:rPr>
  </w:style>
  <w:style w:type="paragraph" w:customStyle="1" w:styleId="BoxList">
    <w:name w:val="BoxList"/>
    <w:aliases w:val="bl"/>
    <w:basedOn w:val="BoxText"/>
    <w:qFormat/>
    <w:rsid w:val="00E661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1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1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1B1"/>
    <w:pPr>
      <w:ind w:left="1985" w:hanging="851"/>
    </w:pPr>
  </w:style>
  <w:style w:type="character" w:customStyle="1" w:styleId="CharAmPartNo">
    <w:name w:val="CharAmPartNo"/>
    <w:basedOn w:val="OPCCharBase"/>
    <w:qFormat/>
    <w:rsid w:val="00E661B1"/>
  </w:style>
  <w:style w:type="character" w:customStyle="1" w:styleId="CharAmPartText">
    <w:name w:val="CharAmPartText"/>
    <w:basedOn w:val="OPCCharBase"/>
    <w:qFormat/>
    <w:rsid w:val="00E661B1"/>
  </w:style>
  <w:style w:type="character" w:customStyle="1" w:styleId="CharAmSchNo">
    <w:name w:val="CharAmSchNo"/>
    <w:basedOn w:val="OPCCharBase"/>
    <w:qFormat/>
    <w:rsid w:val="00E661B1"/>
  </w:style>
  <w:style w:type="character" w:customStyle="1" w:styleId="CharAmSchText">
    <w:name w:val="CharAmSchText"/>
    <w:basedOn w:val="OPCCharBase"/>
    <w:qFormat/>
    <w:rsid w:val="00E661B1"/>
  </w:style>
  <w:style w:type="character" w:customStyle="1" w:styleId="CharBoldItalic">
    <w:name w:val="CharBoldItalic"/>
    <w:basedOn w:val="OPCCharBase"/>
    <w:uiPriority w:val="1"/>
    <w:qFormat/>
    <w:rsid w:val="00E661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1B1"/>
  </w:style>
  <w:style w:type="character" w:customStyle="1" w:styleId="CharChapText">
    <w:name w:val="CharChapText"/>
    <w:basedOn w:val="OPCCharBase"/>
    <w:uiPriority w:val="1"/>
    <w:qFormat/>
    <w:rsid w:val="00E661B1"/>
  </w:style>
  <w:style w:type="character" w:customStyle="1" w:styleId="CharDivNo">
    <w:name w:val="CharDivNo"/>
    <w:basedOn w:val="OPCCharBase"/>
    <w:uiPriority w:val="1"/>
    <w:qFormat/>
    <w:rsid w:val="00E661B1"/>
  </w:style>
  <w:style w:type="character" w:customStyle="1" w:styleId="CharDivText">
    <w:name w:val="CharDivText"/>
    <w:basedOn w:val="OPCCharBase"/>
    <w:uiPriority w:val="1"/>
    <w:qFormat/>
    <w:rsid w:val="00E661B1"/>
  </w:style>
  <w:style w:type="character" w:customStyle="1" w:styleId="CharItalic">
    <w:name w:val="CharItalic"/>
    <w:basedOn w:val="OPCCharBase"/>
    <w:uiPriority w:val="1"/>
    <w:qFormat/>
    <w:rsid w:val="00E661B1"/>
    <w:rPr>
      <w:i/>
    </w:rPr>
  </w:style>
  <w:style w:type="character" w:customStyle="1" w:styleId="CharPartNo">
    <w:name w:val="CharPartNo"/>
    <w:basedOn w:val="OPCCharBase"/>
    <w:uiPriority w:val="1"/>
    <w:qFormat/>
    <w:rsid w:val="00E661B1"/>
  </w:style>
  <w:style w:type="character" w:customStyle="1" w:styleId="CharPartText">
    <w:name w:val="CharPartText"/>
    <w:basedOn w:val="OPCCharBase"/>
    <w:uiPriority w:val="1"/>
    <w:qFormat/>
    <w:rsid w:val="00E661B1"/>
  </w:style>
  <w:style w:type="character" w:customStyle="1" w:styleId="CharSectno">
    <w:name w:val="CharSectno"/>
    <w:basedOn w:val="OPCCharBase"/>
    <w:qFormat/>
    <w:rsid w:val="00E661B1"/>
  </w:style>
  <w:style w:type="character" w:customStyle="1" w:styleId="CharSubdNo">
    <w:name w:val="CharSubdNo"/>
    <w:basedOn w:val="OPCCharBase"/>
    <w:uiPriority w:val="1"/>
    <w:qFormat/>
    <w:rsid w:val="00E661B1"/>
  </w:style>
  <w:style w:type="character" w:customStyle="1" w:styleId="CharSubdText">
    <w:name w:val="CharSubdText"/>
    <w:basedOn w:val="OPCCharBase"/>
    <w:uiPriority w:val="1"/>
    <w:qFormat/>
    <w:rsid w:val="00E661B1"/>
  </w:style>
  <w:style w:type="paragraph" w:customStyle="1" w:styleId="CTA--">
    <w:name w:val="CTA --"/>
    <w:basedOn w:val="OPCParaBase"/>
    <w:next w:val="Normal"/>
    <w:rsid w:val="00E661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1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1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1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1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1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1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1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1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1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1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1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1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1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1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1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6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1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1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1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1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1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1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1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1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1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1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1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1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1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1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1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1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1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1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1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1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1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1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1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1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1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1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1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1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1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1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1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1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1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1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1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61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61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661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61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1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1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1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1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1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1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1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1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1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1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1B1"/>
    <w:rPr>
      <w:sz w:val="16"/>
    </w:rPr>
  </w:style>
  <w:style w:type="table" w:customStyle="1" w:styleId="CFlag">
    <w:name w:val="CFlag"/>
    <w:basedOn w:val="TableNormal"/>
    <w:uiPriority w:val="99"/>
    <w:rsid w:val="00E661B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661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1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661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1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661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61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661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661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61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61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1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1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1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1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1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1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61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1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61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61B1"/>
  </w:style>
  <w:style w:type="character" w:customStyle="1" w:styleId="CharSubPartNoCASA">
    <w:name w:val="CharSubPartNo(CASA)"/>
    <w:basedOn w:val="OPCCharBase"/>
    <w:uiPriority w:val="1"/>
    <w:rsid w:val="00E661B1"/>
  </w:style>
  <w:style w:type="paragraph" w:customStyle="1" w:styleId="ENoteTTIndentHeadingSub">
    <w:name w:val="ENoteTTIndentHeadingSub"/>
    <w:aliases w:val="enTTHis"/>
    <w:basedOn w:val="OPCParaBase"/>
    <w:rsid w:val="00E661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1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1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1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661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1B1"/>
    <w:rPr>
      <w:sz w:val="22"/>
    </w:rPr>
  </w:style>
  <w:style w:type="paragraph" w:customStyle="1" w:styleId="SOTextNote">
    <w:name w:val="SO TextNote"/>
    <w:aliases w:val="sont"/>
    <w:basedOn w:val="SOText"/>
    <w:qFormat/>
    <w:rsid w:val="00E661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1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1B1"/>
    <w:rPr>
      <w:sz w:val="22"/>
    </w:rPr>
  </w:style>
  <w:style w:type="paragraph" w:customStyle="1" w:styleId="FileName">
    <w:name w:val="FileName"/>
    <w:basedOn w:val="Normal"/>
    <w:rsid w:val="00E661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1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1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1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1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1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1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1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1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1B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54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5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C7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8B464F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2B6B7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6B7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6B7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6B7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B7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6B7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6B7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6B70"/>
  </w:style>
  <w:style w:type="character" w:customStyle="1" w:styleId="ShortTCPChar">
    <w:name w:val="ShortTCP Char"/>
    <w:basedOn w:val="ShortTChar"/>
    <w:link w:val="ShortTCP"/>
    <w:rsid w:val="002B6B7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6B70"/>
    <w:pPr>
      <w:spacing w:before="400"/>
    </w:pPr>
  </w:style>
  <w:style w:type="character" w:customStyle="1" w:styleId="ActNoCPChar">
    <w:name w:val="ActNoCP Char"/>
    <w:basedOn w:val="ActnoChar"/>
    <w:link w:val="ActNoCP"/>
    <w:rsid w:val="002B6B7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6B7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49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49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499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1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1B1"/>
  </w:style>
  <w:style w:type="paragraph" w:customStyle="1" w:styleId="OPCParaBase">
    <w:name w:val="OPCParaBase"/>
    <w:link w:val="OPCParaBaseChar"/>
    <w:qFormat/>
    <w:rsid w:val="00E661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61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1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1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1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1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1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1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1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1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1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61B1"/>
  </w:style>
  <w:style w:type="paragraph" w:customStyle="1" w:styleId="Blocks">
    <w:name w:val="Blocks"/>
    <w:aliases w:val="bb"/>
    <w:basedOn w:val="OPCParaBase"/>
    <w:qFormat/>
    <w:rsid w:val="00E661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1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1B1"/>
    <w:rPr>
      <w:i/>
    </w:rPr>
  </w:style>
  <w:style w:type="paragraph" w:customStyle="1" w:styleId="BoxList">
    <w:name w:val="BoxList"/>
    <w:aliases w:val="bl"/>
    <w:basedOn w:val="BoxText"/>
    <w:qFormat/>
    <w:rsid w:val="00E661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1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1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1B1"/>
    <w:pPr>
      <w:ind w:left="1985" w:hanging="851"/>
    </w:pPr>
  </w:style>
  <w:style w:type="character" w:customStyle="1" w:styleId="CharAmPartNo">
    <w:name w:val="CharAmPartNo"/>
    <w:basedOn w:val="OPCCharBase"/>
    <w:qFormat/>
    <w:rsid w:val="00E661B1"/>
  </w:style>
  <w:style w:type="character" w:customStyle="1" w:styleId="CharAmPartText">
    <w:name w:val="CharAmPartText"/>
    <w:basedOn w:val="OPCCharBase"/>
    <w:qFormat/>
    <w:rsid w:val="00E661B1"/>
  </w:style>
  <w:style w:type="character" w:customStyle="1" w:styleId="CharAmSchNo">
    <w:name w:val="CharAmSchNo"/>
    <w:basedOn w:val="OPCCharBase"/>
    <w:qFormat/>
    <w:rsid w:val="00E661B1"/>
  </w:style>
  <w:style w:type="character" w:customStyle="1" w:styleId="CharAmSchText">
    <w:name w:val="CharAmSchText"/>
    <w:basedOn w:val="OPCCharBase"/>
    <w:qFormat/>
    <w:rsid w:val="00E661B1"/>
  </w:style>
  <w:style w:type="character" w:customStyle="1" w:styleId="CharBoldItalic">
    <w:name w:val="CharBoldItalic"/>
    <w:basedOn w:val="OPCCharBase"/>
    <w:uiPriority w:val="1"/>
    <w:qFormat/>
    <w:rsid w:val="00E661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1B1"/>
  </w:style>
  <w:style w:type="character" w:customStyle="1" w:styleId="CharChapText">
    <w:name w:val="CharChapText"/>
    <w:basedOn w:val="OPCCharBase"/>
    <w:uiPriority w:val="1"/>
    <w:qFormat/>
    <w:rsid w:val="00E661B1"/>
  </w:style>
  <w:style w:type="character" w:customStyle="1" w:styleId="CharDivNo">
    <w:name w:val="CharDivNo"/>
    <w:basedOn w:val="OPCCharBase"/>
    <w:uiPriority w:val="1"/>
    <w:qFormat/>
    <w:rsid w:val="00E661B1"/>
  </w:style>
  <w:style w:type="character" w:customStyle="1" w:styleId="CharDivText">
    <w:name w:val="CharDivText"/>
    <w:basedOn w:val="OPCCharBase"/>
    <w:uiPriority w:val="1"/>
    <w:qFormat/>
    <w:rsid w:val="00E661B1"/>
  </w:style>
  <w:style w:type="character" w:customStyle="1" w:styleId="CharItalic">
    <w:name w:val="CharItalic"/>
    <w:basedOn w:val="OPCCharBase"/>
    <w:uiPriority w:val="1"/>
    <w:qFormat/>
    <w:rsid w:val="00E661B1"/>
    <w:rPr>
      <w:i/>
    </w:rPr>
  </w:style>
  <w:style w:type="character" w:customStyle="1" w:styleId="CharPartNo">
    <w:name w:val="CharPartNo"/>
    <w:basedOn w:val="OPCCharBase"/>
    <w:uiPriority w:val="1"/>
    <w:qFormat/>
    <w:rsid w:val="00E661B1"/>
  </w:style>
  <w:style w:type="character" w:customStyle="1" w:styleId="CharPartText">
    <w:name w:val="CharPartText"/>
    <w:basedOn w:val="OPCCharBase"/>
    <w:uiPriority w:val="1"/>
    <w:qFormat/>
    <w:rsid w:val="00E661B1"/>
  </w:style>
  <w:style w:type="character" w:customStyle="1" w:styleId="CharSectno">
    <w:name w:val="CharSectno"/>
    <w:basedOn w:val="OPCCharBase"/>
    <w:qFormat/>
    <w:rsid w:val="00E661B1"/>
  </w:style>
  <w:style w:type="character" w:customStyle="1" w:styleId="CharSubdNo">
    <w:name w:val="CharSubdNo"/>
    <w:basedOn w:val="OPCCharBase"/>
    <w:uiPriority w:val="1"/>
    <w:qFormat/>
    <w:rsid w:val="00E661B1"/>
  </w:style>
  <w:style w:type="character" w:customStyle="1" w:styleId="CharSubdText">
    <w:name w:val="CharSubdText"/>
    <w:basedOn w:val="OPCCharBase"/>
    <w:uiPriority w:val="1"/>
    <w:qFormat/>
    <w:rsid w:val="00E661B1"/>
  </w:style>
  <w:style w:type="paragraph" w:customStyle="1" w:styleId="CTA--">
    <w:name w:val="CTA --"/>
    <w:basedOn w:val="OPCParaBase"/>
    <w:next w:val="Normal"/>
    <w:rsid w:val="00E661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1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1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1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1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1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1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1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1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1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1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1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1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1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1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1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6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1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1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1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1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1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1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1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1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1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1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1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1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1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1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1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1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1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1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1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1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1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1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1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1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1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1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1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1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1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1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1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1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1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1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1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61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61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661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61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1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1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61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1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1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1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1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1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1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1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1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1B1"/>
    <w:rPr>
      <w:sz w:val="16"/>
    </w:rPr>
  </w:style>
  <w:style w:type="table" w:customStyle="1" w:styleId="CFlag">
    <w:name w:val="CFlag"/>
    <w:basedOn w:val="TableNormal"/>
    <w:uiPriority w:val="99"/>
    <w:rsid w:val="00E661B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661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1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661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1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661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61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661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661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61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61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1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1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1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1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1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1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61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1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61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61B1"/>
  </w:style>
  <w:style w:type="character" w:customStyle="1" w:styleId="CharSubPartNoCASA">
    <w:name w:val="CharSubPartNo(CASA)"/>
    <w:basedOn w:val="OPCCharBase"/>
    <w:uiPriority w:val="1"/>
    <w:rsid w:val="00E661B1"/>
  </w:style>
  <w:style w:type="paragraph" w:customStyle="1" w:styleId="ENoteTTIndentHeadingSub">
    <w:name w:val="ENoteTTIndentHeadingSub"/>
    <w:aliases w:val="enTTHis"/>
    <w:basedOn w:val="OPCParaBase"/>
    <w:rsid w:val="00E661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1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1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1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661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1B1"/>
    <w:rPr>
      <w:sz w:val="22"/>
    </w:rPr>
  </w:style>
  <w:style w:type="paragraph" w:customStyle="1" w:styleId="SOTextNote">
    <w:name w:val="SO TextNote"/>
    <w:aliases w:val="sont"/>
    <w:basedOn w:val="SOText"/>
    <w:qFormat/>
    <w:rsid w:val="00E661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1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1B1"/>
    <w:rPr>
      <w:sz w:val="22"/>
    </w:rPr>
  </w:style>
  <w:style w:type="paragraph" w:customStyle="1" w:styleId="FileName">
    <w:name w:val="FileName"/>
    <w:basedOn w:val="Normal"/>
    <w:rsid w:val="00E661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1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1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1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1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1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1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1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1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1B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54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5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C7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8B464F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2B6B7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6B7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6B7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6B7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B7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6B7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6B7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6B70"/>
  </w:style>
  <w:style w:type="character" w:customStyle="1" w:styleId="ShortTCPChar">
    <w:name w:val="ShortTCP Char"/>
    <w:basedOn w:val="ShortTChar"/>
    <w:link w:val="ShortTCP"/>
    <w:rsid w:val="002B6B7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6B70"/>
    <w:pPr>
      <w:spacing w:before="400"/>
    </w:pPr>
  </w:style>
  <w:style w:type="character" w:customStyle="1" w:styleId="ActNoCPChar">
    <w:name w:val="ActNoCP Char"/>
    <w:basedOn w:val="ActnoChar"/>
    <w:link w:val="ActNoCP"/>
    <w:rsid w:val="002B6B7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6B7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49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49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499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EE38-2C5E-4678-9613-75592085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1290</Words>
  <Characters>7359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2016-06-23T22:00:00Z</dcterms:created>
  <dcterms:modified xsi:type="dcterms:W3CDTF">2016-06-23T22:01:00Z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Gene Technology Amendment Act 2015</vt:lpwstr>
  </property>
  <property fmtid="{D5CDD505-2E9C-101B-9397-08002B2CF9AE}" pid="3" name="Actno">
    <vt:lpwstr>No. 121, 2015</vt:lpwstr>
  </property>
</Properties>
</file>