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63" w:rsidRDefault="00A136B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AB7C63" w:rsidRDefault="00AB7C63"/>
    <w:p w:rsidR="00AB7C63" w:rsidRDefault="00AB7C63" w:rsidP="00AB7C63">
      <w:pPr>
        <w:spacing w:line="240" w:lineRule="auto"/>
      </w:pPr>
    </w:p>
    <w:p w:rsidR="00AB7C63" w:rsidRDefault="00AB7C63" w:rsidP="00AB7C63"/>
    <w:p w:rsidR="00AB7C63" w:rsidRDefault="00AB7C63" w:rsidP="00AB7C63"/>
    <w:p w:rsidR="00AB7C63" w:rsidRDefault="00AB7C63" w:rsidP="00AB7C63"/>
    <w:p w:rsidR="00AB7C63" w:rsidRDefault="00AB7C63" w:rsidP="00AB7C63"/>
    <w:p w:rsidR="0048364F" w:rsidRPr="009D0130" w:rsidRDefault="008F3455" w:rsidP="0048364F">
      <w:pPr>
        <w:pStyle w:val="ShortT"/>
      </w:pPr>
      <w:r w:rsidRPr="009D0130">
        <w:t>Tax and Superannuation Laws Amen</w:t>
      </w:r>
      <w:bookmarkStart w:id="0" w:name="_GoBack"/>
      <w:bookmarkEnd w:id="0"/>
      <w:r w:rsidRPr="009D0130">
        <w:t>dment (2015 Measures No.</w:t>
      </w:r>
      <w:r w:rsidR="009D0130" w:rsidRPr="009D0130">
        <w:t> </w:t>
      </w:r>
      <w:r w:rsidRPr="009D0130">
        <w:t xml:space="preserve">5) </w:t>
      </w:r>
      <w:r w:rsidR="00AB7C63">
        <w:t>Act</w:t>
      </w:r>
      <w:r w:rsidRPr="009D0130">
        <w:t xml:space="preserve"> 2015</w:t>
      </w:r>
    </w:p>
    <w:p w:rsidR="0048364F" w:rsidRPr="009D0130" w:rsidRDefault="0048364F" w:rsidP="0048364F"/>
    <w:p w:rsidR="0048364F" w:rsidRPr="009D0130" w:rsidRDefault="00C164CA" w:rsidP="00AB7C63">
      <w:pPr>
        <w:pStyle w:val="Actno"/>
        <w:spacing w:before="400"/>
      </w:pPr>
      <w:r w:rsidRPr="009D0130">
        <w:t>No.</w:t>
      </w:r>
      <w:r w:rsidR="00863324">
        <w:t xml:space="preserve"> 162</w:t>
      </w:r>
      <w:r w:rsidRPr="009D0130">
        <w:t>, 201</w:t>
      </w:r>
      <w:r w:rsidR="00F92D35" w:rsidRPr="009D0130">
        <w:t>5</w:t>
      </w:r>
    </w:p>
    <w:p w:rsidR="0048364F" w:rsidRPr="009D0130" w:rsidRDefault="0048364F" w:rsidP="0048364F"/>
    <w:p w:rsidR="00AB7C63" w:rsidRDefault="00AB7C63" w:rsidP="00AB7C63"/>
    <w:p w:rsidR="00AB7C63" w:rsidRDefault="00AB7C63" w:rsidP="00AB7C63"/>
    <w:p w:rsidR="00AB7C63" w:rsidRDefault="00AB7C63" w:rsidP="00AB7C63"/>
    <w:p w:rsidR="00AB7C63" w:rsidRDefault="00AB7C63" w:rsidP="00AB7C63"/>
    <w:p w:rsidR="0048364F" w:rsidRPr="009D0130" w:rsidRDefault="00AB7C63" w:rsidP="0048364F">
      <w:pPr>
        <w:pStyle w:val="LongT"/>
      </w:pPr>
      <w:r>
        <w:t>An Act</w:t>
      </w:r>
      <w:r w:rsidR="00C25325" w:rsidRPr="009D0130">
        <w:t xml:space="preserve"> to ame</w:t>
      </w:r>
      <w:r w:rsidR="00267EE4" w:rsidRPr="009D0130">
        <w:t>nd the law relating to taxation</w:t>
      </w:r>
      <w:r w:rsidR="0048364F" w:rsidRPr="009D0130">
        <w:t>, and for related purposes</w:t>
      </w:r>
    </w:p>
    <w:p w:rsidR="00011A1C" w:rsidRPr="009D0130" w:rsidRDefault="00011A1C" w:rsidP="00011A1C">
      <w:pPr>
        <w:pStyle w:val="Header"/>
        <w:tabs>
          <w:tab w:val="clear" w:pos="4150"/>
          <w:tab w:val="clear" w:pos="8307"/>
        </w:tabs>
      </w:pPr>
      <w:r w:rsidRPr="009D0130">
        <w:rPr>
          <w:rStyle w:val="CharAmSchNo"/>
        </w:rPr>
        <w:t xml:space="preserve"> </w:t>
      </w:r>
      <w:r w:rsidRPr="009D0130">
        <w:rPr>
          <w:rStyle w:val="CharAmSchText"/>
        </w:rPr>
        <w:t xml:space="preserve"> </w:t>
      </w:r>
    </w:p>
    <w:p w:rsidR="00011A1C" w:rsidRPr="009D0130" w:rsidRDefault="00011A1C" w:rsidP="00011A1C">
      <w:pPr>
        <w:pStyle w:val="Header"/>
        <w:tabs>
          <w:tab w:val="clear" w:pos="4150"/>
          <w:tab w:val="clear" w:pos="8307"/>
        </w:tabs>
      </w:pPr>
      <w:r w:rsidRPr="009D0130">
        <w:rPr>
          <w:rStyle w:val="CharAmPartNo"/>
        </w:rPr>
        <w:t xml:space="preserve"> </w:t>
      </w:r>
      <w:r w:rsidRPr="009D0130">
        <w:rPr>
          <w:rStyle w:val="CharAmPartText"/>
        </w:rPr>
        <w:t xml:space="preserve"> </w:t>
      </w:r>
    </w:p>
    <w:p w:rsidR="0048364F" w:rsidRPr="009D0130" w:rsidRDefault="0048364F" w:rsidP="0048364F">
      <w:pPr>
        <w:sectPr w:rsidR="0048364F" w:rsidRPr="009D0130" w:rsidSect="00AB7C63">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9D0130" w:rsidRDefault="0048364F" w:rsidP="002B7C6C">
      <w:pPr>
        <w:rPr>
          <w:sz w:val="36"/>
        </w:rPr>
      </w:pPr>
      <w:r w:rsidRPr="009D0130">
        <w:rPr>
          <w:sz w:val="36"/>
        </w:rPr>
        <w:lastRenderedPageBreak/>
        <w:t>Contents</w:t>
      </w:r>
    </w:p>
    <w:bookmarkStart w:id="1" w:name="BKCheck15B_1"/>
    <w:bookmarkEnd w:id="1"/>
    <w:p w:rsidR="00863324" w:rsidRDefault="0086332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63324">
        <w:rPr>
          <w:noProof/>
        </w:rPr>
        <w:tab/>
      </w:r>
      <w:r w:rsidRPr="00863324">
        <w:rPr>
          <w:noProof/>
        </w:rPr>
        <w:fldChar w:fldCharType="begin"/>
      </w:r>
      <w:r w:rsidRPr="00863324">
        <w:rPr>
          <w:noProof/>
        </w:rPr>
        <w:instrText xml:space="preserve"> PAGEREF _Toc436742073 \h </w:instrText>
      </w:r>
      <w:r w:rsidRPr="00863324">
        <w:rPr>
          <w:noProof/>
        </w:rPr>
      </w:r>
      <w:r w:rsidRPr="00863324">
        <w:rPr>
          <w:noProof/>
        </w:rPr>
        <w:fldChar w:fldCharType="separate"/>
      </w:r>
      <w:r w:rsidR="00A136B0">
        <w:rPr>
          <w:noProof/>
        </w:rPr>
        <w:t>1</w:t>
      </w:r>
      <w:r w:rsidRPr="00863324">
        <w:rPr>
          <w:noProof/>
        </w:rPr>
        <w:fldChar w:fldCharType="end"/>
      </w:r>
    </w:p>
    <w:p w:rsidR="00863324" w:rsidRDefault="00863324">
      <w:pPr>
        <w:pStyle w:val="TOC5"/>
        <w:rPr>
          <w:rFonts w:asciiTheme="minorHAnsi" w:eastAsiaTheme="minorEastAsia" w:hAnsiTheme="minorHAnsi" w:cstheme="minorBidi"/>
          <w:noProof/>
          <w:kern w:val="0"/>
          <w:sz w:val="22"/>
          <w:szCs w:val="22"/>
        </w:rPr>
      </w:pPr>
      <w:r>
        <w:rPr>
          <w:noProof/>
        </w:rPr>
        <w:t>2</w:t>
      </w:r>
      <w:r>
        <w:rPr>
          <w:noProof/>
        </w:rPr>
        <w:tab/>
        <w:t>Commencement</w:t>
      </w:r>
      <w:r w:rsidRPr="00863324">
        <w:rPr>
          <w:noProof/>
        </w:rPr>
        <w:tab/>
      </w:r>
      <w:r w:rsidRPr="00863324">
        <w:rPr>
          <w:noProof/>
        </w:rPr>
        <w:fldChar w:fldCharType="begin"/>
      </w:r>
      <w:r w:rsidRPr="00863324">
        <w:rPr>
          <w:noProof/>
        </w:rPr>
        <w:instrText xml:space="preserve"> PAGEREF _Toc436742074 \h </w:instrText>
      </w:r>
      <w:r w:rsidRPr="00863324">
        <w:rPr>
          <w:noProof/>
        </w:rPr>
      </w:r>
      <w:r w:rsidRPr="00863324">
        <w:rPr>
          <w:noProof/>
        </w:rPr>
        <w:fldChar w:fldCharType="separate"/>
      </w:r>
      <w:r w:rsidR="00A136B0">
        <w:rPr>
          <w:noProof/>
        </w:rPr>
        <w:t>2</w:t>
      </w:r>
      <w:r w:rsidRPr="00863324">
        <w:rPr>
          <w:noProof/>
        </w:rPr>
        <w:fldChar w:fldCharType="end"/>
      </w:r>
    </w:p>
    <w:p w:rsidR="00863324" w:rsidRDefault="00863324">
      <w:pPr>
        <w:pStyle w:val="TOC5"/>
        <w:rPr>
          <w:rFonts w:asciiTheme="minorHAnsi" w:eastAsiaTheme="minorEastAsia" w:hAnsiTheme="minorHAnsi" w:cstheme="minorBidi"/>
          <w:noProof/>
          <w:kern w:val="0"/>
          <w:sz w:val="22"/>
          <w:szCs w:val="22"/>
        </w:rPr>
      </w:pPr>
      <w:r>
        <w:rPr>
          <w:noProof/>
        </w:rPr>
        <w:t>3</w:t>
      </w:r>
      <w:r>
        <w:rPr>
          <w:noProof/>
        </w:rPr>
        <w:tab/>
        <w:t>Schedules</w:t>
      </w:r>
      <w:r w:rsidRPr="00863324">
        <w:rPr>
          <w:noProof/>
        </w:rPr>
        <w:tab/>
      </w:r>
      <w:r w:rsidRPr="00863324">
        <w:rPr>
          <w:noProof/>
        </w:rPr>
        <w:fldChar w:fldCharType="begin"/>
      </w:r>
      <w:r w:rsidRPr="00863324">
        <w:rPr>
          <w:noProof/>
        </w:rPr>
        <w:instrText xml:space="preserve"> PAGEREF _Toc436742075 \h </w:instrText>
      </w:r>
      <w:r w:rsidRPr="00863324">
        <w:rPr>
          <w:noProof/>
        </w:rPr>
      </w:r>
      <w:r w:rsidRPr="00863324">
        <w:rPr>
          <w:noProof/>
        </w:rPr>
        <w:fldChar w:fldCharType="separate"/>
      </w:r>
      <w:r w:rsidR="00A136B0">
        <w:rPr>
          <w:noProof/>
        </w:rPr>
        <w:t>3</w:t>
      </w:r>
      <w:r w:rsidRPr="00863324">
        <w:rPr>
          <w:noProof/>
        </w:rPr>
        <w:fldChar w:fldCharType="end"/>
      </w:r>
    </w:p>
    <w:p w:rsidR="00863324" w:rsidRDefault="00863324">
      <w:pPr>
        <w:pStyle w:val="TOC6"/>
        <w:rPr>
          <w:rFonts w:asciiTheme="minorHAnsi" w:eastAsiaTheme="minorEastAsia" w:hAnsiTheme="minorHAnsi" w:cstheme="minorBidi"/>
          <w:b w:val="0"/>
          <w:noProof/>
          <w:kern w:val="0"/>
          <w:sz w:val="22"/>
          <w:szCs w:val="22"/>
        </w:rPr>
      </w:pPr>
      <w:r>
        <w:rPr>
          <w:noProof/>
        </w:rPr>
        <w:t>Schedule 1—Modernising the car expense deduction rules</w:t>
      </w:r>
      <w:r w:rsidRPr="00863324">
        <w:rPr>
          <w:b w:val="0"/>
          <w:noProof/>
          <w:sz w:val="18"/>
        </w:rPr>
        <w:tab/>
      </w:r>
      <w:r w:rsidRPr="00863324">
        <w:rPr>
          <w:b w:val="0"/>
          <w:noProof/>
          <w:sz w:val="18"/>
        </w:rPr>
        <w:fldChar w:fldCharType="begin"/>
      </w:r>
      <w:r w:rsidRPr="00863324">
        <w:rPr>
          <w:b w:val="0"/>
          <w:noProof/>
          <w:sz w:val="18"/>
        </w:rPr>
        <w:instrText xml:space="preserve"> PAGEREF _Toc436742076 \h </w:instrText>
      </w:r>
      <w:r w:rsidRPr="00863324">
        <w:rPr>
          <w:b w:val="0"/>
          <w:noProof/>
          <w:sz w:val="18"/>
        </w:rPr>
      </w:r>
      <w:r w:rsidRPr="00863324">
        <w:rPr>
          <w:b w:val="0"/>
          <w:noProof/>
          <w:sz w:val="18"/>
        </w:rPr>
        <w:fldChar w:fldCharType="separate"/>
      </w:r>
      <w:r w:rsidR="00A136B0">
        <w:rPr>
          <w:b w:val="0"/>
          <w:noProof/>
          <w:sz w:val="18"/>
        </w:rPr>
        <w:t>4</w:t>
      </w:r>
      <w:r w:rsidRPr="00863324">
        <w:rPr>
          <w:b w:val="0"/>
          <w:noProof/>
          <w:sz w:val="18"/>
        </w:rPr>
        <w:fldChar w:fldCharType="end"/>
      </w:r>
    </w:p>
    <w:p w:rsidR="00863324" w:rsidRDefault="00863324">
      <w:pPr>
        <w:pStyle w:val="TOC7"/>
        <w:rPr>
          <w:rFonts w:asciiTheme="minorHAnsi" w:eastAsiaTheme="minorEastAsia" w:hAnsiTheme="minorHAnsi" w:cstheme="minorBidi"/>
          <w:noProof/>
          <w:kern w:val="0"/>
          <w:sz w:val="22"/>
          <w:szCs w:val="22"/>
        </w:rPr>
      </w:pPr>
      <w:r>
        <w:rPr>
          <w:noProof/>
        </w:rPr>
        <w:t>Part 1—Main amendments</w:t>
      </w:r>
      <w:r w:rsidRPr="00863324">
        <w:rPr>
          <w:noProof/>
          <w:sz w:val="18"/>
        </w:rPr>
        <w:tab/>
      </w:r>
      <w:r w:rsidRPr="00863324">
        <w:rPr>
          <w:noProof/>
          <w:sz w:val="18"/>
        </w:rPr>
        <w:fldChar w:fldCharType="begin"/>
      </w:r>
      <w:r w:rsidRPr="00863324">
        <w:rPr>
          <w:noProof/>
          <w:sz w:val="18"/>
        </w:rPr>
        <w:instrText xml:space="preserve"> PAGEREF _Toc436742077 \h </w:instrText>
      </w:r>
      <w:r w:rsidRPr="00863324">
        <w:rPr>
          <w:noProof/>
          <w:sz w:val="18"/>
        </w:rPr>
      </w:r>
      <w:r w:rsidRPr="00863324">
        <w:rPr>
          <w:noProof/>
          <w:sz w:val="18"/>
        </w:rPr>
        <w:fldChar w:fldCharType="separate"/>
      </w:r>
      <w:r w:rsidR="00A136B0">
        <w:rPr>
          <w:noProof/>
          <w:sz w:val="18"/>
        </w:rPr>
        <w:t>4</w:t>
      </w:r>
      <w:r w:rsidRPr="00863324">
        <w:rPr>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Income Tax Assessment Act 1997</w:t>
      </w:r>
      <w:r w:rsidRPr="00863324">
        <w:rPr>
          <w:i w:val="0"/>
          <w:noProof/>
          <w:sz w:val="18"/>
        </w:rPr>
        <w:tab/>
      </w:r>
      <w:r w:rsidRPr="00863324">
        <w:rPr>
          <w:i w:val="0"/>
          <w:noProof/>
          <w:sz w:val="18"/>
        </w:rPr>
        <w:fldChar w:fldCharType="begin"/>
      </w:r>
      <w:r w:rsidRPr="00863324">
        <w:rPr>
          <w:i w:val="0"/>
          <w:noProof/>
          <w:sz w:val="18"/>
        </w:rPr>
        <w:instrText xml:space="preserve"> PAGEREF _Toc436742078 \h </w:instrText>
      </w:r>
      <w:r w:rsidRPr="00863324">
        <w:rPr>
          <w:i w:val="0"/>
          <w:noProof/>
          <w:sz w:val="18"/>
        </w:rPr>
      </w:r>
      <w:r w:rsidRPr="00863324">
        <w:rPr>
          <w:i w:val="0"/>
          <w:noProof/>
          <w:sz w:val="18"/>
        </w:rPr>
        <w:fldChar w:fldCharType="separate"/>
      </w:r>
      <w:r w:rsidR="00A136B0">
        <w:rPr>
          <w:i w:val="0"/>
          <w:noProof/>
          <w:sz w:val="18"/>
        </w:rPr>
        <w:t>4</w:t>
      </w:r>
      <w:r w:rsidRPr="00863324">
        <w:rPr>
          <w:i w:val="0"/>
          <w:noProof/>
          <w:sz w:val="18"/>
        </w:rPr>
        <w:fldChar w:fldCharType="end"/>
      </w:r>
    </w:p>
    <w:p w:rsidR="00863324" w:rsidRDefault="00863324">
      <w:pPr>
        <w:pStyle w:val="TOC7"/>
        <w:rPr>
          <w:rFonts w:asciiTheme="minorHAnsi" w:eastAsiaTheme="minorEastAsia" w:hAnsiTheme="minorHAnsi" w:cstheme="minorBidi"/>
          <w:noProof/>
          <w:kern w:val="0"/>
          <w:sz w:val="22"/>
          <w:szCs w:val="22"/>
        </w:rPr>
      </w:pPr>
      <w:r>
        <w:rPr>
          <w:noProof/>
        </w:rPr>
        <w:t>Part 2—Other amendments</w:t>
      </w:r>
      <w:r w:rsidRPr="00863324">
        <w:rPr>
          <w:noProof/>
          <w:sz w:val="18"/>
        </w:rPr>
        <w:tab/>
      </w:r>
      <w:r w:rsidRPr="00863324">
        <w:rPr>
          <w:noProof/>
          <w:sz w:val="18"/>
        </w:rPr>
        <w:fldChar w:fldCharType="begin"/>
      </w:r>
      <w:r w:rsidRPr="00863324">
        <w:rPr>
          <w:noProof/>
          <w:sz w:val="18"/>
        </w:rPr>
        <w:instrText xml:space="preserve"> PAGEREF _Toc436742079 \h </w:instrText>
      </w:r>
      <w:r w:rsidRPr="00863324">
        <w:rPr>
          <w:noProof/>
          <w:sz w:val="18"/>
        </w:rPr>
      </w:r>
      <w:r w:rsidRPr="00863324">
        <w:rPr>
          <w:noProof/>
          <w:sz w:val="18"/>
        </w:rPr>
        <w:fldChar w:fldCharType="separate"/>
      </w:r>
      <w:r w:rsidR="00A136B0">
        <w:rPr>
          <w:noProof/>
          <w:sz w:val="18"/>
        </w:rPr>
        <w:t>5</w:t>
      </w:r>
      <w:r w:rsidRPr="00863324">
        <w:rPr>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Fringe Benefits Tax Assessment Act 1986</w:t>
      </w:r>
      <w:r w:rsidRPr="00863324">
        <w:rPr>
          <w:i w:val="0"/>
          <w:noProof/>
          <w:sz w:val="18"/>
        </w:rPr>
        <w:tab/>
      </w:r>
      <w:r w:rsidRPr="00863324">
        <w:rPr>
          <w:i w:val="0"/>
          <w:noProof/>
          <w:sz w:val="18"/>
        </w:rPr>
        <w:fldChar w:fldCharType="begin"/>
      </w:r>
      <w:r w:rsidRPr="00863324">
        <w:rPr>
          <w:i w:val="0"/>
          <w:noProof/>
          <w:sz w:val="18"/>
        </w:rPr>
        <w:instrText xml:space="preserve"> PAGEREF _Toc436742080 \h </w:instrText>
      </w:r>
      <w:r w:rsidRPr="00863324">
        <w:rPr>
          <w:i w:val="0"/>
          <w:noProof/>
          <w:sz w:val="18"/>
        </w:rPr>
      </w:r>
      <w:r w:rsidRPr="00863324">
        <w:rPr>
          <w:i w:val="0"/>
          <w:noProof/>
          <w:sz w:val="18"/>
        </w:rPr>
        <w:fldChar w:fldCharType="separate"/>
      </w:r>
      <w:r w:rsidR="00A136B0">
        <w:rPr>
          <w:i w:val="0"/>
          <w:noProof/>
          <w:sz w:val="18"/>
        </w:rPr>
        <w:t>5</w:t>
      </w:r>
      <w:r w:rsidRPr="00863324">
        <w:rPr>
          <w:i w:val="0"/>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Income Tax Assessment Act 1997</w:t>
      </w:r>
      <w:r w:rsidRPr="00863324">
        <w:rPr>
          <w:i w:val="0"/>
          <w:noProof/>
          <w:sz w:val="18"/>
        </w:rPr>
        <w:tab/>
      </w:r>
      <w:r w:rsidRPr="00863324">
        <w:rPr>
          <w:i w:val="0"/>
          <w:noProof/>
          <w:sz w:val="18"/>
        </w:rPr>
        <w:fldChar w:fldCharType="begin"/>
      </w:r>
      <w:r w:rsidRPr="00863324">
        <w:rPr>
          <w:i w:val="0"/>
          <w:noProof/>
          <w:sz w:val="18"/>
        </w:rPr>
        <w:instrText xml:space="preserve"> PAGEREF _Toc436742081 \h </w:instrText>
      </w:r>
      <w:r w:rsidRPr="00863324">
        <w:rPr>
          <w:i w:val="0"/>
          <w:noProof/>
          <w:sz w:val="18"/>
        </w:rPr>
      </w:r>
      <w:r w:rsidRPr="00863324">
        <w:rPr>
          <w:i w:val="0"/>
          <w:noProof/>
          <w:sz w:val="18"/>
        </w:rPr>
        <w:fldChar w:fldCharType="separate"/>
      </w:r>
      <w:r w:rsidR="00A136B0">
        <w:rPr>
          <w:i w:val="0"/>
          <w:noProof/>
          <w:sz w:val="18"/>
        </w:rPr>
        <w:t>8</w:t>
      </w:r>
      <w:r w:rsidRPr="00863324">
        <w:rPr>
          <w:i w:val="0"/>
          <w:noProof/>
          <w:sz w:val="18"/>
        </w:rPr>
        <w:fldChar w:fldCharType="end"/>
      </w:r>
    </w:p>
    <w:p w:rsidR="00863324" w:rsidRDefault="00863324">
      <w:pPr>
        <w:pStyle w:val="TOC7"/>
        <w:rPr>
          <w:rFonts w:asciiTheme="minorHAnsi" w:eastAsiaTheme="minorEastAsia" w:hAnsiTheme="minorHAnsi" w:cstheme="minorBidi"/>
          <w:noProof/>
          <w:kern w:val="0"/>
          <w:sz w:val="22"/>
          <w:szCs w:val="22"/>
        </w:rPr>
      </w:pPr>
      <w:r>
        <w:rPr>
          <w:noProof/>
        </w:rPr>
        <w:t>Part 3—Application and transitional provisions</w:t>
      </w:r>
      <w:r w:rsidRPr="00863324">
        <w:rPr>
          <w:noProof/>
          <w:sz w:val="18"/>
        </w:rPr>
        <w:tab/>
      </w:r>
      <w:r w:rsidRPr="00863324">
        <w:rPr>
          <w:noProof/>
          <w:sz w:val="18"/>
        </w:rPr>
        <w:fldChar w:fldCharType="begin"/>
      </w:r>
      <w:r w:rsidRPr="00863324">
        <w:rPr>
          <w:noProof/>
          <w:sz w:val="18"/>
        </w:rPr>
        <w:instrText xml:space="preserve"> PAGEREF _Toc436742086 \h </w:instrText>
      </w:r>
      <w:r w:rsidRPr="00863324">
        <w:rPr>
          <w:noProof/>
          <w:sz w:val="18"/>
        </w:rPr>
      </w:r>
      <w:r w:rsidRPr="00863324">
        <w:rPr>
          <w:noProof/>
          <w:sz w:val="18"/>
        </w:rPr>
        <w:fldChar w:fldCharType="separate"/>
      </w:r>
      <w:r w:rsidR="00A136B0">
        <w:rPr>
          <w:noProof/>
          <w:sz w:val="18"/>
        </w:rPr>
        <w:t>14</w:t>
      </w:r>
      <w:r w:rsidRPr="00863324">
        <w:rPr>
          <w:noProof/>
          <w:sz w:val="18"/>
        </w:rPr>
        <w:fldChar w:fldCharType="end"/>
      </w:r>
    </w:p>
    <w:p w:rsidR="00863324" w:rsidRDefault="00863324">
      <w:pPr>
        <w:pStyle w:val="TOC6"/>
        <w:rPr>
          <w:rFonts w:asciiTheme="minorHAnsi" w:eastAsiaTheme="minorEastAsia" w:hAnsiTheme="minorHAnsi" w:cstheme="minorBidi"/>
          <w:b w:val="0"/>
          <w:noProof/>
          <w:kern w:val="0"/>
          <w:sz w:val="22"/>
          <w:szCs w:val="22"/>
        </w:rPr>
      </w:pPr>
      <w:r>
        <w:rPr>
          <w:noProof/>
        </w:rPr>
        <w:t>Schedule 2—Zone tax offset</w:t>
      </w:r>
      <w:r w:rsidRPr="00863324">
        <w:rPr>
          <w:b w:val="0"/>
          <w:noProof/>
          <w:sz w:val="18"/>
        </w:rPr>
        <w:tab/>
      </w:r>
      <w:r w:rsidRPr="00863324">
        <w:rPr>
          <w:b w:val="0"/>
          <w:noProof/>
          <w:sz w:val="18"/>
        </w:rPr>
        <w:fldChar w:fldCharType="begin"/>
      </w:r>
      <w:r w:rsidRPr="00863324">
        <w:rPr>
          <w:b w:val="0"/>
          <w:noProof/>
          <w:sz w:val="18"/>
        </w:rPr>
        <w:instrText xml:space="preserve"> PAGEREF _Toc436742087 \h </w:instrText>
      </w:r>
      <w:r w:rsidRPr="00863324">
        <w:rPr>
          <w:b w:val="0"/>
          <w:noProof/>
          <w:sz w:val="18"/>
        </w:rPr>
      </w:r>
      <w:r w:rsidRPr="00863324">
        <w:rPr>
          <w:b w:val="0"/>
          <w:noProof/>
          <w:sz w:val="18"/>
        </w:rPr>
        <w:fldChar w:fldCharType="separate"/>
      </w:r>
      <w:r w:rsidR="00A136B0">
        <w:rPr>
          <w:b w:val="0"/>
          <w:noProof/>
          <w:sz w:val="18"/>
        </w:rPr>
        <w:t>15</w:t>
      </w:r>
      <w:r w:rsidRPr="00863324">
        <w:rPr>
          <w:b w:val="0"/>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Income Tax Assessment Act 1936</w:t>
      </w:r>
      <w:r w:rsidRPr="00863324">
        <w:rPr>
          <w:i w:val="0"/>
          <w:noProof/>
          <w:sz w:val="18"/>
        </w:rPr>
        <w:tab/>
      </w:r>
      <w:r w:rsidRPr="00863324">
        <w:rPr>
          <w:i w:val="0"/>
          <w:noProof/>
          <w:sz w:val="18"/>
        </w:rPr>
        <w:fldChar w:fldCharType="begin"/>
      </w:r>
      <w:r w:rsidRPr="00863324">
        <w:rPr>
          <w:i w:val="0"/>
          <w:noProof/>
          <w:sz w:val="18"/>
        </w:rPr>
        <w:instrText xml:space="preserve"> PAGEREF _Toc436742088 \h </w:instrText>
      </w:r>
      <w:r w:rsidRPr="00863324">
        <w:rPr>
          <w:i w:val="0"/>
          <w:noProof/>
          <w:sz w:val="18"/>
        </w:rPr>
      </w:r>
      <w:r w:rsidRPr="00863324">
        <w:rPr>
          <w:i w:val="0"/>
          <w:noProof/>
          <w:sz w:val="18"/>
        </w:rPr>
        <w:fldChar w:fldCharType="separate"/>
      </w:r>
      <w:r w:rsidR="00A136B0">
        <w:rPr>
          <w:i w:val="0"/>
          <w:noProof/>
          <w:sz w:val="18"/>
        </w:rPr>
        <w:t>15</w:t>
      </w:r>
      <w:r w:rsidRPr="00863324">
        <w:rPr>
          <w:i w:val="0"/>
          <w:noProof/>
          <w:sz w:val="18"/>
        </w:rPr>
        <w:fldChar w:fldCharType="end"/>
      </w:r>
    </w:p>
    <w:p w:rsidR="00863324" w:rsidRDefault="00863324">
      <w:pPr>
        <w:pStyle w:val="TOC6"/>
        <w:rPr>
          <w:rFonts w:asciiTheme="minorHAnsi" w:eastAsiaTheme="minorEastAsia" w:hAnsiTheme="minorHAnsi" w:cstheme="minorBidi"/>
          <w:b w:val="0"/>
          <w:noProof/>
          <w:kern w:val="0"/>
          <w:sz w:val="22"/>
          <w:szCs w:val="22"/>
        </w:rPr>
      </w:pPr>
      <w:r>
        <w:rPr>
          <w:noProof/>
        </w:rPr>
        <w:t>Schedule 3—Limiting FBT concessions on salary packaged entertainment benefits</w:t>
      </w:r>
      <w:r w:rsidRPr="00863324">
        <w:rPr>
          <w:b w:val="0"/>
          <w:noProof/>
          <w:sz w:val="18"/>
        </w:rPr>
        <w:tab/>
      </w:r>
      <w:r w:rsidRPr="00863324">
        <w:rPr>
          <w:b w:val="0"/>
          <w:noProof/>
          <w:sz w:val="18"/>
        </w:rPr>
        <w:fldChar w:fldCharType="begin"/>
      </w:r>
      <w:r w:rsidRPr="00863324">
        <w:rPr>
          <w:b w:val="0"/>
          <w:noProof/>
          <w:sz w:val="18"/>
        </w:rPr>
        <w:instrText xml:space="preserve"> PAGEREF _Toc436742089 \h </w:instrText>
      </w:r>
      <w:r w:rsidRPr="00863324">
        <w:rPr>
          <w:b w:val="0"/>
          <w:noProof/>
          <w:sz w:val="18"/>
        </w:rPr>
      </w:r>
      <w:r w:rsidRPr="00863324">
        <w:rPr>
          <w:b w:val="0"/>
          <w:noProof/>
          <w:sz w:val="18"/>
        </w:rPr>
        <w:fldChar w:fldCharType="separate"/>
      </w:r>
      <w:r w:rsidR="00A136B0">
        <w:rPr>
          <w:b w:val="0"/>
          <w:noProof/>
          <w:sz w:val="18"/>
        </w:rPr>
        <w:t>17</w:t>
      </w:r>
      <w:r w:rsidRPr="00863324">
        <w:rPr>
          <w:b w:val="0"/>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Fringe Benefits Tax Assessment Act 1986</w:t>
      </w:r>
      <w:r w:rsidRPr="00863324">
        <w:rPr>
          <w:i w:val="0"/>
          <w:noProof/>
          <w:sz w:val="18"/>
        </w:rPr>
        <w:tab/>
      </w:r>
      <w:r w:rsidRPr="00863324">
        <w:rPr>
          <w:i w:val="0"/>
          <w:noProof/>
          <w:sz w:val="18"/>
        </w:rPr>
        <w:fldChar w:fldCharType="begin"/>
      </w:r>
      <w:r w:rsidRPr="00863324">
        <w:rPr>
          <w:i w:val="0"/>
          <w:noProof/>
          <w:sz w:val="18"/>
        </w:rPr>
        <w:instrText xml:space="preserve"> PAGEREF _Toc436742090 \h </w:instrText>
      </w:r>
      <w:r w:rsidRPr="00863324">
        <w:rPr>
          <w:i w:val="0"/>
          <w:noProof/>
          <w:sz w:val="18"/>
        </w:rPr>
      </w:r>
      <w:r w:rsidRPr="00863324">
        <w:rPr>
          <w:i w:val="0"/>
          <w:noProof/>
          <w:sz w:val="18"/>
        </w:rPr>
        <w:fldChar w:fldCharType="separate"/>
      </w:r>
      <w:r w:rsidR="00A136B0">
        <w:rPr>
          <w:i w:val="0"/>
          <w:noProof/>
          <w:sz w:val="18"/>
        </w:rPr>
        <w:t>17</w:t>
      </w:r>
      <w:r w:rsidRPr="00863324">
        <w:rPr>
          <w:i w:val="0"/>
          <w:noProof/>
          <w:sz w:val="18"/>
        </w:rPr>
        <w:fldChar w:fldCharType="end"/>
      </w:r>
    </w:p>
    <w:p w:rsidR="00863324" w:rsidRDefault="00863324">
      <w:pPr>
        <w:pStyle w:val="TOC6"/>
        <w:rPr>
          <w:rFonts w:asciiTheme="minorHAnsi" w:eastAsiaTheme="minorEastAsia" w:hAnsiTheme="minorHAnsi" w:cstheme="minorBidi"/>
          <w:b w:val="0"/>
          <w:noProof/>
          <w:kern w:val="0"/>
          <w:sz w:val="22"/>
          <w:szCs w:val="22"/>
        </w:rPr>
      </w:pPr>
      <w:r>
        <w:rPr>
          <w:noProof/>
        </w:rPr>
        <w:t>Schedule 4—Third party reporting</w:t>
      </w:r>
      <w:r w:rsidRPr="00863324">
        <w:rPr>
          <w:b w:val="0"/>
          <w:noProof/>
          <w:sz w:val="18"/>
        </w:rPr>
        <w:tab/>
      </w:r>
      <w:r w:rsidRPr="00863324">
        <w:rPr>
          <w:b w:val="0"/>
          <w:noProof/>
          <w:sz w:val="18"/>
        </w:rPr>
        <w:fldChar w:fldCharType="begin"/>
      </w:r>
      <w:r w:rsidRPr="00863324">
        <w:rPr>
          <w:b w:val="0"/>
          <w:noProof/>
          <w:sz w:val="18"/>
        </w:rPr>
        <w:instrText xml:space="preserve"> PAGEREF _Toc436742092 \h </w:instrText>
      </w:r>
      <w:r w:rsidRPr="00863324">
        <w:rPr>
          <w:b w:val="0"/>
          <w:noProof/>
          <w:sz w:val="18"/>
        </w:rPr>
      </w:r>
      <w:r w:rsidRPr="00863324">
        <w:rPr>
          <w:b w:val="0"/>
          <w:noProof/>
          <w:sz w:val="18"/>
        </w:rPr>
        <w:fldChar w:fldCharType="separate"/>
      </w:r>
      <w:r w:rsidR="00A136B0">
        <w:rPr>
          <w:b w:val="0"/>
          <w:noProof/>
          <w:sz w:val="18"/>
        </w:rPr>
        <w:t>21</w:t>
      </w:r>
      <w:r w:rsidRPr="00863324">
        <w:rPr>
          <w:b w:val="0"/>
          <w:noProof/>
          <w:sz w:val="18"/>
        </w:rPr>
        <w:fldChar w:fldCharType="end"/>
      </w:r>
    </w:p>
    <w:p w:rsidR="00863324" w:rsidRDefault="00863324">
      <w:pPr>
        <w:pStyle w:val="TOC7"/>
        <w:rPr>
          <w:rFonts w:asciiTheme="minorHAnsi" w:eastAsiaTheme="minorEastAsia" w:hAnsiTheme="minorHAnsi" w:cstheme="minorBidi"/>
          <w:noProof/>
          <w:kern w:val="0"/>
          <w:sz w:val="22"/>
          <w:szCs w:val="22"/>
        </w:rPr>
      </w:pPr>
      <w:r>
        <w:rPr>
          <w:noProof/>
        </w:rPr>
        <w:t>Part 1—Main amendments</w:t>
      </w:r>
      <w:r w:rsidRPr="00863324">
        <w:rPr>
          <w:noProof/>
          <w:sz w:val="18"/>
        </w:rPr>
        <w:tab/>
      </w:r>
      <w:r w:rsidRPr="00863324">
        <w:rPr>
          <w:noProof/>
          <w:sz w:val="18"/>
        </w:rPr>
        <w:fldChar w:fldCharType="begin"/>
      </w:r>
      <w:r w:rsidRPr="00863324">
        <w:rPr>
          <w:noProof/>
          <w:sz w:val="18"/>
        </w:rPr>
        <w:instrText xml:space="preserve"> PAGEREF _Toc436742093 \h </w:instrText>
      </w:r>
      <w:r w:rsidRPr="00863324">
        <w:rPr>
          <w:noProof/>
          <w:sz w:val="18"/>
        </w:rPr>
      </w:r>
      <w:r w:rsidRPr="00863324">
        <w:rPr>
          <w:noProof/>
          <w:sz w:val="18"/>
        </w:rPr>
        <w:fldChar w:fldCharType="separate"/>
      </w:r>
      <w:r w:rsidR="00A136B0">
        <w:rPr>
          <w:noProof/>
          <w:sz w:val="18"/>
        </w:rPr>
        <w:t>21</w:t>
      </w:r>
      <w:r w:rsidRPr="00863324">
        <w:rPr>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Taxation Administration Act 1953</w:t>
      </w:r>
      <w:r w:rsidRPr="00863324">
        <w:rPr>
          <w:i w:val="0"/>
          <w:noProof/>
          <w:sz w:val="18"/>
        </w:rPr>
        <w:tab/>
      </w:r>
      <w:r w:rsidRPr="00863324">
        <w:rPr>
          <w:i w:val="0"/>
          <w:noProof/>
          <w:sz w:val="18"/>
        </w:rPr>
        <w:fldChar w:fldCharType="begin"/>
      </w:r>
      <w:r w:rsidRPr="00863324">
        <w:rPr>
          <w:i w:val="0"/>
          <w:noProof/>
          <w:sz w:val="18"/>
        </w:rPr>
        <w:instrText xml:space="preserve"> PAGEREF _Toc436742094 \h </w:instrText>
      </w:r>
      <w:r w:rsidRPr="00863324">
        <w:rPr>
          <w:i w:val="0"/>
          <w:noProof/>
          <w:sz w:val="18"/>
        </w:rPr>
      </w:r>
      <w:r w:rsidRPr="00863324">
        <w:rPr>
          <w:i w:val="0"/>
          <w:noProof/>
          <w:sz w:val="18"/>
        </w:rPr>
        <w:fldChar w:fldCharType="separate"/>
      </w:r>
      <w:r w:rsidR="00A136B0">
        <w:rPr>
          <w:i w:val="0"/>
          <w:noProof/>
          <w:sz w:val="18"/>
        </w:rPr>
        <w:t>21</w:t>
      </w:r>
      <w:r w:rsidRPr="00863324">
        <w:rPr>
          <w:i w:val="0"/>
          <w:noProof/>
          <w:sz w:val="18"/>
        </w:rPr>
        <w:fldChar w:fldCharType="end"/>
      </w:r>
    </w:p>
    <w:p w:rsidR="00863324" w:rsidRDefault="00863324">
      <w:pPr>
        <w:pStyle w:val="TOC7"/>
        <w:rPr>
          <w:rFonts w:asciiTheme="minorHAnsi" w:eastAsiaTheme="minorEastAsia" w:hAnsiTheme="minorHAnsi" w:cstheme="minorBidi"/>
          <w:noProof/>
          <w:kern w:val="0"/>
          <w:sz w:val="22"/>
          <w:szCs w:val="22"/>
        </w:rPr>
      </w:pPr>
      <w:r>
        <w:rPr>
          <w:noProof/>
        </w:rPr>
        <w:t>Part 2—Other amendments</w:t>
      </w:r>
      <w:r w:rsidRPr="00863324">
        <w:rPr>
          <w:noProof/>
          <w:sz w:val="18"/>
        </w:rPr>
        <w:tab/>
      </w:r>
      <w:r w:rsidRPr="00863324">
        <w:rPr>
          <w:noProof/>
          <w:sz w:val="18"/>
        </w:rPr>
        <w:fldChar w:fldCharType="begin"/>
      </w:r>
      <w:r w:rsidRPr="00863324">
        <w:rPr>
          <w:noProof/>
          <w:sz w:val="18"/>
        </w:rPr>
        <w:instrText xml:space="preserve"> PAGEREF _Toc436742104 \h </w:instrText>
      </w:r>
      <w:r w:rsidRPr="00863324">
        <w:rPr>
          <w:noProof/>
          <w:sz w:val="18"/>
        </w:rPr>
      </w:r>
      <w:r w:rsidRPr="00863324">
        <w:rPr>
          <w:noProof/>
          <w:sz w:val="18"/>
        </w:rPr>
        <w:fldChar w:fldCharType="separate"/>
      </w:r>
      <w:r w:rsidR="00A136B0">
        <w:rPr>
          <w:noProof/>
          <w:sz w:val="18"/>
        </w:rPr>
        <w:t>27</w:t>
      </w:r>
      <w:r w:rsidRPr="00863324">
        <w:rPr>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Income Tax Assessment Act 1997</w:t>
      </w:r>
      <w:r w:rsidRPr="00863324">
        <w:rPr>
          <w:i w:val="0"/>
          <w:noProof/>
          <w:sz w:val="18"/>
        </w:rPr>
        <w:tab/>
      </w:r>
      <w:r w:rsidRPr="00863324">
        <w:rPr>
          <w:i w:val="0"/>
          <w:noProof/>
          <w:sz w:val="18"/>
        </w:rPr>
        <w:fldChar w:fldCharType="begin"/>
      </w:r>
      <w:r w:rsidRPr="00863324">
        <w:rPr>
          <w:i w:val="0"/>
          <w:noProof/>
          <w:sz w:val="18"/>
        </w:rPr>
        <w:instrText xml:space="preserve"> PAGEREF _Toc436742105 \h </w:instrText>
      </w:r>
      <w:r w:rsidRPr="00863324">
        <w:rPr>
          <w:i w:val="0"/>
          <w:noProof/>
          <w:sz w:val="18"/>
        </w:rPr>
      </w:r>
      <w:r w:rsidRPr="00863324">
        <w:rPr>
          <w:i w:val="0"/>
          <w:noProof/>
          <w:sz w:val="18"/>
        </w:rPr>
        <w:fldChar w:fldCharType="separate"/>
      </w:r>
      <w:r w:rsidR="00A136B0">
        <w:rPr>
          <w:i w:val="0"/>
          <w:noProof/>
          <w:sz w:val="18"/>
        </w:rPr>
        <w:t>27</w:t>
      </w:r>
      <w:r w:rsidRPr="00863324">
        <w:rPr>
          <w:i w:val="0"/>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Tax Agent Services Act 2009</w:t>
      </w:r>
      <w:r w:rsidRPr="00863324">
        <w:rPr>
          <w:i w:val="0"/>
          <w:noProof/>
          <w:sz w:val="18"/>
        </w:rPr>
        <w:tab/>
      </w:r>
      <w:r w:rsidRPr="00863324">
        <w:rPr>
          <w:i w:val="0"/>
          <w:noProof/>
          <w:sz w:val="18"/>
        </w:rPr>
        <w:fldChar w:fldCharType="begin"/>
      </w:r>
      <w:r w:rsidRPr="00863324">
        <w:rPr>
          <w:i w:val="0"/>
          <w:noProof/>
          <w:sz w:val="18"/>
        </w:rPr>
        <w:instrText xml:space="preserve"> PAGEREF _Toc436742106 \h </w:instrText>
      </w:r>
      <w:r w:rsidRPr="00863324">
        <w:rPr>
          <w:i w:val="0"/>
          <w:noProof/>
          <w:sz w:val="18"/>
        </w:rPr>
      </w:r>
      <w:r w:rsidRPr="00863324">
        <w:rPr>
          <w:i w:val="0"/>
          <w:noProof/>
          <w:sz w:val="18"/>
        </w:rPr>
        <w:fldChar w:fldCharType="separate"/>
      </w:r>
      <w:r w:rsidR="00A136B0">
        <w:rPr>
          <w:i w:val="0"/>
          <w:noProof/>
          <w:sz w:val="18"/>
        </w:rPr>
        <w:t>27</w:t>
      </w:r>
      <w:r w:rsidRPr="00863324">
        <w:rPr>
          <w:i w:val="0"/>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Taxation Administration Act 1953</w:t>
      </w:r>
      <w:r w:rsidRPr="00863324">
        <w:rPr>
          <w:i w:val="0"/>
          <w:noProof/>
          <w:sz w:val="18"/>
        </w:rPr>
        <w:tab/>
      </w:r>
      <w:r w:rsidRPr="00863324">
        <w:rPr>
          <w:i w:val="0"/>
          <w:noProof/>
          <w:sz w:val="18"/>
        </w:rPr>
        <w:fldChar w:fldCharType="begin"/>
      </w:r>
      <w:r w:rsidRPr="00863324">
        <w:rPr>
          <w:i w:val="0"/>
          <w:noProof/>
          <w:sz w:val="18"/>
        </w:rPr>
        <w:instrText xml:space="preserve"> PAGEREF _Toc436742107 \h </w:instrText>
      </w:r>
      <w:r w:rsidRPr="00863324">
        <w:rPr>
          <w:i w:val="0"/>
          <w:noProof/>
          <w:sz w:val="18"/>
        </w:rPr>
      </w:r>
      <w:r w:rsidRPr="00863324">
        <w:rPr>
          <w:i w:val="0"/>
          <w:noProof/>
          <w:sz w:val="18"/>
        </w:rPr>
        <w:fldChar w:fldCharType="separate"/>
      </w:r>
      <w:r w:rsidR="00A136B0">
        <w:rPr>
          <w:i w:val="0"/>
          <w:noProof/>
          <w:sz w:val="18"/>
        </w:rPr>
        <w:t>28</w:t>
      </w:r>
      <w:r w:rsidRPr="00863324">
        <w:rPr>
          <w:i w:val="0"/>
          <w:noProof/>
          <w:sz w:val="18"/>
        </w:rPr>
        <w:fldChar w:fldCharType="end"/>
      </w:r>
    </w:p>
    <w:p w:rsidR="00863324" w:rsidRDefault="00863324">
      <w:pPr>
        <w:pStyle w:val="TOC7"/>
        <w:rPr>
          <w:rFonts w:asciiTheme="minorHAnsi" w:eastAsiaTheme="minorEastAsia" w:hAnsiTheme="minorHAnsi" w:cstheme="minorBidi"/>
          <w:noProof/>
          <w:kern w:val="0"/>
          <w:sz w:val="22"/>
          <w:szCs w:val="22"/>
        </w:rPr>
      </w:pPr>
      <w:r>
        <w:rPr>
          <w:noProof/>
        </w:rPr>
        <w:t>Part 3—Contingent amendments</w:t>
      </w:r>
      <w:r w:rsidRPr="00863324">
        <w:rPr>
          <w:noProof/>
          <w:sz w:val="18"/>
        </w:rPr>
        <w:tab/>
      </w:r>
      <w:r w:rsidRPr="00863324">
        <w:rPr>
          <w:noProof/>
          <w:sz w:val="18"/>
        </w:rPr>
        <w:fldChar w:fldCharType="begin"/>
      </w:r>
      <w:r w:rsidRPr="00863324">
        <w:rPr>
          <w:noProof/>
          <w:sz w:val="18"/>
        </w:rPr>
        <w:instrText xml:space="preserve"> PAGEREF _Toc436742115 \h </w:instrText>
      </w:r>
      <w:r w:rsidRPr="00863324">
        <w:rPr>
          <w:noProof/>
          <w:sz w:val="18"/>
        </w:rPr>
      </w:r>
      <w:r w:rsidRPr="00863324">
        <w:rPr>
          <w:noProof/>
          <w:sz w:val="18"/>
        </w:rPr>
        <w:fldChar w:fldCharType="separate"/>
      </w:r>
      <w:r w:rsidR="00A136B0">
        <w:rPr>
          <w:noProof/>
          <w:sz w:val="18"/>
        </w:rPr>
        <w:t>31</w:t>
      </w:r>
      <w:r w:rsidRPr="00863324">
        <w:rPr>
          <w:noProof/>
          <w:sz w:val="18"/>
        </w:rPr>
        <w:fldChar w:fldCharType="end"/>
      </w:r>
    </w:p>
    <w:p w:rsidR="00863324" w:rsidRDefault="00863324">
      <w:pPr>
        <w:pStyle w:val="TOC8"/>
        <w:rPr>
          <w:rFonts w:asciiTheme="minorHAnsi" w:eastAsiaTheme="minorEastAsia" w:hAnsiTheme="minorHAnsi" w:cstheme="minorBidi"/>
          <w:noProof/>
          <w:kern w:val="0"/>
          <w:sz w:val="22"/>
          <w:szCs w:val="22"/>
        </w:rPr>
      </w:pPr>
      <w:r>
        <w:rPr>
          <w:noProof/>
        </w:rPr>
        <w:t>Division 1—Amendments if the Foreign Acquisitions and Takeovers Legislation Amendment Act 2015 has not already received the Royal Assent</w:t>
      </w:r>
      <w:r w:rsidRPr="00863324">
        <w:rPr>
          <w:noProof/>
          <w:sz w:val="18"/>
        </w:rPr>
        <w:tab/>
      </w:r>
      <w:r w:rsidRPr="00863324">
        <w:rPr>
          <w:noProof/>
          <w:sz w:val="18"/>
        </w:rPr>
        <w:fldChar w:fldCharType="begin"/>
      </w:r>
      <w:r w:rsidRPr="00863324">
        <w:rPr>
          <w:noProof/>
          <w:sz w:val="18"/>
        </w:rPr>
        <w:instrText xml:space="preserve"> PAGEREF _Toc436742116 \h </w:instrText>
      </w:r>
      <w:r w:rsidRPr="00863324">
        <w:rPr>
          <w:noProof/>
          <w:sz w:val="18"/>
        </w:rPr>
      </w:r>
      <w:r w:rsidRPr="00863324">
        <w:rPr>
          <w:noProof/>
          <w:sz w:val="18"/>
        </w:rPr>
        <w:fldChar w:fldCharType="separate"/>
      </w:r>
      <w:r w:rsidR="00A136B0">
        <w:rPr>
          <w:noProof/>
          <w:sz w:val="18"/>
        </w:rPr>
        <w:t>31</w:t>
      </w:r>
      <w:r w:rsidRPr="00863324">
        <w:rPr>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t>Taxation Administration Act 1953</w:t>
      </w:r>
      <w:r w:rsidRPr="00863324">
        <w:rPr>
          <w:i w:val="0"/>
          <w:noProof/>
          <w:sz w:val="18"/>
        </w:rPr>
        <w:tab/>
      </w:r>
      <w:r w:rsidRPr="00863324">
        <w:rPr>
          <w:i w:val="0"/>
          <w:noProof/>
          <w:sz w:val="18"/>
        </w:rPr>
        <w:fldChar w:fldCharType="begin"/>
      </w:r>
      <w:r w:rsidRPr="00863324">
        <w:rPr>
          <w:i w:val="0"/>
          <w:noProof/>
          <w:sz w:val="18"/>
        </w:rPr>
        <w:instrText xml:space="preserve"> PAGEREF _Toc436742117 \h </w:instrText>
      </w:r>
      <w:r w:rsidRPr="00863324">
        <w:rPr>
          <w:i w:val="0"/>
          <w:noProof/>
          <w:sz w:val="18"/>
        </w:rPr>
      </w:r>
      <w:r w:rsidRPr="00863324">
        <w:rPr>
          <w:i w:val="0"/>
          <w:noProof/>
          <w:sz w:val="18"/>
        </w:rPr>
        <w:fldChar w:fldCharType="separate"/>
      </w:r>
      <w:r w:rsidR="00A136B0">
        <w:rPr>
          <w:i w:val="0"/>
          <w:noProof/>
          <w:sz w:val="18"/>
        </w:rPr>
        <w:t>31</w:t>
      </w:r>
      <w:r w:rsidRPr="00863324">
        <w:rPr>
          <w:i w:val="0"/>
          <w:noProof/>
          <w:sz w:val="18"/>
        </w:rPr>
        <w:fldChar w:fldCharType="end"/>
      </w:r>
    </w:p>
    <w:p w:rsidR="00863324" w:rsidRDefault="00863324">
      <w:pPr>
        <w:pStyle w:val="TOC8"/>
        <w:rPr>
          <w:rFonts w:asciiTheme="minorHAnsi" w:eastAsiaTheme="minorEastAsia" w:hAnsiTheme="minorHAnsi" w:cstheme="minorBidi"/>
          <w:noProof/>
          <w:kern w:val="0"/>
          <w:sz w:val="22"/>
          <w:szCs w:val="22"/>
        </w:rPr>
      </w:pPr>
      <w:r>
        <w:rPr>
          <w:noProof/>
        </w:rPr>
        <w:t>Division 2—Amendments if the Foreign Acquisitions and Takeovers Legislation Amendment Act 2015 commences</w:t>
      </w:r>
      <w:r w:rsidRPr="00863324">
        <w:rPr>
          <w:noProof/>
          <w:sz w:val="18"/>
        </w:rPr>
        <w:tab/>
      </w:r>
      <w:r w:rsidRPr="00863324">
        <w:rPr>
          <w:noProof/>
          <w:sz w:val="18"/>
        </w:rPr>
        <w:fldChar w:fldCharType="begin"/>
      </w:r>
      <w:r w:rsidRPr="00863324">
        <w:rPr>
          <w:noProof/>
          <w:sz w:val="18"/>
        </w:rPr>
        <w:instrText xml:space="preserve"> PAGEREF _Toc436742118 \h </w:instrText>
      </w:r>
      <w:r w:rsidRPr="00863324">
        <w:rPr>
          <w:noProof/>
          <w:sz w:val="18"/>
        </w:rPr>
      </w:r>
      <w:r w:rsidRPr="00863324">
        <w:rPr>
          <w:noProof/>
          <w:sz w:val="18"/>
        </w:rPr>
        <w:fldChar w:fldCharType="separate"/>
      </w:r>
      <w:r w:rsidR="00A136B0">
        <w:rPr>
          <w:noProof/>
          <w:sz w:val="18"/>
        </w:rPr>
        <w:t>31</w:t>
      </w:r>
      <w:r w:rsidRPr="00863324">
        <w:rPr>
          <w:noProof/>
          <w:sz w:val="18"/>
        </w:rPr>
        <w:fldChar w:fldCharType="end"/>
      </w:r>
    </w:p>
    <w:p w:rsidR="00863324" w:rsidRDefault="00863324">
      <w:pPr>
        <w:pStyle w:val="TOC9"/>
        <w:rPr>
          <w:rFonts w:asciiTheme="minorHAnsi" w:eastAsiaTheme="minorEastAsia" w:hAnsiTheme="minorHAnsi" w:cstheme="minorBidi"/>
          <w:i w:val="0"/>
          <w:noProof/>
          <w:kern w:val="0"/>
          <w:sz w:val="22"/>
          <w:szCs w:val="22"/>
        </w:rPr>
      </w:pPr>
      <w:r>
        <w:rPr>
          <w:noProof/>
        </w:rPr>
        <w:lastRenderedPageBreak/>
        <w:t>Taxation Administration Act 1953</w:t>
      </w:r>
      <w:r w:rsidRPr="00863324">
        <w:rPr>
          <w:i w:val="0"/>
          <w:noProof/>
          <w:sz w:val="18"/>
        </w:rPr>
        <w:tab/>
      </w:r>
      <w:r w:rsidRPr="00863324">
        <w:rPr>
          <w:i w:val="0"/>
          <w:noProof/>
          <w:sz w:val="18"/>
        </w:rPr>
        <w:fldChar w:fldCharType="begin"/>
      </w:r>
      <w:r w:rsidRPr="00863324">
        <w:rPr>
          <w:i w:val="0"/>
          <w:noProof/>
          <w:sz w:val="18"/>
        </w:rPr>
        <w:instrText xml:space="preserve"> PAGEREF _Toc436742119 \h </w:instrText>
      </w:r>
      <w:r w:rsidRPr="00863324">
        <w:rPr>
          <w:i w:val="0"/>
          <w:noProof/>
          <w:sz w:val="18"/>
        </w:rPr>
      </w:r>
      <w:r w:rsidRPr="00863324">
        <w:rPr>
          <w:i w:val="0"/>
          <w:noProof/>
          <w:sz w:val="18"/>
        </w:rPr>
        <w:fldChar w:fldCharType="separate"/>
      </w:r>
      <w:r w:rsidR="00A136B0">
        <w:rPr>
          <w:i w:val="0"/>
          <w:noProof/>
          <w:sz w:val="18"/>
        </w:rPr>
        <w:t>31</w:t>
      </w:r>
      <w:r w:rsidRPr="00863324">
        <w:rPr>
          <w:i w:val="0"/>
          <w:noProof/>
          <w:sz w:val="18"/>
        </w:rPr>
        <w:fldChar w:fldCharType="end"/>
      </w:r>
    </w:p>
    <w:p w:rsidR="00863324" w:rsidRDefault="00863324">
      <w:pPr>
        <w:pStyle w:val="TOC7"/>
        <w:rPr>
          <w:rFonts w:asciiTheme="minorHAnsi" w:eastAsiaTheme="minorEastAsia" w:hAnsiTheme="minorHAnsi" w:cstheme="minorBidi"/>
          <w:noProof/>
          <w:kern w:val="0"/>
          <w:sz w:val="22"/>
          <w:szCs w:val="22"/>
        </w:rPr>
      </w:pPr>
      <w:r>
        <w:rPr>
          <w:noProof/>
        </w:rPr>
        <w:t>Part 4—Application of amendments</w:t>
      </w:r>
      <w:r w:rsidRPr="00863324">
        <w:rPr>
          <w:noProof/>
          <w:sz w:val="18"/>
        </w:rPr>
        <w:tab/>
      </w:r>
      <w:r w:rsidRPr="00863324">
        <w:rPr>
          <w:noProof/>
          <w:sz w:val="18"/>
        </w:rPr>
        <w:fldChar w:fldCharType="begin"/>
      </w:r>
      <w:r w:rsidRPr="00863324">
        <w:rPr>
          <w:noProof/>
          <w:sz w:val="18"/>
        </w:rPr>
        <w:instrText xml:space="preserve"> PAGEREF _Toc436742120 \h </w:instrText>
      </w:r>
      <w:r w:rsidRPr="00863324">
        <w:rPr>
          <w:noProof/>
          <w:sz w:val="18"/>
        </w:rPr>
      </w:r>
      <w:r w:rsidRPr="00863324">
        <w:rPr>
          <w:noProof/>
          <w:sz w:val="18"/>
        </w:rPr>
        <w:fldChar w:fldCharType="separate"/>
      </w:r>
      <w:r w:rsidR="00A136B0">
        <w:rPr>
          <w:noProof/>
          <w:sz w:val="18"/>
        </w:rPr>
        <w:t>32</w:t>
      </w:r>
      <w:r w:rsidRPr="00863324">
        <w:rPr>
          <w:noProof/>
          <w:sz w:val="18"/>
        </w:rPr>
        <w:fldChar w:fldCharType="end"/>
      </w:r>
    </w:p>
    <w:p w:rsidR="00055B5C" w:rsidRPr="009D0130" w:rsidRDefault="00863324" w:rsidP="0048364F">
      <w:r>
        <w:fldChar w:fldCharType="end"/>
      </w:r>
    </w:p>
    <w:p w:rsidR="00060FF9" w:rsidRPr="009D0130" w:rsidRDefault="00060FF9" w:rsidP="0048364F"/>
    <w:p w:rsidR="00FE7F93" w:rsidRPr="009D0130" w:rsidRDefault="00FE7F93" w:rsidP="0048364F">
      <w:pPr>
        <w:sectPr w:rsidR="00FE7F93" w:rsidRPr="009D0130" w:rsidSect="00AB7C63">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AB7C63" w:rsidRDefault="00A136B0">
      <w:r>
        <w:lastRenderedPageBreak/>
        <w:pict>
          <v:shape id="_x0000_i1026" type="#_x0000_t75" style="width:109.5pt;height:79.5pt" fillcolor="window">
            <v:imagedata r:id="rId8" o:title=""/>
          </v:shape>
        </w:pict>
      </w:r>
    </w:p>
    <w:p w:rsidR="00AB7C63" w:rsidRDefault="00AB7C63"/>
    <w:p w:rsidR="00AB7C63" w:rsidRDefault="00AB7C63" w:rsidP="00AB7C63">
      <w:pPr>
        <w:spacing w:line="240" w:lineRule="auto"/>
      </w:pPr>
    </w:p>
    <w:p w:rsidR="00AB7C63" w:rsidRDefault="00763BAF" w:rsidP="00AB7C63">
      <w:pPr>
        <w:pStyle w:val="ShortTP1"/>
      </w:pPr>
      <w:fldSimple w:instr=" STYLEREF ShortT ">
        <w:r w:rsidR="00A136B0">
          <w:rPr>
            <w:noProof/>
          </w:rPr>
          <w:t>Tax and Superannuation Laws Amendment (2015 Measures No. 5) Act 2015</w:t>
        </w:r>
      </w:fldSimple>
    </w:p>
    <w:p w:rsidR="00AB7C63" w:rsidRDefault="00763BAF" w:rsidP="00AB7C63">
      <w:pPr>
        <w:pStyle w:val="ActNoP1"/>
      </w:pPr>
      <w:fldSimple w:instr=" STYLEREF Actno ">
        <w:r w:rsidR="00A136B0">
          <w:rPr>
            <w:noProof/>
          </w:rPr>
          <w:t>No. 162, 2015</w:t>
        </w:r>
      </w:fldSimple>
    </w:p>
    <w:p w:rsidR="00AB7C63" w:rsidRPr="009A0728" w:rsidRDefault="00AB7C63" w:rsidP="009A0728">
      <w:pPr>
        <w:pBdr>
          <w:bottom w:val="single" w:sz="6" w:space="0" w:color="auto"/>
        </w:pBdr>
        <w:spacing w:before="400" w:line="240" w:lineRule="auto"/>
        <w:rPr>
          <w:rFonts w:eastAsia="Times New Roman"/>
          <w:b/>
          <w:sz w:val="28"/>
        </w:rPr>
      </w:pPr>
    </w:p>
    <w:p w:rsidR="00AB7C63" w:rsidRPr="009A0728" w:rsidRDefault="00AB7C63" w:rsidP="009A0728">
      <w:pPr>
        <w:spacing w:line="40" w:lineRule="exact"/>
        <w:rPr>
          <w:rFonts w:eastAsia="Calibri"/>
          <w:b/>
          <w:sz w:val="28"/>
        </w:rPr>
      </w:pPr>
    </w:p>
    <w:p w:rsidR="00AB7C63" w:rsidRPr="009A0728" w:rsidRDefault="00AB7C63" w:rsidP="009A0728">
      <w:pPr>
        <w:pBdr>
          <w:top w:val="single" w:sz="12" w:space="0" w:color="auto"/>
        </w:pBdr>
        <w:spacing w:line="240" w:lineRule="auto"/>
        <w:rPr>
          <w:rFonts w:eastAsia="Times New Roman"/>
          <w:b/>
          <w:sz w:val="28"/>
        </w:rPr>
      </w:pPr>
    </w:p>
    <w:p w:rsidR="0048364F" w:rsidRPr="009D0130" w:rsidRDefault="00AB7C63" w:rsidP="009D0130">
      <w:pPr>
        <w:pStyle w:val="Page1"/>
      </w:pPr>
      <w:r>
        <w:t>An Act</w:t>
      </w:r>
      <w:r w:rsidR="009D0130" w:rsidRPr="009D0130">
        <w:t xml:space="preserve"> to amend the law relating to taxation, and for related purposes</w:t>
      </w:r>
    </w:p>
    <w:p w:rsidR="00863324" w:rsidRDefault="00863324" w:rsidP="000C5962">
      <w:pPr>
        <w:pStyle w:val="AssentDt"/>
        <w:spacing w:before="240"/>
        <w:rPr>
          <w:sz w:val="24"/>
        </w:rPr>
      </w:pPr>
      <w:r>
        <w:rPr>
          <w:sz w:val="24"/>
        </w:rPr>
        <w:t>[</w:t>
      </w:r>
      <w:r>
        <w:rPr>
          <w:i/>
          <w:sz w:val="24"/>
        </w:rPr>
        <w:t>Assented to 30 November 2015</w:t>
      </w:r>
      <w:r>
        <w:rPr>
          <w:sz w:val="24"/>
        </w:rPr>
        <w:t>]</w:t>
      </w:r>
    </w:p>
    <w:p w:rsidR="0048364F" w:rsidRPr="009D0130" w:rsidRDefault="0048364F" w:rsidP="009D0130">
      <w:pPr>
        <w:spacing w:before="240" w:line="240" w:lineRule="auto"/>
        <w:rPr>
          <w:sz w:val="32"/>
        </w:rPr>
      </w:pPr>
      <w:r w:rsidRPr="009D0130">
        <w:rPr>
          <w:sz w:val="32"/>
        </w:rPr>
        <w:t>The Parliament of Australia enacts:</w:t>
      </w:r>
    </w:p>
    <w:p w:rsidR="0048364F" w:rsidRPr="009D0130" w:rsidRDefault="0048364F" w:rsidP="009D0130">
      <w:pPr>
        <w:pStyle w:val="ActHead5"/>
      </w:pPr>
      <w:bookmarkStart w:id="2" w:name="_Toc436742073"/>
      <w:r w:rsidRPr="009D0130">
        <w:rPr>
          <w:rStyle w:val="CharSectno"/>
        </w:rPr>
        <w:t>1</w:t>
      </w:r>
      <w:r w:rsidRPr="009D0130">
        <w:t xml:space="preserve">  Short title</w:t>
      </w:r>
      <w:bookmarkEnd w:id="2"/>
    </w:p>
    <w:p w:rsidR="0048364F" w:rsidRPr="009D0130" w:rsidRDefault="0048364F" w:rsidP="009D0130">
      <w:pPr>
        <w:pStyle w:val="subsection"/>
      </w:pPr>
      <w:r w:rsidRPr="009D0130">
        <w:tab/>
      </w:r>
      <w:r w:rsidRPr="009D0130">
        <w:tab/>
        <w:t xml:space="preserve">This Act may be cited as the </w:t>
      </w:r>
      <w:r w:rsidR="00267EE4" w:rsidRPr="009D0130">
        <w:rPr>
          <w:i/>
        </w:rPr>
        <w:t>Tax and Superannuation Laws Amendment (2015 Measures No.</w:t>
      </w:r>
      <w:r w:rsidR="009D0130" w:rsidRPr="009D0130">
        <w:rPr>
          <w:i/>
        </w:rPr>
        <w:t> </w:t>
      </w:r>
      <w:r w:rsidR="00267EE4" w:rsidRPr="009D0130">
        <w:rPr>
          <w:i/>
        </w:rPr>
        <w:t>5)</w:t>
      </w:r>
      <w:r w:rsidR="00267EE4" w:rsidRPr="009D0130">
        <w:t xml:space="preserve"> </w:t>
      </w:r>
      <w:r w:rsidR="00C164CA" w:rsidRPr="009D0130">
        <w:rPr>
          <w:i/>
        </w:rPr>
        <w:t>Act 201</w:t>
      </w:r>
      <w:r w:rsidR="00F92D35" w:rsidRPr="009D0130">
        <w:rPr>
          <w:i/>
        </w:rPr>
        <w:t>5</w:t>
      </w:r>
      <w:r w:rsidRPr="009D0130">
        <w:t>.</w:t>
      </w:r>
    </w:p>
    <w:p w:rsidR="0048364F" w:rsidRPr="009D0130" w:rsidRDefault="0048364F" w:rsidP="009D0130">
      <w:pPr>
        <w:pStyle w:val="ActHead5"/>
      </w:pPr>
      <w:bookmarkStart w:id="3" w:name="_Toc436742074"/>
      <w:r w:rsidRPr="009D0130">
        <w:rPr>
          <w:rStyle w:val="CharSectno"/>
        </w:rPr>
        <w:lastRenderedPageBreak/>
        <w:t>2</w:t>
      </w:r>
      <w:r w:rsidRPr="009D0130">
        <w:t xml:space="preserve">  Commencement</w:t>
      </w:r>
      <w:bookmarkEnd w:id="3"/>
    </w:p>
    <w:p w:rsidR="0048364F" w:rsidRPr="009D0130" w:rsidRDefault="0048364F" w:rsidP="009D0130">
      <w:pPr>
        <w:pStyle w:val="subsection"/>
      </w:pPr>
      <w:r w:rsidRPr="009D0130">
        <w:tab/>
        <w:t>(1)</w:t>
      </w:r>
      <w:r w:rsidRPr="009D0130">
        <w:tab/>
        <w:t>Each provision of this Act specified in column 1 of the table commences, or is taken to have commenced, in accordance with column 2 of the table. Any other statement in column 2 has effect according to its terms.</w:t>
      </w:r>
    </w:p>
    <w:p w:rsidR="0048364F" w:rsidRPr="009D0130" w:rsidRDefault="0048364F" w:rsidP="009D013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D0130" w:rsidTr="007523C9">
        <w:trPr>
          <w:tblHeader/>
        </w:trPr>
        <w:tc>
          <w:tcPr>
            <w:tcW w:w="7111" w:type="dxa"/>
            <w:gridSpan w:val="3"/>
            <w:tcBorders>
              <w:top w:val="single" w:sz="12" w:space="0" w:color="auto"/>
              <w:bottom w:val="single" w:sz="2" w:space="0" w:color="auto"/>
            </w:tcBorders>
            <w:shd w:val="clear" w:color="auto" w:fill="auto"/>
          </w:tcPr>
          <w:p w:rsidR="0048364F" w:rsidRPr="009D0130" w:rsidRDefault="0048364F" w:rsidP="009D0130">
            <w:pPr>
              <w:pStyle w:val="TableHeading"/>
            </w:pPr>
            <w:r w:rsidRPr="009D0130">
              <w:t>Commencement information</w:t>
            </w:r>
          </w:p>
        </w:tc>
      </w:tr>
      <w:tr w:rsidR="0048364F" w:rsidRPr="009D0130" w:rsidTr="007523C9">
        <w:trPr>
          <w:tblHeader/>
        </w:trPr>
        <w:tc>
          <w:tcPr>
            <w:tcW w:w="1701" w:type="dxa"/>
            <w:tcBorders>
              <w:top w:val="single" w:sz="2" w:space="0" w:color="auto"/>
              <w:bottom w:val="single" w:sz="2" w:space="0" w:color="auto"/>
            </w:tcBorders>
            <w:shd w:val="clear" w:color="auto" w:fill="auto"/>
          </w:tcPr>
          <w:p w:rsidR="0048364F" w:rsidRPr="009D0130" w:rsidRDefault="0048364F" w:rsidP="009D0130">
            <w:pPr>
              <w:pStyle w:val="TableHeading"/>
            </w:pPr>
            <w:r w:rsidRPr="009D0130">
              <w:t>Column 1</w:t>
            </w:r>
          </w:p>
        </w:tc>
        <w:tc>
          <w:tcPr>
            <w:tcW w:w="3828" w:type="dxa"/>
            <w:tcBorders>
              <w:top w:val="single" w:sz="2" w:space="0" w:color="auto"/>
              <w:bottom w:val="single" w:sz="2" w:space="0" w:color="auto"/>
            </w:tcBorders>
            <w:shd w:val="clear" w:color="auto" w:fill="auto"/>
          </w:tcPr>
          <w:p w:rsidR="0048364F" w:rsidRPr="009D0130" w:rsidRDefault="0048364F" w:rsidP="009D0130">
            <w:pPr>
              <w:pStyle w:val="TableHeading"/>
            </w:pPr>
            <w:r w:rsidRPr="009D0130">
              <w:t>Column 2</w:t>
            </w:r>
          </w:p>
        </w:tc>
        <w:tc>
          <w:tcPr>
            <w:tcW w:w="1582" w:type="dxa"/>
            <w:tcBorders>
              <w:top w:val="single" w:sz="2" w:space="0" w:color="auto"/>
              <w:bottom w:val="single" w:sz="2" w:space="0" w:color="auto"/>
            </w:tcBorders>
            <w:shd w:val="clear" w:color="auto" w:fill="auto"/>
          </w:tcPr>
          <w:p w:rsidR="0048364F" w:rsidRPr="009D0130" w:rsidRDefault="0048364F" w:rsidP="009D0130">
            <w:pPr>
              <w:pStyle w:val="TableHeading"/>
            </w:pPr>
            <w:r w:rsidRPr="009D0130">
              <w:t>Column 3</w:t>
            </w:r>
          </w:p>
        </w:tc>
      </w:tr>
      <w:tr w:rsidR="0048364F" w:rsidRPr="009D0130" w:rsidTr="007523C9">
        <w:trPr>
          <w:tblHeader/>
        </w:trPr>
        <w:tc>
          <w:tcPr>
            <w:tcW w:w="1701" w:type="dxa"/>
            <w:tcBorders>
              <w:top w:val="single" w:sz="2" w:space="0" w:color="auto"/>
              <w:bottom w:val="single" w:sz="12" w:space="0" w:color="auto"/>
            </w:tcBorders>
            <w:shd w:val="clear" w:color="auto" w:fill="auto"/>
          </w:tcPr>
          <w:p w:rsidR="0048364F" w:rsidRPr="009D0130" w:rsidRDefault="0048364F" w:rsidP="009D0130">
            <w:pPr>
              <w:pStyle w:val="TableHeading"/>
            </w:pPr>
            <w:r w:rsidRPr="009D0130">
              <w:t>Provisions</w:t>
            </w:r>
          </w:p>
        </w:tc>
        <w:tc>
          <w:tcPr>
            <w:tcW w:w="3828" w:type="dxa"/>
            <w:tcBorders>
              <w:top w:val="single" w:sz="2" w:space="0" w:color="auto"/>
              <w:bottom w:val="single" w:sz="12" w:space="0" w:color="auto"/>
            </w:tcBorders>
            <w:shd w:val="clear" w:color="auto" w:fill="auto"/>
          </w:tcPr>
          <w:p w:rsidR="0048364F" w:rsidRPr="009D0130" w:rsidRDefault="0048364F" w:rsidP="009D0130">
            <w:pPr>
              <w:pStyle w:val="TableHeading"/>
            </w:pPr>
            <w:r w:rsidRPr="009D0130">
              <w:t>Commencement</w:t>
            </w:r>
          </w:p>
        </w:tc>
        <w:tc>
          <w:tcPr>
            <w:tcW w:w="1582" w:type="dxa"/>
            <w:tcBorders>
              <w:top w:val="single" w:sz="2" w:space="0" w:color="auto"/>
              <w:bottom w:val="single" w:sz="12" w:space="0" w:color="auto"/>
            </w:tcBorders>
            <w:shd w:val="clear" w:color="auto" w:fill="auto"/>
          </w:tcPr>
          <w:p w:rsidR="0048364F" w:rsidRPr="009D0130" w:rsidRDefault="0048364F" w:rsidP="009D0130">
            <w:pPr>
              <w:pStyle w:val="TableHeading"/>
            </w:pPr>
            <w:r w:rsidRPr="009D0130">
              <w:t>Date/Details</w:t>
            </w:r>
          </w:p>
        </w:tc>
      </w:tr>
      <w:tr w:rsidR="00A511AE" w:rsidRPr="009D0130" w:rsidTr="007523C9">
        <w:tc>
          <w:tcPr>
            <w:tcW w:w="1701" w:type="dxa"/>
            <w:tcBorders>
              <w:top w:val="single" w:sz="12" w:space="0" w:color="auto"/>
            </w:tcBorders>
            <w:shd w:val="clear" w:color="auto" w:fill="auto"/>
          </w:tcPr>
          <w:p w:rsidR="00A511AE" w:rsidRPr="009D0130" w:rsidRDefault="00A511AE" w:rsidP="009D0130">
            <w:pPr>
              <w:pStyle w:val="Tabletext"/>
            </w:pPr>
            <w:r w:rsidRPr="009D0130">
              <w:t>1.  Sections</w:t>
            </w:r>
            <w:r w:rsidR="009D0130" w:rsidRPr="009D0130">
              <w:t> </w:t>
            </w:r>
            <w:r w:rsidRPr="009D0130">
              <w:t>1 to 3 and anything in this Act not elsewhere covered by this table</w:t>
            </w:r>
          </w:p>
        </w:tc>
        <w:tc>
          <w:tcPr>
            <w:tcW w:w="3828" w:type="dxa"/>
            <w:tcBorders>
              <w:top w:val="single" w:sz="12" w:space="0" w:color="auto"/>
            </w:tcBorders>
            <w:shd w:val="clear" w:color="auto" w:fill="auto"/>
          </w:tcPr>
          <w:p w:rsidR="00A511AE" w:rsidRPr="009D0130" w:rsidRDefault="00A511AE" w:rsidP="009D0130">
            <w:pPr>
              <w:pStyle w:val="Tabletext"/>
            </w:pPr>
            <w:r w:rsidRPr="009D0130">
              <w:t>The day this Act receives the Royal Assent.</w:t>
            </w:r>
          </w:p>
        </w:tc>
        <w:tc>
          <w:tcPr>
            <w:tcW w:w="1582" w:type="dxa"/>
            <w:tcBorders>
              <w:top w:val="single" w:sz="12" w:space="0" w:color="auto"/>
            </w:tcBorders>
            <w:shd w:val="clear" w:color="auto" w:fill="auto"/>
          </w:tcPr>
          <w:p w:rsidR="00A511AE" w:rsidRPr="009D0130" w:rsidRDefault="00863324" w:rsidP="009D0130">
            <w:pPr>
              <w:pStyle w:val="Tabletext"/>
            </w:pPr>
            <w:r>
              <w:t xml:space="preserve">30 November 2015 </w:t>
            </w:r>
          </w:p>
        </w:tc>
      </w:tr>
      <w:tr w:rsidR="00A511AE" w:rsidRPr="009D0130" w:rsidTr="007523C9">
        <w:tc>
          <w:tcPr>
            <w:tcW w:w="1701" w:type="dxa"/>
            <w:shd w:val="clear" w:color="auto" w:fill="auto"/>
          </w:tcPr>
          <w:p w:rsidR="00A511AE" w:rsidRPr="009D0130" w:rsidRDefault="00A511AE" w:rsidP="009D0130">
            <w:pPr>
              <w:pStyle w:val="Tabletext"/>
            </w:pPr>
            <w:r w:rsidRPr="009D0130">
              <w:t>2.  Schedules</w:t>
            </w:r>
            <w:r w:rsidR="009D0130" w:rsidRPr="009D0130">
              <w:t> </w:t>
            </w:r>
            <w:r w:rsidRPr="009D0130">
              <w:t>1</w:t>
            </w:r>
            <w:r w:rsidR="00AA7296" w:rsidRPr="009D0130">
              <w:t>, 2 and 3</w:t>
            </w:r>
          </w:p>
        </w:tc>
        <w:tc>
          <w:tcPr>
            <w:tcW w:w="3828" w:type="dxa"/>
            <w:shd w:val="clear" w:color="auto" w:fill="auto"/>
          </w:tcPr>
          <w:p w:rsidR="00A511AE" w:rsidRPr="009D0130" w:rsidRDefault="00A511AE" w:rsidP="009D0130">
            <w:pPr>
              <w:pStyle w:val="Tabletext"/>
            </w:pPr>
            <w:r w:rsidRPr="009D0130">
              <w:t>The day this Act receives the Royal Assent.</w:t>
            </w:r>
          </w:p>
        </w:tc>
        <w:tc>
          <w:tcPr>
            <w:tcW w:w="1582" w:type="dxa"/>
            <w:shd w:val="clear" w:color="auto" w:fill="auto"/>
          </w:tcPr>
          <w:p w:rsidR="00051355" w:rsidRPr="009D0130" w:rsidRDefault="00863324" w:rsidP="009D0130">
            <w:pPr>
              <w:pStyle w:val="Tabletext"/>
            </w:pPr>
            <w:r>
              <w:t>30 November 2015</w:t>
            </w:r>
          </w:p>
        </w:tc>
      </w:tr>
      <w:tr w:rsidR="00051355" w:rsidRPr="009D0130" w:rsidTr="007523C9">
        <w:tc>
          <w:tcPr>
            <w:tcW w:w="1701" w:type="dxa"/>
            <w:shd w:val="clear" w:color="auto" w:fill="auto"/>
          </w:tcPr>
          <w:p w:rsidR="00051355" w:rsidRPr="009D0130" w:rsidRDefault="00AA7296" w:rsidP="009D0130">
            <w:pPr>
              <w:pStyle w:val="Tabletext"/>
            </w:pPr>
            <w:r w:rsidRPr="009D0130">
              <w:t>3</w:t>
            </w:r>
            <w:r w:rsidR="00051355" w:rsidRPr="009D0130">
              <w:t>.  Schedule</w:t>
            </w:r>
            <w:r w:rsidR="009D0130" w:rsidRPr="009D0130">
              <w:t> </w:t>
            </w:r>
            <w:r w:rsidR="00051355" w:rsidRPr="009D0130">
              <w:t>4, Parts</w:t>
            </w:r>
            <w:r w:rsidR="009D0130" w:rsidRPr="009D0130">
              <w:t> </w:t>
            </w:r>
            <w:r w:rsidR="00051355" w:rsidRPr="009D0130">
              <w:t>1 and 2</w:t>
            </w:r>
          </w:p>
        </w:tc>
        <w:tc>
          <w:tcPr>
            <w:tcW w:w="3828" w:type="dxa"/>
            <w:shd w:val="clear" w:color="auto" w:fill="auto"/>
          </w:tcPr>
          <w:p w:rsidR="00051355" w:rsidRPr="009D0130" w:rsidRDefault="00051355" w:rsidP="009D0130">
            <w:pPr>
              <w:pStyle w:val="Tabletext"/>
            </w:pPr>
            <w:r w:rsidRPr="009D0130">
              <w:t>The day this Act receives the Royal Assent.</w:t>
            </w:r>
          </w:p>
        </w:tc>
        <w:tc>
          <w:tcPr>
            <w:tcW w:w="1582" w:type="dxa"/>
            <w:shd w:val="clear" w:color="auto" w:fill="auto"/>
          </w:tcPr>
          <w:p w:rsidR="00051355" w:rsidRPr="009D0130" w:rsidRDefault="00863324" w:rsidP="009D0130">
            <w:pPr>
              <w:pStyle w:val="Tabletext"/>
            </w:pPr>
            <w:r>
              <w:t>30 November 2015</w:t>
            </w:r>
          </w:p>
        </w:tc>
      </w:tr>
      <w:tr w:rsidR="00051355" w:rsidRPr="009D0130" w:rsidTr="007523C9">
        <w:tc>
          <w:tcPr>
            <w:tcW w:w="1701" w:type="dxa"/>
            <w:shd w:val="clear" w:color="auto" w:fill="auto"/>
          </w:tcPr>
          <w:p w:rsidR="00051355" w:rsidRPr="009D0130" w:rsidRDefault="00AA7296" w:rsidP="009D0130">
            <w:pPr>
              <w:pStyle w:val="Tabletext"/>
            </w:pPr>
            <w:r w:rsidRPr="009D0130">
              <w:t>4</w:t>
            </w:r>
            <w:r w:rsidR="00051355" w:rsidRPr="009D0130">
              <w:t>.  Schedule</w:t>
            </w:r>
            <w:r w:rsidR="009D0130" w:rsidRPr="009D0130">
              <w:t> </w:t>
            </w:r>
            <w:r w:rsidR="008B6F09" w:rsidRPr="009D0130">
              <w:t xml:space="preserve">4, </w:t>
            </w:r>
            <w:r w:rsidR="007523C9" w:rsidRPr="009D0130">
              <w:t>Part</w:t>
            </w:r>
            <w:r w:rsidR="009D0130" w:rsidRPr="009D0130">
              <w:t> </w:t>
            </w:r>
            <w:r w:rsidR="007523C9" w:rsidRPr="009D0130">
              <w:t>3, Division</w:t>
            </w:r>
            <w:r w:rsidR="009D0130" w:rsidRPr="009D0130">
              <w:t> </w:t>
            </w:r>
            <w:r w:rsidR="007523C9" w:rsidRPr="009D0130">
              <w:t>1</w:t>
            </w:r>
          </w:p>
        </w:tc>
        <w:tc>
          <w:tcPr>
            <w:tcW w:w="3828" w:type="dxa"/>
            <w:shd w:val="clear" w:color="auto" w:fill="auto"/>
          </w:tcPr>
          <w:p w:rsidR="00051355" w:rsidRPr="009D0130" w:rsidRDefault="00051355" w:rsidP="009D0130">
            <w:pPr>
              <w:pStyle w:val="Tabletext"/>
            </w:pPr>
            <w:r w:rsidRPr="009D0130">
              <w:t>The day this Act receives the Royal Assent.</w:t>
            </w:r>
          </w:p>
          <w:p w:rsidR="00051355" w:rsidRPr="009D0130" w:rsidRDefault="00051355" w:rsidP="009D0130">
            <w:pPr>
              <w:pStyle w:val="Tabletext"/>
            </w:pPr>
            <w:r w:rsidRPr="009D0130">
              <w:t xml:space="preserve">However, if the </w:t>
            </w:r>
            <w:r w:rsidRPr="009D0130">
              <w:rPr>
                <w:i/>
              </w:rPr>
              <w:t>Foreign Acquisitions and Takeovers Legislation Amendment Act 2015</w:t>
            </w:r>
            <w:r w:rsidRPr="009D0130">
              <w:t xml:space="preserve"> receives the Royal Assent before that day, the provisions do not commence at all.</w:t>
            </w:r>
          </w:p>
        </w:tc>
        <w:tc>
          <w:tcPr>
            <w:tcW w:w="1582" w:type="dxa"/>
            <w:shd w:val="clear" w:color="auto" w:fill="auto"/>
          </w:tcPr>
          <w:p w:rsidR="00051355" w:rsidRPr="009D0130" w:rsidRDefault="007B4274" w:rsidP="009D0130">
            <w:pPr>
              <w:pStyle w:val="Tabletext"/>
            </w:pPr>
            <w:r>
              <w:t>Never commenced</w:t>
            </w:r>
          </w:p>
        </w:tc>
      </w:tr>
      <w:tr w:rsidR="00051355" w:rsidRPr="009D0130" w:rsidTr="007523C9">
        <w:tc>
          <w:tcPr>
            <w:tcW w:w="1701" w:type="dxa"/>
            <w:tcBorders>
              <w:bottom w:val="single" w:sz="4" w:space="0" w:color="auto"/>
            </w:tcBorders>
            <w:shd w:val="clear" w:color="auto" w:fill="auto"/>
          </w:tcPr>
          <w:p w:rsidR="00051355" w:rsidRPr="009D0130" w:rsidRDefault="00AA7296" w:rsidP="009D0130">
            <w:pPr>
              <w:pStyle w:val="Tabletext"/>
            </w:pPr>
            <w:r w:rsidRPr="009D0130">
              <w:t>5</w:t>
            </w:r>
            <w:r w:rsidR="00051355" w:rsidRPr="009D0130">
              <w:t>.  Schedule</w:t>
            </w:r>
            <w:r w:rsidR="009D0130" w:rsidRPr="009D0130">
              <w:t> </w:t>
            </w:r>
            <w:r w:rsidR="00051355" w:rsidRPr="009D0130">
              <w:t xml:space="preserve">4, </w:t>
            </w:r>
            <w:r w:rsidR="007523C9" w:rsidRPr="009D0130">
              <w:t>Part</w:t>
            </w:r>
            <w:r w:rsidR="009D0130" w:rsidRPr="009D0130">
              <w:t> </w:t>
            </w:r>
            <w:r w:rsidR="007523C9" w:rsidRPr="009D0130">
              <w:t>3, Division</w:t>
            </w:r>
            <w:r w:rsidR="009D0130" w:rsidRPr="009D0130">
              <w:t> </w:t>
            </w:r>
            <w:r w:rsidR="007523C9" w:rsidRPr="009D0130">
              <w:t>2</w:t>
            </w:r>
          </w:p>
        </w:tc>
        <w:tc>
          <w:tcPr>
            <w:tcW w:w="3828" w:type="dxa"/>
            <w:tcBorders>
              <w:bottom w:val="single" w:sz="4" w:space="0" w:color="auto"/>
            </w:tcBorders>
            <w:shd w:val="clear" w:color="auto" w:fill="auto"/>
          </w:tcPr>
          <w:p w:rsidR="00051355" w:rsidRPr="009D0130" w:rsidRDefault="00051355" w:rsidP="009D0130">
            <w:pPr>
              <w:pStyle w:val="Tabletext"/>
            </w:pPr>
            <w:r w:rsidRPr="009D0130">
              <w:t>The day this Act receives the Royal Assent.</w:t>
            </w:r>
          </w:p>
          <w:p w:rsidR="00051355" w:rsidRPr="009D0130" w:rsidRDefault="00051355" w:rsidP="009D0130">
            <w:pPr>
              <w:pStyle w:val="Tabletext"/>
            </w:pPr>
            <w:r w:rsidRPr="009D0130">
              <w:t>However, the provisions do not commence at all if Schedule</w:t>
            </w:r>
            <w:r w:rsidR="009D0130" w:rsidRPr="009D0130">
              <w:t> </w:t>
            </w:r>
            <w:r w:rsidRPr="009D0130">
              <w:t xml:space="preserve">4 to the </w:t>
            </w:r>
            <w:r w:rsidRPr="009D0130">
              <w:rPr>
                <w:i/>
              </w:rPr>
              <w:t>Foreign Acquisitions and Takeovers Legislation Amendment Act 2015</w:t>
            </w:r>
            <w:r w:rsidRPr="009D0130">
              <w:t xml:space="preserve"> does not commence.</w:t>
            </w:r>
          </w:p>
        </w:tc>
        <w:tc>
          <w:tcPr>
            <w:tcW w:w="1582" w:type="dxa"/>
            <w:tcBorders>
              <w:bottom w:val="single" w:sz="4" w:space="0" w:color="auto"/>
            </w:tcBorders>
            <w:shd w:val="clear" w:color="auto" w:fill="auto"/>
          </w:tcPr>
          <w:p w:rsidR="00051355" w:rsidRPr="009D0130" w:rsidRDefault="007B4274" w:rsidP="009D0130">
            <w:pPr>
              <w:pStyle w:val="Tabletext"/>
            </w:pPr>
            <w:r>
              <w:t>30 November 2015</w:t>
            </w:r>
          </w:p>
        </w:tc>
      </w:tr>
      <w:tr w:rsidR="008B6F09" w:rsidRPr="009D0130" w:rsidTr="007523C9">
        <w:tc>
          <w:tcPr>
            <w:tcW w:w="1701" w:type="dxa"/>
            <w:tcBorders>
              <w:bottom w:val="single" w:sz="12" w:space="0" w:color="auto"/>
            </w:tcBorders>
            <w:shd w:val="clear" w:color="auto" w:fill="auto"/>
          </w:tcPr>
          <w:p w:rsidR="008B6F09" w:rsidRPr="009D0130" w:rsidRDefault="00AA7296" w:rsidP="009D0130">
            <w:pPr>
              <w:pStyle w:val="Tabletext"/>
            </w:pPr>
            <w:r w:rsidRPr="009D0130">
              <w:t>6</w:t>
            </w:r>
            <w:r w:rsidR="008B6F09" w:rsidRPr="009D0130">
              <w:t>.  Schedule</w:t>
            </w:r>
            <w:r w:rsidR="009D0130" w:rsidRPr="009D0130">
              <w:t> </w:t>
            </w:r>
            <w:r w:rsidR="008B6F09" w:rsidRPr="009D0130">
              <w:t>4, Part</w:t>
            </w:r>
            <w:r w:rsidR="009D0130" w:rsidRPr="009D0130">
              <w:t> </w:t>
            </w:r>
            <w:r w:rsidR="008B6F09" w:rsidRPr="009D0130">
              <w:t>4</w:t>
            </w:r>
          </w:p>
        </w:tc>
        <w:tc>
          <w:tcPr>
            <w:tcW w:w="3828" w:type="dxa"/>
            <w:tcBorders>
              <w:bottom w:val="single" w:sz="12" w:space="0" w:color="auto"/>
            </w:tcBorders>
            <w:shd w:val="clear" w:color="auto" w:fill="auto"/>
          </w:tcPr>
          <w:p w:rsidR="008B6F09" w:rsidRPr="009D0130" w:rsidRDefault="008B6F09" w:rsidP="009D0130">
            <w:pPr>
              <w:pStyle w:val="Tabletext"/>
            </w:pPr>
            <w:r w:rsidRPr="009D0130">
              <w:t>The day this Act receives the Royal Assent.</w:t>
            </w:r>
          </w:p>
        </w:tc>
        <w:tc>
          <w:tcPr>
            <w:tcW w:w="1582" w:type="dxa"/>
            <w:tcBorders>
              <w:bottom w:val="single" w:sz="12" w:space="0" w:color="auto"/>
            </w:tcBorders>
            <w:shd w:val="clear" w:color="auto" w:fill="auto"/>
          </w:tcPr>
          <w:p w:rsidR="008B6F09" w:rsidRPr="009D0130" w:rsidRDefault="00863324" w:rsidP="009D0130">
            <w:pPr>
              <w:pStyle w:val="Tabletext"/>
            </w:pPr>
            <w:r>
              <w:t>30 November 2015</w:t>
            </w:r>
          </w:p>
        </w:tc>
      </w:tr>
    </w:tbl>
    <w:p w:rsidR="0048364F" w:rsidRPr="009D0130" w:rsidRDefault="00201D27" w:rsidP="009D0130">
      <w:pPr>
        <w:pStyle w:val="notetext"/>
      </w:pPr>
      <w:r w:rsidRPr="009D0130">
        <w:t>Note:</w:t>
      </w:r>
      <w:r w:rsidRPr="009D0130">
        <w:tab/>
        <w:t>This table relates only to the provisions of this Act as originally enacted. It will not be amended to deal with any later amendments of this Act.</w:t>
      </w:r>
    </w:p>
    <w:p w:rsidR="0048364F" w:rsidRPr="009D0130" w:rsidRDefault="0048364F" w:rsidP="009D0130">
      <w:pPr>
        <w:pStyle w:val="subsection"/>
      </w:pPr>
      <w:r w:rsidRPr="009D0130">
        <w:tab/>
        <w:t>(2)</w:t>
      </w:r>
      <w:r w:rsidRPr="009D0130">
        <w:tab/>
      </w:r>
      <w:r w:rsidR="00201D27" w:rsidRPr="009D0130">
        <w:t xml:space="preserve">Any information in </w:t>
      </w:r>
      <w:r w:rsidR="00877D48" w:rsidRPr="009D0130">
        <w:t>c</w:t>
      </w:r>
      <w:r w:rsidR="00201D27" w:rsidRPr="009D0130">
        <w:t>olumn 3 of the table is not part of this Act. Information may be inserted in this column, or information in it may be edited, in any published version of this Act.</w:t>
      </w:r>
    </w:p>
    <w:p w:rsidR="0048364F" w:rsidRPr="009D0130" w:rsidRDefault="0048364F" w:rsidP="009D0130">
      <w:pPr>
        <w:pStyle w:val="ActHead5"/>
      </w:pPr>
      <w:bookmarkStart w:id="4" w:name="_Toc436742075"/>
      <w:r w:rsidRPr="009D0130">
        <w:rPr>
          <w:rStyle w:val="CharSectno"/>
        </w:rPr>
        <w:lastRenderedPageBreak/>
        <w:t>3</w:t>
      </w:r>
      <w:r w:rsidRPr="009D0130">
        <w:t xml:space="preserve">  Schedules</w:t>
      </w:r>
      <w:bookmarkEnd w:id="4"/>
    </w:p>
    <w:p w:rsidR="0048364F" w:rsidRPr="009D0130" w:rsidRDefault="0048364F" w:rsidP="009D0130">
      <w:pPr>
        <w:pStyle w:val="subsection"/>
      </w:pPr>
      <w:r w:rsidRPr="009D0130">
        <w:tab/>
      </w:r>
      <w:r w:rsidRPr="009D0130">
        <w:tab/>
      </w:r>
      <w:r w:rsidR="00202618" w:rsidRPr="009D0130">
        <w:t>Legislation that is specified in a Schedule to this Act is amended or repealed as set out in the applicable items in the Schedule concerned, and any other item in a Schedule to this Act has effect according to its terms.</w:t>
      </w:r>
    </w:p>
    <w:p w:rsidR="0048364F" w:rsidRPr="009D0130" w:rsidRDefault="0048364F" w:rsidP="009D0130">
      <w:pPr>
        <w:pStyle w:val="ActHead6"/>
        <w:pageBreakBefore/>
      </w:pPr>
      <w:bookmarkStart w:id="5" w:name="_Toc436742076"/>
      <w:bookmarkStart w:id="6" w:name="opcAmSched"/>
      <w:r w:rsidRPr="009D0130">
        <w:rPr>
          <w:rStyle w:val="CharAmSchNo"/>
        </w:rPr>
        <w:lastRenderedPageBreak/>
        <w:t>Schedule</w:t>
      </w:r>
      <w:r w:rsidR="009D0130" w:rsidRPr="009D0130">
        <w:rPr>
          <w:rStyle w:val="CharAmSchNo"/>
        </w:rPr>
        <w:t> </w:t>
      </w:r>
      <w:r w:rsidRPr="009D0130">
        <w:rPr>
          <w:rStyle w:val="CharAmSchNo"/>
        </w:rPr>
        <w:t>1</w:t>
      </w:r>
      <w:r w:rsidRPr="009D0130">
        <w:t>—</w:t>
      </w:r>
      <w:r w:rsidR="00267EE4" w:rsidRPr="009D0130">
        <w:rPr>
          <w:rStyle w:val="CharAmSchText"/>
        </w:rPr>
        <w:t>Modernising the car expense deduction rules</w:t>
      </w:r>
      <w:bookmarkEnd w:id="5"/>
    </w:p>
    <w:p w:rsidR="007F7BC6" w:rsidRPr="009D0130" w:rsidRDefault="007F7BC6" w:rsidP="009D0130">
      <w:pPr>
        <w:pStyle w:val="ActHead7"/>
      </w:pPr>
      <w:bookmarkStart w:id="7" w:name="_Toc436742077"/>
      <w:bookmarkEnd w:id="6"/>
      <w:r w:rsidRPr="009D0130">
        <w:rPr>
          <w:rStyle w:val="CharAmPartNo"/>
        </w:rPr>
        <w:t>Part</w:t>
      </w:r>
      <w:r w:rsidR="009D0130" w:rsidRPr="009D0130">
        <w:rPr>
          <w:rStyle w:val="CharAmPartNo"/>
        </w:rPr>
        <w:t> </w:t>
      </w:r>
      <w:r w:rsidRPr="009D0130">
        <w:rPr>
          <w:rStyle w:val="CharAmPartNo"/>
        </w:rPr>
        <w:t>1</w:t>
      </w:r>
      <w:r w:rsidRPr="009D0130">
        <w:t>—</w:t>
      </w:r>
      <w:r w:rsidRPr="009D0130">
        <w:rPr>
          <w:rStyle w:val="CharAmPartText"/>
        </w:rPr>
        <w:t>Main amendments</w:t>
      </w:r>
      <w:bookmarkEnd w:id="7"/>
    </w:p>
    <w:p w:rsidR="007F7BC6" w:rsidRPr="009D0130" w:rsidRDefault="007F7BC6" w:rsidP="009D0130">
      <w:pPr>
        <w:pStyle w:val="ActHead9"/>
        <w:rPr>
          <w:i w:val="0"/>
        </w:rPr>
      </w:pPr>
      <w:bookmarkStart w:id="8" w:name="_Toc436742078"/>
      <w:r w:rsidRPr="009D0130">
        <w:t>Income Tax Assessment Act 1997</w:t>
      </w:r>
      <w:bookmarkEnd w:id="8"/>
    </w:p>
    <w:p w:rsidR="007F7BC6" w:rsidRPr="009D0130" w:rsidRDefault="0004668B" w:rsidP="009D0130">
      <w:pPr>
        <w:pStyle w:val="ItemHead"/>
      </w:pPr>
      <w:r w:rsidRPr="009D0130">
        <w:t>1</w:t>
      </w:r>
      <w:r w:rsidR="007F7BC6" w:rsidRPr="009D0130">
        <w:t xml:space="preserve">  Subsection</w:t>
      </w:r>
      <w:r w:rsidR="009D0130" w:rsidRPr="009D0130">
        <w:t> </w:t>
      </w:r>
      <w:r w:rsidR="007F7BC6" w:rsidRPr="009D0130">
        <w:t>28</w:t>
      </w:r>
      <w:r w:rsidR="000B2603">
        <w:noBreakHyphen/>
      </w:r>
      <w:r w:rsidR="007F7BC6" w:rsidRPr="009D0130">
        <w:t>25(1)</w:t>
      </w:r>
    </w:p>
    <w:p w:rsidR="007F7BC6" w:rsidRPr="009D0130" w:rsidRDefault="007F7BC6" w:rsidP="009D0130">
      <w:pPr>
        <w:pStyle w:val="Item"/>
      </w:pPr>
      <w:r w:rsidRPr="009D0130">
        <w:t>Repeal the subsection, substitute:</w:t>
      </w:r>
    </w:p>
    <w:p w:rsidR="007F7BC6" w:rsidRPr="009D0130" w:rsidRDefault="007F7BC6" w:rsidP="009D0130">
      <w:pPr>
        <w:pStyle w:val="subsection"/>
      </w:pPr>
      <w:r w:rsidRPr="009D0130">
        <w:tab/>
        <w:t>(1)</w:t>
      </w:r>
      <w:r w:rsidRPr="009D0130">
        <w:tab/>
        <w:t>To calculate your deduction using the “cents per kilometre” method, use this formula:</w:t>
      </w:r>
    </w:p>
    <w:p w:rsidR="007F7BC6" w:rsidRPr="009D0130" w:rsidRDefault="00A136B0" w:rsidP="009D0130">
      <w:pPr>
        <w:pStyle w:val="subsection"/>
      </w:pPr>
      <w:bookmarkStart w:id="9" w:name="BKCheck15B_2"/>
      <w:bookmarkEnd w:id="9"/>
      <w:r>
        <w:pict>
          <v:shape id="_x0000_i1027" type="#_x0000_t75" style="width:306pt;height:41.25pt">
            <v:imagedata r:id="rId20" o:title=""/>
          </v:shape>
        </w:pict>
      </w:r>
    </w:p>
    <w:p w:rsidR="007F7BC6" w:rsidRPr="009D0130" w:rsidRDefault="0004668B" w:rsidP="009D0130">
      <w:pPr>
        <w:pStyle w:val="ItemHead"/>
      </w:pPr>
      <w:r w:rsidRPr="009D0130">
        <w:t>2</w:t>
      </w:r>
      <w:r w:rsidR="007F7BC6" w:rsidRPr="009D0130">
        <w:t xml:space="preserve">  At the end of section</w:t>
      </w:r>
      <w:r w:rsidR="009D0130" w:rsidRPr="009D0130">
        <w:t> </w:t>
      </w:r>
      <w:r w:rsidR="007F7BC6" w:rsidRPr="009D0130">
        <w:t>28</w:t>
      </w:r>
      <w:r w:rsidR="000B2603">
        <w:noBreakHyphen/>
      </w:r>
      <w:r w:rsidR="007F7BC6" w:rsidRPr="009D0130">
        <w:t>25</w:t>
      </w:r>
    </w:p>
    <w:p w:rsidR="007F7BC6" w:rsidRPr="009D0130" w:rsidRDefault="007F7BC6" w:rsidP="009D0130">
      <w:pPr>
        <w:pStyle w:val="Item"/>
      </w:pPr>
      <w:r w:rsidRPr="009D0130">
        <w:t>Add:</w:t>
      </w:r>
    </w:p>
    <w:p w:rsidR="007F7BC6" w:rsidRPr="009D0130" w:rsidRDefault="007F7BC6" w:rsidP="009D0130">
      <w:pPr>
        <w:pStyle w:val="subsection"/>
      </w:pPr>
      <w:r w:rsidRPr="009D0130">
        <w:tab/>
        <w:t>(4)</w:t>
      </w:r>
      <w:r w:rsidRPr="009D0130">
        <w:tab/>
        <w:t xml:space="preserve">For the purposes of </w:t>
      </w:r>
      <w:r w:rsidR="009D0130" w:rsidRPr="009D0130">
        <w:t>subsection (</w:t>
      </w:r>
      <w:r w:rsidRPr="009D0130">
        <w:t>1), the Commissioner may, by legislative instrument, determine rates of cents per kilometre for cars for an income year.</w:t>
      </w:r>
    </w:p>
    <w:p w:rsidR="007F7BC6" w:rsidRPr="009D0130" w:rsidRDefault="007F7BC6" w:rsidP="009D0130">
      <w:pPr>
        <w:pStyle w:val="subsection"/>
      </w:pPr>
      <w:r w:rsidRPr="009D0130">
        <w:tab/>
        <w:t>(5)</w:t>
      </w:r>
      <w:r w:rsidRPr="009D0130">
        <w:tab/>
        <w:t>In determining a rate, the Commissioner must have regard to the average operating costs for the cars to be covered by that rate.</w:t>
      </w:r>
    </w:p>
    <w:p w:rsidR="007F7BC6" w:rsidRPr="009D0130" w:rsidRDefault="007F7BC6" w:rsidP="009D0130">
      <w:pPr>
        <w:pStyle w:val="notetext"/>
      </w:pPr>
      <w:r w:rsidRPr="009D0130">
        <w:t>Note:</w:t>
      </w:r>
      <w:r w:rsidRPr="009D0130">
        <w:tab/>
        <w:t>Examples of operating costs include fixed costs such as registration, insurance and depreciation, and variable costs such as fuel and maintenance.</w:t>
      </w:r>
    </w:p>
    <w:p w:rsidR="007F7BC6" w:rsidRPr="009D0130" w:rsidRDefault="0004668B" w:rsidP="009D0130">
      <w:pPr>
        <w:pStyle w:val="ItemHead"/>
      </w:pPr>
      <w:r w:rsidRPr="009D0130">
        <w:t>3</w:t>
      </w:r>
      <w:r w:rsidR="007F7BC6" w:rsidRPr="009D0130">
        <w:t xml:space="preserve">  Subdivisions</w:t>
      </w:r>
      <w:r w:rsidR="009D0130" w:rsidRPr="009D0130">
        <w:t> </w:t>
      </w:r>
      <w:r w:rsidR="007F7BC6" w:rsidRPr="009D0130">
        <w:t>28</w:t>
      </w:r>
      <w:r w:rsidR="000B2603">
        <w:noBreakHyphen/>
      </w:r>
      <w:r w:rsidR="007F7BC6" w:rsidRPr="009D0130">
        <w:t>D and 28</w:t>
      </w:r>
      <w:r w:rsidR="000B2603">
        <w:noBreakHyphen/>
      </w:r>
      <w:r w:rsidR="007F7BC6" w:rsidRPr="009D0130">
        <w:t>E</w:t>
      </w:r>
    </w:p>
    <w:p w:rsidR="007F7BC6" w:rsidRPr="009D0130" w:rsidRDefault="007F7BC6" w:rsidP="009D0130">
      <w:pPr>
        <w:pStyle w:val="Item"/>
      </w:pPr>
      <w:r w:rsidRPr="009D0130">
        <w:t>Repeal the Subdivisions.</w:t>
      </w:r>
    </w:p>
    <w:p w:rsidR="007F7BC6" w:rsidRPr="009D0130" w:rsidRDefault="007F7BC6" w:rsidP="009D0130">
      <w:pPr>
        <w:pStyle w:val="ActHead7"/>
        <w:pageBreakBefore/>
      </w:pPr>
      <w:bookmarkStart w:id="10" w:name="_Toc436742079"/>
      <w:r w:rsidRPr="009D0130">
        <w:rPr>
          <w:rStyle w:val="CharAmPartNo"/>
        </w:rPr>
        <w:lastRenderedPageBreak/>
        <w:t>Part</w:t>
      </w:r>
      <w:r w:rsidR="009D0130" w:rsidRPr="009D0130">
        <w:rPr>
          <w:rStyle w:val="CharAmPartNo"/>
        </w:rPr>
        <w:t> </w:t>
      </w:r>
      <w:r w:rsidRPr="009D0130">
        <w:rPr>
          <w:rStyle w:val="CharAmPartNo"/>
        </w:rPr>
        <w:t>2</w:t>
      </w:r>
      <w:r w:rsidRPr="009D0130">
        <w:t>—</w:t>
      </w:r>
      <w:r w:rsidRPr="009D0130">
        <w:rPr>
          <w:rStyle w:val="CharAmPartText"/>
        </w:rPr>
        <w:t>Other amendments</w:t>
      </w:r>
      <w:bookmarkEnd w:id="10"/>
    </w:p>
    <w:p w:rsidR="007F7BC6" w:rsidRPr="009D0130" w:rsidRDefault="007F7BC6" w:rsidP="009D0130">
      <w:pPr>
        <w:pStyle w:val="ActHead9"/>
        <w:rPr>
          <w:i w:val="0"/>
        </w:rPr>
      </w:pPr>
      <w:bookmarkStart w:id="11" w:name="_Toc436742080"/>
      <w:r w:rsidRPr="009D0130">
        <w:t>Fringe Benefits Tax Assessment Act 1986</w:t>
      </w:r>
      <w:bookmarkEnd w:id="11"/>
    </w:p>
    <w:p w:rsidR="007F7BC6" w:rsidRPr="009D0130" w:rsidRDefault="0004668B" w:rsidP="009D0130">
      <w:pPr>
        <w:pStyle w:val="ItemHead"/>
      </w:pPr>
      <w:r w:rsidRPr="009D0130">
        <w:t>4</w:t>
      </w:r>
      <w:r w:rsidR="007F7BC6" w:rsidRPr="009D0130">
        <w:t xml:space="preserve">  Paragraph 19(1)(d)</w:t>
      </w:r>
    </w:p>
    <w:p w:rsidR="007F7BC6" w:rsidRPr="009D0130" w:rsidRDefault="007F7BC6" w:rsidP="009D0130">
      <w:pPr>
        <w:pStyle w:val="Item"/>
      </w:pPr>
      <w:r w:rsidRPr="009D0130">
        <w:t>Repeal the paragraph, substitute:</w:t>
      </w:r>
    </w:p>
    <w:p w:rsidR="007F7BC6" w:rsidRPr="009D0130" w:rsidRDefault="007F7BC6" w:rsidP="009D0130">
      <w:pPr>
        <w:pStyle w:val="paragraph"/>
      </w:pPr>
      <w:r w:rsidRPr="009D0130">
        <w:tab/>
        <w:t>(d)</w:t>
      </w:r>
      <w:r w:rsidRPr="009D0130">
        <w:tab/>
        <w:t>if:</w:t>
      </w:r>
    </w:p>
    <w:p w:rsidR="007F7BC6" w:rsidRPr="009D0130" w:rsidRDefault="007F7BC6" w:rsidP="009D0130">
      <w:pPr>
        <w:pStyle w:val="paragraphsub"/>
      </w:pPr>
      <w:r w:rsidRPr="009D0130">
        <w:tab/>
        <w:t>(</w:t>
      </w:r>
      <w:proofErr w:type="spellStart"/>
      <w:r w:rsidRPr="009D0130">
        <w:t>i</w:t>
      </w:r>
      <w:proofErr w:type="spellEnd"/>
      <w:r w:rsidRPr="009D0130">
        <w:t>)</w:t>
      </w:r>
      <w:r w:rsidRPr="009D0130">
        <w:tab/>
      </w:r>
      <w:r w:rsidR="009D0130" w:rsidRPr="009D0130">
        <w:t>paragraph (</w:t>
      </w:r>
      <w:r w:rsidRPr="009D0130">
        <w:t>ca) does not apply; and</w:t>
      </w:r>
    </w:p>
    <w:p w:rsidR="007F7BC6" w:rsidRPr="009D0130" w:rsidRDefault="007F7BC6" w:rsidP="009D0130">
      <w:pPr>
        <w:pStyle w:val="paragraphsub"/>
      </w:pPr>
      <w:r w:rsidRPr="009D0130">
        <w:tab/>
        <w:t>(ii)</w:t>
      </w:r>
      <w:r w:rsidRPr="009D0130">
        <w:tab/>
        <w:t xml:space="preserve">the loan fringe benefit is a car loan benefit in respect of a car held by the recipient during a period (the </w:t>
      </w:r>
      <w:r w:rsidRPr="009D0130">
        <w:rPr>
          <w:b/>
          <w:i/>
        </w:rPr>
        <w:t>holding period</w:t>
      </w:r>
      <w:r w:rsidRPr="009D0130">
        <w:t>) in the year of tax;</w:t>
      </w:r>
    </w:p>
    <w:p w:rsidR="007F7BC6" w:rsidRPr="009D0130" w:rsidRDefault="007F7BC6" w:rsidP="009D0130">
      <w:pPr>
        <w:pStyle w:val="paragraph"/>
      </w:pPr>
      <w:r w:rsidRPr="009D0130">
        <w:tab/>
      </w:r>
      <w:r w:rsidRPr="009D0130">
        <w:tab/>
        <w:t>the recipient gives a declaration to the employer, before the declaration date and in a form approved by the Commissioner, that purports to set out:</w:t>
      </w:r>
    </w:p>
    <w:p w:rsidR="007F7BC6" w:rsidRPr="009D0130" w:rsidRDefault="007F7BC6" w:rsidP="009D0130">
      <w:pPr>
        <w:pStyle w:val="paragraphsub"/>
      </w:pPr>
      <w:r w:rsidRPr="009D0130">
        <w:tab/>
        <w:t>(iii)</w:t>
      </w:r>
      <w:r w:rsidRPr="009D0130">
        <w:tab/>
        <w:t>the holding period; and</w:t>
      </w:r>
    </w:p>
    <w:p w:rsidR="007F7BC6" w:rsidRPr="009D0130" w:rsidRDefault="007F7BC6" w:rsidP="009D0130">
      <w:pPr>
        <w:pStyle w:val="paragraphsub"/>
      </w:pPr>
      <w:r w:rsidRPr="009D0130">
        <w:tab/>
        <w:t>(iv)</w:t>
      </w:r>
      <w:r w:rsidRPr="009D0130">
        <w:tab/>
        <w:t>the number of whole business kilometres travelled by the car during the holding period; and</w:t>
      </w:r>
    </w:p>
    <w:p w:rsidR="007F7BC6" w:rsidRPr="009D0130" w:rsidRDefault="007F7BC6" w:rsidP="009D0130">
      <w:pPr>
        <w:pStyle w:val="paragraphsub"/>
      </w:pPr>
      <w:r w:rsidRPr="009D0130">
        <w:tab/>
        <w:t>(v)</w:t>
      </w:r>
      <w:r w:rsidRPr="009D0130">
        <w:tab/>
        <w:t>the number of whole kilometres travelled by the car during the holding period;</w:t>
      </w:r>
    </w:p>
    <w:p w:rsidR="007F7BC6" w:rsidRPr="009D0130" w:rsidRDefault="0004668B" w:rsidP="009D0130">
      <w:pPr>
        <w:pStyle w:val="ItemHead"/>
      </w:pPr>
      <w:r w:rsidRPr="009D0130">
        <w:t>5</w:t>
      </w:r>
      <w:r w:rsidR="007F7BC6" w:rsidRPr="009D0130">
        <w:t xml:space="preserve">  Subparagraph 19(1)(g)(ii)</w:t>
      </w:r>
    </w:p>
    <w:p w:rsidR="007F7BC6" w:rsidRPr="009D0130" w:rsidRDefault="007F7BC6" w:rsidP="009D0130">
      <w:pPr>
        <w:pStyle w:val="Item"/>
      </w:pPr>
      <w:r w:rsidRPr="009D0130">
        <w:t>Repeal the subparagraph.</w:t>
      </w:r>
    </w:p>
    <w:p w:rsidR="007F7BC6" w:rsidRPr="009D0130" w:rsidRDefault="0004668B" w:rsidP="009D0130">
      <w:pPr>
        <w:pStyle w:val="ItemHead"/>
      </w:pPr>
      <w:r w:rsidRPr="009D0130">
        <w:t>6</w:t>
      </w:r>
      <w:r w:rsidR="007F7BC6" w:rsidRPr="009D0130">
        <w:t xml:space="preserve">  Paragraph 19(1)(h)</w:t>
      </w:r>
    </w:p>
    <w:p w:rsidR="007F7BC6" w:rsidRPr="009D0130" w:rsidRDefault="007F7BC6" w:rsidP="009D0130">
      <w:pPr>
        <w:pStyle w:val="Item"/>
      </w:pPr>
      <w:r w:rsidRPr="009D0130">
        <w:t>Repeal the paragraph.</w:t>
      </w:r>
    </w:p>
    <w:p w:rsidR="007F7BC6" w:rsidRPr="009D0130" w:rsidRDefault="0004668B" w:rsidP="009D0130">
      <w:pPr>
        <w:pStyle w:val="ItemHead"/>
      </w:pPr>
      <w:r w:rsidRPr="009D0130">
        <w:t>7</w:t>
      </w:r>
      <w:r w:rsidR="007F7BC6" w:rsidRPr="009D0130">
        <w:t xml:space="preserve">  Subsections</w:t>
      </w:r>
      <w:r w:rsidR="009D0130" w:rsidRPr="009D0130">
        <w:t> </w:t>
      </w:r>
      <w:r w:rsidR="007F7BC6" w:rsidRPr="009D0130">
        <w:t>19(3) and (4)</w:t>
      </w:r>
    </w:p>
    <w:p w:rsidR="007F7BC6" w:rsidRPr="009D0130" w:rsidRDefault="007F7BC6" w:rsidP="009D0130">
      <w:pPr>
        <w:pStyle w:val="Item"/>
      </w:pPr>
      <w:r w:rsidRPr="009D0130">
        <w:t>Repeal the subsections.</w:t>
      </w:r>
    </w:p>
    <w:p w:rsidR="007F7BC6" w:rsidRPr="009D0130" w:rsidRDefault="0004668B" w:rsidP="009D0130">
      <w:pPr>
        <w:pStyle w:val="ItemHead"/>
      </w:pPr>
      <w:r w:rsidRPr="009D0130">
        <w:t>8</w:t>
      </w:r>
      <w:r w:rsidR="007F7BC6" w:rsidRPr="009D0130">
        <w:t xml:space="preserve">  Paragraph 24(1)(f)</w:t>
      </w:r>
    </w:p>
    <w:p w:rsidR="007F7BC6" w:rsidRPr="009D0130" w:rsidRDefault="007F7BC6" w:rsidP="009D0130">
      <w:pPr>
        <w:pStyle w:val="Item"/>
      </w:pPr>
      <w:r w:rsidRPr="009D0130">
        <w:t>Repeal the paragraph, substitute:</w:t>
      </w:r>
    </w:p>
    <w:p w:rsidR="007F7BC6" w:rsidRPr="009D0130" w:rsidRDefault="007F7BC6" w:rsidP="009D0130">
      <w:pPr>
        <w:pStyle w:val="paragraph"/>
      </w:pPr>
      <w:r w:rsidRPr="009D0130">
        <w:tab/>
        <w:t>(f)</w:t>
      </w:r>
      <w:r w:rsidRPr="009D0130">
        <w:tab/>
        <w:t>if:</w:t>
      </w:r>
    </w:p>
    <w:p w:rsidR="007F7BC6" w:rsidRPr="009D0130" w:rsidRDefault="007F7BC6" w:rsidP="009D0130">
      <w:pPr>
        <w:pStyle w:val="paragraphsub"/>
      </w:pPr>
      <w:r w:rsidRPr="009D0130">
        <w:tab/>
        <w:t>(</w:t>
      </w:r>
      <w:proofErr w:type="spellStart"/>
      <w:r w:rsidRPr="009D0130">
        <w:t>i</w:t>
      </w:r>
      <w:proofErr w:type="spellEnd"/>
      <w:r w:rsidRPr="009D0130">
        <w:t>)</w:t>
      </w:r>
      <w:r w:rsidRPr="009D0130">
        <w:tab/>
      </w:r>
      <w:r w:rsidR="009D0130" w:rsidRPr="009D0130">
        <w:t>paragraph (</w:t>
      </w:r>
      <w:proofErr w:type="spellStart"/>
      <w:r w:rsidRPr="009D0130">
        <w:t>ea</w:t>
      </w:r>
      <w:proofErr w:type="spellEnd"/>
      <w:r w:rsidRPr="009D0130">
        <w:t>) does not apply; and</w:t>
      </w:r>
    </w:p>
    <w:p w:rsidR="007F7BC6" w:rsidRPr="009D0130" w:rsidRDefault="007F7BC6" w:rsidP="009D0130">
      <w:pPr>
        <w:pStyle w:val="paragraphsub"/>
      </w:pPr>
      <w:r w:rsidRPr="009D0130">
        <w:tab/>
        <w:t>(ii)</w:t>
      </w:r>
      <w:r w:rsidRPr="009D0130">
        <w:tab/>
        <w:t xml:space="preserve">the expense payment fringe benefit is a car expense payment benefit in respect of a car held by the recipient during a period (the </w:t>
      </w:r>
      <w:r w:rsidRPr="009D0130">
        <w:rPr>
          <w:b/>
          <w:i/>
        </w:rPr>
        <w:t>holding period</w:t>
      </w:r>
      <w:r w:rsidRPr="009D0130">
        <w:t>) in the year of tax;</w:t>
      </w:r>
    </w:p>
    <w:p w:rsidR="007F7BC6" w:rsidRPr="009D0130" w:rsidRDefault="007F7BC6" w:rsidP="009D0130">
      <w:pPr>
        <w:pStyle w:val="paragraph"/>
      </w:pPr>
      <w:r w:rsidRPr="009D0130">
        <w:lastRenderedPageBreak/>
        <w:tab/>
      </w:r>
      <w:r w:rsidRPr="009D0130">
        <w:tab/>
        <w:t>the recipient gives a declaration to the employer, before the declaration date and in a form approved by the Commissioner, that purports to set out:</w:t>
      </w:r>
    </w:p>
    <w:p w:rsidR="007F7BC6" w:rsidRPr="009D0130" w:rsidRDefault="007F7BC6" w:rsidP="009D0130">
      <w:pPr>
        <w:pStyle w:val="paragraphsub"/>
      </w:pPr>
      <w:r w:rsidRPr="009D0130">
        <w:tab/>
        <w:t>(iii)</w:t>
      </w:r>
      <w:r w:rsidRPr="009D0130">
        <w:tab/>
        <w:t>the holding period; and</w:t>
      </w:r>
    </w:p>
    <w:p w:rsidR="007F7BC6" w:rsidRPr="009D0130" w:rsidRDefault="007F7BC6" w:rsidP="009D0130">
      <w:pPr>
        <w:pStyle w:val="paragraphsub"/>
      </w:pPr>
      <w:r w:rsidRPr="009D0130">
        <w:tab/>
        <w:t>(iv)</w:t>
      </w:r>
      <w:r w:rsidRPr="009D0130">
        <w:tab/>
        <w:t>the number of whole business kilometres travelled by the car during the holding period; and</w:t>
      </w:r>
    </w:p>
    <w:p w:rsidR="007F7BC6" w:rsidRPr="009D0130" w:rsidRDefault="007F7BC6" w:rsidP="009D0130">
      <w:pPr>
        <w:pStyle w:val="paragraphsub"/>
      </w:pPr>
      <w:r w:rsidRPr="009D0130">
        <w:tab/>
        <w:t>(v)</w:t>
      </w:r>
      <w:r w:rsidRPr="009D0130">
        <w:tab/>
        <w:t>the number of whole kilometres travelled by the car during the holding period;</w:t>
      </w:r>
    </w:p>
    <w:p w:rsidR="007F7BC6" w:rsidRPr="009D0130" w:rsidRDefault="0004668B" w:rsidP="009D0130">
      <w:pPr>
        <w:pStyle w:val="ItemHead"/>
      </w:pPr>
      <w:r w:rsidRPr="009D0130">
        <w:t>9</w:t>
      </w:r>
      <w:r w:rsidR="007F7BC6" w:rsidRPr="009D0130">
        <w:t xml:space="preserve">  Subparagraph 24(1)(j)(ii)</w:t>
      </w:r>
    </w:p>
    <w:p w:rsidR="007F7BC6" w:rsidRPr="009D0130" w:rsidRDefault="007F7BC6" w:rsidP="009D0130">
      <w:pPr>
        <w:pStyle w:val="Item"/>
      </w:pPr>
      <w:r w:rsidRPr="009D0130">
        <w:t>Repeal the subparagraph.</w:t>
      </w:r>
    </w:p>
    <w:p w:rsidR="007F7BC6" w:rsidRPr="009D0130" w:rsidRDefault="0004668B" w:rsidP="009D0130">
      <w:pPr>
        <w:pStyle w:val="ItemHead"/>
      </w:pPr>
      <w:r w:rsidRPr="009D0130">
        <w:t>10</w:t>
      </w:r>
      <w:r w:rsidR="007F7BC6" w:rsidRPr="009D0130">
        <w:t xml:space="preserve">  Paragraph 24(1)(k)</w:t>
      </w:r>
    </w:p>
    <w:p w:rsidR="007F7BC6" w:rsidRPr="009D0130" w:rsidRDefault="007F7BC6" w:rsidP="009D0130">
      <w:pPr>
        <w:pStyle w:val="Item"/>
      </w:pPr>
      <w:r w:rsidRPr="009D0130">
        <w:t>Repeal the paragraph.</w:t>
      </w:r>
    </w:p>
    <w:p w:rsidR="007F7BC6" w:rsidRPr="009D0130" w:rsidRDefault="0004668B" w:rsidP="009D0130">
      <w:pPr>
        <w:pStyle w:val="ItemHead"/>
      </w:pPr>
      <w:r w:rsidRPr="009D0130">
        <w:t>11</w:t>
      </w:r>
      <w:r w:rsidR="007F7BC6" w:rsidRPr="009D0130">
        <w:t xml:space="preserve">  Subsections</w:t>
      </w:r>
      <w:r w:rsidR="009D0130" w:rsidRPr="009D0130">
        <w:t> </w:t>
      </w:r>
      <w:r w:rsidR="007F7BC6" w:rsidRPr="009D0130">
        <w:t>24(7) and (8)</w:t>
      </w:r>
    </w:p>
    <w:p w:rsidR="007F7BC6" w:rsidRPr="009D0130" w:rsidRDefault="007F7BC6" w:rsidP="009D0130">
      <w:pPr>
        <w:pStyle w:val="Item"/>
      </w:pPr>
      <w:r w:rsidRPr="009D0130">
        <w:t>Repeal the subsections.</w:t>
      </w:r>
    </w:p>
    <w:p w:rsidR="007F7BC6" w:rsidRPr="009D0130" w:rsidRDefault="0004668B" w:rsidP="009D0130">
      <w:pPr>
        <w:pStyle w:val="ItemHead"/>
      </w:pPr>
      <w:r w:rsidRPr="009D0130">
        <w:t>12</w:t>
      </w:r>
      <w:r w:rsidR="007F7BC6" w:rsidRPr="009D0130">
        <w:t xml:space="preserve">  Paragraph 44(1)(e)</w:t>
      </w:r>
    </w:p>
    <w:p w:rsidR="007F7BC6" w:rsidRPr="009D0130" w:rsidRDefault="007F7BC6" w:rsidP="009D0130">
      <w:pPr>
        <w:pStyle w:val="Item"/>
      </w:pPr>
      <w:r w:rsidRPr="009D0130">
        <w:t>Repeal the paragraph, substitute:</w:t>
      </w:r>
    </w:p>
    <w:p w:rsidR="007F7BC6" w:rsidRPr="009D0130" w:rsidRDefault="007F7BC6" w:rsidP="009D0130">
      <w:pPr>
        <w:pStyle w:val="paragraph"/>
      </w:pPr>
      <w:r w:rsidRPr="009D0130">
        <w:tab/>
        <w:t>(e)</w:t>
      </w:r>
      <w:r w:rsidRPr="009D0130">
        <w:tab/>
        <w:t>if:</w:t>
      </w:r>
    </w:p>
    <w:p w:rsidR="007F7BC6" w:rsidRPr="009D0130" w:rsidRDefault="007F7BC6" w:rsidP="009D0130">
      <w:pPr>
        <w:pStyle w:val="paragraphsub"/>
      </w:pPr>
      <w:r w:rsidRPr="009D0130">
        <w:tab/>
        <w:t>(</w:t>
      </w:r>
      <w:proofErr w:type="spellStart"/>
      <w:r w:rsidRPr="009D0130">
        <w:t>i</w:t>
      </w:r>
      <w:proofErr w:type="spellEnd"/>
      <w:r w:rsidRPr="009D0130">
        <w:t>)</w:t>
      </w:r>
      <w:r w:rsidRPr="009D0130">
        <w:tab/>
      </w:r>
      <w:r w:rsidR="009D0130" w:rsidRPr="009D0130">
        <w:t>paragraph (</w:t>
      </w:r>
      <w:r w:rsidRPr="009D0130">
        <w:t>da) does not apply; and</w:t>
      </w:r>
    </w:p>
    <w:p w:rsidR="007F7BC6" w:rsidRPr="009D0130" w:rsidRDefault="007F7BC6" w:rsidP="009D0130">
      <w:pPr>
        <w:pStyle w:val="paragraphsub"/>
      </w:pPr>
      <w:r w:rsidRPr="009D0130">
        <w:tab/>
        <w:t>(ii)</w:t>
      </w:r>
      <w:r w:rsidRPr="009D0130">
        <w:tab/>
        <w:t xml:space="preserve">the property fringe benefit is a car property benefit in respect of a car held by the recipient during a period (the </w:t>
      </w:r>
      <w:r w:rsidRPr="009D0130">
        <w:rPr>
          <w:b/>
          <w:i/>
        </w:rPr>
        <w:t>holding period</w:t>
      </w:r>
      <w:r w:rsidRPr="009D0130">
        <w:t>) in the year of tax;</w:t>
      </w:r>
    </w:p>
    <w:p w:rsidR="007F7BC6" w:rsidRPr="009D0130" w:rsidRDefault="007F7BC6" w:rsidP="009D0130">
      <w:pPr>
        <w:pStyle w:val="paragraph"/>
      </w:pPr>
      <w:r w:rsidRPr="009D0130">
        <w:tab/>
      </w:r>
      <w:r w:rsidRPr="009D0130">
        <w:tab/>
        <w:t>the recipient gives a declaration to the employer, before the declaration date and in a form approved by the Commissioner, that purports to set out:</w:t>
      </w:r>
    </w:p>
    <w:p w:rsidR="007F7BC6" w:rsidRPr="009D0130" w:rsidRDefault="007F7BC6" w:rsidP="009D0130">
      <w:pPr>
        <w:pStyle w:val="paragraphsub"/>
      </w:pPr>
      <w:r w:rsidRPr="009D0130">
        <w:tab/>
        <w:t>(iii)</w:t>
      </w:r>
      <w:r w:rsidRPr="009D0130">
        <w:tab/>
        <w:t>the holding period; and</w:t>
      </w:r>
    </w:p>
    <w:p w:rsidR="007F7BC6" w:rsidRPr="009D0130" w:rsidRDefault="007F7BC6" w:rsidP="009D0130">
      <w:pPr>
        <w:pStyle w:val="paragraphsub"/>
      </w:pPr>
      <w:r w:rsidRPr="009D0130">
        <w:tab/>
        <w:t>(iv)</w:t>
      </w:r>
      <w:r w:rsidRPr="009D0130">
        <w:tab/>
        <w:t>the number of whole business kilometres travelled by the car during the holding period; and</w:t>
      </w:r>
    </w:p>
    <w:p w:rsidR="007F7BC6" w:rsidRPr="009D0130" w:rsidRDefault="007F7BC6" w:rsidP="009D0130">
      <w:pPr>
        <w:pStyle w:val="paragraphsub"/>
      </w:pPr>
      <w:r w:rsidRPr="009D0130">
        <w:tab/>
        <w:t>(v)</w:t>
      </w:r>
      <w:r w:rsidRPr="009D0130">
        <w:tab/>
        <w:t>the number of whole kilometres travelled by the car during the holding period;</w:t>
      </w:r>
    </w:p>
    <w:p w:rsidR="007F7BC6" w:rsidRPr="009D0130" w:rsidRDefault="0004668B" w:rsidP="009D0130">
      <w:pPr>
        <w:pStyle w:val="ItemHead"/>
      </w:pPr>
      <w:r w:rsidRPr="009D0130">
        <w:t>13</w:t>
      </w:r>
      <w:r w:rsidR="007F7BC6" w:rsidRPr="009D0130">
        <w:t xml:space="preserve">  Subparagraph 44(1)(h)(ii)</w:t>
      </w:r>
    </w:p>
    <w:p w:rsidR="007F7BC6" w:rsidRPr="009D0130" w:rsidRDefault="007F7BC6" w:rsidP="009D0130">
      <w:pPr>
        <w:pStyle w:val="Item"/>
      </w:pPr>
      <w:r w:rsidRPr="009D0130">
        <w:t>Repeal the subparagraph.</w:t>
      </w:r>
    </w:p>
    <w:p w:rsidR="007F7BC6" w:rsidRPr="009D0130" w:rsidRDefault="0004668B" w:rsidP="009D0130">
      <w:pPr>
        <w:pStyle w:val="ItemHead"/>
      </w:pPr>
      <w:r w:rsidRPr="009D0130">
        <w:lastRenderedPageBreak/>
        <w:t>14</w:t>
      </w:r>
      <w:r w:rsidR="007F7BC6" w:rsidRPr="009D0130">
        <w:t xml:space="preserve">  Paragraph 44(1)(j)</w:t>
      </w:r>
    </w:p>
    <w:p w:rsidR="007F7BC6" w:rsidRPr="009D0130" w:rsidRDefault="007F7BC6" w:rsidP="009D0130">
      <w:pPr>
        <w:pStyle w:val="Item"/>
      </w:pPr>
      <w:r w:rsidRPr="009D0130">
        <w:t>Repeal the paragraph.</w:t>
      </w:r>
    </w:p>
    <w:p w:rsidR="007F7BC6" w:rsidRPr="009D0130" w:rsidRDefault="0004668B" w:rsidP="009D0130">
      <w:pPr>
        <w:pStyle w:val="ItemHead"/>
      </w:pPr>
      <w:r w:rsidRPr="009D0130">
        <w:t>15</w:t>
      </w:r>
      <w:r w:rsidR="007F7BC6" w:rsidRPr="009D0130">
        <w:t xml:space="preserve">  Subsections</w:t>
      </w:r>
      <w:r w:rsidR="009D0130" w:rsidRPr="009D0130">
        <w:t> </w:t>
      </w:r>
      <w:r w:rsidR="007F7BC6" w:rsidRPr="009D0130">
        <w:t>44(3) and (4)</w:t>
      </w:r>
    </w:p>
    <w:p w:rsidR="007F7BC6" w:rsidRPr="009D0130" w:rsidRDefault="007F7BC6" w:rsidP="009D0130">
      <w:pPr>
        <w:pStyle w:val="Item"/>
      </w:pPr>
      <w:r w:rsidRPr="009D0130">
        <w:t>Repeal the subsections.</w:t>
      </w:r>
    </w:p>
    <w:p w:rsidR="007F7BC6" w:rsidRPr="009D0130" w:rsidRDefault="0004668B" w:rsidP="009D0130">
      <w:pPr>
        <w:pStyle w:val="ItemHead"/>
      </w:pPr>
      <w:r w:rsidRPr="009D0130">
        <w:t>16</w:t>
      </w:r>
      <w:r w:rsidR="007F7BC6" w:rsidRPr="009D0130">
        <w:t xml:space="preserve">  Paragraph 52(1)(e)</w:t>
      </w:r>
    </w:p>
    <w:p w:rsidR="007F7BC6" w:rsidRPr="009D0130" w:rsidRDefault="007F7BC6" w:rsidP="009D0130">
      <w:pPr>
        <w:pStyle w:val="Item"/>
      </w:pPr>
      <w:r w:rsidRPr="009D0130">
        <w:t>Repeal the paragraph, substitute:</w:t>
      </w:r>
    </w:p>
    <w:p w:rsidR="007F7BC6" w:rsidRPr="009D0130" w:rsidRDefault="007F7BC6" w:rsidP="009D0130">
      <w:pPr>
        <w:pStyle w:val="paragraph"/>
      </w:pPr>
      <w:r w:rsidRPr="009D0130">
        <w:tab/>
        <w:t>(e)</w:t>
      </w:r>
      <w:r w:rsidRPr="009D0130">
        <w:tab/>
        <w:t>if:</w:t>
      </w:r>
    </w:p>
    <w:p w:rsidR="007F7BC6" w:rsidRPr="009D0130" w:rsidRDefault="007F7BC6" w:rsidP="009D0130">
      <w:pPr>
        <w:pStyle w:val="paragraphsub"/>
      </w:pPr>
      <w:r w:rsidRPr="009D0130">
        <w:tab/>
        <w:t>(</w:t>
      </w:r>
      <w:proofErr w:type="spellStart"/>
      <w:r w:rsidRPr="009D0130">
        <w:t>i</w:t>
      </w:r>
      <w:proofErr w:type="spellEnd"/>
      <w:r w:rsidRPr="009D0130">
        <w:t>)</w:t>
      </w:r>
      <w:r w:rsidRPr="009D0130">
        <w:tab/>
      </w:r>
      <w:r w:rsidR="009D0130" w:rsidRPr="009D0130">
        <w:t>paragraph (</w:t>
      </w:r>
      <w:r w:rsidRPr="009D0130">
        <w:t>da) does not apply; and</w:t>
      </w:r>
    </w:p>
    <w:p w:rsidR="007F7BC6" w:rsidRPr="009D0130" w:rsidRDefault="007F7BC6" w:rsidP="009D0130">
      <w:pPr>
        <w:pStyle w:val="paragraphsub"/>
      </w:pPr>
      <w:r w:rsidRPr="009D0130">
        <w:tab/>
        <w:t>(ii)</w:t>
      </w:r>
      <w:r w:rsidRPr="009D0130">
        <w:tab/>
        <w:t xml:space="preserve">the fringe benefit is a car residual benefit in respect of a car held by the recipient during a period (the </w:t>
      </w:r>
      <w:r w:rsidRPr="009D0130">
        <w:rPr>
          <w:b/>
          <w:i/>
        </w:rPr>
        <w:t>holding period</w:t>
      </w:r>
      <w:r w:rsidRPr="009D0130">
        <w:t>) in the year of tax;</w:t>
      </w:r>
    </w:p>
    <w:p w:rsidR="007F7BC6" w:rsidRPr="009D0130" w:rsidRDefault="007F7BC6" w:rsidP="009D0130">
      <w:pPr>
        <w:pStyle w:val="paragraph"/>
      </w:pPr>
      <w:r w:rsidRPr="009D0130">
        <w:tab/>
      </w:r>
      <w:r w:rsidRPr="009D0130">
        <w:tab/>
        <w:t>the recipient gives a declaration to the employer, before the declaration date and in a form approved by the Commissioner, that purports to set out:</w:t>
      </w:r>
    </w:p>
    <w:p w:rsidR="007F7BC6" w:rsidRPr="009D0130" w:rsidRDefault="007F7BC6" w:rsidP="009D0130">
      <w:pPr>
        <w:pStyle w:val="paragraphsub"/>
      </w:pPr>
      <w:r w:rsidRPr="009D0130">
        <w:tab/>
        <w:t>(iii)</w:t>
      </w:r>
      <w:r w:rsidRPr="009D0130">
        <w:tab/>
        <w:t>the holding period; and</w:t>
      </w:r>
    </w:p>
    <w:p w:rsidR="007F7BC6" w:rsidRPr="009D0130" w:rsidRDefault="007F7BC6" w:rsidP="009D0130">
      <w:pPr>
        <w:pStyle w:val="paragraphsub"/>
      </w:pPr>
      <w:r w:rsidRPr="009D0130">
        <w:tab/>
        <w:t>(iv)</w:t>
      </w:r>
      <w:r w:rsidRPr="009D0130">
        <w:tab/>
        <w:t>the number of whole business kilometres travelled by the car during the holding period; and</w:t>
      </w:r>
    </w:p>
    <w:p w:rsidR="007F7BC6" w:rsidRPr="009D0130" w:rsidRDefault="007F7BC6" w:rsidP="009D0130">
      <w:pPr>
        <w:pStyle w:val="paragraphsub"/>
      </w:pPr>
      <w:r w:rsidRPr="009D0130">
        <w:tab/>
        <w:t>(v)</w:t>
      </w:r>
      <w:r w:rsidRPr="009D0130">
        <w:tab/>
        <w:t>the number of whole kilometres travelled by the car during the holding period;</w:t>
      </w:r>
    </w:p>
    <w:p w:rsidR="007F7BC6" w:rsidRPr="009D0130" w:rsidRDefault="0004668B" w:rsidP="009D0130">
      <w:pPr>
        <w:pStyle w:val="ItemHead"/>
      </w:pPr>
      <w:r w:rsidRPr="009D0130">
        <w:t>17</w:t>
      </w:r>
      <w:r w:rsidR="007F7BC6" w:rsidRPr="009D0130">
        <w:t xml:space="preserve">  Subparagraph 52(1)(h)(ii)</w:t>
      </w:r>
    </w:p>
    <w:p w:rsidR="007F7BC6" w:rsidRPr="009D0130" w:rsidRDefault="007F7BC6" w:rsidP="009D0130">
      <w:pPr>
        <w:pStyle w:val="Item"/>
      </w:pPr>
      <w:r w:rsidRPr="009D0130">
        <w:t>Repeal the subparagraph.</w:t>
      </w:r>
    </w:p>
    <w:p w:rsidR="007F7BC6" w:rsidRPr="009D0130" w:rsidRDefault="0004668B" w:rsidP="009D0130">
      <w:pPr>
        <w:pStyle w:val="ItemHead"/>
      </w:pPr>
      <w:r w:rsidRPr="009D0130">
        <w:t>18</w:t>
      </w:r>
      <w:r w:rsidR="007F7BC6" w:rsidRPr="009D0130">
        <w:t xml:space="preserve">  Paragraph 52(1)(j)</w:t>
      </w:r>
    </w:p>
    <w:p w:rsidR="007F7BC6" w:rsidRPr="009D0130" w:rsidRDefault="007F7BC6" w:rsidP="009D0130">
      <w:pPr>
        <w:pStyle w:val="Item"/>
      </w:pPr>
      <w:r w:rsidRPr="009D0130">
        <w:t>Repeal the paragraph.</w:t>
      </w:r>
    </w:p>
    <w:p w:rsidR="007F7BC6" w:rsidRPr="009D0130" w:rsidRDefault="0004668B" w:rsidP="009D0130">
      <w:pPr>
        <w:pStyle w:val="ItemHead"/>
      </w:pPr>
      <w:r w:rsidRPr="009D0130">
        <w:t>19</w:t>
      </w:r>
      <w:r w:rsidR="007F7BC6" w:rsidRPr="009D0130">
        <w:t xml:space="preserve">  Subsections</w:t>
      </w:r>
      <w:r w:rsidR="009D0130" w:rsidRPr="009D0130">
        <w:t> </w:t>
      </w:r>
      <w:r w:rsidR="007F7BC6" w:rsidRPr="009D0130">
        <w:t>52(3) and (4)</w:t>
      </w:r>
    </w:p>
    <w:p w:rsidR="007F7BC6" w:rsidRPr="009D0130" w:rsidRDefault="007F7BC6" w:rsidP="009D0130">
      <w:pPr>
        <w:pStyle w:val="Item"/>
      </w:pPr>
      <w:r w:rsidRPr="009D0130">
        <w:t>Repeal the subsections.</w:t>
      </w:r>
    </w:p>
    <w:p w:rsidR="007F7BC6" w:rsidRPr="009D0130" w:rsidRDefault="0004668B" w:rsidP="009D0130">
      <w:pPr>
        <w:pStyle w:val="ItemHead"/>
      </w:pPr>
      <w:r w:rsidRPr="009D0130">
        <w:t>20</w:t>
      </w:r>
      <w:r w:rsidR="007F7BC6" w:rsidRPr="009D0130">
        <w:t xml:space="preserve">  Subsection</w:t>
      </w:r>
      <w:r w:rsidR="009D0130" w:rsidRPr="009D0130">
        <w:t> </w:t>
      </w:r>
      <w:r w:rsidR="007F7BC6" w:rsidRPr="009D0130">
        <w:t xml:space="preserve">136(1) (definition of </w:t>
      </w:r>
      <w:r w:rsidR="007F7BC6" w:rsidRPr="009D0130">
        <w:rPr>
          <w:i/>
        </w:rPr>
        <w:t>basic car rate</w:t>
      </w:r>
      <w:r w:rsidR="007F7BC6" w:rsidRPr="009D0130">
        <w:t>)</w:t>
      </w:r>
    </w:p>
    <w:p w:rsidR="007F7BC6" w:rsidRPr="009D0130" w:rsidRDefault="007F7BC6" w:rsidP="009D0130">
      <w:pPr>
        <w:pStyle w:val="Item"/>
      </w:pPr>
      <w:r w:rsidRPr="009D0130">
        <w:t>Repeal the definition, substitute:</w:t>
      </w:r>
    </w:p>
    <w:p w:rsidR="007F7BC6" w:rsidRPr="009D0130" w:rsidRDefault="007F7BC6" w:rsidP="009D0130">
      <w:pPr>
        <w:pStyle w:val="Definition"/>
      </w:pPr>
      <w:r w:rsidRPr="009D0130">
        <w:rPr>
          <w:b/>
          <w:i/>
        </w:rPr>
        <w:t>basic car rate</w:t>
      </w:r>
      <w:r w:rsidRPr="009D0130">
        <w:t>, for a car for a year of tax ending on 31</w:t>
      </w:r>
      <w:r w:rsidR="009D0130" w:rsidRPr="009D0130">
        <w:t> </w:t>
      </w:r>
      <w:r w:rsidRPr="009D0130">
        <w:t>March in a year, means the rate determined under subsection</w:t>
      </w:r>
      <w:r w:rsidR="009D0130" w:rsidRPr="009D0130">
        <w:t> </w:t>
      </w:r>
      <w:r w:rsidRPr="009D0130">
        <w:t>28</w:t>
      </w:r>
      <w:r w:rsidR="000B2603">
        <w:noBreakHyphen/>
      </w:r>
      <w:r w:rsidRPr="009D0130">
        <w:t xml:space="preserve">25(4) of the </w:t>
      </w:r>
      <w:r w:rsidRPr="009D0130">
        <w:rPr>
          <w:i/>
        </w:rPr>
        <w:t>Income Tax Assessment Act 1997</w:t>
      </w:r>
      <w:r w:rsidRPr="009D0130">
        <w:t xml:space="preserve"> for the car for the year of income ending on 30</w:t>
      </w:r>
      <w:r w:rsidR="009D0130" w:rsidRPr="009D0130">
        <w:t> </w:t>
      </w:r>
      <w:r w:rsidRPr="009D0130">
        <w:t>June in that year.</w:t>
      </w:r>
    </w:p>
    <w:p w:rsidR="007F7BC6" w:rsidRPr="009D0130" w:rsidRDefault="007F7BC6" w:rsidP="009D0130">
      <w:pPr>
        <w:pStyle w:val="ActHead9"/>
        <w:rPr>
          <w:i w:val="0"/>
        </w:rPr>
      </w:pPr>
      <w:bookmarkStart w:id="12" w:name="_Toc436742081"/>
      <w:r w:rsidRPr="009D0130">
        <w:lastRenderedPageBreak/>
        <w:t>Income Tax Assessment Act 1997</w:t>
      </w:r>
      <w:bookmarkEnd w:id="12"/>
    </w:p>
    <w:p w:rsidR="007F7BC6" w:rsidRPr="009D0130" w:rsidRDefault="0004668B" w:rsidP="009D0130">
      <w:pPr>
        <w:pStyle w:val="ItemHead"/>
      </w:pPr>
      <w:r w:rsidRPr="009D0130">
        <w:t>21</w:t>
      </w:r>
      <w:r w:rsidR="007F7BC6" w:rsidRPr="009D0130">
        <w:t xml:space="preserve">  Section</w:t>
      </w:r>
      <w:r w:rsidR="009D0130" w:rsidRPr="009D0130">
        <w:t> </w:t>
      </w:r>
      <w:r w:rsidR="007F7BC6" w:rsidRPr="009D0130">
        <w:t>12</w:t>
      </w:r>
      <w:r w:rsidR="000B2603">
        <w:noBreakHyphen/>
      </w:r>
      <w:r w:rsidR="007F7BC6" w:rsidRPr="009D0130">
        <w:t>5 (table item headed “car expenses”)</w:t>
      </w:r>
    </w:p>
    <w:p w:rsidR="007F7BC6" w:rsidRPr="009D0130" w:rsidRDefault="007F7BC6" w:rsidP="009D0130">
      <w:pPr>
        <w:pStyle w:val="Item"/>
      </w:pPr>
      <w:r w:rsidRPr="009D0130">
        <w:t>Omit:</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7F7BC6" w:rsidRPr="009D0130" w:rsidTr="00051355">
        <w:trPr>
          <w:trHeight w:val="220"/>
        </w:trPr>
        <w:tc>
          <w:tcPr>
            <w:tcW w:w="5222" w:type="dxa"/>
            <w:tcBorders>
              <w:top w:val="nil"/>
              <w:bottom w:val="nil"/>
            </w:tcBorders>
            <w:shd w:val="clear" w:color="auto" w:fill="auto"/>
          </w:tcPr>
          <w:p w:rsidR="007F7BC6" w:rsidRPr="009D0130" w:rsidRDefault="007F7BC6" w:rsidP="009D0130">
            <w:pPr>
              <w:pStyle w:val="tableIndentText"/>
              <w:rPr>
                <w:rFonts w:ascii="Times New Roman" w:hAnsi="Times New Roman"/>
              </w:rPr>
            </w:pPr>
            <w:r w:rsidRPr="009D0130">
              <w:rPr>
                <w:rFonts w:ascii="Times New Roman" w:hAnsi="Times New Roman"/>
              </w:rPr>
              <w:t>“one</w:t>
            </w:r>
            <w:r w:rsidR="000B2603">
              <w:rPr>
                <w:rFonts w:ascii="Times New Roman" w:hAnsi="Times New Roman"/>
              </w:rPr>
              <w:noBreakHyphen/>
            </w:r>
            <w:r w:rsidRPr="009D0130">
              <w:rPr>
                <w:rFonts w:ascii="Times New Roman" w:hAnsi="Times New Roman"/>
              </w:rPr>
              <w:t xml:space="preserve">third of actual expenses” method </w:t>
            </w:r>
            <w:r w:rsidRPr="009D0130">
              <w:rPr>
                <w:rFonts w:ascii="Times New Roman" w:hAnsi="Times New Roman"/>
              </w:rPr>
              <w:tab/>
            </w:r>
          </w:p>
        </w:tc>
        <w:tc>
          <w:tcPr>
            <w:tcW w:w="1979" w:type="dxa"/>
            <w:tcBorders>
              <w:top w:val="nil"/>
              <w:bottom w:val="nil"/>
            </w:tcBorders>
            <w:shd w:val="clear" w:color="auto" w:fill="auto"/>
          </w:tcPr>
          <w:p w:rsidR="007F7BC6" w:rsidRPr="009D0130" w:rsidRDefault="007F7BC6" w:rsidP="009D0130">
            <w:pPr>
              <w:pStyle w:val="tableText0"/>
              <w:tabs>
                <w:tab w:val="left" w:leader="dot" w:pos="5245"/>
              </w:tabs>
              <w:spacing w:line="240" w:lineRule="auto"/>
            </w:pPr>
            <w:r w:rsidRPr="009D0130">
              <w:t>Subdivision</w:t>
            </w:r>
            <w:r w:rsidR="009D0130" w:rsidRPr="009D0130">
              <w:t> </w:t>
            </w:r>
            <w:r w:rsidRPr="009D0130">
              <w:t>28</w:t>
            </w:r>
            <w:r w:rsidR="000B2603">
              <w:noBreakHyphen/>
            </w:r>
            <w:r w:rsidRPr="009D0130">
              <w:t>E</w:t>
            </w:r>
          </w:p>
        </w:tc>
      </w:tr>
    </w:tbl>
    <w:p w:rsidR="007F7BC6" w:rsidRPr="009D0130" w:rsidRDefault="0004668B" w:rsidP="009D0130">
      <w:pPr>
        <w:pStyle w:val="ItemHead"/>
      </w:pPr>
      <w:r w:rsidRPr="009D0130">
        <w:t>22</w:t>
      </w:r>
      <w:r w:rsidR="007F7BC6" w:rsidRPr="009D0130">
        <w:t xml:space="preserve">  Section</w:t>
      </w:r>
      <w:r w:rsidR="009D0130" w:rsidRPr="009D0130">
        <w:t> </w:t>
      </w:r>
      <w:r w:rsidR="007F7BC6" w:rsidRPr="009D0130">
        <w:t>12</w:t>
      </w:r>
      <w:r w:rsidR="000B2603">
        <w:noBreakHyphen/>
      </w:r>
      <w:r w:rsidR="007F7BC6" w:rsidRPr="009D0130">
        <w:t>5 (table item headed “car expenses”)</w:t>
      </w:r>
    </w:p>
    <w:p w:rsidR="007F7BC6" w:rsidRPr="009D0130" w:rsidRDefault="007F7BC6" w:rsidP="009D0130">
      <w:pPr>
        <w:pStyle w:val="Item"/>
      </w:pPr>
      <w:r w:rsidRPr="009D0130">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F7BC6" w:rsidRPr="009D0130" w:rsidTr="00051355">
        <w:trPr>
          <w:trHeight w:val="220"/>
        </w:trPr>
        <w:tc>
          <w:tcPr>
            <w:tcW w:w="5222" w:type="dxa"/>
            <w:shd w:val="clear" w:color="auto" w:fill="auto"/>
          </w:tcPr>
          <w:p w:rsidR="007F7BC6" w:rsidRPr="009D0130" w:rsidRDefault="007F7BC6" w:rsidP="009D0130">
            <w:pPr>
              <w:pStyle w:val="tableIndentText"/>
              <w:rPr>
                <w:rFonts w:ascii="Times New Roman" w:hAnsi="Times New Roman"/>
              </w:rPr>
            </w:pPr>
            <w:r w:rsidRPr="009D0130">
              <w:rPr>
                <w:rFonts w:ascii="Times New Roman" w:hAnsi="Times New Roman"/>
              </w:rPr>
              <w:t xml:space="preserve">“12% of original value” method </w:t>
            </w:r>
            <w:r w:rsidRPr="009D0130">
              <w:rPr>
                <w:rFonts w:ascii="Times New Roman" w:hAnsi="Times New Roman"/>
              </w:rPr>
              <w:tab/>
            </w:r>
          </w:p>
        </w:tc>
        <w:tc>
          <w:tcPr>
            <w:tcW w:w="1979" w:type="dxa"/>
            <w:shd w:val="clear" w:color="auto" w:fill="auto"/>
          </w:tcPr>
          <w:p w:rsidR="007F7BC6" w:rsidRPr="009D0130" w:rsidRDefault="007F7BC6" w:rsidP="009D0130">
            <w:pPr>
              <w:pStyle w:val="tableText0"/>
              <w:tabs>
                <w:tab w:val="left" w:leader="dot" w:pos="5245"/>
              </w:tabs>
              <w:spacing w:line="240" w:lineRule="auto"/>
            </w:pPr>
            <w:r w:rsidRPr="009D0130">
              <w:t>Subdivision</w:t>
            </w:r>
            <w:r w:rsidR="009D0130" w:rsidRPr="009D0130">
              <w:t> </w:t>
            </w:r>
            <w:r w:rsidRPr="009D0130">
              <w:t>28</w:t>
            </w:r>
            <w:r w:rsidR="000B2603">
              <w:noBreakHyphen/>
            </w:r>
            <w:r w:rsidRPr="009D0130">
              <w:t>D</w:t>
            </w:r>
          </w:p>
        </w:tc>
      </w:tr>
    </w:tbl>
    <w:p w:rsidR="007F7BC6" w:rsidRPr="009D0130" w:rsidRDefault="0004668B" w:rsidP="009D0130">
      <w:pPr>
        <w:pStyle w:val="ItemHead"/>
      </w:pPr>
      <w:r w:rsidRPr="009D0130">
        <w:t>23</w:t>
      </w:r>
      <w:r w:rsidR="007F7BC6" w:rsidRPr="009D0130">
        <w:t xml:space="preserve">  Section</w:t>
      </w:r>
      <w:r w:rsidR="009D0130" w:rsidRPr="009D0130">
        <w:t> </w:t>
      </w:r>
      <w:r w:rsidR="007F7BC6" w:rsidRPr="009D0130">
        <w:t>28</w:t>
      </w:r>
      <w:r w:rsidR="000B2603">
        <w:noBreakHyphen/>
      </w:r>
      <w:r w:rsidR="007F7BC6" w:rsidRPr="009D0130">
        <w:t>5</w:t>
      </w:r>
    </w:p>
    <w:p w:rsidR="007F7BC6" w:rsidRPr="009D0130" w:rsidRDefault="007F7BC6" w:rsidP="009D0130">
      <w:pPr>
        <w:pStyle w:val="Item"/>
      </w:pPr>
      <w:r w:rsidRPr="009D0130">
        <w:t>Repeal the section, substitute:</w:t>
      </w:r>
    </w:p>
    <w:p w:rsidR="007F7BC6" w:rsidRPr="009D0130" w:rsidRDefault="007F7BC6" w:rsidP="009D0130">
      <w:pPr>
        <w:pStyle w:val="ActHead5"/>
      </w:pPr>
      <w:bookmarkStart w:id="13" w:name="_Toc436742082"/>
      <w:r w:rsidRPr="009D0130">
        <w:rPr>
          <w:rStyle w:val="CharSectno"/>
        </w:rPr>
        <w:lastRenderedPageBreak/>
        <w:t>28</w:t>
      </w:r>
      <w:r w:rsidR="000B2603">
        <w:rPr>
          <w:rStyle w:val="CharSectno"/>
        </w:rPr>
        <w:noBreakHyphen/>
      </w:r>
      <w:r w:rsidRPr="009D0130">
        <w:rPr>
          <w:rStyle w:val="CharSectno"/>
        </w:rPr>
        <w:t>5</w:t>
      </w:r>
      <w:r w:rsidRPr="009D0130">
        <w:t xml:space="preserve">  Map of this Division</w:t>
      </w:r>
      <w:bookmarkEnd w:id="13"/>
    </w:p>
    <w:p w:rsidR="007F7BC6" w:rsidRPr="009D0130" w:rsidRDefault="007F7BC6" w:rsidP="009D0130">
      <w:r w:rsidRPr="009D0130">
        <w:rPr>
          <w:noProof/>
          <w:lang w:eastAsia="en-AU"/>
        </w:rPr>
        <w:drawing>
          <wp:inline distT="0" distB="0" distL="0" distR="0" wp14:anchorId="6B34CFFB" wp14:editId="641BC811">
            <wp:extent cx="4501515" cy="4259942"/>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1515" cy="4259942"/>
                    </a:xfrm>
                    <a:prstGeom prst="rect">
                      <a:avLst/>
                    </a:prstGeom>
                    <a:noFill/>
                    <a:ln>
                      <a:noFill/>
                    </a:ln>
                  </pic:spPr>
                </pic:pic>
              </a:graphicData>
            </a:graphic>
          </wp:inline>
        </w:drawing>
      </w:r>
    </w:p>
    <w:p w:rsidR="007F7BC6" w:rsidRPr="009D0130" w:rsidRDefault="0004668B" w:rsidP="009D0130">
      <w:pPr>
        <w:pStyle w:val="ItemHead"/>
      </w:pPr>
      <w:r w:rsidRPr="009D0130">
        <w:t>24</w:t>
      </w:r>
      <w:r w:rsidR="007F7BC6" w:rsidRPr="009D0130">
        <w:t xml:space="preserve">  Section</w:t>
      </w:r>
      <w:r w:rsidR="009D0130" w:rsidRPr="009D0130">
        <w:t> </w:t>
      </w:r>
      <w:r w:rsidR="007F7BC6" w:rsidRPr="009D0130">
        <w:t>28</w:t>
      </w:r>
      <w:r w:rsidR="000B2603">
        <w:noBreakHyphen/>
      </w:r>
      <w:r w:rsidR="007F7BC6" w:rsidRPr="009D0130">
        <w:t>12</w:t>
      </w:r>
    </w:p>
    <w:p w:rsidR="007F7BC6" w:rsidRPr="009D0130" w:rsidRDefault="007F7BC6" w:rsidP="009D0130">
      <w:pPr>
        <w:pStyle w:val="Item"/>
      </w:pPr>
      <w:r w:rsidRPr="009D0130">
        <w:t>Omit “4 methods” (wherever occurring), substitute “2 methods”.</w:t>
      </w:r>
    </w:p>
    <w:p w:rsidR="007F7BC6" w:rsidRPr="009D0130" w:rsidRDefault="0004668B" w:rsidP="009D0130">
      <w:pPr>
        <w:pStyle w:val="ItemHead"/>
      </w:pPr>
      <w:r w:rsidRPr="009D0130">
        <w:t>25</w:t>
      </w:r>
      <w:r w:rsidR="007F7BC6" w:rsidRPr="009D0130">
        <w:t xml:space="preserve">  Subsection</w:t>
      </w:r>
      <w:r w:rsidR="009D0130" w:rsidRPr="009D0130">
        <w:t> </w:t>
      </w:r>
      <w:r w:rsidR="007F7BC6" w:rsidRPr="009D0130">
        <w:t>28</w:t>
      </w:r>
      <w:r w:rsidR="000B2603">
        <w:noBreakHyphen/>
      </w:r>
      <w:r w:rsidR="007F7BC6" w:rsidRPr="009D0130">
        <w:t>12(2)</w:t>
      </w:r>
    </w:p>
    <w:p w:rsidR="007F7BC6" w:rsidRPr="009D0130" w:rsidRDefault="007F7BC6" w:rsidP="009D0130">
      <w:pPr>
        <w:pStyle w:val="Item"/>
      </w:pPr>
      <w:r w:rsidRPr="009D0130">
        <w:t>Omit “any of the methods”, substitute “either of the methods”.</w:t>
      </w:r>
    </w:p>
    <w:p w:rsidR="007F7BC6" w:rsidRPr="009D0130" w:rsidRDefault="0004668B" w:rsidP="009D0130">
      <w:pPr>
        <w:pStyle w:val="ItemHead"/>
      </w:pPr>
      <w:r w:rsidRPr="009D0130">
        <w:t>26</w:t>
      </w:r>
      <w:r w:rsidR="007F7BC6" w:rsidRPr="009D0130">
        <w:t xml:space="preserve">  Section</w:t>
      </w:r>
      <w:r w:rsidR="009D0130" w:rsidRPr="009D0130">
        <w:t> </w:t>
      </w:r>
      <w:r w:rsidR="007F7BC6" w:rsidRPr="009D0130">
        <w:t>28</w:t>
      </w:r>
      <w:r w:rsidR="000B2603">
        <w:noBreakHyphen/>
      </w:r>
      <w:r w:rsidR="007F7BC6" w:rsidRPr="009D0130">
        <w:t>15</w:t>
      </w:r>
    </w:p>
    <w:p w:rsidR="007F7BC6" w:rsidRPr="009D0130" w:rsidRDefault="007F7BC6" w:rsidP="009D0130">
      <w:pPr>
        <w:pStyle w:val="Item"/>
      </w:pPr>
      <w:r w:rsidRPr="009D0130">
        <w:t>Repeal the section, substitute:</w:t>
      </w:r>
    </w:p>
    <w:p w:rsidR="007F7BC6" w:rsidRPr="009D0130" w:rsidRDefault="007F7BC6" w:rsidP="009D0130">
      <w:pPr>
        <w:pStyle w:val="ActHead5"/>
      </w:pPr>
      <w:bookmarkStart w:id="14" w:name="_Toc436742083"/>
      <w:r w:rsidRPr="009D0130">
        <w:rPr>
          <w:rStyle w:val="CharSectno"/>
        </w:rPr>
        <w:lastRenderedPageBreak/>
        <w:t>28</w:t>
      </w:r>
      <w:r w:rsidR="000B2603">
        <w:rPr>
          <w:rStyle w:val="CharSectno"/>
        </w:rPr>
        <w:noBreakHyphen/>
      </w:r>
      <w:r w:rsidRPr="009D0130">
        <w:rPr>
          <w:rStyle w:val="CharSectno"/>
        </w:rPr>
        <w:t>15</w:t>
      </w:r>
      <w:r w:rsidRPr="009D0130">
        <w:t xml:space="preserve">  Choosing between the 2 methods</w:t>
      </w:r>
      <w:bookmarkEnd w:id="14"/>
    </w:p>
    <w:p w:rsidR="007F7BC6" w:rsidRPr="009D0130" w:rsidRDefault="007F7BC6" w:rsidP="009D0130">
      <w:pPr>
        <w:pStyle w:val="subsection"/>
      </w:pPr>
      <w:r w:rsidRPr="009D0130">
        <w:tab/>
        <w:t>(1)</w:t>
      </w:r>
      <w:r w:rsidRPr="009D0130">
        <w:tab/>
        <w:t>Below is a diagram giving information about the 2 methods of calculating car expense deductions.</w:t>
      </w:r>
    </w:p>
    <w:p w:rsidR="007F7BC6" w:rsidRPr="009D0130" w:rsidRDefault="007F7BC6" w:rsidP="009D0130">
      <w:pPr>
        <w:pStyle w:val="subsection"/>
      </w:pPr>
      <w:r w:rsidRPr="009D0130">
        <w:tab/>
        <w:t>(2)</w:t>
      </w:r>
      <w:r w:rsidRPr="009D0130">
        <w:tab/>
        <w:t>The 2 methods give you the choice of which method best suits your situation and needs. For instance, one method may involve more paperwork than the other, but could give you bigger deductions.</w:t>
      </w:r>
    </w:p>
    <w:p w:rsidR="007F7BC6" w:rsidRPr="009D0130" w:rsidRDefault="007F7BC6" w:rsidP="009D0130">
      <w:pPr>
        <w:rPr>
          <w:noProof/>
          <w:lang w:eastAsia="en-AU"/>
        </w:rPr>
      </w:pPr>
    </w:p>
    <w:p w:rsidR="007F7BC6" w:rsidRPr="009D0130" w:rsidRDefault="007F7BC6" w:rsidP="009D0130">
      <w:r w:rsidRPr="009D0130">
        <w:rPr>
          <w:noProof/>
          <w:lang w:eastAsia="en-AU"/>
        </w:rPr>
        <w:drawing>
          <wp:inline distT="0" distB="0" distL="0" distR="0" wp14:anchorId="18D725FF" wp14:editId="10D957BE">
            <wp:extent cx="3604260" cy="43510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04260" cy="4351020"/>
                    </a:xfrm>
                    <a:prstGeom prst="rect">
                      <a:avLst/>
                    </a:prstGeom>
                    <a:noFill/>
                    <a:ln>
                      <a:noFill/>
                    </a:ln>
                  </pic:spPr>
                </pic:pic>
              </a:graphicData>
            </a:graphic>
          </wp:inline>
        </w:drawing>
      </w:r>
    </w:p>
    <w:p w:rsidR="007F7BC6" w:rsidRPr="009D0130" w:rsidRDefault="0004668B" w:rsidP="009D0130">
      <w:pPr>
        <w:pStyle w:val="ItemHead"/>
      </w:pPr>
      <w:r w:rsidRPr="009D0130">
        <w:t>27</w:t>
      </w:r>
      <w:r w:rsidR="007F7BC6" w:rsidRPr="009D0130">
        <w:t xml:space="preserve">  Subsection</w:t>
      </w:r>
      <w:r w:rsidR="009D0130" w:rsidRPr="009D0130">
        <w:t> </w:t>
      </w:r>
      <w:r w:rsidR="007F7BC6" w:rsidRPr="009D0130">
        <w:t>28</w:t>
      </w:r>
      <w:r w:rsidR="000B2603">
        <w:noBreakHyphen/>
      </w:r>
      <w:r w:rsidR="007F7BC6" w:rsidRPr="009D0130">
        <w:t>20(1)</w:t>
      </w:r>
    </w:p>
    <w:p w:rsidR="007F7BC6" w:rsidRPr="009D0130" w:rsidRDefault="007F7BC6" w:rsidP="009D0130">
      <w:pPr>
        <w:pStyle w:val="Item"/>
      </w:pPr>
      <w:r w:rsidRPr="009D0130">
        <w:t>Omit “any other method”, substitute “the other method”.</w:t>
      </w:r>
    </w:p>
    <w:p w:rsidR="007F7BC6" w:rsidRPr="009D0130" w:rsidRDefault="0004668B" w:rsidP="009D0130">
      <w:pPr>
        <w:pStyle w:val="ItemHead"/>
      </w:pPr>
      <w:r w:rsidRPr="009D0130">
        <w:lastRenderedPageBreak/>
        <w:t>28</w:t>
      </w:r>
      <w:r w:rsidR="007F7BC6" w:rsidRPr="009D0130">
        <w:t xml:space="preserve">  Subdivision</w:t>
      </w:r>
      <w:r w:rsidR="009D0130" w:rsidRPr="009D0130">
        <w:t> </w:t>
      </w:r>
      <w:r w:rsidR="007F7BC6" w:rsidRPr="009D0130">
        <w:t>28</w:t>
      </w:r>
      <w:r w:rsidR="000B2603">
        <w:noBreakHyphen/>
      </w:r>
      <w:r w:rsidR="007F7BC6" w:rsidRPr="009D0130">
        <w:t>J (heading)</w:t>
      </w:r>
    </w:p>
    <w:p w:rsidR="007F7BC6" w:rsidRPr="009D0130" w:rsidRDefault="007F7BC6" w:rsidP="009D0130">
      <w:pPr>
        <w:pStyle w:val="Item"/>
      </w:pPr>
      <w:r w:rsidRPr="009D0130">
        <w:t>Repeal the heading, substitute:</w:t>
      </w:r>
    </w:p>
    <w:p w:rsidR="007F7BC6" w:rsidRPr="009D0130" w:rsidRDefault="007F7BC6" w:rsidP="009D0130">
      <w:pPr>
        <w:pStyle w:val="ActHead4"/>
      </w:pPr>
      <w:bookmarkStart w:id="15" w:name="_Toc436742084"/>
      <w:r w:rsidRPr="009D0130">
        <w:rPr>
          <w:rStyle w:val="CharSubdNo"/>
        </w:rPr>
        <w:t>Subdivision</w:t>
      </w:r>
      <w:r w:rsidR="009D0130" w:rsidRPr="009D0130">
        <w:rPr>
          <w:rStyle w:val="CharSubdNo"/>
        </w:rPr>
        <w:t> </w:t>
      </w:r>
      <w:r w:rsidRPr="009D0130">
        <w:rPr>
          <w:rStyle w:val="CharSubdNo"/>
        </w:rPr>
        <w:t>28</w:t>
      </w:r>
      <w:r w:rsidR="000B2603">
        <w:rPr>
          <w:rStyle w:val="CharSubdNo"/>
        </w:rPr>
        <w:noBreakHyphen/>
      </w:r>
      <w:r w:rsidRPr="009D0130">
        <w:rPr>
          <w:rStyle w:val="CharSubdNo"/>
        </w:rPr>
        <w:t>J</w:t>
      </w:r>
      <w:r w:rsidRPr="009D0130">
        <w:t>—</w:t>
      </w:r>
      <w:r w:rsidRPr="009D0130">
        <w:rPr>
          <w:rStyle w:val="CharSubdText"/>
        </w:rPr>
        <w:t>Situations where you cannot use, or do not need to use, one of the 2 methods</w:t>
      </w:r>
      <w:bookmarkEnd w:id="15"/>
    </w:p>
    <w:p w:rsidR="007F7BC6" w:rsidRPr="009D0130" w:rsidRDefault="0004668B" w:rsidP="009D0130">
      <w:pPr>
        <w:pStyle w:val="ItemHead"/>
      </w:pPr>
      <w:r w:rsidRPr="009D0130">
        <w:t>29</w:t>
      </w:r>
      <w:r w:rsidR="007F7BC6" w:rsidRPr="009D0130">
        <w:t xml:space="preserve">  Section</w:t>
      </w:r>
      <w:r w:rsidR="009D0130" w:rsidRPr="009D0130">
        <w:t> </w:t>
      </w:r>
      <w:r w:rsidR="007F7BC6" w:rsidRPr="009D0130">
        <w:t>28</w:t>
      </w:r>
      <w:r w:rsidR="000B2603">
        <w:noBreakHyphen/>
      </w:r>
      <w:r w:rsidR="007F7BC6" w:rsidRPr="009D0130">
        <w:t>160</w:t>
      </w:r>
    </w:p>
    <w:p w:rsidR="007F7BC6" w:rsidRPr="009D0130" w:rsidRDefault="007F7BC6" w:rsidP="009D0130">
      <w:pPr>
        <w:pStyle w:val="Item"/>
      </w:pPr>
      <w:r w:rsidRPr="009D0130">
        <w:t>Omit “any of the 4 methods”, substitute “either of the 2 methods”.</w:t>
      </w:r>
    </w:p>
    <w:p w:rsidR="007F7BC6" w:rsidRPr="009D0130" w:rsidRDefault="0004668B" w:rsidP="009D0130">
      <w:pPr>
        <w:pStyle w:val="ItemHead"/>
      </w:pPr>
      <w:r w:rsidRPr="009D0130">
        <w:t>30</w:t>
      </w:r>
      <w:r w:rsidR="007F7BC6" w:rsidRPr="009D0130">
        <w:t xml:space="preserve">  Subsections</w:t>
      </w:r>
      <w:r w:rsidR="009D0130" w:rsidRPr="009D0130">
        <w:t> </w:t>
      </w:r>
      <w:r w:rsidR="007F7BC6" w:rsidRPr="009D0130">
        <w:t>28</w:t>
      </w:r>
      <w:r w:rsidR="000B2603">
        <w:noBreakHyphen/>
      </w:r>
      <w:r w:rsidR="007F7BC6" w:rsidRPr="009D0130">
        <w:t>165(1), 28</w:t>
      </w:r>
      <w:r w:rsidR="000B2603">
        <w:noBreakHyphen/>
      </w:r>
      <w:r w:rsidR="007F7BC6" w:rsidRPr="009D0130">
        <w:t>170(1) and (2), 28</w:t>
      </w:r>
      <w:r w:rsidR="000B2603">
        <w:noBreakHyphen/>
      </w:r>
      <w:r w:rsidR="007F7BC6" w:rsidRPr="009D0130">
        <w:t>175(1) and (2), and 28</w:t>
      </w:r>
      <w:r w:rsidR="000B2603">
        <w:noBreakHyphen/>
      </w:r>
      <w:r w:rsidR="007F7BC6" w:rsidRPr="009D0130">
        <w:t>180(2) and (3)</w:t>
      </w:r>
    </w:p>
    <w:p w:rsidR="007F7BC6" w:rsidRPr="009D0130" w:rsidRDefault="007F7BC6" w:rsidP="009D0130">
      <w:pPr>
        <w:pStyle w:val="Item"/>
      </w:pPr>
      <w:r w:rsidRPr="009D0130">
        <w:t>Omit “4 methods”, substitute “2 methods”.</w:t>
      </w:r>
    </w:p>
    <w:p w:rsidR="007F7BC6" w:rsidRPr="009D0130" w:rsidRDefault="0004668B" w:rsidP="009D0130">
      <w:pPr>
        <w:pStyle w:val="ItemHead"/>
      </w:pPr>
      <w:r w:rsidRPr="009D0130">
        <w:t>31</w:t>
      </w:r>
      <w:r w:rsidR="007F7BC6" w:rsidRPr="009D0130">
        <w:t xml:space="preserve">  Subsection</w:t>
      </w:r>
      <w:r w:rsidR="009D0130" w:rsidRPr="009D0130">
        <w:t> </w:t>
      </w:r>
      <w:r w:rsidR="007F7BC6" w:rsidRPr="009D0130">
        <w:t>40</w:t>
      </w:r>
      <w:r w:rsidR="000B2603">
        <w:noBreakHyphen/>
      </w:r>
      <w:r w:rsidR="007F7BC6" w:rsidRPr="009D0130">
        <w:t>25(6)</w:t>
      </w:r>
    </w:p>
    <w:p w:rsidR="007F7BC6" w:rsidRPr="009D0130" w:rsidRDefault="007F7BC6" w:rsidP="009D0130">
      <w:pPr>
        <w:pStyle w:val="Item"/>
      </w:pPr>
      <w:r w:rsidRPr="009D0130">
        <w:t>Repeal the subsection.</w:t>
      </w:r>
    </w:p>
    <w:p w:rsidR="007F7BC6" w:rsidRPr="009D0130" w:rsidRDefault="0004668B" w:rsidP="009D0130">
      <w:pPr>
        <w:pStyle w:val="ItemHead"/>
      </w:pPr>
      <w:r w:rsidRPr="009D0130">
        <w:t>32</w:t>
      </w:r>
      <w:r w:rsidR="007F7BC6" w:rsidRPr="009D0130">
        <w:t xml:space="preserve">  Section</w:t>
      </w:r>
      <w:r w:rsidR="009D0130" w:rsidRPr="009D0130">
        <w:t> </w:t>
      </w:r>
      <w:r w:rsidR="007F7BC6" w:rsidRPr="009D0130">
        <w:t>40</w:t>
      </w:r>
      <w:r w:rsidR="000B2603">
        <w:noBreakHyphen/>
      </w:r>
      <w:r w:rsidR="007F7BC6" w:rsidRPr="009D0130">
        <w:t>55</w:t>
      </w:r>
    </w:p>
    <w:p w:rsidR="007F7BC6" w:rsidRPr="009D0130" w:rsidRDefault="007F7BC6" w:rsidP="009D0130">
      <w:pPr>
        <w:pStyle w:val="Item"/>
      </w:pPr>
      <w:r w:rsidRPr="009D0130">
        <w:t>Repeal the section, substitute:</w:t>
      </w:r>
    </w:p>
    <w:p w:rsidR="007F7BC6" w:rsidRPr="009D0130" w:rsidRDefault="007F7BC6" w:rsidP="009D0130">
      <w:pPr>
        <w:pStyle w:val="ActHead5"/>
      </w:pPr>
      <w:bookmarkStart w:id="16" w:name="_Toc436742085"/>
      <w:r w:rsidRPr="009D0130">
        <w:rPr>
          <w:rStyle w:val="CharSectno"/>
        </w:rPr>
        <w:t>40</w:t>
      </w:r>
      <w:r w:rsidR="000B2603">
        <w:rPr>
          <w:rStyle w:val="CharSectno"/>
        </w:rPr>
        <w:noBreakHyphen/>
      </w:r>
      <w:r w:rsidRPr="009D0130">
        <w:rPr>
          <w:rStyle w:val="CharSectno"/>
        </w:rPr>
        <w:t>55</w:t>
      </w:r>
      <w:r w:rsidRPr="009D0130">
        <w:t xml:space="preserve">  Use of the “cents per kilometre” car expense deduction method</w:t>
      </w:r>
      <w:bookmarkEnd w:id="16"/>
    </w:p>
    <w:p w:rsidR="007F7BC6" w:rsidRPr="009D0130" w:rsidRDefault="007F7BC6" w:rsidP="009D0130">
      <w:pPr>
        <w:pStyle w:val="subsection"/>
      </w:pPr>
      <w:r w:rsidRPr="009D0130">
        <w:tab/>
      </w:r>
      <w:r w:rsidRPr="009D0130">
        <w:tab/>
        <w:t xml:space="preserve">You cannot deduct any amount for the decline in value of a </w:t>
      </w:r>
      <w:r w:rsidR="009D0130" w:rsidRPr="009D0130">
        <w:rPr>
          <w:position w:val="6"/>
          <w:sz w:val="16"/>
        </w:rPr>
        <w:t>*</w:t>
      </w:r>
      <w:r w:rsidRPr="009D0130">
        <w:t>car for an income year if you use the “cents per kilometre” method for the car for that year.</w:t>
      </w:r>
    </w:p>
    <w:p w:rsidR="007F7BC6" w:rsidRPr="009D0130" w:rsidRDefault="007F7BC6" w:rsidP="009D0130">
      <w:pPr>
        <w:pStyle w:val="notetext"/>
      </w:pPr>
      <w:r w:rsidRPr="009D0130">
        <w:t>Note:</w:t>
      </w:r>
      <w:r w:rsidRPr="009D0130">
        <w:tab/>
        <w:t>See Subdivision</w:t>
      </w:r>
      <w:r w:rsidR="009D0130" w:rsidRPr="009D0130">
        <w:t> </w:t>
      </w:r>
      <w:r w:rsidRPr="009D0130">
        <w:t>28</w:t>
      </w:r>
      <w:r w:rsidR="000B2603">
        <w:noBreakHyphen/>
      </w:r>
      <w:r w:rsidRPr="009D0130">
        <w:t>C for that method.</w:t>
      </w:r>
    </w:p>
    <w:p w:rsidR="007F7BC6" w:rsidRPr="009D0130" w:rsidRDefault="0004668B" w:rsidP="009D0130">
      <w:pPr>
        <w:pStyle w:val="ItemHead"/>
      </w:pPr>
      <w:r w:rsidRPr="009D0130">
        <w:t>33</w:t>
      </w:r>
      <w:r w:rsidR="007F7BC6" w:rsidRPr="009D0130">
        <w:t xml:space="preserve">  Paragraph 40</w:t>
      </w:r>
      <w:r w:rsidR="000B2603">
        <w:noBreakHyphen/>
      </w:r>
      <w:r w:rsidR="007F7BC6" w:rsidRPr="009D0130">
        <w:t>370(1)(c)</w:t>
      </w:r>
    </w:p>
    <w:p w:rsidR="007F7BC6" w:rsidRPr="009D0130" w:rsidRDefault="007F7BC6" w:rsidP="009D0130">
      <w:pPr>
        <w:pStyle w:val="Item"/>
      </w:pPr>
      <w:r w:rsidRPr="009D0130">
        <w:t>Repeal the paragraph, substitute:</w:t>
      </w:r>
    </w:p>
    <w:p w:rsidR="007F7BC6" w:rsidRPr="009D0130" w:rsidRDefault="007F7BC6" w:rsidP="009D0130">
      <w:pPr>
        <w:pStyle w:val="paragraph"/>
      </w:pPr>
      <w:r w:rsidRPr="009D0130">
        <w:tab/>
        <w:t>(c)</w:t>
      </w:r>
      <w:r w:rsidRPr="009D0130">
        <w:tab/>
        <w:t>you chose the “cents per kilometre” method in Subdivision</w:t>
      </w:r>
      <w:r w:rsidR="009D0130" w:rsidRPr="009D0130">
        <w:t> </w:t>
      </w:r>
      <w:r w:rsidRPr="009D0130">
        <w:t>28</w:t>
      </w:r>
      <w:r w:rsidR="000B2603">
        <w:noBreakHyphen/>
      </w:r>
      <w:r w:rsidRPr="009D0130">
        <w:t>C for deducting your car expenses for the car for one or more other income years.</w:t>
      </w:r>
    </w:p>
    <w:p w:rsidR="007F7BC6" w:rsidRPr="009D0130" w:rsidRDefault="0004668B" w:rsidP="009D0130">
      <w:pPr>
        <w:pStyle w:val="ItemHead"/>
      </w:pPr>
      <w:r w:rsidRPr="009D0130">
        <w:t>34</w:t>
      </w:r>
      <w:r w:rsidR="007F7BC6" w:rsidRPr="009D0130">
        <w:t xml:space="preserve">  Subsection</w:t>
      </w:r>
      <w:r w:rsidR="009D0130" w:rsidRPr="009D0130">
        <w:t> </w:t>
      </w:r>
      <w:r w:rsidR="007F7BC6" w:rsidRPr="009D0130">
        <w:t>40</w:t>
      </w:r>
      <w:r w:rsidR="000B2603">
        <w:noBreakHyphen/>
      </w:r>
      <w:r w:rsidR="007F7BC6" w:rsidRPr="009D0130">
        <w:t>370(1) (note 1)</w:t>
      </w:r>
    </w:p>
    <w:p w:rsidR="007F7BC6" w:rsidRPr="009D0130" w:rsidRDefault="007F7BC6" w:rsidP="009D0130">
      <w:pPr>
        <w:pStyle w:val="Item"/>
      </w:pPr>
      <w:r w:rsidRPr="009D0130">
        <w:t>Omit “or the “one</w:t>
      </w:r>
      <w:r w:rsidR="000B2603">
        <w:noBreakHyphen/>
      </w:r>
      <w:r w:rsidRPr="009D0130">
        <w:t>third of actual expenses” method”.</w:t>
      </w:r>
    </w:p>
    <w:p w:rsidR="007F7BC6" w:rsidRPr="009D0130" w:rsidRDefault="0004668B" w:rsidP="009D0130">
      <w:pPr>
        <w:pStyle w:val="ItemHead"/>
      </w:pPr>
      <w:r w:rsidRPr="009D0130">
        <w:lastRenderedPageBreak/>
        <w:t>35</w:t>
      </w:r>
      <w:r w:rsidR="007F7BC6" w:rsidRPr="009D0130">
        <w:t xml:space="preserve">  Subsection</w:t>
      </w:r>
      <w:r w:rsidR="009D0130" w:rsidRPr="009D0130">
        <w:t> </w:t>
      </w:r>
      <w:r w:rsidR="007F7BC6" w:rsidRPr="009D0130">
        <w:t>40</w:t>
      </w:r>
      <w:r w:rsidR="000B2603">
        <w:noBreakHyphen/>
      </w:r>
      <w:r w:rsidR="007F7BC6" w:rsidRPr="009D0130">
        <w:t>370(1) (note 2)</w:t>
      </w:r>
    </w:p>
    <w:p w:rsidR="007F7BC6" w:rsidRPr="009D0130" w:rsidRDefault="007F7BC6" w:rsidP="009D0130">
      <w:pPr>
        <w:pStyle w:val="Item"/>
      </w:pPr>
      <w:r w:rsidRPr="009D0130">
        <w:t>Omit “or the “12% of original value” method”.</w:t>
      </w:r>
    </w:p>
    <w:p w:rsidR="007F7BC6" w:rsidRPr="009D0130" w:rsidRDefault="0004668B" w:rsidP="009D0130">
      <w:pPr>
        <w:pStyle w:val="ItemHead"/>
      </w:pPr>
      <w:r w:rsidRPr="009D0130">
        <w:t>36</w:t>
      </w:r>
      <w:r w:rsidR="007F7BC6" w:rsidRPr="009D0130">
        <w:t xml:space="preserve">  Subsections</w:t>
      </w:r>
      <w:r w:rsidR="009D0130" w:rsidRPr="009D0130">
        <w:t> </w:t>
      </w:r>
      <w:r w:rsidR="007F7BC6" w:rsidRPr="009D0130">
        <w:t>40</w:t>
      </w:r>
      <w:r w:rsidR="000B2603">
        <w:noBreakHyphen/>
      </w:r>
      <w:r w:rsidR="007F7BC6" w:rsidRPr="009D0130">
        <w:t>370(3) and (4)</w:t>
      </w:r>
    </w:p>
    <w:p w:rsidR="007F7BC6" w:rsidRPr="009D0130" w:rsidRDefault="007F7BC6" w:rsidP="009D0130">
      <w:pPr>
        <w:pStyle w:val="Item"/>
      </w:pPr>
      <w:r w:rsidRPr="009D0130">
        <w:t>Repeal the subsections, substitute:</w:t>
      </w:r>
    </w:p>
    <w:p w:rsidR="007F7BC6" w:rsidRPr="009D0130" w:rsidRDefault="007F7BC6" w:rsidP="009D0130">
      <w:pPr>
        <w:pStyle w:val="subsection"/>
      </w:pPr>
      <w:r w:rsidRPr="009D0130">
        <w:tab/>
        <w:t>(3)</w:t>
      </w:r>
      <w:r w:rsidRPr="009D0130">
        <w:tab/>
        <w:t xml:space="preserve">In working out the </w:t>
      </w:r>
      <w:r w:rsidR="009D0130" w:rsidRPr="009D0130">
        <w:rPr>
          <w:position w:val="6"/>
          <w:sz w:val="16"/>
        </w:rPr>
        <w:t>*</w:t>
      </w:r>
      <w:r w:rsidRPr="009D0130">
        <w:t>adjustable value for the income years for which you chose the “cents per kilometre method”, assume the decline in value was calculated under this Division on the same basis as those income years when that method did not apply.</w:t>
      </w:r>
    </w:p>
    <w:p w:rsidR="007F7BC6" w:rsidRPr="009D0130" w:rsidRDefault="007F7BC6" w:rsidP="009D0130">
      <w:pPr>
        <w:pStyle w:val="subsection"/>
      </w:pPr>
      <w:r w:rsidRPr="009D0130">
        <w:tab/>
        <w:t>(4)</w:t>
      </w:r>
      <w:r w:rsidRPr="009D0130">
        <w:tab/>
        <w:t>In working out the reduction in step 2 for the income years for which you chose the “cents per kilometre method”, assume that:</w:t>
      </w:r>
    </w:p>
    <w:p w:rsidR="007F7BC6" w:rsidRPr="009D0130" w:rsidRDefault="007F7BC6" w:rsidP="009D0130">
      <w:pPr>
        <w:pStyle w:val="paragraph"/>
      </w:pPr>
      <w:r w:rsidRPr="009D0130">
        <w:tab/>
        <w:t>(a)</w:t>
      </w:r>
      <w:r w:rsidRPr="009D0130">
        <w:tab/>
        <w:t xml:space="preserve">you had not chosen that method for the </w:t>
      </w:r>
      <w:r w:rsidR="009D0130" w:rsidRPr="009D0130">
        <w:rPr>
          <w:position w:val="6"/>
          <w:sz w:val="16"/>
        </w:rPr>
        <w:t>*</w:t>
      </w:r>
      <w:r w:rsidRPr="009D0130">
        <w:t>car; and</w:t>
      </w:r>
    </w:p>
    <w:p w:rsidR="007F7BC6" w:rsidRPr="009D0130" w:rsidRDefault="007F7BC6" w:rsidP="009D0130">
      <w:pPr>
        <w:pStyle w:val="paragraph"/>
      </w:pPr>
      <w:r w:rsidRPr="009D0130">
        <w:tab/>
        <w:t>(b)</w:t>
      </w:r>
      <w:r w:rsidRPr="009D0130">
        <w:tab/>
        <w:t>Division</w:t>
      </w:r>
      <w:r w:rsidR="009D0130" w:rsidRPr="009D0130">
        <w:t> </w:t>
      </w:r>
      <w:r w:rsidRPr="009D0130">
        <w:t>28 (about car expenses) had not applied to the car; and</w:t>
      </w:r>
    </w:p>
    <w:p w:rsidR="007F7BC6" w:rsidRPr="009D0130" w:rsidRDefault="007F7BC6" w:rsidP="009D0130">
      <w:pPr>
        <w:pStyle w:val="paragraph"/>
      </w:pPr>
      <w:r w:rsidRPr="009D0130">
        <w:tab/>
        <w:t>(c)</w:t>
      </w:r>
      <w:r w:rsidRPr="009D0130">
        <w:tab/>
        <w:t xml:space="preserve">20% was the extent of your use of the car for </w:t>
      </w:r>
      <w:r w:rsidR="009D0130" w:rsidRPr="009D0130">
        <w:rPr>
          <w:position w:val="6"/>
          <w:sz w:val="16"/>
        </w:rPr>
        <w:t>*</w:t>
      </w:r>
      <w:r w:rsidRPr="009D0130">
        <w:t>taxable purposes.</w:t>
      </w:r>
    </w:p>
    <w:p w:rsidR="007F7BC6" w:rsidRPr="009D0130" w:rsidRDefault="0004668B" w:rsidP="009D0130">
      <w:pPr>
        <w:pStyle w:val="ItemHead"/>
      </w:pPr>
      <w:r w:rsidRPr="009D0130">
        <w:t>37</w:t>
      </w:r>
      <w:r w:rsidR="007F7BC6" w:rsidRPr="009D0130">
        <w:t xml:space="preserve">  Paragraph 41</w:t>
      </w:r>
      <w:r w:rsidR="000B2603">
        <w:noBreakHyphen/>
      </w:r>
      <w:r w:rsidR="007F7BC6" w:rsidRPr="009D0130">
        <w:t>10(3)(a)</w:t>
      </w:r>
    </w:p>
    <w:p w:rsidR="007F7BC6" w:rsidRPr="009D0130" w:rsidRDefault="007F7BC6" w:rsidP="009D0130">
      <w:pPr>
        <w:pStyle w:val="Item"/>
      </w:pPr>
      <w:r w:rsidRPr="009D0130">
        <w:t>Repeal the paragraph.</w:t>
      </w:r>
    </w:p>
    <w:p w:rsidR="007F7BC6" w:rsidRPr="009D0130" w:rsidRDefault="0004668B" w:rsidP="009D0130">
      <w:pPr>
        <w:pStyle w:val="ItemHead"/>
      </w:pPr>
      <w:r w:rsidRPr="009D0130">
        <w:t>38</w:t>
      </w:r>
      <w:r w:rsidR="007F7BC6" w:rsidRPr="009D0130">
        <w:t xml:space="preserve">  Subsection</w:t>
      </w:r>
      <w:r w:rsidR="009D0130" w:rsidRPr="009D0130">
        <w:t> </w:t>
      </w:r>
      <w:r w:rsidR="007F7BC6" w:rsidRPr="009D0130">
        <w:t>900</w:t>
      </w:r>
      <w:r w:rsidR="000B2603">
        <w:noBreakHyphen/>
      </w:r>
      <w:r w:rsidR="007F7BC6" w:rsidRPr="009D0130">
        <w:t>70(1)</w:t>
      </w:r>
    </w:p>
    <w:p w:rsidR="007F7BC6" w:rsidRPr="009D0130" w:rsidRDefault="007F7BC6" w:rsidP="009D0130">
      <w:pPr>
        <w:pStyle w:val="Item"/>
      </w:pPr>
      <w:r w:rsidRPr="009D0130">
        <w:t>Omit “the “one</w:t>
      </w:r>
      <w:r w:rsidR="000B2603">
        <w:noBreakHyphen/>
      </w:r>
      <w:r w:rsidRPr="009D0130">
        <w:t>third of actual expenses” method or”.</w:t>
      </w:r>
    </w:p>
    <w:p w:rsidR="007F7BC6" w:rsidRPr="009D0130" w:rsidRDefault="0004668B" w:rsidP="009D0130">
      <w:pPr>
        <w:pStyle w:val="ItemHead"/>
      </w:pPr>
      <w:r w:rsidRPr="009D0130">
        <w:t>39</w:t>
      </w:r>
      <w:r w:rsidR="007F7BC6" w:rsidRPr="009D0130">
        <w:t xml:space="preserve">  Subsection</w:t>
      </w:r>
      <w:r w:rsidR="009D0130" w:rsidRPr="009D0130">
        <w:t> </w:t>
      </w:r>
      <w:r w:rsidR="007F7BC6" w:rsidRPr="009D0130">
        <w:t>900</w:t>
      </w:r>
      <w:r w:rsidR="000B2603">
        <w:noBreakHyphen/>
      </w:r>
      <w:r w:rsidR="007F7BC6" w:rsidRPr="009D0130">
        <w:t>70(1)</w:t>
      </w:r>
    </w:p>
    <w:p w:rsidR="007F7BC6" w:rsidRPr="009D0130" w:rsidRDefault="007F7BC6" w:rsidP="009D0130">
      <w:pPr>
        <w:pStyle w:val="Item"/>
      </w:pPr>
      <w:r w:rsidRPr="009D0130">
        <w:t>Omit “Subdivision</w:t>
      </w:r>
      <w:r w:rsidR="009D0130" w:rsidRPr="009D0130">
        <w:t> </w:t>
      </w:r>
      <w:r w:rsidRPr="009D0130">
        <w:t>28</w:t>
      </w:r>
      <w:r w:rsidR="000B2603">
        <w:noBreakHyphen/>
      </w:r>
      <w:r w:rsidRPr="009D0130">
        <w:t>E tells you about the “one</w:t>
      </w:r>
      <w:r w:rsidR="000B2603">
        <w:noBreakHyphen/>
      </w:r>
      <w:r w:rsidRPr="009D0130">
        <w:t>third of actual expenses” method and”.</w:t>
      </w:r>
    </w:p>
    <w:p w:rsidR="007F7BC6" w:rsidRPr="009D0130" w:rsidRDefault="0004668B" w:rsidP="009D0130">
      <w:pPr>
        <w:pStyle w:val="ItemHead"/>
      </w:pPr>
      <w:r w:rsidRPr="009D0130">
        <w:t>40</w:t>
      </w:r>
      <w:r w:rsidR="007F7BC6" w:rsidRPr="009D0130">
        <w:t xml:space="preserve">  Subsection</w:t>
      </w:r>
      <w:r w:rsidR="009D0130" w:rsidRPr="009D0130">
        <w:t> </w:t>
      </w:r>
      <w:r w:rsidR="007F7BC6" w:rsidRPr="009D0130">
        <w:t>900</w:t>
      </w:r>
      <w:r w:rsidR="000B2603">
        <w:noBreakHyphen/>
      </w:r>
      <w:r w:rsidR="007F7BC6" w:rsidRPr="009D0130">
        <w:t>70(2)</w:t>
      </w:r>
    </w:p>
    <w:p w:rsidR="007F7BC6" w:rsidRPr="009D0130" w:rsidRDefault="007F7BC6" w:rsidP="009D0130">
      <w:pPr>
        <w:pStyle w:val="Item"/>
      </w:pPr>
      <w:r w:rsidRPr="009D0130">
        <w:t>Repeal the subsection.</w:t>
      </w:r>
    </w:p>
    <w:p w:rsidR="007F7BC6" w:rsidRPr="009D0130" w:rsidRDefault="0004668B" w:rsidP="009D0130">
      <w:pPr>
        <w:pStyle w:val="ItemHead"/>
      </w:pPr>
      <w:r w:rsidRPr="009D0130">
        <w:t>41</w:t>
      </w:r>
      <w:r w:rsidR="007F7BC6" w:rsidRPr="009D0130">
        <w:t xml:space="preserve">  Subsections</w:t>
      </w:r>
      <w:r w:rsidR="009D0130" w:rsidRPr="009D0130">
        <w:t> </w:t>
      </w:r>
      <w:r w:rsidR="007F7BC6" w:rsidRPr="009D0130">
        <w:t>900</w:t>
      </w:r>
      <w:r w:rsidR="000B2603">
        <w:noBreakHyphen/>
      </w:r>
      <w:r w:rsidR="007F7BC6" w:rsidRPr="009D0130">
        <w:t>250(1) and (2)</w:t>
      </w:r>
    </w:p>
    <w:p w:rsidR="007F7BC6" w:rsidRPr="009D0130" w:rsidRDefault="007F7BC6" w:rsidP="009D0130">
      <w:pPr>
        <w:pStyle w:val="Item"/>
      </w:pPr>
      <w:r w:rsidRPr="009D0130">
        <w:t>Omit “4 methods”, substitute “2 methods”.</w:t>
      </w:r>
    </w:p>
    <w:p w:rsidR="007F7BC6" w:rsidRPr="009D0130" w:rsidRDefault="0004668B" w:rsidP="009D0130">
      <w:pPr>
        <w:pStyle w:val="ItemHead"/>
      </w:pPr>
      <w:r w:rsidRPr="009D0130">
        <w:t>42</w:t>
      </w:r>
      <w:r w:rsidR="007F7BC6" w:rsidRPr="009D0130">
        <w:t xml:space="preserve">  Subsection</w:t>
      </w:r>
      <w:r w:rsidR="009D0130" w:rsidRPr="009D0130">
        <w:t> </w:t>
      </w:r>
      <w:r w:rsidR="007F7BC6" w:rsidRPr="009D0130">
        <w:t>900</w:t>
      </w:r>
      <w:r w:rsidR="000B2603">
        <w:noBreakHyphen/>
      </w:r>
      <w:r w:rsidR="007F7BC6" w:rsidRPr="009D0130">
        <w:t>250(4)</w:t>
      </w:r>
    </w:p>
    <w:p w:rsidR="007F7BC6" w:rsidRPr="009D0130" w:rsidRDefault="007F7BC6" w:rsidP="009D0130">
      <w:pPr>
        <w:pStyle w:val="Item"/>
      </w:pPr>
      <w:r w:rsidRPr="009D0130">
        <w:t>Repeal the subsection.</w:t>
      </w:r>
    </w:p>
    <w:p w:rsidR="007F7BC6" w:rsidRPr="009D0130" w:rsidRDefault="0004668B" w:rsidP="009D0130">
      <w:pPr>
        <w:pStyle w:val="ItemHead"/>
      </w:pPr>
      <w:r w:rsidRPr="009D0130">
        <w:lastRenderedPageBreak/>
        <w:t>43</w:t>
      </w:r>
      <w:r w:rsidR="007F7BC6" w:rsidRPr="009D0130">
        <w:t xml:space="preserve">  Subsection</w:t>
      </w:r>
      <w:r w:rsidR="009D0130" w:rsidRPr="009D0130">
        <w:t> </w:t>
      </w:r>
      <w:r w:rsidR="007F7BC6" w:rsidRPr="009D0130">
        <w:t>995</w:t>
      </w:r>
      <w:r w:rsidR="000B2603">
        <w:noBreakHyphen/>
      </w:r>
      <w:r w:rsidR="007F7BC6" w:rsidRPr="009D0130">
        <w:t xml:space="preserve">1(1) (definition of </w:t>
      </w:r>
      <w:r w:rsidR="007F7BC6" w:rsidRPr="009D0130">
        <w:rPr>
          <w:i/>
        </w:rPr>
        <w:t>business kilometres</w:t>
      </w:r>
      <w:r w:rsidR="007F7BC6" w:rsidRPr="009D0130">
        <w:t>)</w:t>
      </w:r>
    </w:p>
    <w:p w:rsidR="007F7BC6" w:rsidRPr="009D0130" w:rsidRDefault="007F7BC6" w:rsidP="009D0130">
      <w:pPr>
        <w:pStyle w:val="Item"/>
      </w:pPr>
      <w:r w:rsidRPr="009D0130">
        <w:t>Omit “, 28</w:t>
      </w:r>
      <w:r w:rsidR="000B2603">
        <w:noBreakHyphen/>
      </w:r>
      <w:r w:rsidRPr="009D0130">
        <w:t>50, 28</w:t>
      </w:r>
      <w:r w:rsidR="000B2603">
        <w:noBreakHyphen/>
      </w:r>
      <w:r w:rsidRPr="009D0130">
        <w:t>75”.</w:t>
      </w:r>
    </w:p>
    <w:p w:rsidR="007F7BC6" w:rsidRPr="009D0130" w:rsidRDefault="0004668B" w:rsidP="009D0130">
      <w:pPr>
        <w:pStyle w:val="ItemHead"/>
      </w:pPr>
      <w:r w:rsidRPr="009D0130">
        <w:t>44</w:t>
      </w:r>
      <w:r w:rsidR="007F7BC6" w:rsidRPr="009D0130">
        <w:t xml:space="preserve">  Subsection</w:t>
      </w:r>
      <w:r w:rsidR="009D0130" w:rsidRPr="009D0130">
        <w:t> </w:t>
      </w:r>
      <w:r w:rsidR="007F7BC6" w:rsidRPr="009D0130">
        <w:t>995</w:t>
      </w:r>
      <w:r w:rsidR="000B2603">
        <w:noBreakHyphen/>
      </w:r>
      <w:r w:rsidR="007F7BC6" w:rsidRPr="009D0130">
        <w:t>1(1)</w:t>
      </w:r>
    </w:p>
    <w:p w:rsidR="007F7BC6" w:rsidRPr="009D0130" w:rsidRDefault="007F7BC6" w:rsidP="009D0130">
      <w:pPr>
        <w:pStyle w:val="Item"/>
      </w:pPr>
      <w:r w:rsidRPr="009D0130">
        <w:t>Repeal the following definitions:</w:t>
      </w:r>
    </w:p>
    <w:p w:rsidR="007F7BC6" w:rsidRPr="009D0130" w:rsidRDefault="007F7BC6" w:rsidP="009D0130">
      <w:pPr>
        <w:pStyle w:val="paragraph"/>
      </w:pPr>
      <w:r w:rsidRPr="009D0130">
        <w:tab/>
        <w:t>(a)</w:t>
      </w:r>
      <w:r w:rsidRPr="009D0130">
        <w:tab/>
        <w:t xml:space="preserve">definition of </w:t>
      </w:r>
      <w:r w:rsidRPr="009D0130">
        <w:rPr>
          <w:b/>
          <w:i/>
        </w:rPr>
        <w:t>car</w:t>
      </w:r>
      <w:r w:rsidR="000B2603">
        <w:rPr>
          <w:b/>
          <w:i/>
        </w:rPr>
        <w:noBreakHyphen/>
      </w:r>
      <w:r w:rsidRPr="009D0130">
        <w:rPr>
          <w:b/>
          <w:i/>
        </w:rPr>
        <w:t>less day</w:t>
      </w:r>
      <w:r w:rsidRPr="009D0130">
        <w:t>;</w:t>
      </w:r>
    </w:p>
    <w:p w:rsidR="007F7BC6" w:rsidRPr="009D0130" w:rsidRDefault="007F7BC6" w:rsidP="009D0130">
      <w:pPr>
        <w:pStyle w:val="paragraph"/>
      </w:pPr>
      <w:r w:rsidRPr="009D0130">
        <w:tab/>
        <w:t>(b)</w:t>
      </w:r>
      <w:r w:rsidRPr="009D0130">
        <w:tab/>
        <w:t xml:space="preserve">definition of </w:t>
      </w:r>
      <w:r w:rsidRPr="009D0130">
        <w:rPr>
          <w:b/>
          <w:i/>
        </w:rPr>
        <w:t>full year car deduction</w:t>
      </w:r>
      <w:r w:rsidRPr="009D0130">
        <w:t>.</w:t>
      </w:r>
    </w:p>
    <w:p w:rsidR="007F7BC6" w:rsidRPr="009D0130" w:rsidRDefault="007F7BC6" w:rsidP="009D0130">
      <w:pPr>
        <w:pStyle w:val="ActHead7"/>
        <w:pageBreakBefore/>
      </w:pPr>
      <w:bookmarkStart w:id="17" w:name="_Toc436742086"/>
      <w:r w:rsidRPr="009D0130">
        <w:rPr>
          <w:rStyle w:val="CharAmPartNo"/>
        </w:rPr>
        <w:lastRenderedPageBreak/>
        <w:t>Part</w:t>
      </w:r>
      <w:r w:rsidR="009D0130" w:rsidRPr="009D0130">
        <w:rPr>
          <w:rStyle w:val="CharAmPartNo"/>
        </w:rPr>
        <w:t> </w:t>
      </w:r>
      <w:r w:rsidRPr="009D0130">
        <w:rPr>
          <w:rStyle w:val="CharAmPartNo"/>
        </w:rPr>
        <w:t>3</w:t>
      </w:r>
      <w:r w:rsidRPr="009D0130">
        <w:t>—</w:t>
      </w:r>
      <w:r w:rsidRPr="009D0130">
        <w:rPr>
          <w:rStyle w:val="CharAmPartText"/>
        </w:rPr>
        <w:t>Application and transitional provisions</w:t>
      </w:r>
      <w:bookmarkEnd w:id="17"/>
    </w:p>
    <w:p w:rsidR="007F7BC6" w:rsidRPr="009D0130" w:rsidRDefault="0004668B" w:rsidP="009D0130">
      <w:pPr>
        <w:pStyle w:val="ItemHead"/>
      </w:pPr>
      <w:r w:rsidRPr="009D0130">
        <w:t>45</w:t>
      </w:r>
      <w:r w:rsidR="007F7BC6" w:rsidRPr="009D0130">
        <w:t xml:space="preserve">  Application of amendments</w:t>
      </w:r>
    </w:p>
    <w:p w:rsidR="007F7BC6" w:rsidRPr="009D0130" w:rsidRDefault="007F7BC6" w:rsidP="009D0130">
      <w:pPr>
        <w:pStyle w:val="Subitem"/>
      </w:pPr>
      <w:r w:rsidRPr="009D0130">
        <w:t>(1)</w:t>
      </w:r>
      <w:r w:rsidRPr="009D0130">
        <w:tab/>
        <w:t xml:space="preserve">Subject to </w:t>
      </w:r>
      <w:proofErr w:type="spellStart"/>
      <w:r w:rsidR="009D0130" w:rsidRPr="009D0130">
        <w:t>subitems</w:t>
      </w:r>
      <w:proofErr w:type="spellEnd"/>
      <w:r w:rsidR="009D0130" w:rsidRPr="009D0130">
        <w:t> (</w:t>
      </w:r>
      <w:r w:rsidRPr="009D0130">
        <w:t>2) and (3), the amendments made by this Schedule apply in relation to the 2015</w:t>
      </w:r>
      <w:r w:rsidR="000B2603">
        <w:noBreakHyphen/>
      </w:r>
      <w:r w:rsidRPr="009D0130">
        <w:t>16 income year and later income years.</w:t>
      </w:r>
    </w:p>
    <w:p w:rsidR="007F7BC6" w:rsidRPr="009D0130" w:rsidRDefault="007F7BC6" w:rsidP="009D0130">
      <w:pPr>
        <w:pStyle w:val="Subitem"/>
      </w:pPr>
      <w:r w:rsidRPr="009D0130">
        <w:t>(2)</w:t>
      </w:r>
      <w:r w:rsidRPr="009D0130">
        <w:tab/>
        <w:t xml:space="preserve">The amendments of the </w:t>
      </w:r>
      <w:r w:rsidRPr="009D0130">
        <w:rPr>
          <w:i/>
        </w:rPr>
        <w:t>Fringe Benefits Tax Assessment Act 1986</w:t>
      </w:r>
      <w:r w:rsidRPr="009D0130">
        <w:t xml:space="preserve"> made by this Schedule apply in relation to the 2016</w:t>
      </w:r>
      <w:r w:rsidR="000B2603">
        <w:noBreakHyphen/>
      </w:r>
      <w:r w:rsidRPr="009D0130">
        <w:t>17 FBT year and later FBT years.</w:t>
      </w:r>
    </w:p>
    <w:p w:rsidR="007F7BC6" w:rsidRPr="009D0130" w:rsidRDefault="007F7BC6" w:rsidP="009D0130">
      <w:pPr>
        <w:pStyle w:val="Subitem"/>
      </w:pPr>
      <w:r w:rsidRPr="009D0130">
        <w:t>(3)</w:t>
      </w:r>
      <w:r w:rsidRPr="009D0130">
        <w:tab/>
        <w:t>Despite the amendments of section</w:t>
      </w:r>
      <w:r w:rsidR="009D0130" w:rsidRPr="009D0130">
        <w:t> </w:t>
      </w:r>
      <w:r w:rsidRPr="009D0130">
        <w:t>40</w:t>
      </w:r>
      <w:r w:rsidR="000B2603">
        <w:noBreakHyphen/>
      </w:r>
      <w:r w:rsidRPr="009D0130">
        <w:t xml:space="preserve">370 of the </w:t>
      </w:r>
      <w:r w:rsidRPr="009D0130">
        <w:rPr>
          <w:i/>
        </w:rPr>
        <w:t>Income Tax Assessment Act 1997</w:t>
      </w:r>
      <w:r w:rsidRPr="009D0130">
        <w:t xml:space="preserve"> made by this Schedule, that section continues to apply, in relation to a balancing adjustment event, as if those amendments had not been made if:</w:t>
      </w:r>
    </w:p>
    <w:p w:rsidR="007F7BC6" w:rsidRPr="009D0130" w:rsidRDefault="007F7BC6" w:rsidP="009D0130">
      <w:pPr>
        <w:pStyle w:val="paragraph"/>
      </w:pPr>
      <w:r w:rsidRPr="009D0130">
        <w:tab/>
        <w:t>(a)</w:t>
      </w:r>
      <w:r w:rsidRPr="009D0130">
        <w:tab/>
        <w:t>that balancing adjustment event occurs at or after the start of the 2015</w:t>
      </w:r>
      <w:r w:rsidR="000B2603">
        <w:noBreakHyphen/>
      </w:r>
      <w:r w:rsidRPr="009D0130">
        <w:t>16 income year for a car you held; and</w:t>
      </w:r>
    </w:p>
    <w:p w:rsidR="007F7BC6" w:rsidRPr="009D0130" w:rsidRDefault="007F7BC6" w:rsidP="009D0130">
      <w:pPr>
        <w:pStyle w:val="paragraph"/>
      </w:pPr>
      <w:r w:rsidRPr="009D0130">
        <w:tab/>
        <w:t>(b)</w:t>
      </w:r>
      <w:r w:rsidRPr="009D0130">
        <w:tab/>
        <w:t>you chose the “12% of original value” method in former Subdivision</w:t>
      </w:r>
      <w:r w:rsidR="009D0130" w:rsidRPr="009D0130">
        <w:t> </w:t>
      </w:r>
      <w:r w:rsidRPr="009D0130">
        <w:t>28</w:t>
      </w:r>
      <w:r w:rsidR="000B2603">
        <w:noBreakHyphen/>
      </w:r>
      <w:r w:rsidRPr="009D0130">
        <w:t>D of that Act for deducting your car expenses for the car for one or more earlier income years.</w:t>
      </w:r>
    </w:p>
    <w:p w:rsidR="007F7BC6" w:rsidRPr="009D0130" w:rsidRDefault="0004668B" w:rsidP="009D0130">
      <w:pPr>
        <w:pStyle w:val="ItemHead"/>
      </w:pPr>
      <w:r w:rsidRPr="009D0130">
        <w:t>46</w:t>
      </w:r>
      <w:r w:rsidR="007F7BC6" w:rsidRPr="009D0130">
        <w:t xml:space="preserve">  Transitional—initial rate of cents per kilometre</w:t>
      </w:r>
    </w:p>
    <w:p w:rsidR="007F7BC6" w:rsidRPr="009D0130" w:rsidRDefault="007F7BC6" w:rsidP="009D0130">
      <w:pPr>
        <w:pStyle w:val="Item"/>
      </w:pPr>
      <w:r w:rsidRPr="009D0130">
        <w:t>Treat the Commissioner as having determined, under subsection</w:t>
      </w:r>
      <w:r w:rsidR="009D0130" w:rsidRPr="009D0130">
        <w:t> </w:t>
      </w:r>
      <w:r w:rsidRPr="009D0130">
        <w:t>28</w:t>
      </w:r>
      <w:r w:rsidR="000B2603">
        <w:noBreakHyphen/>
      </w:r>
      <w:r w:rsidRPr="009D0130">
        <w:t xml:space="preserve">25(4) of the </w:t>
      </w:r>
      <w:r w:rsidRPr="009D0130">
        <w:rPr>
          <w:i/>
        </w:rPr>
        <w:t>Income Tax Assessment Act 1997</w:t>
      </w:r>
      <w:r w:rsidRPr="009D0130">
        <w:t xml:space="preserve"> (as inserted by this Schedule), the rate of 66 cents per kilometre for all cars for the 2015</w:t>
      </w:r>
      <w:r w:rsidR="000B2603">
        <w:noBreakHyphen/>
      </w:r>
      <w:r w:rsidRPr="009D0130">
        <w:t>16 income year.</w:t>
      </w:r>
    </w:p>
    <w:p w:rsidR="00A1029C" w:rsidRPr="009D0130" w:rsidRDefault="00A1029C" w:rsidP="009D0130">
      <w:pPr>
        <w:pStyle w:val="ActHead6"/>
        <w:pageBreakBefore/>
      </w:pPr>
      <w:bookmarkStart w:id="18" w:name="_Toc436742087"/>
      <w:r w:rsidRPr="009D0130">
        <w:rPr>
          <w:rStyle w:val="CharAmSchNo"/>
        </w:rPr>
        <w:lastRenderedPageBreak/>
        <w:t>Schedule</w:t>
      </w:r>
      <w:r w:rsidR="009D0130" w:rsidRPr="009D0130">
        <w:rPr>
          <w:rStyle w:val="CharAmSchNo"/>
        </w:rPr>
        <w:t> </w:t>
      </w:r>
      <w:r w:rsidRPr="009D0130">
        <w:rPr>
          <w:rStyle w:val="CharAmSchNo"/>
        </w:rPr>
        <w:t>2</w:t>
      </w:r>
      <w:r w:rsidRPr="009D0130">
        <w:t>—</w:t>
      </w:r>
      <w:r w:rsidRPr="009D0130">
        <w:rPr>
          <w:rStyle w:val="CharAmSchText"/>
        </w:rPr>
        <w:t>Zone tax offset</w:t>
      </w:r>
      <w:bookmarkEnd w:id="18"/>
    </w:p>
    <w:p w:rsidR="00A1029C" w:rsidRPr="009D0130" w:rsidRDefault="00A1029C" w:rsidP="009D0130">
      <w:pPr>
        <w:pStyle w:val="Header"/>
      </w:pPr>
      <w:r w:rsidRPr="009D0130">
        <w:rPr>
          <w:rStyle w:val="CharAmPartNo"/>
        </w:rPr>
        <w:t xml:space="preserve"> </w:t>
      </w:r>
      <w:r w:rsidRPr="009D0130">
        <w:rPr>
          <w:rStyle w:val="CharAmPartText"/>
        </w:rPr>
        <w:t xml:space="preserve"> </w:t>
      </w:r>
    </w:p>
    <w:p w:rsidR="00A1029C" w:rsidRPr="009D0130" w:rsidRDefault="00A1029C" w:rsidP="009D0130">
      <w:pPr>
        <w:pStyle w:val="ActHead9"/>
        <w:rPr>
          <w:i w:val="0"/>
        </w:rPr>
      </w:pPr>
      <w:bookmarkStart w:id="19" w:name="_Toc436742088"/>
      <w:r w:rsidRPr="009D0130">
        <w:t>Income Tax Assessment Act 1936</w:t>
      </w:r>
      <w:bookmarkEnd w:id="19"/>
    </w:p>
    <w:p w:rsidR="00A1029C" w:rsidRPr="009D0130" w:rsidRDefault="0004668B" w:rsidP="009D0130">
      <w:pPr>
        <w:pStyle w:val="ItemHead"/>
      </w:pPr>
      <w:r w:rsidRPr="009D0130">
        <w:t>1</w:t>
      </w:r>
      <w:r w:rsidR="00A1029C" w:rsidRPr="009D0130">
        <w:t xml:space="preserve">  Paragraph 79A(2)(b)</w:t>
      </w:r>
    </w:p>
    <w:p w:rsidR="00A1029C" w:rsidRPr="009D0130" w:rsidRDefault="00A1029C" w:rsidP="009D0130">
      <w:pPr>
        <w:pStyle w:val="Item"/>
      </w:pPr>
      <w:r w:rsidRPr="009D0130">
        <w:t>Omit “if the taxpayer is a resident of Zone A in the year of income but has not resided or actually been in the special area in Zone A or the special area in Zone B during any part of the year of income”, substitute “if the taxpayer is a resident of Zone A (but not of the special area in Zone A or of the special area in Zone B) in the year of income”.</w:t>
      </w:r>
    </w:p>
    <w:p w:rsidR="00A1029C" w:rsidRPr="009D0130" w:rsidRDefault="0004668B" w:rsidP="009D0130">
      <w:pPr>
        <w:pStyle w:val="ItemHead"/>
      </w:pPr>
      <w:r w:rsidRPr="009D0130">
        <w:t>2</w:t>
      </w:r>
      <w:r w:rsidR="00A1029C" w:rsidRPr="009D0130">
        <w:t xml:space="preserve">  Paragraph 79A(2)(c)</w:t>
      </w:r>
    </w:p>
    <w:p w:rsidR="00A1029C" w:rsidRPr="009D0130" w:rsidRDefault="00A1029C" w:rsidP="009D0130">
      <w:pPr>
        <w:pStyle w:val="Item"/>
      </w:pPr>
      <w:r w:rsidRPr="009D0130">
        <w:t>Omit “if the taxpayer is a resident of Zone B in the year of income but has not resided or actually been in Zone A or the special area in Zone B during any part of the year of income”, substitute “if the taxpayer is a resident of Zone B (but not of Zone A or of the special area in Zone B) in the year of income”.</w:t>
      </w:r>
    </w:p>
    <w:p w:rsidR="00A1029C" w:rsidRPr="009D0130" w:rsidRDefault="0004668B" w:rsidP="009D0130">
      <w:pPr>
        <w:pStyle w:val="ItemHead"/>
      </w:pPr>
      <w:r w:rsidRPr="009D0130">
        <w:t>3</w:t>
      </w:r>
      <w:r w:rsidR="00A1029C" w:rsidRPr="009D0130">
        <w:t xml:space="preserve">  Paragraph 79A(3B)(a)</w:t>
      </w:r>
    </w:p>
    <w:p w:rsidR="00A1029C" w:rsidRPr="009D0130" w:rsidRDefault="00A1029C" w:rsidP="009D0130">
      <w:pPr>
        <w:pStyle w:val="Item"/>
      </w:pPr>
      <w:r w:rsidRPr="009D0130">
        <w:t>Omit “resided”, substitute “had his or her usual place of residence”.</w:t>
      </w:r>
    </w:p>
    <w:p w:rsidR="00A1029C" w:rsidRPr="009D0130" w:rsidRDefault="0004668B" w:rsidP="009D0130">
      <w:pPr>
        <w:pStyle w:val="ItemHead"/>
      </w:pPr>
      <w:r w:rsidRPr="009D0130">
        <w:t>4</w:t>
      </w:r>
      <w:r w:rsidR="00A1029C" w:rsidRPr="009D0130">
        <w:t xml:space="preserve">  At the end of paragraph</w:t>
      </w:r>
      <w:r w:rsidR="009D0130" w:rsidRPr="009D0130">
        <w:t> </w:t>
      </w:r>
      <w:r w:rsidR="00A1029C" w:rsidRPr="009D0130">
        <w:t>79A(3B)(a)</w:t>
      </w:r>
    </w:p>
    <w:p w:rsidR="00A1029C" w:rsidRPr="009D0130" w:rsidRDefault="00A1029C" w:rsidP="009D0130">
      <w:pPr>
        <w:pStyle w:val="Item"/>
      </w:pPr>
      <w:r w:rsidRPr="009D0130">
        <w:t>Add “or”.</w:t>
      </w:r>
    </w:p>
    <w:p w:rsidR="00A1029C" w:rsidRPr="009D0130" w:rsidRDefault="0004668B" w:rsidP="009D0130">
      <w:pPr>
        <w:pStyle w:val="ItemHead"/>
      </w:pPr>
      <w:r w:rsidRPr="009D0130">
        <w:t>5</w:t>
      </w:r>
      <w:r w:rsidR="00A1029C" w:rsidRPr="009D0130">
        <w:t xml:space="preserve">  Paragraph 79A(3B)(b)</w:t>
      </w:r>
    </w:p>
    <w:p w:rsidR="00A1029C" w:rsidRPr="009D0130" w:rsidRDefault="00A1029C" w:rsidP="009D0130">
      <w:pPr>
        <w:pStyle w:val="Item"/>
      </w:pPr>
      <w:r w:rsidRPr="009D0130">
        <w:t>Repeal the paragraph.</w:t>
      </w:r>
    </w:p>
    <w:p w:rsidR="00A1029C" w:rsidRPr="009D0130" w:rsidRDefault="0004668B" w:rsidP="009D0130">
      <w:pPr>
        <w:pStyle w:val="ItemHead"/>
      </w:pPr>
      <w:r w:rsidRPr="009D0130">
        <w:t>6</w:t>
      </w:r>
      <w:r w:rsidR="00A1029C" w:rsidRPr="009D0130">
        <w:t xml:space="preserve">  Paragraph 79A(3B)(c)</w:t>
      </w:r>
    </w:p>
    <w:p w:rsidR="00A1029C" w:rsidRPr="009D0130" w:rsidRDefault="00A1029C" w:rsidP="009D0130">
      <w:pPr>
        <w:pStyle w:val="Item"/>
      </w:pPr>
      <w:r w:rsidRPr="009D0130">
        <w:t>Omit “resided”, substitute “had his or her usual place of residence”.</w:t>
      </w:r>
    </w:p>
    <w:p w:rsidR="00A1029C" w:rsidRPr="009D0130" w:rsidRDefault="0004668B" w:rsidP="009D0130">
      <w:pPr>
        <w:pStyle w:val="ItemHead"/>
      </w:pPr>
      <w:r w:rsidRPr="009D0130">
        <w:t>7</w:t>
      </w:r>
      <w:r w:rsidR="00A1029C" w:rsidRPr="009D0130">
        <w:t xml:space="preserve">  At the end of paragraph</w:t>
      </w:r>
      <w:r w:rsidR="009D0130" w:rsidRPr="009D0130">
        <w:t> </w:t>
      </w:r>
      <w:r w:rsidR="00A1029C" w:rsidRPr="009D0130">
        <w:t>79A(3B)(c)</w:t>
      </w:r>
    </w:p>
    <w:p w:rsidR="00A1029C" w:rsidRPr="009D0130" w:rsidRDefault="00A1029C" w:rsidP="009D0130">
      <w:pPr>
        <w:pStyle w:val="Item"/>
      </w:pPr>
      <w:r w:rsidRPr="009D0130">
        <w:t>Add “or”.</w:t>
      </w:r>
    </w:p>
    <w:p w:rsidR="00A1029C" w:rsidRPr="009D0130" w:rsidRDefault="0004668B" w:rsidP="009D0130">
      <w:pPr>
        <w:pStyle w:val="ItemHead"/>
      </w:pPr>
      <w:r w:rsidRPr="009D0130">
        <w:t>8</w:t>
      </w:r>
      <w:r w:rsidR="00A1029C" w:rsidRPr="009D0130">
        <w:t xml:space="preserve">  Subparagraphs</w:t>
      </w:r>
      <w:r w:rsidR="009D0130" w:rsidRPr="009D0130">
        <w:t> </w:t>
      </w:r>
      <w:r w:rsidR="00A1029C" w:rsidRPr="009D0130">
        <w:t>79A(3B)(d)(</w:t>
      </w:r>
      <w:proofErr w:type="spellStart"/>
      <w:r w:rsidR="00A1029C" w:rsidRPr="009D0130">
        <w:t>i</w:t>
      </w:r>
      <w:proofErr w:type="spellEnd"/>
      <w:r w:rsidR="00A1029C" w:rsidRPr="009D0130">
        <w:t>) and (ii)</w:t>
      </w:r>
    </w:p>
    <w:p w:rsidR="00A1029C" w:rsidRPr="009D0130" w:rsidRDefault="00A1029C" w:rsidP="009D0130">
      <w:pPr>
        <w:pStyle w:val="Item"/>
      </w:pPr>
      <w:r w:rsidRPr="009D0130">
        <w:t>Omit “resided, or actually was,”, substitute “had his or her usual place of residence”.</w:t>
      </w:r>
    </w:p>
    <w:p w:rsidR="00A1029C" w:rsidRPr="009D0130" w:rsidRDefault="0004668B" w:rsidP="009D0130">
      <w:pPr>
        <w:pStyle w:val="ItemHead"/>
      </w:pPr>
      <w:r w:rsidRPr="009D0130">
        <w:lastRenderedPageBreak/>
        <w:t>9</w:t>
      </w:r>
      <w:r w:rsidR="00A1029C" w:rsidRPr="009D0130">
        <w:t xml:space="preserve">  Subparagraph 79A(3B)(d)(iii)</w:t>
      </w:r>
    </w:p>
    <w:p w:rsidR="00A1029C" w:rsidRPr="009D0130" w:rsidRDefault="00A1029C" w:rsidP="009D0130">
      <w:pPr>
        <w:pStyle w:val="Item"/>
      </w:pPr>
      <w:r w:rsidRPr="009D0130">
        <w:t>Omit “and”.</w:t>
      </w:r>
    </w:p>
    <w:p w:rsidR="00A1029C" w:rsidRPr="009D0130" w:rsidRDefault="0004668B" w:rsidP="009D0130">
      <w:pPr>
        <w:pStyle w:val="ItemHead"/>
      </w:pPr>
      <w:r w:rsidRPr="009D0130">
        <w:t>10</w:t>
      </w:r>
      <w:r w:rsidR="00A1029C" w:rsidRPr="009D0130">
        <w:t xml:space="preserve">  Subparagraphs</w:t>
      </w:r>
      <w:r w:rsidR="009D0130" w:rsidRPr="009D0130">
        <w:t> </w:t>
      </w:r>
      <w:r w:rsidR="00A1029C" w:rsidRPr="009D0130">
        <w:t>79A(3B)(e)(</w:t>
      </w:r>
      <w:proofErr w:type="spellStart"/>
      <w:r w:rsidR="00A1029C" w:rsidRPr="009D0130">
        <w:t>i</w:t>
      </w:r>
      <w:proofErr w:type="spellEnd"/>
      <w:r w:rsidR="00A1029C" w:rsidRPr="009D0130">
        <w:t>) and (ii)</w:t>
      </w:r>
    </w:p>
    <w:p w:rsidR="00A1029C" w:rsidRPr="009D0130" w:rsidRDefault="00A1029C" w:rsidP="009D0130">
      <w:pPr>
        <w:pStyle w:val="Item"/>
      </w:pPr>
      <w:r w:rsidRPr="009D0130">
        <w:t>Omit “resided”, substitute “had his or her usual place of residence”.</w:t>
      </w:r>
    </w:p>
    <w:p w:rsidR="00A1029C" w:rsidRPr="009D0130" w:rsidRDefault="0004668B" w:rsidP="009D0130">
      <w:pPr>
        <w:pStyle w:val="ItemHead"/>
      </w:pPr>
      <w:r w:rsidRPr="009D0130">
        <w:t>11</w:t>
      </w:r>
      <w:r w:rsidR="00A1029C" w:rsidRPr="009D0130">
        <w:t xml:space="preserve">  Subparagraph 79A(3B)(e)(iv)</w:t>
      </w:r>
    </w:p>
    <w:p w:rsidR="00A1029C" w:rsidRPr="009D0130" w:rsidRDefault="00A1029C" w:rsidP="009D0130">
      <w:pPr>
        <w:pStyle w:val="Item"/>
      </w:pPr>
      <w:r w:rsidRPr="009D0130">
        <w:t>Omit “and” (last occurring).</w:t>
      </w:r>
    </w:p>
    <w:p w:rsidR="00A1029C" w:rsidRPr="009D0130" w:rsidRDefault="0004668B" w:rsidP="009D0130">
      <w:pPr>
        <w:pStyle w:val="ItemHead"/>
      </w:pPr>
      <w:r w:rsidRPr="009D0130">
        <w:t>12</w:t>
      </w:r>
      <w:r w:rsidR="00A1029C" w:rsidRPr="009D0130">
        <w:t xml:space="preserve">  Subparagraph 79A(3B)(e)(v)</w:t>
      </w:r>
    </w:p>
    <w:p w:rsidR="00A1029C" w:rsidRPr="009D0130" w:rsidRDefault="00A1029C" w:rsidP="009D0130">
      <w:pPr>
        <w:pStyle w:val="Item"/>
      </w:pPr>
      <w:r w:rsidRPr="009D0130">
        <w:t>Omit “resided”, substitute “had his or her usual place of residence”.</w:t>
      </w:r>
    </w:p>
    <w:p w:rsidR="00A1029C" w:rsidRPr="009D0130" w:rsidRDefault="0004668B" w:rsidP="009D0130">
      <w:pPr>
        <w:pStyle w:val="ItemHead"/>
      </w:pPr>
      <w:r w:rsidRPr="009D0130">
        <w:t>13</w:t>
      </w:r>
      <w:r w:rsidR="00A1029C" w:rsidRPr="009D0130">
        <w:t xml:space="preserve">  Subsection</w:t>
      </w:r>
      <w:r w:rsidR="009D0130" w:rsidRPr="009D0130">
        <w:t> </w:t>
      </w:r>
      <w:r w:rsidR="00A1029C" w:rsidRPr="009D0130">
        <w:t>79A(3C)</w:t>
      </w:r>
    </w:p>
    <w:p w:rsidR="00A1029C" w:rsidRPr="009D0130" w:rsidRDefault="00A1029C" w:rsidP="009D0130">
      <w:pPr>
        <w:pStyle w:val="Item"/>
      </w:pPr>
      <w:r w:rsidRPr="009D0130">
        <w:t>Omit “residing, or actually being, in a particular area”, substitute “having his or her usual place of residence in a particular area”.</w:t>
      </w:r>
    </w:p>
    <w:p w:rsidR="00A1029C" w:rsidRPr="009D0130" w:rsidRDefault="0004668B" w:rsidP="009D0130">
      <w:pPr>
        <w:pStyle w:val="ItemHead"/>
      </w:pPr>
      <w:r w:rsidRPr="009D0130">
        <w:t>14</w:t>
      </w:r>
      <w:r w:rsidR="00A1029C" w:rsidRPr="009D0130">
        <w:t xml:space="preserve">  Paragraphs 79A(3C)(a) and (b)</w:t>
      </w:r>
    </w:p>
    <w:p w:rsidR="00A1029C" w:rsidRPr="009D0130" w:rsidRDefault="00A1029C" w:rsidP="009D0130">
      <w:pPr>
        <w:pStyle w:val="Item"/>
      </w:pPr>
      <w:r w:rsidRPr="009D0130">
        <w:t>Omit “residing, or actually being,”, substitute “having his or her usual place of residence”.</w:t>
      </w:r>
    </w:p>
    <w:p w:rsidR="00A1029C" w:rsidRPr="009D0130" w:rsidRDefault="0004668B" w:rsidP="009D0130">
      <w:pPr>
        <w:pStyle w:val="ItemHead"/>
      </w:pPr>
      <w:r w:rsidRPr="009D0130">
        <w:t>15</w:t>
      </w:r>
      <w:r w:rsidR="00A1029C" w:rsidRPr="009D0130">
        <w:t xml:space="preserve">  Application of amendments</w:t>
      </w:r>
    </w:p>
    <w:p w:rsidR="00A1029C" w:rsidRPr="009D0130" w:rsidRDefault="00A1029C" w:rsidP="009D0130">
      <w:pPr>
        <w:pStyle w:val="Item"/>
      </w:pPr>
      <w:r w:rsidRPr="009D0130">
        <w:t>The amendments made by this Schedule apply to the 2015</w:t>
      </w:r>
      <w:r w:rsidR="000B2603">
        <w:noBreakHyphen/>
      </w:r>
      <w:r w:rsidRPr="009D0130">
        <w:t>16 year of income and later years of income.</w:t>
      </w:r>
    </w:p>
    <w:p w:rsidR="00051355" w:rsidRPr="009D0130" w:rsidRDefault="00051355" w:rsidP="009D0130">
      <w:pPr>
        <w:pStyle w:val="ActHead6"/>
        <w:pageBreakBefore/>
      </w:pPr>
      <w:bookmarkStart w:id="20" w:name="_Toc436742089"/>
      <w:r w:rsidRPr="009D0130">
        <w:rPr>
          <w:rStyle w:val="CharAmSchNo"/>
        </w:rPr>
        <w:lastRenderedPageBreak/>
        <w:t>Schedule</w:t>
      </w:r>
      <w:r w:rsidR="009D0130" w:rsidRPr="009D0130">
        <w:rPr>
          <w:rStyle w:val="CharAmSchNo"/>
        </w:rPr>
        <w:t> </w:t>
      </w:r>
      <w:r w:rsidRPr="009D0130">
        <w:rPr>
          <w:rStyle w:val="CharAmSchNo"/>
        </w:rPr>
        <w:t>3</w:t>
      </w:r>
      <w:r w:rsidRPr="009D0130">
        <w:t>—</w:t>
      </w:r>
      <w:r w:rsidRPr="009D0130">
        <w:rPr>
          <w:rStyle w:val="CharAmSchText"/>
        </w:rPr>
        <w:t>Limiting FBT concessions on salary packaged entertainment benefits</w:t>
      </w:r>
      <w:bookmarkEnd w:id="20"/>
    </w:p>
    <w:p w:rsidR="00051355" w:rsidRPr="009D0130" w:rsidRDefault="00051355" w:rsidP="009D0130">
      <w:pPr>
        <w:pStyle w:val="Header"/>
      </w:pPr>
      <w:r w:rsidRPr="009D0130">
        <w:rPr>
          <w:rStyle w:val="CharAmPartNo"/>
        </w:rPr>
        <w:t xml:space="preserve"> </w:t>
      </w:r>
      <w:r w:rsidRPr="009D0130">
        <w:rPr>
          <w:rStyle w:val="CharAmPartText"/>
        </w:rPr>
        <w:t xml:space="preserve"> </w:t>
      </w:r>
    </w:p>
    <w:p w:rsidR="00051355" w:rsidRPr="009D0130" w:rsidRDefault="00051355" w:rsidP="009D0130">
      <w:pPr>
        <w:pStyle w:val="ActHead9"/>
        <w:rPr>
          <w:i w:val="0"/>
        </w:rPr>
      </w:pPr>
      <w:bookmarkStart w:id="21" w:name="_Toc436742090"/>
      <w:r w:rsidRPr="009D0130">
        <w:t>Fringe Benefits Tax Assessment Act 1986</w:t>
      </w:r>
      <w:bookmarkEnd w:id="21"/>
    </w:p>
    <w:p w:rsidR="00051355" w:rsidRPr="009D0130" w:rsidRDefault="0004668B" w:rsidP="009D0130">
      <w:pPr>
        <w:pStyle w:val="ItemHead"/>
      </w:pPr>
      <w:r w:rsidRPr="009D0130">
        <w:t>1</w:t>
      </w:r>
      <w:r w:rsidR="00051355" w:rsidRPr="009D0130">
        <w:t xml:space="preserve">  Subsection</w:t>
      </w:r>
      <w:r w:rsidR="009D0130" w:rsidRPr="009D0130">
        <w:t> </w:t>
      </w:r>
      <w:r w:rsidR="00051355" w:rsidRPr="009D0130">
        <w:t>5B(1)</w:t>
      </w:r>
    </w:p>
    <w:p w:rsidR="00051355" w:rsidRPr="009D0130" w:rsidRDefault="00051355" w:rsidP="009D0130">
      <w:pPr>
        <w:pStyle w:val="Item"/>
      </w:pPr>
      <w:r w:rsidRPr="009D0130">
        <w:t>Repeal the subsection.</w:t>
      </w:r>
    </w:p>
    <w:p w:rsidR="00051355" w:rsidRPr="009D0130" w:rsidRDefault="0004668B" w:rsidP="009D0130">
      <w:pPr>
        <w:pStyle w:val="ItemHead"/>
      </w:pPr>
      <w:r w:rsidRPr="009D0130">
        <w:t>2</w:t>
      </w:r>
      <w:r w:rsidR="00051355" w:rsidRPr="009D0130">
        <w:t xml:space="preserve">  Subsection</w:t>
      </w:r>
      <w:r w:rsidR="009D0130" w:rsidRPr="009D0130">
        <w:t> </w:t>
      </w:r>
      <w:r w:rsidR="00051355" w:rsidRPr="009D0130">
        <w:t>5B(1E) (method statement, steps 3 and 4)</w:t>
      </w:r>
    </w:p>
    <w:p w:rsidR="00051355" w:rsidRPr="009D0130" w:rsidRDefault="00051355" w:rsidP="009D0130">
      <w:pPr>
        <w:pStyle w:val="Item"/>
      </w:pPr>
      <w:r w:rsidRPr="009D0130">
        <w:t>Repeal the steps, substitute:</w:t>
      </w:r>
    </w:p>
    <w:p w:rsidR="00051355" w:rsidRPr="009D0130" w:rsidRDefault="00051355" w:rsidP="009D0130">
      <w:pPr>
        <w:pStyle w:val="BoxStep"/>
      </w:pPr>
      <w:r w:rsidRPr="009D0130">
        <w:t>Step 3.</w:t>
      </w:r>
      <w:r w:rsidRPr="009D0130">
        <w:tab/>
        <w:t>If step 2 does not apply in respect of one or more employees of the employer, reduce the individual grossed</w:t>
      </w:r>
      <w:r w:rsidR="000B2603">
        <w:noBreakHyphen/>
      </w:r>
      <w:r w:rsidRPr="009D0130">
        <w:t>up non</w:t>
      </w:r>
      <w:r w:rsidR="000B2603">
        <w:noBreakHyphen/>
      </w:r>
      <w:r w:rsidRPr="009D0130">
        <w:t>exempt amount for each such employee by $30,000, but not below nil.</w:t>
      </w:r>
    </w:p>
    <w:p w:rsidR="00051355" w:rsidRPr="009D0130" w:rsidRDefault="00051355" w:rsidP="009D0130">
      <w:pPr>
        <w:pStyle w:val="BoxStep"/>
      </w:pPr>
      <w:r w:rsidRPr="009D0130">
        <w:t>Step 4.</w:t>
      </w:r>
      <w:r w:rsidRPr="009D0130">
        <w:tab/>
        <w:t>If the amount calculated under step 2 or 3 in respect of an employee is positive, reduce that amount (but not below nil) by the lesser of:</w:t>
      </w:r>
    </w:p>
    <w:p w:rsidR="00051355" w:rsidRPr="009D0130" w:rsidRDefault="00051355" w:rsidP="009D0130">
      <w:pPr>
        <w:pStyle w:val="BoxPara"/>
      </w:pPr>
      <w:r w:rsidRPr="009D0130">
        <w:tab/>
        <w:t>(a)</w:t>
      </w:r>
      <w:r w:rsidRPr="009D0130">
        <w:tab/>
        <w:t>$5,000; and</w:t>
      </w:r>
    </w:p>
    <w:p w:rsidR="00051355" w:rsidRPr="009D0130" w:rsidRDefault="00051355" w:rsidP="009D0130">
      <w:pPr>
        <w:pStyle w:val="BoxPara"/>
      </w:pPr>
      <w:r w:rsidRPr="009D0130">
        <w:tab/>
        <w:t>(b)</w:t>
      </w:r>
      <w:r w:rsidRPr="009D0130">
        <w:tab/>
        <w:t>so much of the employee’s individual grossed</w:t>
      </w:r>
      <w:r w:rsidR="000B2603">
        <w:noBreakHyphen/>
      </w:r>
      <w:r w:rsidRPr="009D0130">
        <w:t>up non</w:t>
      </w:r>
      <w:r w:rsidR="000B2603">
        <w:noBreakHyphen/>
      </w:r>
      <w:r w:rsidRPr="009D0130">
        <w:t xml:space="preserve">exempt amount as relates to benefits covered by </w:t>
      </w:r>
      <w:r w:rsidR="009D0130" w:rsidRPr="009D0130">
        <w:t>subsection (</w:t>
      </w:r>
      <w:r w:rsidRPr="009D0130">
        <w:t>1M) (about salary packaged meal entertainment and entertainment facility leasing benefits).</w:t>
      </w:r>
    </w:p>
    <w:p w:rsidR="00051355" w:rsidRPr="009D0130" w:rsidRDefault="00051355" w:rsidP="009D0130">
      <w:pPr>
        <w:pStyle w:val="BoxStep"/>
      </w:pPr>
      <w:r w:rsidRPr="009D0130">
        <w:t>Step 5.</w:t>
      </w:r>
      <w:r w:rsidRPr="009D0130">
        <w:tab/>
        <w:t>Add together the amounts calculated under step 4</w:t>
      </w:r>
      <w:r w:rsidRPr="009D0130">
        <w:rPr>
          <w:i/>
        </w:rPr>
        <w:t xml:space="preserve"> </w:t>
      </w:r>
      <w:r w:rsidRPr="009D0130">
        <w:t xml:space="preserve">in relation to the employees of the employer. The total amount is the employer’s </w:t>
      </w:r>
      <w:r w:rsidRPr="009D0130">
        <w:rPr>
          <w:b/>
          <w:i/>
        </w:rPr>
        <w:t>aggregate non</w:t>
      </w:r>
      <w:r w:rsidR="000B2603">
        <w:rPr>
          <w:b/>
          <w:i/>
        </w:rPr>
        <w:noBreakHyphen/>
      </w:r>
      <w:r w:rsidRPr="009D0130">
        <w:rPr>
          <w:b/>
          <w:i/>
        </w:rPr>
        <w:t>exempt amount</w:t>
      </w:r>
      <w:r w:rsidRPr="009D0130">
        <w:t xml:space="preserve"> for the year of tax.</w:t>
      </w:r>
    </w:p>
    <w:p w:rsidR="00051355" w:rsidRPr="009D0130" w:rsidRDefault="0004668B" w:rsidP="009D0130">
      <w:pPr>
        <w:pStyle w:val="ItemHead"/>
      </w:pPr>
      <w:r w:rsidRPr="009D0130">
        <w:t>3</w:t>
      </w:r>
      <w:r w:rsidR="00051355" w:rsidRPr="009D0130">
        <w:t xml:space="preserve">  After subsection</w:t>
      </w:r>
      <w:r w:rsidR="009D0130" w:rsidRPr="009D0130">
        <w:t> </w:t>
      </w:r>
      <w:r w:rsidR="00051355" w:rsidRPr="009D0130">
        <w:t>5B(1L)</w:t>
      </w:r>
    </w:p>
    <w:p w:rsidR="00051355" w:rsidRPr="009D0130" w:rsidRDefault="00051355" w:rsidP="009D0130">
      <w:pPr>
        <w:pStyle w:val="Item"/>
      </w:pPr>
      <w:r w:rsidRPr="009D0130">
        <w:t>Insert:</w:t>
      </w:r>
    </w:p>
    <w:p w:rsidR="00051355" w:rsidRPr="009D0130" w:rsidRDefault="00051355" w:rsidP="009D0130">
      <w:pPr>
        <w:pStyle w:val="SubsectionHead"/>
      </w:pPr>
      <w:r w:rsidRPr="009D0130">
        <w:lastRenderedPageBreak/>
        <w:t>Salary packaged meal entertainment and entertainment facility leasing benefits</w:t>
      </w:r>
    </w:p>
    <w:p w:rsidR="00051355" w:rsidRPr="009D0130" w:rsidRDefault="00051355" w:rsidP="009D0130">
      <w:pPr>
        <w:pStyle w:val="subsection"/>
      </w:pPr>
      <w:r w:rsidRPr="009D0130">
        <w:tab/>
        <w:t>(1M)</w:t>
      </w:r>
      <w:r w:rsidRPr="009D0130">
        <w:tab/>
        <w:t>This subsection covers a benefit that is provided under a salary packaging arrangement if:</w:t>
      </w:r>
    </w:p>
    <w:p w:rsidR="00051355" w:rsidRPr="009D0130" w:rsidRDefault="00051355" w:rsidP="009D0130">
      <w:pPr>
        <w:pStyle w:val="paragraph"/>
      </w:pPr>
      <w:r w:rsidRPr="009D0130">
        <w:tab/>
        <w:t>(a)</w:t>
      </w:r>
      <w:r w:rsidRPr="009D0130">
        <w:tab/>
        <w:t>the benefit is constituted by the provision of meal entertainment (as defined in section</w:t>
      </w:r>
      <w:r w:rsidR="009D0130" w:rsidRPr="009D0130">
        <w:t> </w:t>
      </w:r>
      <w:r w:rsidRPr="009D0130">
        <w:t>37AD, whether or not the employer has elected that Division</w:t>
      </w:r>
      <w:r w:rsidR="009D0130" w:rsidRPr="009D0130">
        <w:t> </w:t>
      </w:r>
      <w:r w:rsidRPr="009D0130">
        <w:t>9A of Part</w:t>
      </w:r>
      <w:r w:rsidR="009D0130" w:rsidRPr="009D0130">
        <w:t> </w:t>
      </w:r>
      <w:r w:rsidRPr="009D0130">
        <w:t>III apply to the employer); or</w:t>
      </w:r>
    </w:p>
    <w:p w:rsidR="00051355" w:rsidRPr="009D0130" w:rsidRDefault="00051355" w:rsidP="009D0130">
      <w:pPr>
        <w:pStyle w:val="paragraph"/>
      </w:pPr>
      <w:r w:rsidRPr="009D0130">
        <w:tab/>
        <w:t>(b)</w:t>
      </w:r>
      <w:r w:rsidRPr="009D0130">
        <w:tab/>
        <w:t>the benefit is wholly or partly attributable to entertainment facility leasing expenses.</w:t>
      </w:r>
    </w:p>
    <w:p w:rsidR="00051355" w:rsidRPr="009D0130" w:rsidRDefault="0004668B" w:rsidP="009D0130">
      <w:pPr>
        <w:pStyle w:val="ItemHead"/>
      </w:pPr>
      <w:r w:rsidRPr="009D0130">
        <w:t>4</w:t>
      </w:r>
      <w:r w:rsidR="00051355" w:rsidRPr="009D0130">
        <w:t xml:space="preserve">  Paragraph 5E(3)(a)</w:t>
      </w:r>
    </w:p>
    <w:p w:rsidR="00051355" w:rsidRPr="009D0130" w:rsidRDefault="00051355" w:rsidP="009D0130">
      <w:pPr>
        <w:pStyle w:val="Item"/>
      </w:pPr>
      <w:r w:rsidRPr="009D0130">
        <w:t>Repeal the paragraph, substitute:</w:t>
      </w:r>
    </w:p>
    <w:p w:rsidR="00051355" w:rsidRPr="009D0130" w:rsidRDefault="00051355" w:rsidP="009D0130">
      <w:pPr>
        <w:pStyle w:val="paragraph"/>
      </w:pPr>
      <w:r w:rsidRPr="009D0130">
        <w:tab/>
        <w:t>(a)</w:t>
      </w:r>
      <w:r w:rsidRPr="009D0130">
        <w:tab/>
        <w:t>that is:</w:t>
      </w:r>
    </w:p>
    <w:p w:rsidR="00051355" w:rsidRPr="009D0130" w:rsidRDefault="00051355" w:rsidP="009D0130">
      <w:pPr>
        <w:pStyle w:val="paragraphsub"/>
      </w:pPr>
      <w:r w:rsidRPr="009D0130">
        <w:tab/>
        <w:t>(</w:t>
      </w:r>
      <w:proofErr w:type="spellStart"/>
      <w:r w:rsidRPr="009D0130">
        <w:t>i</w:t>
      </w:r>
      <w:proofErr w:type="spellEnd"/>
      <w:r w:rsidRPr="009D0130">
        <w:t>)</w:t>
      </w:r>
      <w:r w:rsidRPr="009D0130">
        <w:tab/>
        <w:t>constituted by the provision of meal entertainment (as defined in section</w:t>
      </w:r>
      <w:r w:rsidR="009D0130" w:rsidRPr="009D0130">
        <w:t> </w:t>
      </w:r>
      <w:r w:rsidRPr="009D0130">
        <w:t>37AD, whether or not the employer has elected that Division</w:t>
      </w:r>
      <w:r w:rsidR="009D0130" w:rsidRPr="009D0130">
        <w:t> </w:t>
      </w:r>
      <w:r w:rsidRPr="009D0130">
        <w:t>9A of Part</w:t>
      </w:r>
      <w:r w:rsidR="009D0130" w:rsidRPr="009D0130">
        <w:t> </w:t>
      </w:r>
      <w:r w:rsidRPr="009D0130">
        <w:t>III apply to the employer); and</w:t>
      </w:r>
    </w:p>
    <w:p w:rsidR="00051355" w:rsidRPr="009D0130" w:rsidRDefault="00051355" w:rsidP="009D0130">
      <w:pPr>
        <w:pStyle w:val="paragraphsub"/>
      </w:pPr>
      <w:r w:rsidRPr="009D0130">
        <w:tab/>
        <w:t>(ii)</w:t>
      </w:r>
      <w:r w:rsidRPr="009D0130">
        <w:tab/>
      </w:r>
      <w:r w:rsidRPr="009D0130">
        <w:rPr>
          <w:i/>
        </w:rPr>
        <w:t>not</w:t>
      </w:r>
      <w:r w:rsidRPr="009D0130">
        <w:t xml:space="preserve"> provided under a salary packaging arrangement; or</w:t>
      </w:r>
    </w:p>
    <w:p w:rsidR="00051355" w:rsidRPr="009D0130" w:rsidRDefault="0004668B" w:rsidP="009D0130">
      <w:pPr>
        <w:pStyle w:val="ItemHead"/>
      </w:pPr>
      <w:r w:rsidRPr="009D0130">
        <w:t>5</w:t>
      </w:r>
      <w:r w:rsidR="00051355" w:rsidRPr="009D0130">
        <w:t xml:space="preserve">  Paragraph 5E(3)(c)</w:t>
      </w:r>
    </w:p>
    <w:p w:rsidR="00051355" w:rsidRPr="009D0130" w:rsidRDefault="00051355" w:rsidP="009D0130">
      <w:pPr>
        <w:pStyle w:val="Item"/>
      </w:pPr>
      <w:r w:rsidRPr="009D0130">
        <w:t>Repeal the paragraph, substitute:</w:t>
      </w:r>
    </w:p>
    <w:p w:rsidR="00051355" w:rsidRPr="009D0130" w:rsidRDefault="00051355" w:rsidP="009D0130">
      <w:pPr>
        <w:pStyle w:val="paragraph"/>
      </w:pPr>
      <w:r w:rsidRPr="009D0130">
        <w:tab/>
        <w:t>(c)</w:t>
      </w:r>
      <w:r w:rsidRPr="009D0130">
        <w:tab/>
        <w:t>that is:</w:t>
      </w:r>
    </w:p>
    <w:p w:rsidR="00051355" w:rsidRPr="009D0130" w:rsidRDefault="00051355" w:rsidP="009D0130">
      <w:pPr>
        <w:pStyle w:val="paragraphsub"/>
      </w:pPr>
      <w:r w:rsidRPr="009D0130">
        <w:tab/>
        <w:t>(</w:t>
      </w:r>
      <w:proofErr w:type="spellStart"/>
      <w:r w:rsidRPr="009D0130">
        <w:t>i</w:t>
      </w:r>
      <w:proofErr w:type="spellEnd"/>
      <w:r w:rsidRPr="009D0130">
        <w:t>)</w:t>
      </w:r>
      <w:r w:rsidRPr="009D0130">
        <w:tab/>
        <w:t>a benefit whose taxable value is wholly or partly attributable to entertainment facility leasing expenses; and</w:t>
      </w:r>
    </w:p>
    <w:p w:rsidR="00051355" w:rsidRPr="009D0130" w:rsidRDefault="00051355" w:rsidP="009D0130">
      <w:pPr>
        <w:pStyle w:val="paragraphsub"/>
      </w:pPr>
      <w:r w:rsidRPr="009D0130">
        <w:tab/>
        <w:t>(ii)</w:t>
      </w:r>
      <w:r w:rsidRPr="009D0130">
        <w:tab/>
      </w:r>
      <w:r w:rsidRPr="009D0130">
        <w:rPr>
          <w:i/>
        </w:rPr>
        <w:t>not</w:t>
      </w:r>
      <w:r w:rsidRPr="009D0130">
        <w:t xml:space="preserve"> provided under a salary packaging arrangement; or</w:t>
      </w:r>
    </w:p>
    <w:p w:rsidR="00051355" w:rsidRPr="009D0130" w:rsidRDefault="0004668B" w:rsidP="009D0130">
      <w:pPr>
        <w:pStyle w:val="ItemHead"/>
      </w:pPr>
      <w:r w:rsidRPr="009D0130">
        <w:t>6</w:t>
      </w:r>
      <w:r w:rsidR="00051355" w:rsidRPr="009D0130">
        <w:t xml:space="preserve">  Section</w:t>
      </w:r>
      <w:r w:rsidR="009D0130" w:rsidRPr="009D0130">
        <w:t> </w:t>
      </w:r>
      <w:r w:rsidR="00051355" w:rsidRPr="009D0130">
        <w:t>37AC</w:t>
      </w:r>
    </w:p>
    <w:p w:rsidR="00051355" w:rsidRPr="009D0130" w:rsidRDefault="00051355" w:rsidP="009D0130">
      <w:pPr>
        <w:pStyle w:val="Item"/>
      </w:pPr>
      <w:r w:rsidRPr="009D0130">
        <w:t>Repeal the section, substitute:</w:t>
      </w:r>
    </w:p>
    <w:p w:rsidR="00051355" w:rsidRPr="009D0130" w:rsidRDefault="00051355" w:rsidP="009D0130">
      <w:pPr>
        <w:pStyle w:val="ActHead5"/>
      </w:pPr>
      <w:bookmarkStart w:id="22" w:name="_Toc436742091"/>
      <w:r w:rsidRPr="009D0130">
        <w:rPr>
          <w:rStyle w:val="CharSectno"/>
        </w:rPr>
        <w:t>37AC</w:t>
      </w:r>
      <w:r w:rsidRPr="009D0130">
        <w:t xml:space="preserve">  Meal entertainment benefits</w:t>
      </w:r>
      <w:bookmarkEnd w:id="22"/>
    </w:p>
    <w:p w:rsidR="00051355" w:rsidRPr="009D0130" w:rsidRDefault="00051355" w:rsidP="009D0130">
      <w:pPr>
        <w:pStyle w:val="subsection"/>
      </w:pPr>
      <w:r w:rsidRPr="009D0130">
        <w:tab/>
      </w:r>
      <w:r w:rsidRPr="009D0130">
        <w:tab/>
        <w:t>If, at a particular time:</w:t>
      </w:r>
    </w:p>
    <w:p w:rsidR="00051355" w:rsidRPr="009D0130" w:rsidRDefault="00051355" w:rsidP="009D0130">
      <w:pPr>
        <w:pStyle w:val="paragraph"/>
      </w:pPr>
      <w:r w:rsidRPr="009D0130">
        <w:tab/>
        <w:t>(a)</w:t>
      </w:r>
      <w:r w:rsidRPr="009D0130">
        <w:tab/>
        <w:t xml:space="preserve">an employer (the </w:t>
      </w:r>
      <w:r w:rsidRPr="009D0130">
        <w:rPr>
          <w:b/>
          <w:i/>
        </w:rPr>
        <w:t>provider</w:t>
      </w:r>
      <w:r w:rsidRPr="009D0130">
        <w:t xml:space="preserve">) to whom this Division applies provides meal entertainment to another person (the </w:t>
      </w:r>
      <w:r w:rsidRPr="009D0130">
        <w:rPr>
          <w:b/>
          <w:i/>
        </w:rPr>
        <w:t>recipient</w:t>
      </w:r>
      <w:r w:rsidRPr="009D0130">
        <w:t>); and</w:t>
      </w:r>
    </w:p>
    <w:p w:rsidR="00051355" w:rsidRPr="009D0130" w:rsidRDefault="00051355" w:rsidP="009D0130">
      <w:pPr>
        <w:pStyle w:val="paragraph"/>
      </w:pPr>
      <w:r w:rsidRPr="009D0130">
        <w:lastRenderedPageBreak/>
        <w:tab/>
        <w:t>(b)</w:t>
      </w:r>
      <w:r w:rsidRPr="009D0130">
        <w:tab/>
        <w:t>the meal entertainment is not provided under a salary packaging arrangement;</w:t>
      </w:r>
    </w:p>
    <w:p w:rsidR="00051355" w:rsidRPr="009D0130" w:rsidRDefault="00051355" w:rsidP="009D0130">
      <w:pPr>
        <w:pStyle w:val="subsection2"/>
      </w:pPr>
      <w:r w:rsidRPr="009D0130">
        <w:t xml:space="preserve"> the provision of the meal entertainment is a meal entertainment benefit provided by the provider to the recipient at that time.</w:t>
      </w:r>
    </w:p>
    <w:p w:rsidR="00051355" w:rsidRPr="009D0130" w:rsidRDefault="0004668B" w:rsidP="009D0130">
      <w:pPr>
        <w:pStyle w:val="ItemHead"/>
      </w:pPr>
      <w:r w:rsidRPr="009D0130">
        <w:t>7</w:t>
      </w:r>
      <w:r w:rsidR="00051355" w:rsidRPr="009D0130">
        <w:t xml:space="preserve">  Subsection</w:t>
      </w:r>
      <w:r w:rsidR="009D0130" w:rsidRPr="009D0130">
        <w:t> </w:t>
      </w:r>
      <w:r w:rsidR="00051355" w:rsidRPr="009D0130">
        <w:t>65J(2B) (method statement, steps 2 and 3)</w:t>
      </w:r>
    </w:p>
    <w:p w:rsidR="00051355" w:rsidRPr="009D0130" w:rsidRDefault="00051355" w:rsidP="009D0130">
      <w:pPr>
        <w:pStyle w:val="Item"/>
      </w:pPr>
      <w:r w:rsidRPr="009D0130">
        <w:t>Repeal the steps (including the note), substitute:</w:t>
      </w:r>
    </w:p>
    <w:p w:rsidR="00051355" w:rsidRPr="009D0130" w:rsidRDefault="00051355" w:rsidP="009D0130">
      <w:pPr>
        <w:pStyle w:val="BoxStep"/>
      </w:pPr>
      <w:r w:rsidRPr="009D0130">
        <w:t>Step 2.</w:t>
      </w:r>
      <w:r w:rsidRPr="009D0130">
        <w:tab/>
        <w:t>Reduce the individual grossed</w:t>
      </w:r>
      <w:r w:rsidR="000B2603">
        <w:noBreakHyphen/>
      </w:r>
      <w:r w:rsidRPr="009D0130">
        <w:t>up non</w:t>
      </w:r>
      <w:r w:rsidR="000B2603">
        <w:noBreakHyphen/>
      </w:r>
      <w:proofErr w:type="spellStart"/>
      <w:r w:rsidRPr="009D0130">
        <w:t>rebatable</w:t>
      </w:r>
      <w:proofErr w:type="spellEnd"/>
      <w:r w:rsidRPr="009D0130">
        <w:t xml:space="preserve"> amount for each employee of the employer by $30,000, but not below zero.</w:t>
      </w:r>
    </w:p>
    <w:p w:rsidR="00051355" w:rsidRPr="009D0130" w:rsidRDefault="00051355" w:rsidP="009D0130">
      <w:pPr>
        <w:pStyle w:val="BoxStep"/>
      </w:pPr>
      <w:r w:rsidRPr="009D0130">
        <w:t>Step 2A.</w:t>
      </w:r>
      <w:r w:rsidRPr="009D0130">
        <w:tab/>
        <w:t>If the amount calculated under step 2 in relation to an employee is positive, reduce that amount (but not below zero) by the lesser of:</w:t>
      </w:r>
    </w:p>
    <w:p w:rsidR="00051355" w:rsidRPr="009D0130" w:rsidRDefault="00051355" w:rsidP="009D0130">
      <w:pPr>
        <w:pStyle w:val="BoxPara"/>
      </w:pPr>
      <w:r w:rsidRPr="009D0130">
        <w:tab/>
        <w:t>(a)</w:t>
      </w:r>
      <w:r w:rsidRPr="009D0130">
        <w:tab/>
        <w:t>$5,000; and</w:t>
      </w:r>
    </w:p>
    <w:p w:rsidR="00051355" w:rsidRPr="009D0130" w:rsidRDefault="00051355" w:rsidP="009D0130">
      <w:pPr>
        <w:pStyle w:val="BoxPara"/>
      </w:pPr>
      <w:r w:rsidRPr="009D0130">
        <w:tab/>
        <w:t>(b)</w:t>
      </w:r>
      <w:r w:rsidRPr="009D0130">
        <w:tab/>
        <w:t>so much of the employee’s individual grossed</w:t>
      </w:r>
      <w:r w:rsidR="000B2603">
        <w:noBreakHyphen/>
      </w:r>
      <w:r w:rsidRPr="009D0130">
        <w:t>up non</w:t>
      </w:r>
      <w:r w:rsidR="000B2603">
        <w:noBreakHyphen/>
      </w:r>
      <w:proofErr w:type="spellStart"/>
      <w:r w:rsidRPr="009D0130">
        <w:t>rebatable</w:t>
      </w:r>
      <w:proofErr w:type="spellEnd"/>
      <w:r w:rsidRPr="009D0130">
        <w:t xml:space="preserve"> amount as relates to benefits covered by </w:t>
      </w:r>
      <w:r w:rsidR="009D0130" w:rsidRPr="009D0130">
        <w:t>subsection (</w:t>
      </w:r>
      <w:r w:rsidRPr="009D0130">
        <w:t>2J) (about salary packaged meal entertainment and entertainment facility leasing benefits).</w:t>
      </w:r>
    </w:p>
    <w:p w:rsidR="00051355" w:rsidRPr="009D0130" w:rsidRDefault="00051355" w:rsidP="009D0130">
      <w:pPr>
        <w:pStyle w:val="BoxStep"/>
      </w:pPr>
      <w:r w:rsidRPr="009D0130">
        <w:t>Step 3.</w:t>
      </w:r>
      <w:r w:rsidRPr="009D0130">
        <w:tab/>
        <w:t>Add up the results of step 2A for all the employer’s employees.</w:t>
      </w:r>
    </w:p>
    <w:p w:rsidR="00051355" w:rsidRPr="009D0130" w:rsidRDefault="0004668B" w:rsidP="009D0130">
      <w:pPr>
        <w:pStyle w:val="ItemHead"/>
      </w:pPr>
      <w:r w:rsidRPr="009D0130">
        <w:t>8</w:t>
      </w:r>
      <w:r w:rsidR="00051355" w:rsidRPr="009D0130">
        <w:t xml:space="preserve">  After subsection</w:t>
      </w:r>
      <w:r w:rsidR="009D0130" w:rsidRPr="009D0130">
        <w:t> </w:t>
      </w:r>
      <w:r w:rsidR="00051355" w:rsidRPr="009D0130">
        <w:t>65J(2H)</w:t>
      </w:r>
    </w:p>
    <w:p w:rsidR="00051355" w:rsidRPr="009D0130" w:rsidRDefault="00051355" w:rsidP="009D0130">
      <w:pPr>
        <w:pStyle w:val="Item"/>
      </w:pPr>
      <w:r w:rsidRPr="009D0130">
        <w:t>Insert:</w:t>
      </w:r>
    </w:p>
    <w:p w:rsidR="00051355" w:rsidRPr="009D0130" w:rsidRDefault="00051355" w:rsidP="009D0130">
      <w:pPr>
        <w:pStyle w:val="SubsectionHead"/>
      </w:pPr>
      <w:r w:rsidRPr="009D0130">
        <w:t>Salary packaged meal entertainment and entertainment facility leasing benefits</w:t>
      </w:r>
    </w:p>
    <w:p w:rsidR="00051355" w:rsidRPr="009D0130" w:rsidRDefault="00051355" w:rsidP="009D0130">
      <w:pPr>
        <w:pStyle w:val="subsection"/>
      </w:pPr>
      <w:r w:rsidRPr="009D0130">
        <w:tab/>
        <w:t>(2J)</w:t>
      </w:r>
      <w:r w:rsidRPr="009D0130">
        <w:tab/>
        <w:t>This subsection covers a benefit that is provided under a salary packaging arrangement if:</w:t>
      </w:r>
    </w:p>
    <w:p w:rsidR="00051355" w:rsidRPr="009D0130" w:rsidRDefault="00051355" w:rsidP="009D0130">
      <w:pPr>
        <w:pStyle w:val="paragraph"/>
      </w:pPr>
      <w:r w:rsidRPr="009D0130">
        <w:tab/>
        <w:t>(a)</w:t>
      </w:r>
      <w:r w:rsidRPr="009D0130">
        <w:tab/>
        <w:t>the benefit is constituted by the provision of meal entertainment (as defined in section</w:t>
      </w:r>
      <w:r w:rsidR="009D0130" w:rsidRPr="009D0130">
        <w:t> </w:t>
      </w:r>
      <w:r w:rsidRPr="009D0130">
        <w:t>37AD, whether or not the employer has elected that Division</w:t>
      </w:r>
      <w:r w:rsidR="009D0130" w:rsidRPr="009D0130">
        <w:t> </w:t>
      </w:r>
      <w:r w:rsidRPr="009D0130">
        <w:t>9A of Part</w:t>
      </w:r>
      <w:r w:rsidR="009D0130" w:rsidRPr="009D0130">
        <w:t> </w:t>
      </w:r>
      <w:r w:rsidRPr="009D0130">
        <w:t>III apply to the employer); or</w:t>
      </w:r>
    </w:p>
    <w:p w:rsidR="00051355" w:rsidRPr="009D0130" w:rsidRDefault="00051355" w:rsidP="009D0130">
      <w:pPr>
        <w:pStyle w:val="paragraph"/>
      </w:pPr>
      <w:r w:rsidRPr="009D0130">
        <w:lastRenderedPageBreak/>
        <w:tab/>
        <w:t>(b)</w:t>
      </w:r>
      <w:r w:rsidRPr="009D0130">
        <w:tab/>
        <w:t>the benefit is wholly or partly attributable to entertainment facility leasing expenses.</w:t>
      </w:r>
    </w:p>
    <w:p w:rsidR="00051355" w:rsidRPr="009D0130" w:rsidRDefault="0004668B" w:rsidP="009D0130">
      <w:pPr>
        <w:pStyle w:val="ItemHead"/>
      </w:pPr>
      <w:r w:rsidRPr="009D0130">
        <w:t>9</w:t>
      </w:r>
      <w:r w:rsidR="00051355" w:rsidRPr="009D0130">
        <w:t xml:space="preserve">  Subsection</w:t>
      </w:r>
      <w:r w:rsidR="009D0130" w:rsidRPr="009D0130">
        <w:t> </w:t>
      </w:r>
      <w:r w:rsidR="00051355" w:rsidRPr="009D0130">
        <w:t xml:space="preserve">136(1) (definition of </w:t>
      </w:r>
      <w:r w:rsidR="00051355" w:rsidRPr="009D0130">
        <w:rPr>
          <w:i/>
        </w:rPr>
        <w:t>salary packaging arrangement</w:t>
      </w:r>
      <w:r w:rsidR="00051355" w:rsidRPr="009D0130">
        <w:t>)</w:t>
      </w:r>
    </w:p>
    <w:p w:rsidR="00051355" w:rsidRPr="009D0130" w:rsidRDefault="00051355" w:rsidP="009D0130">
      <w:pPr>
        <w:pStyle w:val="Item"/>
      </w:pPr>
      <w:r w:rsidRPr="009D0130">
        <w:t>After “an employee”, insert “, or an associate of an employee,”.</w:t>
      </w:r>
    </w:p>
    <w:p w:rsidR="00051355" w:rsidRPr="009D0130" w:rsidRDefault="0004668B" w:rsidP="009D0130">
      <w:pPr>
        <w:pStyle w:val="ItemHead"/>
      </w:pPr>
      <w:r w:rsidRPr="009D0130">
        <w:t>10</w:t>
      </w:r>
      <w:r w:rsidR="00051355" w:rsidRPr="009D0130">
        <w:t xml:space="preserve">  Section</w:t>
      </w:r>
      <w:r w:rsidR="009D0130" w:rsidRPr="009D0130">
        <w:t> </w:t>
      </w:r>
      <w:r w:rsidR="00051355" w:rsidRPr="009D0130">
        <w:t>152B</w:t>
      </w:r>
    </w:p>
    <w:p w:rsidR="00051355" w:rsidRPr="009D0130" w:rsidRDefault="00051355" w:rsidP="009D0130">
      <w:pPr>
        <w:pStyle w:val="Item"/>
      </w:pPr>
      <w:r w:rsidRPr="009D0130">
        <w:t>Omit “If:”, substitute “(1) If:”.</w:t>
      </w:r>
    </w:p>
    <w:p w:rsidR="00051355" w:rsidRPr="009D0130" w:rsidRDefault="0004668B" w:rsidP="009D0130">
      <w:pPr>
        <w:pStyle w:val="ItemHead"/>
      </w:pPr>
      <w:r w:rsidRPr="009D0130">
        <w:t>11</w:t>
      </w:r>
      <w:r w:rsidR="00051355" w:rsidRPr="009D0130">
        <w:t xml:space="preserve">  At the end of section</w:t>
      </w:r>
      <w:r w:rsidR="009D0130" w:rsidRPr="009D0130">
        <w:t> </w:t>
      </w:r>
      <w:r w:rsidR="00051355" w:rsidRPr="009D0130">
        <w:t>152B</w:t>
      </w:r>
    </w:p>
    <w:p w:rsidR="00051355" w:rsidRPr="009D0130" w:rsidRDefault="00051355" w:rsidP="009D0130">
      <w:pPr>
        <w:pStyle w:val="Item"/>
      </w:pPr>
      <w:r w:rsidRPr="009D0130">
        <w:t>Add:</w:t>
      </w:r>
    </w:p>
    <w:p w:rsidR="00051355" w:rsidRPr="009D0130" w:rsidRDefault="00051355" w:rsidP="009D0130">
      <w:pPr>
        <w:pStyle w:val="subsection"/>
      </w:pPr>
      <w:r w:rsidRPr="009D0130">
        <w:tab/>
        <w:t>(2)</w:t>
      </w:r>
      <w:r w:rsidRPr="009D0130">
        <w:tab/>
        <w:t>This section does not apply to a fringe benefit provided under a salary packaging arrangement.</w:t>
      </w:r>
    </w:p>
    <w:p w:rsidR="00051355" w:rsidRPr="009D0130" w:rsidRDefault="0004668B" w:rsidP="009D0130">
      <w:pPr>
        <w:pStyle w:val="ItemHead"/>
      </w:pPr>
      <w:r w:rsidRPr="009D0130">
        <w:t>12</w:t>
      </w:r>
      <w:r w:rsidR="00051355" w:rsidRPr="009D0130">
        <w:t xml:space="preserve">  Application</w:t>
      </w:r>
      <w:r w:rsidR="000B5895" w:rsidRPr="009D0130">
        <w:t xml:space="preserve"> of amendments</w:t>
      </w:r>
    </w:p>
    <w:p w:rsidR="00051355" w:rsidRPr="009D0130" w:rsidRDefault="00051355" w:rsidP="009D0130">
      <w:pPr>
        <w:pStyle w:val="Item"/>
      </w:pPr>
      <w:r w:rsidRPr="009D0130">
        <w:t>The amendments made by this Schedule apply to assessments for the year of tax starting on 1</w:t>
      </w:r>
      <w:r w:rsidR="009D0130" w:rsidRPr="009D0130">
        <w:t> </w:t>
      </w:r>
      <w:r w:rsidRPr="009D0130">
        <w:t>April 2016 and later years of tax.</w:t>
      </w:r>
    </w:p>
    <w:p w:rsidR="00051355" w:rsidRPr="009D0130" w:rsidRDefault="00051355" w:rsidP="009D0130">
      <w:pPr>
        <w:pStyle w:val="ActHead6"/>
        <w:pageBreakBefore/>
      </w:pPr>
      <w:bookmarkStart w:id="23" w:name="_Toc436742092"/>
      <w:bookmarkStart w:id="24" w:name="opcCurrentFind"/>
      <w:r w:rsidRPr="009D0130">
        <w:rPr>
          <w:rStyle w:val="CharAmSchNo"/>
        </w:rPr>
        <w:lastRenderedPageBreak/>
        <w:t>Schedule</w:t>
      </w:r>
      <w:r w:rsidR="009D0130" w:rsidRPr="009D0130">
        <w:rPr>
          <w:rStyle w:val="CharAmSchNo"/>
        </w:rPr>
        <w:t> </w:t>
      </w:r>
      <w:r w:rsidRPr="009D0130">
        <w:rPr>
          <w:rStyle w:val="CharAmSchNo"/>
        </w:rPr>
        <w:t>4</w:t>
      </w:r>
      <w:r w:rsidRPr="009D0130">
        <w:t>—</w:t>
      </w:r>
      <w:r w:rsidRPr="009D0130">
        <w:rPr>
          <w:rStyle w:val="CharAmSchText"/>
        </w:rPr>
        <w:t>Third party reporting</w:t>
      </w:r>
      <w:bookmarkEnd w:id="23"/>
    </w:p>
    <w:p w:rsidR="00051355" w:rsidRPr="009D0130" w:rsidRDefault="00051355" w:rsidP="009D0130">
      <w:pPr>
        <w:pStyle w:val="ActHead7"/>
      </w:pPr>
      <w:bookmarkStart w:id="25" w:name="_Toc436742093"/>
      <w:bookmarkEnd w:id="24"/>
      <w:r w:rsidRPr="009D0130">
        <w:rPr>
          <w:rStyle w:val="CharAmPartNo"/>
        </w:rPr>
        <w:t>Part</w:t>
      </w:r>
      <w:r w:rsidR="009D0130" w:rsidRPr="009D0130">
        <w:rPr>
          <w:rStyle w:val="CharAmPartNo"/>
        </w:rPr>
        <w:t> </w:t>
      </w:r>
      <w:r w:rsidRPr="009D0130">
        <w:rPr>
          <w:rStyle w:val="CharAmPartNo"/>
        </w:rPr>
        <w:t>1</w:t>
      </w:r>
      <w:r w:rsidRPr="009D0130">
        <w:t>—</w:t>
      </w:r>
      <w:r w:rsidRPr="009D0130">
        <w:rPr>
          <w:rStyle w:val="CharAmPartText"/>
        </w:rPr>
        <w:t>Main amendments</w:t>
      </w:r>
      <w:bookmarkEnd w:id="25"/>
    </w:p>
    <w:p w:rsidR="00051355" w:rsidRPr="009D0130" w:rsidRDefault="00051355" w:rsidP="009D0130">
      <w:pPr>
        <w:pStyle w:val="ActHead9"/>
        <w:rPr>
          <w:i w:val="0"/>
        </w:rPr>
      </w:pPr>
      <w:bookmarkStart w:id="26" w:name="_Toc436742094"/>
      <w:r w:rsidRPr="009D0130">
        <w:t>Taxation Administration Act 1953</w:t>
      </w:r>
      <w:bookmarkEnd w:id="26"/>
    </w:p>
    <w:p w:rsidR="00051355" w:rsidRPr="009D0130" w:rsidRDefault="0004668B" w:rsidP="009D0130">
      <w:pPr>
        <w:pStyle w:val="ItemHead"/>
      </w:pPr>
      <w:r w:rsidRPr="009D0130">
        <w:t>1</w:t>
      </w:r>
      <w:r w:rsidR="00051355" w:rsidRPr="009D0130">
        <w:t xml:space="preserve">  At the end of Division</w:t>
      </w:r>
      <w:r w:rsidR="009D0130" w:rsidRPr="009D0130">
        <w:t> </w:t>
      </w:r>
      <w:r w:rsidR="00051355" w:rsidRPr="009D0130">
        <w:t>396 in Schedule</w:t>
      </w:r>
      <w:r w:rsidR="009D0130" w:rsidRPr="009D0130">
        <w:t> </w:t>
      </w:r>
      <w:r w:rsidR="00051355" w:rsidRPr="009D0130">
        <w:t>1</w:t>
      </w:r>
    </w:p>
    <w:p w:rsidR="00051355" w:rsidRPr="009D0130" w:rsidRDefault="00051355" w:rsidP="009D0130">
      <w:pPr>
        <w:pStyle w:val="Item"/>
      </w:pPr>
      <w:r w:rsidRPr="009D0130">
        <w:t>Add:</w:t>
      </w:r>
    </w:p>
    <w:p w:rsidR="00051355" w:rsidRPr="009D0130" w:rsidRDefault="00051355" w:rsidP="009D0130">
      <w:pPr>
        <w:pStyle w:val="ActHead4"/>
      </w:pPr>
      <w:bookmarkStart w:id="27" w:name="_Toc436742095"/>
      <w:r w:rsidRPr="009D0130">
        <w:rPr>
          <w:rStyle w:val="CharSubdNo"/>
        </w:rPr>
        <w:t>Subdivision</w:t>
      </w:r>
      <w:r w:rsidR="009D0130" w:rsidRPr="009D0130">
        <w:rPr>
          <w:rStyle w:val="CharSubdNo"/>
        </w:rPr>
        <w:t> </w:t>
      </w:r>
      <w:r w:rsidRPr="009D0130">
        <w:rPr>
          <w:rStyle w:val="CharSubdNo"/>
        </w:rPr>
        <w:t>396</w:t>
      </w:r>
      <w:r w:rsidR="000B2603">
        <w:rPr>
          <w:rStyle w:val="CharSubdNo"/>
        </w:rPr>
        <w:noBreakHyphen/>
      </w:r>
      <w:r w:rsidRPr="009D0130">
        <w:rPr>
          <w:rStyle w:val="CharSubdNo"/>
        </w:rPr>
        <w:t>B</w:t>
      </w:r>
      <w:r w:rsidRPr="009D0130">
        <w:t>—</w:t>
      </w:r>
      <w:r w:rsidRPr="009D0130">
        <w:rPr>
          <w:rStyle w:val="CharSubdText"/>
        </w:rPr>
        <w:t>Information about transactions that could have tax consequences for taxpayers</w:t>
      </w:r>
      <w:bookmarkEnd w:id="27"/>
    </w:p>
    <w:p w:rsidR="00051355" w:rsidRPr="009D0130" w:rsidRDefault="00051355" w:rsidP="009D0130">
      <w:pPr>
        <w:pStyle w:val="ActHead4"/>
      </w:pPr>
      <w:bookmarkStart w:id="28" w:name="_Toc436742096"/>
      <w:r w:rsidRPr="009D0130">
        <w:t>Guide to Subdivision</w:t>
      </w:r>
      <w:r w:rsidR="009D0130" w:rsidRPr="009D0130">
        <w:t> </w:t>
      </w:r>
      <w:r w:rsidRPr="009D0130">
        <w:t>396</w:t>
      </w:r>
      <w:r w:rsidR="000B2603">
        <w:noBreakHyphen/>
      </w:r>
      <w:r w:rsidRPr="009D0130">
        <w:t>B</w:t>
      </w:r>
      <w:bookmarkEnd w:id="28"/>
    </w:p>
    <w:p w:rsidR="00051355" w:rsidRPr="009D0130" w:rsidRDefault="00051355" w:rsidP="009D0130">
      <w:pPr>
        <w:pStyle w:val="ActHead5"/>
      </w:pPr>
      <w:bookmarkStart w:id="29" w:name="_Toc436742097"/>
      <w:r w:rsidRPr="009D0130">
        <w:rPr>
          <w:rStyle w:val="CharSectno"/>
        </w:rPr>
        <w:t>396</w:t>
      </w:r>
      <w:r w:rsidR="000B2603">
        <w:rPr>
          <w:rStyle w:val="CharSectno"/>
        </w:rPr>
        <w:noBreakHyphen/>
      </w:r>
      <w:r w:rsidRPr="009D0130">
        <w:rPr>
          <w:rStyle w:val="CharSectno"/>
        </w:rPr>
        <w:t>50</w:t>
      </w:r>
      <w:r w:rsidRPr="009D0130">
        <w:t xml:space="preserve">  What this Subdivision is about</w:t>
      </w:r>
      <w:bookmarkEnd w:id="29"/>
    </w:p>
    <w:p w:rsidR="00051355" w:rsidRPr="009D0130" w:rsidRDefault="00051355" w:rsidP="009D0130">
      <w:pPr>
        <w:pStyle w:val="SOText"/>
      </w:pPr>
      <w:r w:rsidRPr="009D0130">
        <w:t>The Commissioner can require certain entities to give information about transactions that could reasonably be expected to have tax consequences for other entities.</w:t>
      </w:r>
    </w:p>
    <w:p w:rsidR="00051355" w:rsidRPr="009D0130" w:rsidRDefault="00051355" w:rsidP="009D0130">
      <w:pPr>
        <w:pStyle w:val="TofSectsHeading"/>
      </w:pPr>
      <w:r w:rsidRPr="009D0130">
        <w:t>Table of sections</w:t>
      </w:r>
    </w:p>
    <w:p w:rsidR="00051355" w:rsidRPr="009D0130" w:rsidRDefault="00051355" w:rsidP="009D0130">
      <w:pPr>
        <w:pStyle w:val="TofSectsGroupHeading"/>
      </w:pPr>
      <w:r w:rsidRPr="009D0130">
        <w:t>Operative provisions</w:t>
      </w:r>
    </w:p>
    <w:p w:rsidR="00051355" w:rsidRPr="009D0130" w:rsidRDefault="00051355" w:rsidP="009D0130">
      <w:pPr>
        <w:pStyle w:val="TofSectsSection"/>
      </w:pPr>
      <w:r w:rsidRPr="009D0130">
        <w:t>396</w:t>
      </w:r>
      <w:r w:rsidR="000B2603">
        <w:noBreakHyphen/>
      </w:r>
      <w:r w:rsidRPr="009D0130">
        <w:t>55</w:t>
      </w:r>
      <w:r w:rsidRPr="009D0130">
        <w:tab/>
        <w:t>Reporting tax</w:t>
      </w:r>
      <w:r w:rsidR="000B2603">
        <w:noBreakHyphen/>
      </w:r>
      <w:r w:rsidRPr="009D0130">
        <w:t>related information about transactions to the Commissioner</w:t>
      </w:r>
    </w:p>
    <w:p w:rsidR="00051355" w:rsidRPr="009D0130" w:rsidRDefault="00051355" w:rsidP="009D0130">
      <w:pPr>
        <w:pStyle w:val="TofSectsSection"/>
      </w:pPr>
      <w:r w:rsidRPr="009D0130">
        <w:t>396</w:t>
      </w:r>
      <w:r w:rsidR="000B2603">
        <w:noBreakHyphen/>
      </w:r>
      <w:r w:rsidRPr="009D0130">
        <w:t>60</w:t>
      </w:r>
      <w:r w:rsidRPr="009D0130">
        <w:tab/>
        <w:t>Information required</w:t>
      </w:r>
    </w:p>
    <w:p w:rsidR="00051355" w:rsidRPr="009D0130" w:rsidRDefault="00051355" w:rsidP="009D0130">
      <w:pPr>
        <w:pStyle w:val="TofSectsSection"/>
      </w:pPr>
      <w:r w:rsidRPr="009D0130">
        <w:t>396</w:t>
      </w:r>
      <w:r w:rsidR="000B2603">
        <w:noBreakHyphen/>
      </w:r>
      <w:r w:rsidRPr="009D0130">
        <w:t>65</w:t>
      </w:r>
      <w:r w:rsidRPr="009D0130">
        <w:tab/>
        <w:t>Exemptions—wholesale clients</w:t>
      </w:r>
    </w:p>
    <w:p w:rsidR="00051355" w:rsidRPr="009D0130" w:rsidRDefault="00051355" w:rsidP="009D0130">
      <w:pPr>
        <w:pStyle w:val="TofSectsSection"/>
      </w:pPr>
      <w:r w:rsidRPr="009D0130">
        <w:t>396</w:t>
      </w:r>
      <w:r w:rsidR="000B2603">
        <w:noBreakHyphen/>
      </w:r>
      <w:r w:rsidRPr="009D0130">
        <w:t>70</w:t>
      </w:r>
      <w:r w:rsidRPr="009D0130">
        <w:tab/>
        <w:t>Exemptions—other cases</w:t>
      </w:r>
    </w:p>
    <w:p w:rsidR="00051355" w:rsidRPr="009D0130" w:rsidRDefault="00051355" w:rsidP="009D0130">
      <w:pPr>
        <w:pStyle w:val="TofSectsSection"/>
      </w:pPr>
      <w:r w:rsidRPr="009D0130">
        <w:t>396</w:t>
      </w:r>
      <w:r w:rsidR="000B2603">
        <w:noBreakHyphen/>
      </w:r>
      <w:r w:rsidRPr="009D0130">
        <w:t>75</w:t>
      </w:r>
      <w:r w:rsidRPr="009D0130">
        <w:tab/>
        <w:t>Errors in reports</w:t>
      </w:r>
    </w:p>
    <w:p w:rsidR="00051355" w:rsidRPr="009D0130" w:rsidRDefault="00051355" w:rsidP="009D0130">
      <w:pPr>
        <w:pStyle w:val="ActHead4"/>
      </w:pPr>
      <w:bookmarkStart w:id="30" w:name="_Toc436742098"/>
      <w:r w:rsidRPr="009D0130">
        <w:t>Operative provisions</w:t>
      </w:r>
      <w:bookmarkEnd w:id="30"/>
    </w:p>
    <w:p w:rsidR="00051355" w:rsidRPr="009D0130" w:rsidRDefault="00051355" w:rsidP="009D0130">
      <w:pPr>
        <w:pStyle w:val="ActHead5"/>
      </w:pPr>
      <w:bookmarkStart w:id="31" w:name="_Toc436742099"/>
      <w:r w:rsidRPr="009D0130">
        <w:rPr>
          <w:rStyle w:val="CharSectno"/>
        </w:rPr>
        <w:t>396</w:t>
      </w:r>
      <w:r w:rsidR="000B2603">
        <w:rPr>
          <w:rStyle w:val="CharSectno"/>
        </w:rPr>
        <w:noBreakHyphen/>
      </w:r>
      <w:r w:rsidRPr="009D0130">
        <w:rPr>
          <w:rStyle w:val="CharSectno"/>
        </w:rPr>
        <w:t>55</w:t>
      </w:r>
      <w:r w:rsidRPr="009D0130">
        <w:t xml:space="preserve">  Reporting tax</w:t>
      </w:r>
      <w:r w:rsidR="000B2603">
        <w:noBreakHyphen/>
      </w:r>
      <w:r w:rsidRPr="009D0130">
        <w:t>related information about transactions to the Commissioner</w:t>
      </w:r>
      <w:bookmarkEnd w:id="31"/>
    </w:p>
    <w:p w:rsidR="00051355" w:rsidRPr="009D0130" w:rsidRDefault="00051355" w:rsidP="009D0130">
      <w:pPr>
        <w:pStyle w:val="subsection"/>
      </w:pPr>
      <w:r w:rsidRPr="009D0130">
        <w:tab/>
      </w:r>
      <w:r w:rsidRPr="009D0130">
        <w:tab/>
        <w:t>An entity mentioned in column 1 of an item of this table must:</w:t>
      </w:r>
    </w:p>
    <w:p w:rsidR="00051355" w:rsidRPr="009D0130" w:rsidRDefault="00051355" w:rsidP="009D0130">
      <w:pPr>
        <w:pStyle w:val="paragraph"/>
      </w:pPr>
      <w:r w:rsidRPr="009D0130">
        <w:lastRenderedPageBreak/>
        <w:tab/>
        <w:t>(a)</w:t>
      </w:r>
      <w:r w:rsidRPr="009D0130">
        <w:tab/>
        <w:t xml:space="preserve">prepare a report in the </w:t>
      </w:r>
      <w:r w:rsidR="009D0130" w:rsidRPr="009D0130">
        <w:rPr>
          <w:position w:val="6"/>
          <w:sz w:val="16"/>
        </w:rPr>
        <w:t>*</w:t>
      </w:r>
      <w:r w:rsidRPr="009D0130">
        <w:t>approved form setting out information about any transactions described in that item that happened during this period:</w:t>
      </w:r>
    </w:p>
    <w:p w:rsidR="00051355" w:rsidRPr="009D0130" w:rsidRDefault="00051355" w:rsidP="009D0130">
      <w:pPr>
        <w:pStyle w:val="paragraphsub"/>
      </w:pPr>
      <w:r w:rsidRPr="009D0130">
        <w:tab/>
        <w:t>(</w:t>
      </w:r>
      <w:proofErr w:type="spellStart"/>
      <w:r w:rsidRPr="009D0130">
        <w:t>i</w:t>
      </w:r>
      <w:proofErr w:type="spellEnd"/>
      <w:r w:rsidRPr="009D0130">
        <w:t>)</w:t>
      </w:r>
      <w:r w:rsidRPr="009D0130">
        <w:tab/>
        <w:t xml:space="preserve">a </w:t>
      </w:r>
      <w:r w:rsidR="009D0130" w:rsidRPr="009D0130">
        <w:rPr>
          <w:position w:val="6"/>
          <w:sz w:val="16"/>
        </w:rPr>
        <w:t>*</w:t>
      </w:r>
      <w:r w:rsidRPr="009D0130">
        <w:t>financial year; or</w:t>
      </w:r>
    </w:p>
    <w:p w:rsidR="00051355" w:rsidRPr="009D0130" w:rsidRDefault="00051355" w:rsidP="009D0130">
      <w:pPr>
        <w:pStyle w:val="paragraphsub"/>
      </w:pPr>
      <w:r w:rsidRPr="009D0130">
        <w:tab/>
        <w:t>(ii)</w:t>
      </w:r>
      <w:r w:rsidRPr="009D0130">
        <w:tab/>
        <w:t>such other period as the Commissioner specifies by legislative instrument for that item; and</w:t>
      </w:r>
    </w:p>
    <w:p w:rsidR="00051355" w:rsidRPr="009D0130" w:rsidRDefault="00051355" w:rsidP="009D0130">
      <w:pPr>
        <w:pStyle w:val="paragraph"/>
      </w:pPr>
      <w:r w:rsidRPr="009D0130">
        <w:tab/>
        <w:t>(b)</w:t>
      </w:r>
      <w:r w:rsidRPr="009D0130">
        <w:tab/>
        <w:t>give the report to the Commissioner on or before:</w:t>
      </w:r>
    </w:p>
    <w:p w:rsidR="00051355" w:rsidRPr="009D0130" w:rsidRDefault="00051355" w:rsidP="009D0130">
      <w:pPr>
        <w:pStyle w:val="paragraphsub"/>
      </w:pPr>
      <w:r w:rsidRPr="009D0130">
        <w:tab/>
        <w:t>(</w:t>
      </w:r>
      <w:proofErr w:type="spellStart"/>
      <w:r w:rsidRPr="009D0130">
        <w:t>i</w:t>
      </w:r>
      <w:proofErr w:type="spellEnd"/>
      <w:r w:rsidRPr="009D0130">
        <w:t>)</w:t>
      </w:r>
      <w:r w:rsidRPr="009D0130">
        <w:tab/>
        <w:t>the 31st day after the end of that period; or</w:t>
      </w:r>
    </w:p>
    <w:p w:rsidR="00051355" w:rsidRPr="009D0130" w:rsidRDefault="00051355" w:rsidP="009D0130">
      <w:pPr>
        <w:pStyle w:val="paragraphsub"/>
      </w:pPr>
      <w:r w:rsidRPr="009D0130">
        <w:tab/>
        <w:t>(ii)</w:t>
      </w:r>
      <w:r w:rsidRPr="009D0130">
        <w:tab/>
        <w:t>such other time after the end of that period as the Commissioner specifies by legislative instrument for that item;</w:t>
      </w:r>
    </w:p>
    <w:p w:rsidR="00051355" w:rsidRPr="009D0130" w:rsidRDefault="00051355" w:rsidP="009D0130">
      <w:pPr>
        <w:pStyle w:val="subsection2"/>
      </w:pPr>
      <w:r w:rsidRPr="009D0130">
        <w:t>unless section</w:t>
      </w:r>
      <w:r w:rsidR="009D0130" w:rsidRPr="009D0130">
        <w:t> </w:t>
      </w:r>
      <w:r w:rsidRPr="009D0130">
        <w:t>396</w:t>
      </w:r>
      <w:r w:rsidR="000B2603">
        <w:noBreakHyphen/>
      </w:r>
      <w:r w:rsidRPr="009D0130">
        <w:t>65, or a notice or determination under section</w:t>
      </w:r>
      <w:r w:rsidR="009D0130" w:rsidRPr="009D0130">
        <w:t> </w:t>
      </w:r>
      <w:r w:rsidRPr="009D0130">
        <w:t>396</w:t>
      </w:r>
      <w:r w:rsidR="000B2603">
        <w:noBreakHyphen/>
      </w:r>
      <w:r w:rsidRPr="009D0130">
        <w:t>70, provides that the entity is not required to do so.</w:t>
      </w:r>
    </w:p>
    <w:p w:rsidR="00051355" w:rsidRPr="009D0130" w:rsidRDefault="00051355" w:rsidP="009D013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051355" w:rsidRPr="009D0130" w:rsidTr="00051355">
        <w:trPr>
          <w:tblHeader/>
        </w:trPr>
        <w:tc>
          <w:tcPr>
            <w:tcW w:w="7086" w:type="dxa"/>
            <w:gridSpan w:val="3"/>
            <w:tcBorders>
              <w:top w:val="single" w:sz="12" w:space="0" w:color="auto"/>
              <w:bottom w:val="single" w:sz="2" w:space="0" w:color="auto"/>
            </w:tcBorders>
            <w:shd w:val="clear" w:color="auto" w:fill="auto"/>
          </w:tcPr>
          <w:p w:rsidR="00051355" w:rsidRPr="009D0130" w:rsidRDefault="00051355" w:rsidP="009D0130">
            <w:pPr>
              <w:pStyle w:val="TableHeading"/>
            </w:pPr>
            <w:r w:rsidRPr="009D0130">
              <w:t>Information to be reported by third parties about transactions</w:t>
            </w:r>
          </w:p>
        </w:tc>
      </w:tr>
      <w:tr w:rsidR="00051355" w:rsidRPr="009D0130" w:rsidTr="00051355">
        <w:trPr>
          <w:tblHeader/>
        </w:trPr>
        <w:tc>
          <w:tcPr>
            <w:tcW w:w="714" w:type="dxa"/>
            <w:tcBorders>
              <w:top w:val="single" w:sz="2" w:space="0" w:color="auto"/>
              <w:bottom w:val="single" w:sz="2" w:space="0" w:color="auto"/>
            </w:tcBorders>
            <w:shd w:val="clear" w:color="auto" w:fill="auto"/>
          </w:tcPr>
          <w:p w:rsidR="00051355" w:rsidRPr="009D0130" w:rsidRDefault="00051355" w:rsidP="009D0130">
            <w:pPr>
              <w:pStyle w:val="TableHeading"/>
            </w:pPr>
          </w:p>
        </w:tc>
        <w:tc>
          <w:tcPr>
            <w:tcW w:w="1975" w:type="dxa"/>
            <w:tcBorders>
              <w:top w:val="single" w:sz="2" w:space="0" w:color="auto"/>
              <w:bottom w:val="single" w:sz="2" w:space="0" w:color="auto"/>
            </w:tcBorders>
            <w:shd w:val="clear" w:color="auto" w:fill="auto"/>
          </w:tcPr>
          <w:p w:rsidR="00051355" w:rsidRPr="009D0130" w:rsidRDefault="00051355" w:rsidP="009D0130">
            <w:pPr>
              <w:pStyle w:val="TableHeading"/>
            </w:pPr>
            <w:r w:rsidRPr="009D0130">
              <w:t>Column 1</w:t>
            </w:r>
          </w:p>
        </w:tc>
        <w:tc>
          <w:tcPr>
            <w:tcW w:w="4397" w:type="dxa"/>
            <w:tcBorders>
              <w:top w:val="single" w:sz="2" w:space="0" w:color="auto"/>
              <w:bottom w:val="single" w:sz="2" w:space="0" w:color="auto"/>
            </w:tcBorders>
            <w:shd w:val="clear" w:color="auto" w:fill="auto"/>
          </w:tcPr>
          <w:p w:rsidR="00051355" w:rsidRPr="009D0130" w:rsidRDefault="00051355" w:rsidP="009D0130">
            <w:pPr>
              <w:pStyle w:val="TableHeading"/>
            </w:pPr>
            <w:r w:rsidRPr="009D0130">
              <w:t>Column 2</w:t>
            </w:r>
          </w:p>
        </w:tc>
      </w:tr>
      <w:tr w:rsidR="00051355" w:rsidRPr="009D0130" w:rsidTr="00051355">
        <w:trPr>
          <w:tblHeader/>
        </w:trPr>
        <w:tc>
          <w:tcPr>
            <w:tcW w:w="714" w:type="dxa"/>
            <w:tcBorders>
              <w:top w:val="single" w:sz="2" w:space="0" w:color="auto"/>
              <w:bottom w:val="single" w:sz="12" w:space="0" w:color="auto"/>
            </w:tcBorders>
            <w:shd w:val="clear" w:color="auto" w:fill="auto"/>
          </w:tcPr>
          <w:p w:rsidR="00051355" w:rsidRPr="009D0130" w:rsidRDefault="00051355" w:rsidP="009D0130">
            <w:pPr>
              <w:pStyle w:val="TableHeading"/>
            </w:pPr>
            <w:r w:rsidRPr="009D0130">
              <w:t>Item</w:t>
            </w:r>
          </w:p>
        </w:tc>
        <w:tc>
          <w:tcPr>
            <w:tcW w:w="1975" w:type="dxa"/>
            <w:tcBorders>
              <w:top w:val="single" w:sz="2" w:space="0" w:color="auto"/>
              <w:bottom w:val="single" w:sz="12" w:space="0" w:color="auto"/>
            </w:tcBorders>
            <w:shd w:val="clear" w:color="auto" w:fill="auto"/>
          </w:tcPr>
          <w:p w:rsidR="00051355" w:rsidRPr="009D0130" w:rsidRDefault="00051355" w:rsidP="009D0130">
            <w:pPr>
              <w:pStyle w:val="TableHeading"/>
            </w:pPr>
            <w:r w:rsidRPr="009D0130">
              <w:t>This entity:</w:t>
            </w:r>
          </w:p>
        </w:tc>
        <w:tc>
          <w:tcPr>
            <w:tcW w:w="4397" w:type="dxa"/>
            <w:tcBorders>
              <w:top w:val="single" w:sz="2" w:space="0" w:color="auto"/>
              <w:bottom w:val="single" w:sz="12" w:space="0" w:color="auto"/>
            </w:tcBorders>
            <w:shd w:val="clear" w:color="auto" w:fill="auto"/>
          </w:tcPr>
          <w:p w:rsidR="00051355" w:rsidRPr="009D0130" w:rsidRDefault="00051355" w:rsidP="009D0130">
            <w:pPr>
              <w:pStyle w:val="TableHeading"/>
            </w:pPr>
            <w:r w:rsidRPr="009D0130">
              <w:t>must report information about this transaction:</w:t>
            </w:r>
          </w:p>
        </w:tc>
      </w:tr>
      <w:tr w:rsidR="00051355" w:rsidRPr="009D0130" w:rsidTr="00051355">
        <w:tc>
          <w:tcPr>
            <w:tcW w:w="714" w:type="dxa"/>
            <w:tcBorders>
              <w:top w:val="single" w:sz="12" w:space="0" w:color="auto"/>
            </w:tcBorders>
            <w:shd w:val="clear" w:color="auto" w:fill="auto"/>
          </w:tcPr>
          <w:p w:rsidR="00051355" w:rsidRPr="009D0130" w:rsidRDefault="00051355" w:rsidP="009D0130">
            <w:pPr>
              <w:pStyle w:val="Tabletext"/>
            </w:pPr>
            <w:r w:rsidRPr="009D0130">
              <w:t>1</w:t>
            </w:r>
          </w:p>
        </w:tc>
        <w:tc>
          <w:tcPr>
            <w:tcW w:w="1975" w:type="dxa"/>
            <w:tcBorders>
              <w:top w:val="single" w:sz="12" w:space="0" w:color="auto"/>
            </w:tcBorders>
            <w:shd w:val="clear" w:color="auto" w:fill="auto"/>
          </w:tcPr>
          <w:p w:rsidR="00051355" w:rsidRPr="009D0130" w:rsidRDefault="00051355" w:rsidP="009D0130">
            <w:pPr>
              <w:pStyle w:val="Tabletext"/>
            </w:pPr>
            <w:r w:rsidRPr="009D0130">
              <w:t xml:space="preserve">a government related entity (within the meaning of the </w:t>
            </w:r>
            <w:r w:rsidR="009D0130" w:rsidRPr="009D0130">
              <w:rPr>
                <w:position w:val="6"/>
                <w:sz w:val="16"/>
              </w:rPr>
              <w:t>*</w:t>
            </w:r>
            <w:r w:rsidRPr="009D0130">
              <w:t xml:space="preserve">GST Act), other than a </w:t>
            </w:r>
            <w:r w:rsidR="009D0130" w:rsidRPr="009D0130">
              <w:rPr>
                <w:position w:val="6"/>
                <w:sz w:val="16"/>
              </w:rPr>
              <w:t>*</w:t>
            </w:r>
            <w:r w:rsidRPr="009D0130">
              <w:t>local governing body</w:t>
            </w:r>
          </w:p>
        </w:tc>
        <w:tc>
          <w:tcPr>
            <w:tcW w:w="4397" w:type="dxa"/>
            <w:tcBorders>
              <w:top w:val="single" w:sz="12" w:space="0" w:color="auto"/>
            </w:tcBorders>
            <w:shd w:val="clear" w:color="auto" w:fill="auto"/>
          </w:tcPr>
          <w:p w:rsidR="00051355" w:rsidRPr="009D0130" w:rsidRDefault="00051355" w:rsidP="009D0130">
            <w:pPr>
              <w:pStyle w:val="Tabletext"/>
            </w:pPr>
            <w:r w:rsidRPr="009D0130">
              <w:t xml:space="preserve">the provision of a grant by the entity to an entity that has an </w:t>
            </w:r>
            <w:r w:rsidR="009D0130" w:rsidRPr="009D0130">
              <w:rPr>
                <w:position w:val="6"/>
                <w:sz w:val="16"/>
              </w:rPr>
              <w:t>*</w:t>
            </w:r>
            <w:r w:rsidRPr="009D0130">
              <w:t>ABN</w:t>
            </w:r>
          </w:p>
        </w:tc>
      </w:tr>
      <w:tr w:rsidR="00051355" w:rsidRPr="009D0130" w:rsidTr="00051355">
        <w:tc>
          <w:tcPr>
            <w:tcW w:w="714" w:type="dxa"/>
            <w:shd w:val="clear" w:color="auto" w:fill="auto"/>
          </w:tcPr>
          <w:p w:rsidR="00051355" w:rsidRPr="009D0130" w:rsidRDefault="00051355" w:rsidP="009D0130">
            <w:pPr>
              <w:pStyle w:val="Tabletext"/>
            </w:pPr>
            <w:r w:rsidRPr="009D0130">
              <w:t>2</w:t>
            </w:r>
          </w:p>
        </w:tc>
        <w:tc>
          <w:tcPr>
            <w:tcW w:w="1975" w:type="dxa"/>
            <w:shd w:val="clear" w:color="auto" w:fill="auto"/>
          </w:tcPr>
          <w:p w:rsidR="00051355" w:rsidRPr="009D0130" w:rsidRDefault="00051355" w:rsidP="009D0130">
            <w:pPr>
              <w:pStyle w:val="Tabletext"/>
            </w:pPr>
            <w:r w:rsidRPr="009D0130">
              <w:t xml:space="preserve">a government related entity (within the meaning of the </w:t>
            </w:r>
            <w:r w:rsidR="009D0130" w:rsidRPr="009D0130">
              <w:rPr>
                <w:position w:val="6"/>
                <w:sz w:val="16"/>
              </w:rPr>
              <w:t>*</w:t>
            </w:r>
            <w:r w:rsidRPr="009D0130">
              <w:t>GST Act)</w:t>
            </w:r>
          </w:p>
        </w:tc>
        <w:tc>
          <w:tcPr>
            <w:tcW w:w="4397" w:type="dxa"/>
            <w:shd w:val="clear" w:color="auto" w:fill="auto"/>
          </w:tcPr>
          <w:p w:rsidR="00051355" w:rsidRPr="009D0130" w:rsidRDefault="00051355" w:rsidP="009D0130">
            <w:pPr>
              <w:pStyle w:val="Tabletext"/>
            </w:pPr>
            <w:r w:rsidRPr="009D0130">
              <w:t xml:space="preserve">the provision of consideration (within the meaning of the </w:t>
            </w:r>
            <w:r w:rsidR="009D0130" w:rsidRPr="009D0130">
              <w:rPr>
                <w:position w:val="6"/>
                <w:sz w:val="16"/>
              </w:rPr>
              <w:t>*</w:t>
            </w:r>
            <w:r w:rsidRPr="009D0130">
              <w:t>GST Act):</w:t>
            </w:r>
          </w:p>
          <w:p w:rsidR="00051355" w:rsidRPr="009D0130" w:rsidRDefault="00051355" w:rsidP="009D0130">
            <w:pPr>
              <w:pStyle w:val="Tablea"/>
            </w:pPr>
            <w:r w:rsidRPr="009D0130">
              <w:t>(a) by the entity to an entity; and</w:t>
            </w:r>
          </w:p>
          <w:p w:rsidR="00051355" w:rsidRPr="009D0130" w:rsidRDefault="00051355" w:rsidP="009D0130">
            <w:pPr>
              <w:pStyle w:val="Tablea"/>
            </w:pPr>
            <w:r w:rsidRPr="009D0130">
              <w:t xml:space="preserve">(b) wholly or partly for a </w:t>
            </w:r>
            <w:r w:rsidR="009D0130" w:rsidRPr="009D0130">
              <w:rPr>
                <w:position w:val="6"/>
                <w:sz w:val="16"/>
              </w:rPr>
              <w:t>*</w:t>
            </w:r>
            <w:r w:rsidRPr="009D0130">
              <w:t>supply of services;</w:t>
            </w:r>
          </w:p>
          <w:p w:rsidR="00051355" w:rsidRPr="009D0130" w:rsidRDefault="00051355" w:rsidP="009D0130">
            <w:pPr>
              <w:pStyle w:val="Tabletext"/>
            </w:pPr>
            <w:r w:rsidRPr="009D0130">
              <w:t>unless the supply of services is merely incidental to a supply of goods (within the meaning of the GST Act)</w:t>
            </w:r>
          </w:p>
        </w:tc>
      </w:tr>
      <w:tr w:rsidR="00051355" w:rsidRPr="009D0130" w:rsidTr="00051355">
        <w:tc>
          <w:tcPr>
            <w:tcW w:w="714" w:type="dxa"/>
            <w:shd w:val="clear" w:color="auto" w:fill="auto"/>
          </w:tcPr>
          <w:p w:rsidR="00051355" w:rsidRPr="009D0130" w:rsidRDefault="00051355" w:rsidP="009D0130">
            <w:pPr>
              <w:pStyle w:val="Tabletext"/>
            </w:pPr>
            <w:r w:rsidRPr="009D0130">
              <w:t>3</w:t>
            </w:r>
          </w:p>
        </w:tc>
        <w:tc>
          <w:tcPr>
            <w:tcW w:w="1975" w:type="dxa"/>
            <w:shd w:val="clear" w:color="auto" w:fill="auto"/>
          </w:tcPr>
          <w:p w:rsidR="00051355" w:rsidRPr="009D0130" w:rsidRDefault="00051355" w:rsidP="009D0130">
            <w:pPr>
              <w:pStyle w:val="Tabletext"/>
            </w:pPr>
            <w:r w:rsidRPr="009D0130">
              <w:t>a State or Territory</w:t>
            </w:r>
          </w:p>
        </w:tc>
        <w:tc>
          <w:tcPr>
            <w:tcW w:w="4397" w:type="dxa"/>
            <w:shd w:val="clear" w:color="auto" w:fill="auto"/>
          </w:tcPr>
          <w:p w:rsidR="00051355" w:rsidRPr="009D0130" w:rsidRDefault="00051355" w:rsidP="009D0130">
            <w:pPr>
              <w:pStyle w:val="Tabletext"/>
            </w:pPr>
            <w:r w:rsidRPr="009D0130">
              <w:t>the transfer of a freehold or leasehold interest in real property situated in the State or Territory</w:t>
            </w:r>
          </w:p>
        </w:tc>
      </w:tr>
      <w:tr w:rsidR="00051355" w:rsidRPr="009D0130" w:rsidTr="00051355">
        <w:tc>
          <w:tcPr>
            <w:tcW w:w="714" w:type="dxa"/>
            <w:shd w:val="clear" w:color="auto" w:fill="auto"/>
          </w:tcPr>
          <w:p w:rsidR="00051355" w:rsidRPr="009D0130" w:rsidRDefault="00051355" w:rsidP="009D0130">
            <w:pPr>
              <w:pStyle w:val="Tabletext"/>
            </w:pPr>
            <w:r w:rsidRPr="009D0130">
              <w:t>4</w:t>
            </w:r>
          </w:p>
        </w:tc>
        <w:tc>
          <w:tcPr>
            <w:tcW w:w="1975" w:type="dxa"/>
            <w:shd w:val="clear" w:color="auto" w:fill="auto"/>
          </w:tcPr>
          <w:p w:rsidR="00051355" w:rsidRPr="009D0130" w:rsidRDefault="009D0130" w:rsidP="009D0130">
            <w:pPr>
              <w:pStyle w:val="Tabletext"/>
            </w:pPr>
            <w:r w:rsidRPr="009D0130">
              <w:rPr>
                <w:position w:val="6"/>
                <w:sz w:val="16"/>
              </w:rPr>
              <w:t>*</w:t>
            </w:r>
            <w:r w:rsidR="00051355" w:rsidRPr="009D0130">
              <w:t>ASIC</w:t>
            </w:r>
          </w:p>
        </w:tc>
        <w:tc>
          <w:tcPr>
            <w:tcW w:w="4397" w:type="dxa"/>
            <w:shd w:val="clear" w:color="auto" w:fill="auto"/>
          </w:tcPr>
          <w:p w:rsidR="00051355" w:rsidRPr="009D0130" w:rsidRDefault="00051355" w:rsidP="009D0130">
            <w:pPr>
              <w:pStyle w:val="Tabletext"/>
            </w:pPr>
            <w:r w:rsidRPr="009D0130">
              <w:t xml:space="preserve">a transaction about which data has been delivered to </w:t>
            </w:r>
            <w:r w:rsidR="009D0130" w:rsidRPr="009D0130">
              <w:rPr>
                <w:position w:val="6"/>
                <w:sz w:val="16"/>
              </w:rPr>
              <w:t>*</w:t>
            </w:r>
            <w:r w:rsidRPr="009D0130">
              <w:t xml:space="preserve">ASIC under the </w:t>
            </w:r>
            <w:r w:rsidR="009D0130" w:rsidRPr="009D0130">
              <w:rPr>
                <w:position w:val="6"/>
                <w:sz w:val="16"/>
              </w:rPr>
              <w:t>*</w:t>
            </w:r>
            <w:r w:rsidRPr="009D0130">
              <w:t>market integrity rules</w:t>
            </w:r>
          </w:p>
        </w:tc>
      </w:tr>
      <w:tr w:rsidR="00051355" w:rsidRPr="009D0130" w:rsidTr="00051355">
        <w:tc>
          <w:tcPr>
            <w:tcW w:w="714" w:type="dxa"/>
            <w:shd w:val="clear" w:color="auto" w:fill="auto"/>
          </w:tcPr>
          <w:p w:rsidR="00051355" w:rsidRPr="009D0130" w:rsidRDefault="00051355" w:rsidP="009D0130">
            <w:pPr>
              <w:pStyle w:val="Tabletext"/>
            </w:pPr>
            <w:r w:rsidRPr="009D0130">
              <w:t>5</w:t>
            </w:r>
          </w:p>
        </w:tc>
        <w:tc>
          <w:tcPr>
            <w:tcW w:w="1975" w:type="dxa"/>
            <w:shd w:val="clear" w:color="auto" w:fill="auto"/>
          </w:tcPr>
          <w:p w:rsidR="00051355" w:rsidRPr="009D0130" w:rsidRDefault="00051355" w:rsidP="009D0130">
            <w:pPr>
              <w:pStyle w:val="Tabletext"/>
            </w:pPr>
            <w:r w:rsidRPr="009D0130">
              <w:t>a participant (within the meaning of Chapter</w:t>
            </w:r>
            <w:r w:rsidR="009D0130" w:rsidRPr="009D0130">
              <w:t> </w:t>
            </w:r>
            <w:r w:rsidRPr="009D0130">
              <w:t xml:space="preserve">7 of the </w:t>
            </w:r>
            <w:r w:rsidRPr="009D0130">
              <w:rPr>
                <w:i/>
              </w:rPr>
              <w:lastRenderedPageBreak/>
              <w:t>Corporations Act 2001</w:t>
            </w:r>
            <w:r w:rsidRPr="009D0130">
              <w:t xml:space="preserve">) in an </w:t>
            </w:r>
            <w:r w:rsidR="009D0130" w:rsidRPr="009D0130">
              <w:rPr>
                <w:position w:val="6"/>
                <w:sz w:val="16"/>
              </w:rPr>
              <w:t>*</w:t>
            </w:r>
            <w:r w:rsidRPr="009D0130">
              <w:t>Australian financial market</w:t>
            </w:r>
          </w:p>
        </w:tc>
        <w:tc>
          <w:tcPr>
            <w:tcW w:w="4397" w:type="dxa"/>
            <w:shd w:val="clear" w:color="auto" w:fill="auto"/>
          </w:tcPr>
          <w:p w:rsidR="00051355" w:rsidRPr="009D0130" w:rsidRDefault="00051355" w:rsidP="009D0130">
            <w:pPr>
              <w:pStyle w:val="Tabletext"/>
            </w:pPr>
            <w:r w:rsidRPr="009D0130">
              <w:lastRenderedPageBreak/>
              <w:t>a transaction, involving the participant, that:</w:t>
            </w:r>
          </w:p>
          <w:p w:rsidR="00051355" w:rsidRPr="009D0130" w:rsidRDefault="00051355" w:rsidP="009D0130">
            <w:pPr>
              <w:pStyle w:val="Tablea"/>
            </w:pPr>
            <w:r w:rsidRPr="009D0130">
              <w:t xml:space="preserve">(a) results in a change to the type, name or number of </w:t>
            </w:r>
            <w:r w:rsidR="009D0130" w:rsidRPr="009D0130">
              <w:rPr>
                <w:position w:val="6"/>
                <w:sz w:val="16"/>
              </w:rPr>
              <w:t>*</w:t>
            </w:r>
            <w:r w:rsidRPr="009D0130">
              <w:t xml:space="preserve">shares in a company, or units in a unit trust, </w:t>
            </w:r>
            <w:r w:rsidRPr="009D0130">
              <w:lastRenderedPageBreak/>
              <w:t>that are held by another entity; and</w:t>
            </w:r>
          </w:p>
          <w:p w:rsidR="00051355" w:rsidRPr="009D0130" w:rsidRDefault="00051355" w:rsidP="009D0130">
            <w:pPr>
              <w:pStyle w:val="Tablea"/>
            </w:pPr>
            <w:r w:rsidRPr="009D0130">
              <w:t xml:space="preserve">(b) is a transaction about which data is required to be delivered to </w:t>
            </w:r>
            <w:r w:rsidR="009D0130" w:rsidRPr="009D0130">
              <w:rPr>
                <w:position w:val="6"/>
                <w:sz w:val="16"/>
              </w:rPr>
              <w:t>*</w:t>
            </w:r>
            <w:r w:rsidRPr="009D0130">
              <w:t xml:space="preserve">ASIC under the </w:t>
            </w:r>
            <w:r w:rsidR="009D0130" w:rsidRPr="009D0130">
              <w:rPr>
                <w:position w:val="6"/>
                <w:sz w:val="16"/>
              </w:rPr>
              <w:t>*</w:t>
            </w:r>
            <w:r w:rsidRPr="009D0130">
              <w:t>market integrity rules</w:t>
            </w:r>
          </w:p>
        </w:tc>
      </w:tr>
      <w:tr w:rsidR="00051355" w:rsidRPr="009D0130" w:rsidTr="00051355">
        <w:tc>
          <w:tcPr>
            <w:tcW w:w="714" w:type="dxa"/>
            <w:shd w:val="clear" w:color="auto" w:fill="auto"/>
          </w:tcPr>
          <w:p w:rsidR="00051355" w:rsidRPr="009D0130" w:rsidRDefault="00051355" w:rsidP="009D0130">
            <w:pPr>
              <w:pStyle w:val="Tabletext"/>
            </w:pPr>
            <w:r w:rsidRPr="009D0130">
              <w:lastRenderedPageBreak/>
              <w:t>6</w:t>
            </w:r>
          </w:p>
        </w:tc>
        <w:tc>
          <w:tcPr>
            <w:tcW w:w="1975" w:type="dxa"/>
            <w:shd w:val="clear" w:color="auto" w:fill="auto"/>
          </w:tcPr>
          <w:p w:rsidR="00051355" w:rsidRPr="009D0130" w:rsidRDefault="00051355" w:rsidP="009D0130">
            <w:pPr>
              <w:pStyle w:val="Tabletext"/>
            </w:pPr>
            <w:r w:rsidRPr="009D0130">
              <w:t xml:space="preserve">a company whose </w:t>
            </w:r>
            <w:r w:rsidR="009D0130" w:rsidRPr="009D0130">
              <w:rPr>
                <w:position w:val="6"/>
                <w:sz w:val="16"/>
              </w:rPr>
              <w:t>*</w:t>
            </w:r>
            <w:r w:rsidRPr="009D0130">
              <w:t xml:space="preserve">shares are listed for quotation in the official list of an </w:t>
            </w:r>
            <w:r w:rsidR="009D0130" w:rsidRPr="009D0130">
              <w:rPr>
                <w:position w:val="6"/>
                <w:sz w:val="16"/>
              </w:rPr>
              <w:t>*</w:t>
            </w:r>
            <w:r w:rsidRPr="009D0130">
              <w:t>Australian financial market</w:t>
            </w:r>
          </w:p>
        </w:tc>
        <w:tc>
          <w:tcPr>
            <w:tcW w:w="4397" w:type="dxa"/>
            <w:shd w:val="clear" w:color="auto" w:fill="auto"/>
          </w:tcPr>
          <w:p w:rsidR="00051355" w:rsidRPr="009D0130" w:rsidRDefault="00051355" w:rsidP="009D0130">
            <w:pPr>
              <w:pStyle w:val="Tabletext"/>
            </w:pPr>
            <w:r w:rsidRPr="009D0130">
              <w:t>a transaction that:</w:t>
            </w:r>
          </w:p>
          <w:p w:rsidR="00051355" w:rsidRPr="009D0130" w:rsidRDefault="00051355" w:rsidP="009D0130">
            <w:pPr>
              <w:pStyle w:val="Tablea"/>
            </w:pPr>
            <w:r w:rsidRPr="009D0130">
              <w:t xml:space="preserve">(a) results in a change to the type, name or number of </w:t>
            </w:r>
            <w:r w:rsidR="009D0130" w:rsidRPr="009D0130">
              <w:rPr>
                <w:position w:val="6"/>
                <w:sz w:val="16"/>
              </w:rPr>
              <w:t>*</w:t>
            </w:r>
            <w:r w:rsidRPr="009D0130">
              <w:t>shares in the company that are held by an entity; and</w:t>
            </w:r>
          </w:p>
          <w:p w:rsidR="00051355" w:rsidRPr="009D0130" w:rsidRDefault="00051355" w:rsidP="009D0130">
            <w:pPr>
              <w:pStyle w:val="Tablea"/>
            </w:pPr>
            <w:r w:rsidRPr="009D0130">
              <w:t xml:space="preserve">(b) is not a transaction about which data is required to be delivered to </w:t>
            </w:r>
            <w:r w:rsidR="009D0130" w:rsidRPr="009D0130">
              <w:rPr>
                <w:position w:val="6"/>
                <w:sz w:val="16"/>
              </w:rPr>
              <w:t>*</w:t>
            </w:r>
            <w:r w:rsidRPr="009D0130">
              <w:t xml:space="preserve">ASIC under the </w:t>
            </w:r>
            <w:r w:rsidR="009D0130" w:rsidRPr="009D0130">
              <w:rPr>
                <w:position w:val="6"/>
                <w:sz w:val="16"/>
              </w:rPr>
              <w:t>*</w:t>
            </w:r>
            <w:r w:rsidRPr="009D0130">
              <w:t>market integrity rules</w:t>
            </w:r>
          </w:p>
        </w:tc>
      </w:tr>
      <w:tr w:rsidR="00051355" w:rsidRPr="009D0130" w:rsidTr="00051355">
        <w:tc>
          <w:tcPr>
            <w:tcW w:w="714" w:type="dxa"/>
            <w:shd w:val="clear" w:color="auto" w:fill="auto"/>
          </w:tcPr>
          <w:p w:rsidR="00051355" w:rsidRPr="009D0130" w:rsidRDefault="00051355" w:rsidP="009D0130">
            <w:pPr>
              <w:pStyle w:val="Tabletext"/>
            </w:pPr>
            <w:r w:rsidRPr="009D0130">
              <w:t>7</w:t>
            </w:r>
          </w:p>
        </w:tc>
        <w:tc>
          <w:tcPr>
            <w:tcW w:w="1975" w:type="dxa"/>
            <w:shd w:val="clear" w:color="auto" w:fill="auto"/>
          </w:tcPr>
          <w:p w:rsidR="00051355" w:rsidRPr="009D0130" w:rsidRDefault="00051355" w:rsidP="009D0130">
            <w:pPr>
              <w:pStyle w:val="Tabletext"/>
            </w:pPr>
            <w:r w:rsidRPr="009D0130">
              <w:t>the trustee of a unit trust</w:t>
            </w:r>
          </w:p>
        </w:tc>
        <w:tc>
          <w:tcPr>
            <w:tcW w:w="4397" w:type="dxa"/>
            <w:shd w:val="clear" w:color="auto" w:fill="auto"/>
          </w:tcPr>
          <w:p w:rsidR="00051355" w:rsidRPr="009D0130" w:rsidRDefault="00051355" w:rsidP="009D0130">
            <w:pPr>
              <w:pStyle w:val="Tabletext"/>
            </w:pPr>
            <w:r w:rsidRPr="009D0130">
              <w:t>a transaction that:</w:t>
            </w:r>
          </w:p>
          <w:p w:rsidR="00051355" w:rsidRPr="009D0130" w:rsidRDefault="00051355" w:rsidP="009D0130">
            <w:pPr>
              <w:pStyle w:val="Tablea"/>
            </w:pPr>
            <w:r w:rsidRPr="009D0130">
              <w:t>(a) results in a change to the type, name or number of units in the unit trust that are held by an entity; and</w:t>
            </w:r>
          </w:p>
          <w:p w:rsidR="00051355" w:rsidRPr="009D0130" w:rsidRDefault="00051355" w:rsidP="009D0130">
            <w:pPr>
              <w:pStyle w:val="Tablea"/>
            </w:pPr>
            <w:r w:rsidRPr="009D0130">
              <w:t xml:space="preserve">(b) is not a transaction about which data is required to be delivered to </w:t>
            </w:r>
            <w:r w:rsidR="009D0130" w:rsidRPr="009D0130">
              <w:rPr>
                <w:position w:val="6"/>
                <w:sz w:val="16"/>
              </w:rPr>
              <w:t>*</w:t>
            </w:r>
            <w:r w:rsidRPr="009D0130">
              <w:t xml:space="preserve">ASIC under the </w:t>
            </w:r>
            <w:r w:rsidR="009D0130" w:rsidRPr="009D0130">
              <w:rPr>
                <w:position w:val="6"/>
                <w:sz w:val="16"/>
              </w:rPr>
              <w:t>*</w:t>
            </w:r>
            <w:r w:rsidRPr="009D0130">
              <w:t>market integrity rules</w:t>
            </w:r>
          </w:p>
        </w:tc>
      </w:tr>
      <w:tr w:rsidR="00051355" w:rsidRPr="009D0130" w:rsidTr="00051355">
        <w:tc>
          <w:tcPr>
            <w:tcW w:w="714" w:type="dxa"/>
            <w:tcBorders>
              <w:bottom w:val="single" w:sz="4" w:space="0" w:color="auto"/>
            </w:tcBorders>
            <w:shd w:val="clear" w:color="auto" w:fill="auto"/>
          </w:tcPr>
          <w:p w:rsidR="00051355" w:rsidRPr="009D0130" w:rsidRDefault="00051355" w:rsidP="009D0130">
            <w:pPr>
              <w:pStyle w:val="Tabletext"/>
            </w:pPr>
            <w:r w:rsidRPr="009D0130">
              <w:t>8</w:t>
            </w:r>
          </w:p>
        </w:tc>
        <w:tc>
          <w:tcPr>
            <w:tcW w:w="1975" w:type="dxa"/>
            <w:tcBorders>
              <w:bottom w:val="single" w:sz="4" w:space="0" w:color="auto"/>
            </w:tcBorders>
            <w:shd w:val="clear" w:color="auto" w:fill="auto"/>
          </w:tcPr>
          <w:p w:rsidR="00051355" w:rsidRPr="009D0130" w:rsidRDefault="00051355" w:rsidP="009D0130">
            <w:pPr>
              <w:pStyle w:val="Tabletext"/>
            </w:pPr>
            <w:r w:rsidRPr="009D0130">
              <w:t>the trustee of a trust (other than a unit trust)</w:t>
            </w:r>
          </w:p>
        </w:tc>
        <w:tc>
          <w:tcPr>
            <w:tcW w:w="4397" w:type="dxa"/>
            <w:tcBorders>
              <w:bottom w:val="single" w:sz="4" w:space="0" w:color="auto"/>
            </w:tcBorders>
            <w:shd w:val="clear" w:color="auto" w:fill="auto"/>
          </w:tcPr>
          <w:p w:rsidR="00051355" w:rsidRPr="009D0130" w:rsidRDefault="00051355" w:rsidP="009D0130">
            <w:pPr>
              <w:pStyle w:val="Tabletext"/>
            </w:pPr>
            <w:r w:rsidRPr="009D0130">
              <w:t xml:space="preserve">a transaction that results in a change to the type, name or number of any </w:t>
            </w:r>
            <w:r w:rsidR="009D0130" w:rsidRPr="009D0130">
              <w:rPr>
                <w:position w:val="6"/>
                <w:sz w:val="16"/>
              </w:rPr>
              <w:t>*</w:t>
            </w:r>
            <w:r w:rsidRPr="009D0130">
              <w:t>shares in a company, or units in a unit trust:</w:t>
            </w:r>
          </w:p>
          <w:p w:rsidR="00051355" w:rsidRPr="009D0130" w:rsidRDefault="00051355" w:rsidP="009D0130">
            <w:pPr>
              <w:pStyle w:val="Tablea"/>
            </w:pPr>
            <w:r w:rsidRPr="009D0130">
              <w:t>(a) that are held as assets of the trust; and</w:t>
            </w:r>
          </w:p>
          <w:p w:rsidR="00051355" w:rsidRPr="009D0130" w:rsidRDefault="00051355" w:rsidP="009D0130">
            <w:pPr>
              <w:pStyle w:val="Tablea"/>
            </w:pPr>
            <w:r w:rsidRPr="009D0130">
              <w:t>(b) to which one or more entities are absolutely entitled as beneficiaries of the trust;</w:t>
            </w:r>
          </w:p>
          <w:p w:rsidR="00051355" w:rsidRPr="009D0130" w:rsidRDefault="00051355" w:rsidP="009D0130">
            <w:pPr>
              <w:pStyle w:val="Tabletext"/>
            </w:pPr>
            <w:r w:rsidRPr="009D0130">
              <w:t xml:space="preserve">unless the trustee gives the Commissioner an </w:t>
            </w:r>
            <w:r w:rsidR="009D0130" w:rsidRPr="009D0130">
              <w:rPr>
                <w:position w:val="6"/>
                <w:sz w:val="16"/>
              </w:rPr>
              <w:t>*</w:t>
            </w:r>
            <w:r w:rsidRPr="009D0130">
              <w:t>income tax return for the income year in which the transaction was entered into</w:t>
            </w:r>
          </w:p>
        </w:tc>
      </w:tr>
      <w:tr w:rsidR="00051355" w:rsidRPr="009D0130" w:rsidTr="00051355">
        <w:tc>
          <w:tcPr>
            <w:tcW w:w="714" w:type="dxa"/>
            <w:tcBorders>
              <w:bottom w:val="single" w:sz="12" w:space="0" w:color="auto"/>
            </w:tcBorders>
            <w:shd w:val="clear" w:color="auto" w:fill="auto"/>
          </w:tcPr>
          <w:p w:rsidR="00051355" w:rsidRPr="009D0130" w:rsidRDefault="00051355" w:rsidP="009D0130">
            <w:pPr>
              <w:pStyle w:val="Tabletext"/>
            </w:pPr>
            <w:r w:rsidRPr="009D0130">
              <w:t>9</w:t>
            </w:r>
          </w:p>
        </w:tc>
        <w:tc>
          <w:tcPr>
            <w:tcW w:w="1975" w:type="dxa"/>
            <w:tcBorders>
              <w:bottom w:val="single" w:sz="12" w:space="0" w:color="auto"/>
            </w:tcBorders>
            <w:shd w:val="clear" w:color="auto" w:fill="auto"/>
          </w:tcPr>
          <w:p w:rsidR="00051355" w:rsidRPr="009D0130" w:rsidRDefault="00051355" w:rsidP="009D0130">
            <w:pPr>
              <w:pStyle w:val="Tabletext"/>
            </w:pPr>
            <w:r w:rsidRPr="009D0130">
              <w:t xml:space="preserve">an administrator of a payment system (within the meaning of the </w:t>
            </w:r>
            <w:r w:rsidRPr="009D0130">
              <w:rPr>
                <w:i/>
              </w:rPr>
              <w:t>Payment Systems (Regulation) Act 1998</w:t>
            </w:r>
            <w:r w:rsidRPr="009D0130">
              <w:t>)</w:t>
            </w:r>
          </w:p>
        </w:tc>
        <w:tc>
          <w:tcPr>
            <w:tcW w:w="4397" w:type="dxa"/>
            <w:tcBorders>
              <w:bottom w:val="single" w:sz="12" w:space="0" w:color="auto"/>
            </w:tcBorders>
            <w:shd w:val="clear" w:color="auto" w:fill="auto"/>
          </w:tcPr>
          <w:p w:rsidR="00051355" w:rsidRPr="009D0130" w:rsidRDefault="00051355" w:rsidP="009D0130">
            <w:pPr>
              <w:pStyle w:val="Tabletext"/>
            </w:pPr>
            <w:r w:rsidRPr="009D0130">
              <w:t>a transaction involving an electronic payment if:</w:t>
            </w:r>
          </w:p>
          <w:p w:rsidR="00051355" w:rsidRPr="009D0130" w:rsidRDefault="00051355" w:rsidP="009D0130">
            <w:pPr>
              <w:pStyle w:val="Tablea"/>
            </w:pPr>
            <w:r w:rsidRPr="009D0130">
              <w:t>(a) the transaction is facilitated by the payment system on behalf of an entity; and</w:t>
            </w:r>
          </w:p>
          <w:p w:rsidR="00051355" w:rsidRPr="009D0130" w:rsidRDefault="00051355" w:rsidP="009D0130">
            <w:pPr>
              <w:pStyle w:val="Tablea"/>
            </w:pPr>
            <w:r w:rsidRPr="009D0130">
              <w:t>(b) the administrator reasonably believes that the transaction:</w:t>
            </w:r>
          </w:p>
          <w:p w:rsidR="00051355" w:rsidRPr="009D0130" w:rsidRDefault="00051355" w:rsidP="009D0130">
            <w:pPr>
              <w:pStyle w:val="Tablei"/>
            </w:pPr>
            <w:r w:rsidRPr="009D0130">
              <w:t>(</w:t>
            </w:r>
            <w:proofErr w:type="spellStart"/>
            <w:r w:rsidRPr="009D0130">
              <w:t>i</w:t>
            </w:r>
            <w:proofErr w:type="spellEnd"/>
            <w:r w:rsidRPr="009D0130">
              <w:t>)</w:t>
            </w:r>
            <w:r w:rsidRPr="009D0130">
              <w:tab/>
              <w:t>provides a payment to the entity, or provides a refund or cash to a customer of the entity; and</w:t>
            </w:r>
          </w:p>
          <w:p w:rsidR="00051355" w:rsidRPr="009D0130" w:rsidRDefault="00051355" w:rsidP="009D0130">
            <w:pPr>
              <w:pStyle w:val="Tablei"/>
            </w:pPr>
            <w:r w:rsidRPr="009D0130">
              <w:lastRenderedPageBreak/>
              <w:t>(ii)</w:t>
            </w:r>
            <w:r w:rsidRPr="009D0130">
              <w:tab/>
              <w:t xml:space="preserve">is for the purposes of a </w:t>
            </w:r>
            <w:r w:rsidR="009D0130" w:rsidRPr="009D0130">
              <w:rPr>
                <w:position w:val="6"/>
                <w:sz w:val="16"/>
              </w:rPr>
              <w:t>*</w:t>
            </w:r>
            <w:r w:rsidRPr="009D0130">
              <w:t>business carried on by the entity</w:t>
            </w:r>
          </w:p>
        </w:tc>
      </w:tr>
    </w:tbl>
    <w:p w:rsidR="00051355" w:rsidRPr="009D0130" w:rsidRDefault="00051355" w:rsidP="009D0130">
      <w:pPr>
        <w:pStyle w:val="notetext"/>
      </w:pPr>
      <w:r w:rsidRPr="009D0130">
        <w:lastRenderedPageBreak/>
        <w:t>Note:</w:t>
      </w:r>
      <w:r w:rsidRPr="009D0130">
        <w:tab/>
        <w:t>An administrative penalty applies to a failure to give the report by that time (see subsection</w:t>
      </w:r>
      <w:r w:rsidR="009D0130" w:rsidRPr="009D0130">
        <w:t> </w:t>
      </w:r>
      <w:r w:rsidRPr="009D0130">
        <w:t>286</w:t>
      </w:r>
      <w:r w:rsidR="000B2603">
        <w:noBreakHyphen/>
      </w:r>
      <w:r w:rsidRPr="009D0130">
        <w:t>75(1)). An administrative penalty applies for any false statements in the report (see section</w:t>
      </w:r>
      <w:r w:rsidR="009D0130" w:rsidRPr="009D0130">
        <w:t> </w:t>
      </w:r>
      <w:r w:rsidRPr="009D0130">
        <w:t>284</w:t>
      </w:r>
      <w:r w:rsidR="000B2603">
        <w:noBreakHyphen/>
      </w:r>
      <w:r w:rsidRPr="009D0130">
        <w:t>75).</w:t>
      </w:r>
    </w:p>
    <w:p w:rsidR="00051355" w:rsidRPr="009D0130" w:rsidRDefault="00051355" w:rsidP="009D0130">
      <w:pPr>
        <w:pStyle w:val="ActHead5"/>
      </w:pPr>
      <w:bookmarkStart w:id="32" w:name="_Toc436742100"/>
      <w:r w:rsidRPr="009D0130">
        <w:rPr>
          <w:rStyle w:val="CharSectno"/>
        </w:rPr>
        <w:t>396</w:t>
      </w:r>
      <w:r w:rsidR="000B2603">
        <w:rPr>
          <w:rStyle w:val="CharSectno"/>
        </w:rPr>
        <w:noBreakHyphen/>
      </w:r>
      <w:r w:rsidRPr="009D0130">
        <w:rPr>
          <w:rStyle w:val="CharSectno"/>
        </w:rPr>
        <w:t>60</w:t>
      </w:r>
      <w:r w:rsidRPr="009D0130">
        <w:t xml:space="preserve">  Information required</w:t>
      </w:r>
      <w:bookmarkEnd w:id="32"/>
    </w:p>
    <w:p w:rsidR="00051355" w:rsidRPr="009D0130" w:rsidRDefault="00051355" w:rsidP="009D0130">
      <w:pPr>
        <w:pStyle w:val="SubsectionHead"/>
      </w:pPr>
      <w:r w:rsidRPr="009D0130">
        <w:t>Transactions not involving market participants</w:t>
      </w:r>
    </w:p>
    <w:p w:rsidR="00051355" w:rsidRPr="009D0130" w:rsidRDefault="00051355" w:rsidP="009D0130">
      <w:pPr>
        <w:pStyle w:val="subsection"/>
      </w:pPr>
      <w:r w:rsidRPr="009D0130">
        <w:tab/>
        <w:t>(1)</w:t>
      </w:r>
      <w:r w:rsidRPr="009D0130">
        <w:tab/>
        <w:t>For the purposes of section</w:t>
      </w:r>
      <w:r w:rsidR="009D0130" w:rsidRPr="009D0130">
        <w:t> </w:t>
      </w:r>
      <w:r w:rsidRPr="009D0130">
        <w:t>396</w:t>
      </w:r>
      <w:r w:rsidR="000B2603">
        <w:noBreakHyphen/>
      </w:r>
      <w:r w:rsidRPr="009D0130">
        <w:t xml:space="preserve">55, the information required by the </w:t>
      </w:r>
      <w:r w:rsidR="009D0130" w:rsidRPr="009D0130">
        <w:rPr>
          <w:position w:val="6"/>
          <w:sz w:val="16"/>
        </w:rPr>
        <w:t>*</w:t>
      </w:r>
      <w:r w:rsidRPr="009D0130">
        <w:t>approved form about a transaction (other than a transaction described in table item</w:t>
      </w:r>
      <w:r w:rsidR="009D0130" w:rsidRPr="009D0130">
        <w:t> </w:t>
      </w:r>
      <w:r w:rsidRPr="009D0130">
        <w:t>5 in that section):</w:t>
      </w:r>
    </w:p>
    <w:p w:rsidR="00051355" w:rsidRPr="009D0130" w:rsidRDefault="00051355" w:rsidP="009D0130">
      <w:pPr>
        <w:pStyle w:val="paragraph"/>
      </w:pPr>
      <w:r w:rsidRPr="009D0130">
        <w:tab/>
        <w:t>(a)</w:t>
      </w:r>
      <w:r w:rsidRPr="009D0130">
        <w:tab/>
        <w:t xml:space="preserve">must relate to the identification, collection or recovery of a possible </w:t>
      </w:r>
      <w:r w:rsidR="009D0130" w:rsidRPr="009D0130">
        <w:rPr>
          <w:position w:val="6"/>
          <w:sz w:val="16"/>
        </w:rPr>
        <w:t>*</w:t>
      </w:r>
      <w:r w:rsidRPr="009D0130">
        <w:t>tax</w:t>
      </w:r>
      <w:r w:rsidR="000B2603">
        <w:noBreakHyphen/>
      </w:r>
      <w:r w:rsidRPr="009D0130">
        <w:t xml:space="preserve">related liability of a party to the transaction (disregarding any exemption under a </w:t>
      </w:r>
      <w:r w:rsidR="009D0130" w:rsidRPr="009D0130">
        <w:rPr>
          <w:position w:val="6"/>
          <w:sz w:val="16"/>
        </w:rPr>
        <w:t>*</w:t>
      </w:r>
      <w:r w:rsidRPr="009D0130">
        <w:t>taxation law that may apply to those parties); and</w:t>
      </w:r>
    </w:p>
    <w:p w:rsidR="00051355" w:rsidRPr="009D0130" w:rsidRDefault="00051355" w:rsidP="009D0130">
      <w:pPr>
        <w:pStyle w:val="paragraph"/>
      </w:pPr>
      <w:r w:rsidRPr="009D0130">
        <w:tab/>
        <w:t>(b)</w:t>
      </w:r>
      <w:r w:rsidRPr="009D0130">
        <w:tab/>
        <w:t>may relate to identifying</w:t>
      </w:r>
      <w:r w:rsidR="008173B1" w:rsidRPr="009D0130">
        <w:t xml:space="preserve"> the parties to the transaction; and</w:t>
      </w:r>
    </w:p>
    <w:p w:rsidR="00183F32" w:rsidRPr="009D0130" w:rsidRDefault="00183F32" w:rsidP="009D0130">
      <w:pPr>
        <w:pStyle w:val="paragraph"/>
        <w:rPr>
          <w:color w:val="000000"/>
        </w:rPr>
      </w:pPr>
      <w:r w:rsidRPr="009D0130">
        <w:rPr>
          <w:color w:val="000000"/>
        </w:rPr>
        <w:tab/>
        <w:t>(c)</w:t>
      </w:r>
      <w:r w:rsidRPr="009D0130">
        <w:rPr>
          <w:color w:val="000000"/>
        </w:rPr>
        <w:tab/>
        <w:t>for a transaction described in table item</w:t>
      </w:r>
      <w:r w:rsidR="009D0130" w:rsidRPr="009D0130">
        <w:rPr>
          <w:color w:val="000000"/>
        </w:rPr>
        <w:t> </w:t>
      </w:r>
      <w:r w:rsidRPr="009D0130">
        <w:rPr>
          <w:color w:val="000000"/>
        </w:rPr>
        <w:t xml:space="preserve">3 in that section—may include the </w:t>
      </w:r>
      <w:r w:rsidR="009D0130" w:rsidRPr="009D0130">
        <w:rPr>
          <w:color w:val="000000"/>
          <w:position w:val="6"/>
          <w:sz w:val="16"/>
        </w:rPr>
        <w:t>*</w:t>
      </w:r>
      <w:r w:rsidRPr="009D0130">
        <w:rPr>
          <w:color w:val="000000"/>
        </w:rPr>
        <w:t xml:space="preserve">tax file numbers of those parties to the transaction who have </w:t>
      </w:r>
      <w:r w:rsidR="005C1144" w:rsidRPr="009D0130">
        <w:rPr>
          <w:color w:val="000000"/>
        </w:rPr>
        <w:t>quoted</w:t>
      </w:r>
      <w:r w:rsidRPr="009D0130">
        <w:rPr>
          <w:color w:val="000000"/>
        </w:rPr>
        <w:t xml:space="preserve"> their tax file numbers to the State or Territory concerned.</w:t>
      </w:r>
    </w:p>
    <w:p w:rsidR="00051355" w:rsidRPr="009D0130" w:rsidRDefault="00051355" w:rsidP="009D0130">
      <w:pPr>
        <w:pStyle w:val="SubsectionHead"/>
      </w:pPr>
      <w:r w:rsidRPr="009D0130">
        <w:t>Transactions involving market participants</w:t>
      </w:r>
    </w:p>
    <w:p w:rsidR="00051355" w:rsidRPr="009D0130" w:rsidRDefault="00051355" w:rsidP="009D0130">
      <w:pPr>
        <w:pStyle w:val="subsection"/>
      </w:pPr>
      <w:r w:rsidRPr="009D0130">
        <w:tab/>
        <w:t>(2)</w:t>
      </w:r>
      <w:r w:rsidRPr="009D0130">
        <w:tab/>
        <w:t>For the purposes of section</w:t>
      </w:r>
      <w:r w:rsidR="009D0130" w:rsidRPr="009D0130">
        <w:t> </w:t>
      </w:r>
      <w:r w:rsidRPr="009D0130">
        <w:t>396</w:t>
      </w:r>
      <w:r w:rsidR="000B2603">
        <w:noBreakHyphen/>
      </w:r>
      <w:r w:rsidRPr="009D0130">
        <w:t xml:space="preserve">55, the information required by the </w:t>
      </w:r>
      <w:r w:rsidR="009D0130" w:rsidRPr="009D0130">
        <w:rPr>
          <w:position w:val="6"/>
          <w:sz w:val="16"/>
        </w:rPr>
        <w:t>*</w:t>
      </w:r>
      <w:r w:rsidRPr="009D0130">
        <w:t>approved form about a transaction described in table item</w:t>
      </w:r>
      <w:r w:rsidR="009D0130" w:rsidRPr="009D0130">
        <w:t> </w:t>
      </w:r>
      <w:r w:rsidRPr="009D0130">
        <w:t>5 in that section must relate to identifying the parties to the transaction.</w:t>
      </w:r>
    </w:p>
    <w:p w:rsidR="00583B78" w:rsidRPr="009D0130" w:rsidRDefault="00583B78" w:rsidP="009D0130">
      <w:pPr>
        <w:pStyle w:val="SubsectionHead"/>
      </w:pPr>
      <w:r w:rsidRPr="009D0130">
        <w:t>Some reporting entities may request tax file numbers</w:t>
      </w:r>
    </w:p>
    <w:p w:rsidR="00E771EE" w:rsidRPr="009D0130" w:rsidRDefault="00583B78" w:rsidP="009D0130">
      <w:pPr>
        <w:pStyle w:val="subsection"/>
      </w:pPr>
      <w:r w:rsidRPr="009D0130">
        <w:tab/>
        <w:t>(3)</w:t>
      </w:r>
      <w:r w:rsidRPr="009D0130">
        <w:tab/>
      </w:r>
      <w:r w:rsidR="00E771EE" w:rsidRPr="009D0130">
        <w:t xml:space="preserve">A State or Territory may request an entity to quote the entity’s </w:t>
      </w:r>
      <w:r w:rsidR="009D0130" w:rsidRPr="009D0130">
        <w:rPr>
          <w:position w:val="6"/>
          <w:sz w:val="16"/>
        </w:rPr>
        <w:t>*</w:t>
      </w:r>
      <w:r w:rsidR="00E771EE" w:rsidRPr="009D0130">
        <w:t>tax file number to the State or Territory if:</w:t>
      </w:r>
    </w:p>
    <w:p w:rsidR="00E771EE" w:rsidRPr="009D0130" w:rsidRDefault="00E771EE" w:rsidP="009D0130">
      <w:pPr>
        <w:pStyle w:val="paragraph"/>
      </w:pPr>
      <w:r w:rsidRPr="009D0130">
        <w:tab/>
        <w:t>(a)</w:t>
      </w:r>
      <w:r w:rsidRPr="009D0130">
        <w:tab/>
        <w:t xml:space="preserve">the tax file number is </w:t>
      </w:r>
      <w:r w:rsidR="0016648A" w:rsidRPr="009D0130">
        <w:t>for</w:t>
      </w:r>
      <w:r w:rsidRPr="009D0130">
        <w:t xml:space="preserve"> a report </w:t>
      </w:r>
      <w:r w:rsidR="00043330" w:rsidRPr="009D0130">
        <w:t xml:space="preserve">by the State or Territory </w:t>
      </w:r>
      <w:r w:rsidRPr="009D0130">
        <w:t>under section</w:t>
      </w:r>
      <w:r w:rsidR="009D0130" w:rsidRPr="009D0130">
        <w:t> </w:t>
      </w:r>
      <w:r w:rsidRPr="009D0130">
        <w:t>396</w:t>
      </w:r>
      <w:r w:rsidR="000B2603">
        <w:noBreakHyphen/>
      </w:r>
      <w:r w:rsidRPr="009D0130">
        <w:t>55 about a transaction described in table item</w:t>
      </w:r>
      <w:r w:rsidR="009D0130" w:rsidRPr="009D0130">
        <w:t> </w:t>
      </w:r>
      <w:r w:rsidRPr="009D0130">
        <w:t>3 in that section; and</w:t>
      </w:r>
    </w:p>
    <w:p w:rsidR="00E771EE" w:rsidRPr="009D0130" w:rsidRDefault="00E771EE" w:rsidP="009D0130">
      <w:pPr>
        <w:pStyle w:val="paragraph"/>
      </w:pPr>
      <w:r w:rsidRPr="009D0130">
        <w:tab/>
        <w:t>(b)</w:t>
      </w:r>
      <w:r w:rsidRPr="009D0130">
        <w:tab/>
        <w:t xml:space="preserve">the entity </w:t>
      </w:r>
      <w:r w:rsidR="0016648A" w:rsidRPr="009D0130">
        <w:t>is</w:t>
      </w:r>
      <w:r w:rsidR="00AF5B9F" w:rsidRPr="009D0130">
        <w:t xml:space="preserve"> a party to the transaction</w:t>
      </w:r>
      <w:r w:rsidR="0016648A" w:rsidRPr="009D0130">
        <w:t>.</w:t>
      </w:r>
    </w:p>
    <w:p w:rsidR="00051355" w:rsidRPr="009D0130" w:rsidRDefault="00051355" w:rsidP="009D0130">
      <w:pPr>
        <w:pStyle w:val="ActHead5"/>
      </w:pPr>
      <w:bookmarkStart w:id="33" w:name="_Toc436742101"/>
      <w:r w:rsidRPr="009D0130">
        <w:rPr>
          <w:rStyle w:val="CharSectno"/>
        </w:rPr>
        <w:lastRenderedPageBreak/>
        <w:t>396</w:t>
      </w:r>
      <w:r w:rsidR="000B2603">
        <w:rPr>
          <w:rStyle w:val="CharSectno"/>
        </w:rPr>
        <w:noBreakHyphen/>
      </w:r>
      <w:r w:rsidRPr="009D0130">
        <w:rPr>
          <w:rStyle w:val="CharSectno"/>
        </w:rPr>
        <w:t>65</w:t>
      </w:r>
      <w:r w:rsidRPr="009D0130">
        <w:t xml:space="preserve">  Exemptions—wholesale clients</w:t>
      </w:r>
      <w:bookmarkEnd w:id="33"/>
    </w:p>
    <w:p w:rsidR="00051355" w:rsidRPr="009D0130" w:rsidRDefault="00051355" w:rsidP="009D0130">
      <w:pPr>
        <w:pStyle w:val="subsection"/>
      </w:pPr>
      <w:r w:rsidRPr="009D0130">
        <w:tab/>
      </w:r>
      <w:r w:rsidRPr="009D0130">
        <w:tab/>
        <w:t>An entity is not required to include, in a report under section</w:t>
      </w:r>
      <w:r w:rsidR="009D0130" w:rsidRPr="009D0130">
        <w:t> </w:t>
      </w:r>
      <w:r w:rsidRPr="009D0130">
        <w:t>396</w:t>
      </w:r>
      <w:r w:rsidR="000B2603">
        <w:noBreakHyphen/>
      </w:r>
      <w:r w:rsidRPr="009D0130">
        <w:t>55, information about a transaction described in table item</w:t>
      </w:r>
      <w:r w:rsidR="009D0130" w:rsidRPr="009D0130">
        <w:t> </w:t>
      </w:r>
      <w:r w:rsidRPr="009D0130">
        <w:t>5, 6, 7 or 8 in that section to the extent that the information relates to a party to the transaction:</w:t>
      </w:r>
    </w:p>
    <w:p w:rsidR="00051355" w:rsidRPr="009D0130" w:rsidRDefault="00051355" w:rsidP="009D0130">
      <w:pPr>
        <w:pStyle w:val="paragraph"/>
      </w:pPr>
      <w:r w:rsidRPr="009D0130">
        <w:tab/>
        <w:t>(a)</w:t>
      </w:r>
      <w:r w:rsidRPr="009D0130">
        <w:tab/>
        <w:t>who is not an individual; and</w:t>
      </w:r>
    </w:p>
    <w:p w:rsidR="00051355" w:rsidRPr="009D0130" w:rsidRDefault="00051355" w:rsidP="009D0130">
      <w:pPr>
        <w:pStyle w:val="paragraph"/>
      </w:pPr>
      <w:r w:rsidRPr="009D0130">
        <w:tab/>
        <w:t>(b)</w:t>
      </w:r>
      <w:r w:rsidRPr="009D0130">
        <w:tab/>
        <w:t>who is being provided a financial product, or a financial service, under the transaction as a wholesale client.</w:t>
      </w:r>
    </w:p>
    <w:p w:rsidR="00051355" w:rsidRPr="009D0130" w:rsidRDefault="00051355" w:rsidP="009D0130">
      <w:pPr>
        <w:pStyle w:val="subsection2"/>
      </w:pPr>
      <w:r w:rsidRPr="009D0130">
        <w:rPr>
          <w:b/>
          <w:i/>
        </w:rPr>
        <w:t>Financial product</w:t>
      </w:r>
      <w:r w:rsidRPr="009D0130">
        <w:t xml:space="preserve">, </w:t>
      </w:r>
      <w:r w:rsidRPr="009D0130">
        <w:rPr>
          <w:b/>
          <w:i/>
        </w:rPr>
        <w:t>financial service</w:t>
      </w:r>
      <w:r w:rsidRPr="009D0130">
        <w:t xml:space="preserve"> and </w:t>
      </w:r>
      <w:r w:rsidRPr="009D0130">
        <w:rPr>
          <w:b/>
          <w:i/>
        </w:rPr>
        <w:t>wholesale client</w:t>
      </w:r>
      <w:r w:rsidRPr="009D0130">
        <w:t xml:space="preserve"> have the same meanings in this section as they do in Chapter</w:t>
      </w:r>
      <w:r w:rsidR="009D0130" w:rsidRPr="009D0130">
        <w:t> </w:t>
      </w:r>
      <w:r w:rsidRPr="009D0130">
        <w:t xml:space="preserve">7 of the </w:t>
      </w:r>
      <w:r w:rsidRPr="009D0130">
        <w:rPr>
          <w:i/>
        </w:rPr>
        <w:t>Corporations Act 2001</w:t>
      </w:r>
      <w:r w:rsidRPr="009D0130">
        <w:t>.</w:t>
      </w:r>
    </w:p>
    <w:p w:rsidR="00051355" w:rsidRPr="009D0130" w:rsidRDefault="00051355" w:rsidP="009D0130">
      <w:pPr>
        <w:pStyle w:val="notetext"/>
      </w:pPr>
      <w:r w:rsidRPr="009D0130">
        <w:t>Note:</w:t>
      </w:r>
      <w:r w:rsidRPr="009D0130">
        <w:tab/>
        <w:t>This exemption does not apply to information relating to any other party to the transaction, such as the party providing the product or service.</w:t>
      </w:r>
    </w:p>
    <w:p w:rsidR="00051355" w:rsidRPr="009D0130" w:rsidRDefault="00051355" w:rsidP="009D0130">
      <w:pPr>
        <w:pStyle w:val="ActHead5"/>
      </w:pPr>
      <w:bookmarkStart w:id="34" w:name="_Toc436742102"/>
      <w:r w:rsidRPr="009D0130">
        <w:rPr>
          <w:rStyle w:val="CharSectno"/>
        </w:rPr>
        <w:t>396</w:t>
      </w:r>
      <w:r w:rsidR="000B2603">
        <w:rPr>
          <w:rStyle w:val="CharSectno"/>
        </w:rPr>
        <w:noBreakHyphen/>
      </w:r>
      <w:r w:rsidRPr="009D0130">
        <w:rPr>
          <w:rStyle w:val="CharSectno"/>
        </w:rPr>
        <w:t>70</w:t>
      </w:r>
      <w:r w:rsidRPr="009D0130">
        <w:t xml:space="preserve">  Exemptions—other cases</w:t>
      </w:r>
      <w:bookmarkEnd w:id="34"/>
    </w:p>
    <w:p w:rsidR="00051355" w:rsidRPr="009D0130" w:rsidRDefault="00051355" w:rsidP="009D0130">
      <w:pPr>
        <w:pStyle w:val="SubsectionHead"/>
      </w:pPr>
      <w:r w:rsidRPr="009D0130">
        <w:t>Exemptions for particular entities</w:t>
      </w:r>
    </w:p>
    <w:p w:rsidR="00051355" w:rsidRPr="009D0130" w:rsidRDefault="00051355" w:rsidP="009D0130">
      <w:pPr>
        <w:pStyle w:val="subsection"/>
      </w:pPr>
      <w:r w:rsidRPr="009D0130">
        <w:tab/>
        <w:t>(1)</w:t>
      </w:r>
      <w:r w:rsidRPr="009D0130">
        <w:tab/>
        <w:t>The Commissioner may, in writing, notify an entity that it:</w:t>
      </w:r>
    </w:p>
    <w:p w:rsidR="00051355" w:rsidRPr="009D0130" w:rsidRDefault="00051355" w:rsidP="009D0130">
      <w:pPr>
        <w:pStyle w:val="paragraph"/>
      </w:pPr>
      <w:r w:rsidRPr="009D0130">
        <w:tab/>
        <w:t>(a)</w:t>
      </w:r>
      <w:r w:rsidRPr="009D0130">
        <w:tab/>
        <w:t>is not required to prepare and give reports under section</w:t>
      </w:r>
      <w:r w:rsidR="009D0130" w:rsidRPr="009D0130">
        <w:t> </w:t>
      </w:r>
      <w:r w:rsidRPr="009D0130">
        <w:t>396</w:t>
      </w:r>
      <w:r w:rsidR="000B2603">
        <w:noBreakHyphen/>
      </w:r>
      <w:r w:rsidRPr="009D0130">
        <w:t>55; or</w:t>
      </w:r>
    </w:p>
    <w:p w:rsidR="00051355" w:rsidRPr="009D0130" w:rsidRDefault="00051355" w:rsidP="009D0130">
      <w:pPr>
        <w:pStyle w:val="paragraph"/>
      </w:pPr>
      <w:r w:rsidRPr="009D0130">
        <w:tab/>
        <w:t>(b)</w:t>
      </w:r>
      <w:r w:rsidRPr="009D0130">
        <w:tab/>
        <w:t>is not required to do so for specified classes of transactions.</w:t>
      </w:r>
    </w:p>
    <w:p w:rsidR="00051355" w:rsidRPr="009D0130" w:rsidRDefault="00051355" w:rsidP="009D0130">
      <w:pPr>
        <w:pStyle w:val="subsection"/>
      </w:pPr>
      <w:r w:rsidRPr="009D0130">
        <w:tab/>
        <w:t>(2)</w:t>
      </w:r>
      <w:r w:rsidRPr="009D0130">
        <w:tab/>
        <w:t>An entity dissatisfied with a decision to:</w:t>
      </w:r>
    </w:p>
    <w:p w:rsidR="00051355" w:rsidRPr="009D0130" w:rsidRDefault="00051355" w:rsidP="009D0130">
      <w:pPr>
        <w:pStyle w:val="paragraph"/>
      </w:pPr>
      <w:r w:rsidRPr="009D0130">
        <w:tab/>
        <w:t>(a)</w:t>
      </w:r>
      <w:r w:rsidRPr="009D0130">
        <w:tab/>
        <w:t xml:space="preserve">give it a notice under </w:t>
      </w:r>
      <w:r w:rsidR="009D0130" w:rsidRPr="009D0130">
        <w:t>subsection (</w:t>
      </w:r>
      <w:r w:rsidRPr="009D0130">
        <w:t>1); or</w:t>
      </w:r>
    </w:p>
    <w:p w:rsidR="00051355" w:rsidRPr="009D0130" w:rsidRDefault="00051355" w:rsidP="009D0130">
      <w:pPr>
        <w:pStyle w:val="paragraph"/>
      </w:pPr>
      <w:r w:rsidRPr="009D0130">
        <w:tab/>
        <w:t>(b)</w:t>
      </w:r>
      <w:r w:rsidRPr="009D0130">
        <w:tab/>
        <w:t xml:space="preserve">not give it a notice under </w:t>
      </w:r>
      <w:r w:rsidR="009D0130" w:rsidRPr="009D0130">
        <w:t>subsection (</w:t>
      </w:r>
      <w:r w:rsidRPr="009D0130">
        <w:t>1);</w:t>
      </w:r>
    </w:p>
    <w:p w:rsidR="00051355" w:rsidRPr="009D0130" w:rsidRDefault="00051355" w:rsidP="009D0130">
      <w:pPr>
        <w:pStyle w:val="subsection2"/>
      </w:pPr>
      <w:r w:rsidRPr="009D0130">
        <w:t>may object against the decision in the manner set out in Part</w:t>
      </w:r>
      <w:r w:rsidR="009D0130" w:rsidRPr="009D0130">
        <w:t> </w:t>
      </w:r>
      <w:r w:rsidRPr="009D0130">
        <w:t>IVC.</w:t>
      </w:r>
    </w:p>
    <w:p w:rsidR="00051355" w:rsidRPr="009D0130" w:rsidRDefault="00051355" w:rsidP="009D0130">
      <w:pPr>
        <w:pStyle w:val="subsection"/>
      </w:pPr>
      <w:r w:rsidRPr="009D0130">
        <w:tab/>
        <w:t>(3)</w:t>
      </w:r>
      <w:r w:rsidRPr="009D0130">
        <w:tab/>
        <w:t xml:space="preserve">A notice under </w:t>
      </w:r>
      <w:r w:rsidR="009D0130" w:rsidRPr="009D0130">
        <w:t>subsection (</w:t>
      </w:r>
      <w:r w:rsidRPr="009D0130">
        <w:t>1) is not a legislative instrument.</w:t>
      </w:r>
    </w:p>
    <w:p w:rsidR="00051355" w:rsidRPr="009D0130" w:rsidRDefault="00051355" w:rsidP="009D0130">
      <w:pPr>
        <w:pStyle w:val="SubsectionHead"/>
      </w:pPr>
      <w:r w:rsidRPr="009D0130">
        <w:t>General exemptions</w:t>
      </w:r>
    </w:p>
    <w:p w:rsidR="00051355" w:rsidRPr="009D0130" w:rsidRDefault="00051355" w:rsidP="009D0130">
      <w:pPr>
        <w:pStyle w:val="subsection"/>
      </w:pPr>
      <w:r w:rsidRPr="009D0130">
        <w:tab/>
        <w:t>(4)</w:t>
      </w:r>
      <w:r w:rsidRPr="009D0130">
        <w:tab/>
        <w:t>The Commissioner may, by legislative instrument, determine that specified classes of entities:</w:t>
      </w:r>
    </w:p>
    <w:p w:rsidR="00051355" w:rsidRPr="009D0130" w:rsidRDefault="00051355" w:rsidP="009D0130">
      <w:pPr>
        <w:pStyle w:val="paragraph"/>
      </w:pPr>
      <w:r w:rsidRPr="009D0130">
        <w:tab/>
        <w:t>(a)</w:t>
      </w:r>
      <w:r w:rsidRPr="009D0130">
        <w:tab/>
        <w:t>are not required to prepare and give reports under section</w:t>
      </w:r>
      <w:r w:rsidR="009D0130" w:rsidRPr="009D0130">
        <w:t> </w:t>
      </w:r>
      <w:r w:rsidRPr="009D0130">
        <w:t>396</w:t>
      </w:r>
      <w:r w:rsidR="000B2603">
        <w:noBreakHyphen/>
      </w:r>
      <w:r w:rsidRPr="009D0130">
        <w:t>55; or</w:t>
      </w:r>
    </w:p>
    <w:p w:rsidR="00051355" w:rsidRPr="009D0130" w:rsidRDefault="00051355" w:rsidP="009D0130">
      <w:pPr>
        <w:pStyle w:val="paragraph"/>
      </w:pPr>
      <w:r w:rsidRPr="009D0130">
        <w:tab/>
        <w:t>(b)</w:t>
      </w:r>
      <w:r w:rsidRPr="009D0130">
        <w:tab/>
        <w:t>are not required to do so for specified classes of transactions.</w:t>
      </w:r>
    </w:p>
    <w:p w:rsidR="00051355" w:rsidRPr="009D0130" w:rsidRDefault="00051355" w:rsidP="009D0130">
      <w:pPr>
        <w:pStyle w:val="ActHead5"/>
      </w:pPr>
      <w:bookmarkStart w:id="35" w:name="_Toc436742103"/>
      <w:r w:rsidRPr="009D0130">
        <w:rPr>
          <w:rStyle w:val="CharSectno"/>
        </w:rPr>
        <w:lastRenderedPageBreak/>
        <w:t>396</w:t>
      </w:r>
      <w:r w:rsidR="000B2603">
        <w:rPr>
          <w:rStyle w:val="CharSectno"/>
        </w:rPr>
        <w:noBreakHyphen/>
      </w:r>
      <w:r w:rsidRPr="009D0130">
        <w:rPr>
          <w:rStyle w:val="CharSectno"/>
        </w:rPr>
        <w:t>75</w:t>
      </w:r>
      <w:r w:rsidRPr="009D0130">
        <w:t xml:space="preserve">  Errors in reports</w:t>
      </w:r>
      <w:bookmarkEnd w:id="35"/>
    </w:p>
    <w:p w:rsidR="00051355" w:rsidRPr="009D0130" w:rsidRDefault="00051355" w:rsidP="009D0130">
      <w:pPr>
        <w:pStyle w:val="subsection"/>
      </w:pPr>
      <w:r w:rsidRPr="009D0130">
        <w:tab/>
        <w:t>(1)</w:t>
      </w:r>
      <w:r w:rsidRPr="009D0130">
        <w:tab/>
        <w:t>An entity must give to the Commissioner a corrected report if:</w:t>
      </w:r>
    </w:p>
    <w:p w:rsidR="00051355" w:rsidRPr="009D0130" w:rsidRDefault="00051355" w:rsidP="009D0130">
      <w:pPr>
        <w:pStyle w:val="paragraph"/>
      </w:pPr>
      <w:r w:rsidRPr="009D0130">
        <w:tab/>
        <w:t>(a)</w:t>
      </w:r>
      <w:r w:rsidRPr="009D0130">
        <w:tab/>
        <w:t>the entity has given a report to the Commissioner under this Subdivision; and</w:t>
      </w:r>
    </w:p>
    <w:p w:rsidR="00051355" w:rsidRPr="009D0130" w:rsidRDefault="00051355" w:rsidP="009D0130">
      <w:pPr>
        <w:pStyle w:val="paragraph"/>
      </w:pPr>
      <w:r w:rsidRPr="009D0130">
        <w:tab/>
        <w:t>(b)</w:t>
      </w:r>
      <w:r w:rsidRPr="009D0130">
        <w:tab/>
        <w:t>after giving the report, the entity becomes aware of a material error in it.</w:t>
      </w:r>
    </w:p>
    <w:p w:rsidR="00051355" w:rsidRPr="009D0130" w:rsidRDefault="00051355" w:rsidP="009D0130">
      <w:pPr>
        <w:pStyle w:val="subsection"/>
      </w:pPr>
      <w:r w:rsidRPr="009D0130">
        <w:tab/>
        <w:t>(2)</w:t>
      </w:r>
      <w:r w:rsidRPr="009D0130">
        <w:tab/>
        <w:t xml:space="preserve">The report must be in the </w:t>
      </w:r>
      <w:r w:rsidR="009D0130" w:rsidRPr="009D0130">
        <w:rPr>
          <w:position w:val="6"/>
          <w:sz w:val="16"/>
        </w:rPr>
        <w:t>*</w:t>
      </w:r>
      <w:r w:rsidRPr="009D0130">
        <w:t>approved form.</w:t>
      </w:r>
    </w:p>
    <w:p w:rsidR="00051355" w:rsidRPr="009D0130" w:rsidRDefault="00051355" w:rsidP="009D0130">
      <w:pPr>
        <w:pStyle w:val="subsection"/>
      </w:pPr>
      <w:r w:rsidRPr="009D0130">
        <w:tab/>
        <w:t>(3)</w:t>
      </w:r>
      <w:r w:rsidRPr="009D0130">
        <w:tab/>
        <w:t>The report must be given to the Commissioner no later than 28 days after the entity becomes aware of the error.</w:t>
      </w:r>
    </w:p>
    <w:p w:rsidR="00051355" w:rsidRPr="009D0130" w:rsidRDefault="00051355" w:rsidP="009D0130">
      <w:pPr>
        <w:pStyle w:val="notetext"/>
      </w:pPr>
      <w:r w:rsidRPr="009D0130">
        <w:t>Note 1:</w:t>
      </w:r>
      <w:r w:rsidRPr="009D0130">
        <w:tab/>
        <w:t>An administrative penalty applies to a failure to give the report by that time (see subsection</w:t>
      </w:r>
      <w:r w:rsidR="009D0130" w:rsidRPr="009D0130">
        <w:t> </w:t>
      </w:r>
      <w:r w:rsidRPr="009D0130">
        <w:t>286</w:t>
      </w:r>
      <w:r w:rsidR="000B2603">
        <w:noBreakHyphen/>
      </w:r>
      <w:r w:rsidRPr="009D0130">
        <w:t>75(1)). An administrative penalty applies for any false statements in the report (see section</w:t>
      </w:r>
      <w:r w:rsidR="009D0130" w:rsidRPr="009D0130">
        <w:t> </w:t>
      </w:r>
      <w:r w:rsidRPr="009D0130">
        <w:t>284</w:t>
      </w:r>
      <w:r w:rsidR="000B2603">
        <w:noBreakHyphen/>
      </w:r>
      <w:r w:rsidRPr="009D0130">
        <w:t>75).</w:t>
      </w:r>
    </w:p>
    <w:p w:rsidR="00051355" w:rsidRPr="009D0130" w:rsidRDefault="00051355" w:rsidP="009D0130">
      <w:pPr>
        <w:pStyle w:val="notetext"/>
      </w:pPr>
      <w:r w:rsidRPr="009D0130">
        <w:t>Note 2:</w:t>
      </w:r>
      <w:r w:rsidRPr="009D0130">
        <w:tab/>
        <w:t>Section</w:t>
      </w:r>
      <w:r w:rsidR="009D0130" w:rsidRPr="009D0130">
        <w:t> </w:t>
      </w:r>
      <w:r w:rsidRPr="009D0130">
        <w:t>388</w:t>
      </w:r>
      <w:r w:rsidR="000B2603">
        <w:noBreakHyphen/>
      </w:r>
      <w:r w:rsidRPr="009D0130">
        <w:t>55 allows the Commissioner to defer the time for giving an approved form.</w:t>
      </w:r>
    </w:p>
    <w:p w:rsidR="00051355" w:rsidRPr="009D0130" w:rsidRDefault="00051355" w:rsidP="009D0130">
      <w:pPr>
        <w:pStyle w:val="ActHead7"/>
        <w:pageBreakBefore/>
      </w:pPr>
      <w:bookmarkStart w:id="36" w:name="_Toc436742104"/>
      <w:r w:rsidRPr="009D0130">
        <w:rPr>
          <w:rStyle w:val="CharAmPartNo"/>
        </w:rPr>
        <w:lastRenderedPageBreak/>
        <w:t>Part</w:t>
      </w:r>
      <w:r w:rsidR="009D0130" w:rsidRPr="009D0130">
        <w:rPr>
          <w:rStyle w:val="CharAmPartNo"/>
        </w:rPr>
        <w:t> </w:t>
      </w:r>
      <w:r w:rsidRPr="009D0130">
        <w:rPr>
          <w:rStyle w:val="CharAmPartNo"/>
        </w:rPr>
        <w:t>2</w:t>
      </w:r>
      <w:r w:rsidRPr="009D0130">
        <w:t>—</w:t>
      </w:r>
      <w:r w:rsidRPr="009D0130">
        <w:rPr>
          <w:rStyle w:val="CharAmPartText"/>
        </w:rPr>
        <w:t>Other amendments</w:t>
      </w:r>
      <w:bookmarkEnd w:id="36"/>
    </w:p>
    <w:p w:rsidR="00051355" w:rsidRPr="009D0130" w:rsidRDefault="00051355" w:rsidP="009D0130">
      <w:pPr>
        <w:pStyle w:val="ActHead9"/>
        <w:rPr>
          <w:i w:val="0"/>
        </w:rPr>
      </w:pPr>
      <w:bookmarkStart w:id="37" w:name="_Toc436742105"/>
      <w:r w:rsidRPr="009D0130">
        <w:t>Income Tax Assessment Act 1997</w:t>
      </w:r>
      <w:bookmarkEnd w:id="37"/>
    </w:p>
    <w:p w:rsidR="00051355" w:rsidRPr="009D0130" w:rsidRDefault="0004668B" w:rsidP="009D0130">
      <w:pPr>
        <w:pStyle w:val="ItemHead"/>
      </w:pPr>
      <w:r w:rsidRPr="009D0130">
        <w:t>2</w:t>
      </w:r>
      <w:r w:rsidR="00051355" w:rsidRPr="009D0130">
        <w:t xml:space="preserve">  Subsection</w:t>
      </w:r>
      <w:r w:rsidR="009D0130" w:rsidRPr="009D0130">
        <w:t> </w:t>
      </w:r>
      <w:r w:rsidR="00051355" w:rsidRPr="009D0130">
        <w:t>995</w:t>
      </w:r>
      <w:r w:rsidR="000B2603">
        <w:noBreakHyphen/>
      </w:r>
      <w:r w:rsidR="00051355" w:rsidRPr="009D0130">
        <w:t>1(1)</w:t>
      </w:r>
    </w:p>
    <w:p w:rsidR="00051355" w:rsidRPr="009D0130" w:rsidRDefault="00051355" w:rsidP="009D0130">
      <w:pPr>
        <w:pStyle w:val="Item"/>
      </w:pPr>
      <w:r w:rsidRPr="009D0130">
        <w:t>Insert:</w:t>
      </w:r>
    </w:p>
    <w:p w:rsidR="00051355" w:rsidRPr="009D0130" w:rsidRDefault="00051355" w:rsidP="009D0130">
      <w:pPr>
        <w:pStyle w:val="Definition"/>
      </w:pPr>
      <w:r w:rsidRPr="009D0130">
        <w:rPr>
          <w:b/>
          <w:i/>
        </w:rPr>
        <w:t>ASIC</w:t>
      </w:r>
      <w:r w:rsidRPr="009D0130">
        <w:t xml:space="preserve"> means the Australian Securities and Investments Commission.</w:t>
      </w:r>
    </w:p>
    <w:p w:rsidR="00051355" w:rsidRPr="009D0130" w:rsidRDefault="00051355" w:rsidP="009D0130">
      <w:pPr>
        <w:pStyle w:val="Definition"/>
      </w:pPr>
      <w:r w:rsidRPr="009D0130">
        <w:rPr>
          <w:b/>
          <w:i/>
        </w:rPr>
        <w:t>Australian financial market</w:t>
      </w:r>
      <w:r w:rsidRPr="009D0130">
        <w:t xml:space="preserve"> means a financial market (within the meaning of Chapter</w:t>
      </w:r>
      <w:r w:rsidR="009D0130" w:rsidRPr="009D0130">
        <w:t> </w:t>
      </w:r>
      <w:r w:rsidRPr="009D0130">
        <w:t xml:space="preserve">7 of the </w:t>
      </w:r>
      <w:r w:rsidRPr="009D0130">
        <w:rPr>
          <w:i/>
        </w:rPr>
        <w:t>Corporations Act 2001</w:t>
      </w:r>
      <w:r w:rsidRPr="009D0130">
        <w:t>) operating under an Australian market licence granted under subsection</w:t>
      </w:r>
      <w:r w:rsidR="009D0130" w:rsidRPr="009D0130">
        <w:t> </w:t>
      </w:r>
      <w:r w:rsidRPr="009D0130">
        <w:t>795B(1) of that Act.</w:t>
      </w:r>
    </w:p>
    <w:p w:rsidR="00051355" w:rsidRPr="009D0130" w:rsidRDefault="00051355" w:rsidP="009D0130">
      <w:pPr>
        <w:pStyle w:val="Definition"/>
      </w:pPr>
      <w:r w:rsidRPr="009D0130">
        <w:rPr>
          <w:b/>
          <w:i/>
        </w:rPr>
        <w:t>market integrity rules</w:t>
      </w:r>
      <w:r w:rsidRPr="009D0130">
        <w:t xml:space="preserve"> means rules made under section</w:t>
      </w:r>
      <w:r w:rsidR="009D0130" w:rsidRPr="009D0130">
        <w:t> </w:t>
      </w:r>
      <w:r w:rsidRPr="009D0130">
        <w:t xml:space="preserve">798G of the </w:t>
      </w:r>
      <w:r w:rsidRPr="009D0130">
        <w:rPr>
          <w:i/>
        </w:rPr>
        <w:t>Corporations Act 2001</w:t>
      </w:r>
      <w:r w:rsidRPr="009D0130">
        <w:t>.</w:t>
      </w:r>
    </w:p>
    <w:p w:rsidR="00051355" w:rsidRPr="009D0130" w:rsidRDefault="00051355" w:rsidP="009D0130">
      <w:pPr>
        <w:pStyle w:val="ActHead9"/>
        <w:rPr>
          <w:i w:val="0"/>
        </w:rPr>
      </w:pPr>
      <w:bookmarkStart w:id="38" w:name="_Toc436742106"/>
      <w:r w:rsidRPr="009D0130">
        <w:t>Tax Agent Services Act 2009</w:t>
      </w:r>
      <w:bookmarkEnd w:id="38"/>
    </w:p>
    <w:p w:rsidR="00051355" w:rsidRPr="009D0130" w:rsidRDefault="0004668B" w:rsidP="009D0130">
      <w:pPr>
        <w:pStyle w:val="ItemHead"/>
      </w:pPr>
      <w:r w:rsidRPr="009D0130">
        <w:t>3</w:t>
      </w:r>
      <w:r w:rsidR="00051355" w:rsidRPr="009D0130">
        <w:t xml:space="preserve">  Paragraph 20</w:t>
      </w:r>
      <w:r w:rsidR="000B2603">
        <w:noBreakHyphen/>
      </w:r>
      <w:r w:rsidR="00051355" w:rsidRPr="009D0130">
        <w:t>30(2)(b)</w:t>
      </w:r>
    </w:p>
    <w:p w:rsidR="00051355" w:rsidRPr="009D0130" w:rsidRDefault="00051355" w:rsidP="009D0130">
      <w:pPr>
        <w:pStyle w:val="Item"/>
      </w:pPr>
      <w:r w:rsidRPr="009D0130">
        <w:t>Omit “the Australian Securities and Investments Commission”, substitute “</w:t>
      </w:r>
      <w:r w:rsidR="009D0130" w:rsidRPr="009D0130">
        <w:rPr>
          <w:position w:val="6"/>
          <w:sz w:val="16"/>
        </w:rPr>
        <w:t>*</w:t>
      </w:r>
      <w:r w:rsidRPr="009D0130">
        <w:t>ASIC”.</w:t>
      </w:r>
    </w:p>
    <w:p w:rsidR="00051355" w:rsidRPr="009D0130" w:rsidRDefault="0004668B" w:rsidP="009D0130">
      <w:pPr>
        <w:pStyle w:val="ItemHead"/>
      </w:pPr>
      <w:r w:rsidRPr="009D0130">
        <w:t>4</w:t>
      </w:r>
      <w:r w:rsidR="00051355" w:rsidRPr="009D0130">
        <w:t xml:space="preserve">  Paragraph 40</w:t>
      </w:r>
      <w:r w:rsidR="000B2603">
        <w:noBreakHyphen/>
      </w:r>
      <w:r w:rsidR="00051355" w:rsidRPr="009D0130">
        <w:t>20(3)(b)</w:t>
      </w:r>
    </w:p>
    <w:p w:rsidR="00051355" w:rsidRPr="009D0130" w:rsidRDefault="00051355" w:rsidP="009D0130">
      <w:pPr>
        <w:pStyle w:val="Item"/>
      </w:pPr>
      <w:r w:rsidRPr="009D0130">
        <w:t>Omit “the Australian Securities and Investments Commission”, substitute “</w:t>
      </w:r>
      <w:r w:rsidR="009D0130" w:rsidRPr="009D0130">
        <w:rPr>
          <w:position w:val="6"/>
          <w:sz w:val="16"/>
        </w:rPr>
        <w:t>*</w:t>
      </w:r>
      <w:r w:rsidRPr="009D0130">
        <w:t>ASIC”.</w:t>
      </w:r>
    </w:p>
    <w:p w:rsidR="00051355" w:rsidRPr="009D0130" w:rsidRDefault="0004668B" w:rsidP="009D0130">
      <w:pPr>
        <w:pStyle w:val="ItemHead"/>
      </w:pPr>
      <w:r w:rsidRPr="009D0130">
        <w:t>5</w:t>
      </w:r>
      <w:r w:rsidR="00051355" w:rsidRPr="009D0130">
        <w:t xml:space="preserve">  Subparagraph 60</w:t>
      </w:r>
      <w:r w:rsidR="000B2603">
        <w:noBreakHyphen/>
      </w:r>
      <w:r w:rsidR="00051355" w:rsidRPr="009D0130">
        <w:t>125(8)(c)(iv)</w:t>
      </w:r>
    </w:p>
    <w:p w:rsidR="00051355" w:rsidRPr="009D0130" w:rsidRDefault="00051355" w:rsidP="009D0130">
      <w:pPr>
        <w:pStyle w:val="Item"/>
      </w:pPr>
      <w:r w:rsidRPr="009D0130">
        <w:t>Omit “the Australian Securities and Investments Commission”, substitute “</w:t>
      </w:r>
      <w:r w:rsidR="009D0130" w:rsidRPr="009D0130">
        <w:rPr>
          <w:position w:val="6"/>
          <w:sz w:val="16"/>
        </w:rPr>
        <w:t>*</w:t>
      </w:r>
      <w:r w:rsidRPr="009D0130">
        <w:t>ASIC”.</w:t>
      </w:r>
    </w:p>
    <w:p w:rsidR="00051355" w:rsidRPr="009D0130" w:rsidRDefault="0004668B" w:rsidP="009D0130">
      <w:pPr>
        <w:pStyle w:val="ItemHead"/>
      </w:pPr>
      <w:r w:rsidRPr="009D0130">
        <w:t>6</w:t>
      </w:r>
      <w:r w:rsidR="00051355" w:rsidRPr="009D0130">
        <w:t xml:space="preserve">  Subparagraph 60</w:t>
      </w:r>
      <w:r w:rsidR="000B2603">
        <w:noBreakHyphen/>
      </w:r>
      <w:r w:rsidR="00051355" w:rsidRPr="009D0130">
        <w:t>125(8)(d)(iii)</w:t>
      </w:r>
    </w:p>
    <w:p w:rsidR="00051355" w:rsidRPr="009D0130" w:rsidRDefault="00051355" w:rsidP="009D0130">
      <w:pPr>
        <w:pStyle w:val="Item"/>
      </w:pPr>
      <w:r w:rsidRPr="009D0130">
        <w:t>Omit “the Australian Securities and Investments Commission”, substitute “ASIC”.</w:t>
      </w:r>
    </w:p>
    <w:p w:rsidR="00051355" w:rsidRPr="009D0130" w:rsidRDefault="0004668B" w:rsidP="009D0130">
      <w:pPr>
        <w:pStyle w:val="ItemHead"/>
      </w:pPr>
      <w:r w:rsidRPr="009D0130">
        <w:t>7</w:t>
      </w:r>
      <w:r w:rsidR="00051355" w:rsidRPr="009D0130">
        <w:t xml:space="preserve">  Subsection</w:t>
      </w:r>
      <w:r w:rsidR="009D0130" w:rsidRPr="009D0130">
        <w:t> </w:t>
      </w:r>
      <w:r w:rsidR="00051355" w:rsidRPr="009D0130">
        <w:t>70</w:t>
      </w:r>
      <w:r w:rsidR="000B2603">
        <w:noBreakHyphen/>
      </w:r>
      <w:r w:rsidR="00051355" w:rsidRPr="009D0130">
        <w:t>40(3A) (heading)</w:t>
      </w:r>
    </w:p>
    <w:p w:rsidR="00051355" w:rsidRPr="009D0130" w:rsidRDefault="00051355" w:rsidP="009D0130">
      <w:pPr>
        <w:pStyle w:val="Item"/>
      </w:pPr>
      <w:r w:rsidRPr="009D0130">
        <w:t>Repeal the heading, substitute:</w:t>
      </w:r>
    </w:p>
    <w:p w:rsidR="00051355" w:rsidRPr="009D0130" w:rsidRDefault="00051355" w:rsidP="009D0130">
      <w:pPr>
        <w:pStyle w:val="SubsectionHead"/>
      </w:pPr>
      <w:r w:rsidRPr="009D0130">
        <w:lastRenderedPageBreak/>
        <w:t>Disclosures to ASIC</w:t>
      </w:r>
    </w:p>
    <w:p w:rsidR="00051355" w:rsidRPr="009D0130" w:rsidRDefault="0004668B" w:rsidP="009D0130">
      <w:pPr>
        <w:pStyle w:val="ItemHead"/>
      </w:pPr>
      <w:r w:rsidRPr="009D0130">
        <w:t>8</w:t>
      </w:r>
      <w:r w:rsidR="00051355" w:rsidRPr="009D0130">
        <w:t xml:space="preserve">  Subsection</w:t>
      </w:r>
      <w:r w:rsidR="009D0130" w:rsidRPr="009D0130">
        <w:t> </w:t>
      </w:r>
      <w:r w:rsidR="00051355" w:rsidRPr="009D0130">
        <w:t>70</w:t>
      </w:r>
      <w:r w:rsidR="000B2603">
        <w:noBreakHyphen/>
      </w:r>
      <w:r w:rsidR="00051355" w:rsidRPr="009D0130">
        <w:t>40(3A)</w:t>
      </w:r>
    </w:p>
    <w:p w:rsidR="00051355" w:rsidRPr="009D0130" w:rsidRDefault="00051355" w:rsidP="009D0130">
      <w:pPr>
        <w:pStyle w:val="Item"/>
      </w:pPr>
      <w:r w:rsidRPr="009D0130">
        <w:t>Omit “the Australian Securities and Investments Commission”, substitute “</w:t>
      </w:r>
      <w:r w:rsidR="009D0130" w:rsidRPr="009D0130">
        <w:rPr>
          <w:position w:val="6"/>
          <w:sz w:val="16"/>
        </w:rPr>
        <w:t>*</w:t>
      </w:r>
      <w:r w:rsidRPr="009D0130">
        <w:t>ASIC”.</w:t>
      </w:r>
    </w:p>
    <w:p w:rsidR="00051355" w:rsidRPr="009D0130" w:rsidRDefault="0004668B" w:rsidP="009D0130">
      <w:pPr>
        <w:pStyle w:val="ItemHead"/>
      </w:pPr>
      <w:r w:rsidRPr="009D0130">
        <w:t>9</w:t>
      </w:r>
      <w:r w:rsidR="00051355" w:rsidRPr="009D0130">
        <w:t xml:space="preserve">  Subsection</w:t>
      </w:r>
      <w:r w:rsidR="009D0130" w:rsidRPr="009D0130">
        <w:t> </w:t>
      </w:r>
      <w:r w:rsidR="00051355" w:rsidRPr="009D0130">
        <w:t>70</w:t>
      </w:r>
      <w:r w:rsidR="000B2603">
        <w:noBreakHyphen/>
      </w:r>
      <w:r w:rsidR="00051355" w:rsidRPr="009D0130">
        <w:t>40(3A)</w:t>
      </w:r>
    </w:p>
    <w:p w:rsidR="00051355" w:rsidRPr="009D0130" w:rsidRDefault="00051355" w:rsidP="009D0130">
      <w:pPr>
        <w:pStyle w:val="Item"/>
      </w:pPr>
      <w:r w:rsidRPr="009D0130">
        <w:t>Omit “the Commission”, substitute “ASIC”.</w:t>
      </w:r>
    </w:p>
    <w:p w:rsidR="00051355" w:rsidRPr="009D0130" w:rsidRDefault="00051355" w:rsidP="009D0130">
      <w:pPr>
        <w:pStyle w:val="ActHead9"/>
        <w:rPr>
          <w:i w:val="0"/>
        </w:rPr>
      </w:pPr>
      <w:bookmarkStart w:id="39" w:name="_Toc436742107"/>
      <w:r w:rsidRPr="009D0130">
        <w:t>Taxation Administration Act 1953</w:t>
      </w:r>
      <w:bookmarkEnd w:id="39"/>
    </w:p>
    <w:p w:rsidR="00051355" w:rsidRPr="009D0130" w:rsidRDefault="0004668B" w:rsidP="009D0130">
      <w:pPr>
        <w:pStyle w:val="ItemHead"/>
      </w:pPr>
      <w:r w:rsidRPr="009D0130">
        <w:t>10</w:t>
      </w:r>
      <w:r w:rsidR="00051355" w:rsidRPr="009D0130">
        <w:t xml:space="preserve">  Subparagraph 12</w:t>
      </w:r>
      <w:r w:rsidR="000B2603">
        <w:noBreakHyphen/>
      </w:r>
      <w:r w:rsidR="00051355" w:rsidRPr="009D0130">
        <w:t>400(3)(b)(ii) in Schedule</w:t>
      </w:r>
      <w:r w:rsidR="009D0130" w:rsidRPr="009D0130">
        <w:t> </w:t>
      </w:r>
      <w:r w:rsidR="00051355" w:rsidRPr="009D0130">
        <w:t>1</w:t>
      </w:r>
    </w:p>
    <w:p w:rsidR="00051355" w:rsidRPr="009D0130" w:rsidRDefault="00051355" w:rsidP="009D0130">
      <w:pPr>
        <w:pStyle w:val="Item"/>
      </w:pPr>
      <w:r w:rsidRPr="009D0130">
        <w:t>Omit “ASIC”, substitute “</w:t>
      </w:r>
      <w:r w:rsidR="009D0130" w:rsidRPr="009D0130">
        <w:rPr>
          <w:position w:val="6"/>
          <w:sz w:val="16"/>
        </w:rPr>
        <w:t>*</w:t>
      </w:r>
      <w:r w:rsidRPr="009D0130">
        <w:t>ASIC”.</w:t>
      </w:r>
    </w:p>
    <w:p w:rsidR="00051355" w:rsidRPr="009D0130" w:rsidRDefault="0004668B" w:rsidP="009D0130">
      <w:pPr>
        <w:pStyle w:val="ItemHead"/>
      </w:pPr>
      <w:r w:rsidRPr="009D0130">
        <w:t>11</w:t>
      </w:r>
      <w:r w:rsidR="00051355" w:rsidRPr="009D0130">
        <w:t xml:space="preserve">  Subsection</w:t>
      </w:r>
      <w:r w:rsidR="009D0130" w:rsidRPr="009D0130">
        <w:t> </w:t>
      </w:r>
      <w:r w:rsidR="00051355" w:rsidRPr="009D0130">
        <w:t>12</w:t>
      </w:r>
      <w:r w:rsidR="000B2603">
        <w:noBreakHyphen/>
      </w:r>
      <w:r w:rsidR="00051355" w:rsidRPr="009D0130">
        <w:t>403(3) in Schedule</w:t>
      </w:r>
      <w:r w:rsidR="009D0130" w:rsidRPr="009D0130">
        <w:t> </w:t>
      </w:r>
      <w:r w:rsidR="00051355" w:rsidRPr="009D0130">
        <w:t>1</w:t>
      </w:r>
    </w:p>
    <w:p w:rsidR="00051355" w:rsidRPr="009D0130" w:rsidRDefault="00051355" w:rsidP="009D0130">
      <w:pPr>
        <w:pStyle w:val="Item"/>
      </w:pPr>
      <w:r w:rsidRPr="009D0130">
        <w:t>Omit “ASIC”, substitute “</w:t>
      </w:r>
      <w:r w:rsidR="009D0130" w:rsidRPr="009D0130">
        <w:rPr>
          <w:position w:val="6"/>
          <w:sz w:val="16"/>
        </w:rPr>
        <w:t>*</w:t>
      </w:r>
      <w:r w:rsidRPr="009D0130">
        <w:t>ASIC”.</w:t>
      </w:r>
    </w:p>
    <w:p w:rsidR="00051355" w:rsidRPr="009D0130" w:rsidRDefault="0004668B" w:rsidP="009D0130">
      <w:pPr>
        <w:pStyle w:val="ItemHead"/>
      </w:pPr>
      <w:r w:rsidRPr="009D0130">
        <w:t>12</w:t>
      </w:r>
      <w:r w:rsidR="00051355" w:rsidRPr="009D0130">
        <w:t xml:space="preserve">  Section</w:t>
      </w:r>
      <w:r w:rsidR="009D0130" w:rsidRPr="009D0130">
        <w:t> </w:t>
      </w:r>
      <w:r w:rsidR="00051355" w:rsidRPr="009D0130">
        <w:t>269</w:t>
      </w:r>
      <w:r w:rsidR="000B2603">
        <w:noBreakHyphen/>
      </w:r>
      <w:r w:rsidR="00051355" w:rsidRPr="009D0130">
        <w:t>50 in Schedule</w:t>
      </w:r>
      <w:r w:rsidR="009D0130" w:rsidRPr="009D0130">
        <w:t> </w:t>
      </w:r>
      <w:r w:rsidR="00051355" w:rsidRPr="009D0130">
        <w:t>1</w:t>
      </w:r>
    </w:p>
    <w:p w:rsidR="00051355" w:rsidRPr="009D0130" w:rsidRDefault="00051355" w:rsidP="009D0130">
      <w:pPr>
        <w:pStyle w:val="Item"/>
      </w:pPr>
      <w:r w:rsidRPr="009D0130">
        <w:t>Omit “the Australian Securities and Investments Commission”, substitute “</w:t>
      </w:r>
      <w:r w:rsidR="009D0130" w:rsidRPr="009D0130">
        <w:rPr>
          <w:position w:val="6"/>
          <w:sz w:val="16"/>
        </w:rPr>
        <w:t>*</w:t>
      </w:r>
      <w:r w:rsidRPr="009D0130">
        <w:t>ASIC”.</w:t>
      </w:r>
    </w:p>
    <w:p w:rsidR="00051355" w:rsidRPr="009D0130" w:rsidRDefault="0004668B" w:rsidP="009D0130">
      <w:pPr>
        <w:pStyle w:val="ItemHead"/>
      </w:pPr>
      <w:r w:rsidRPr="009D0130">
        <w:t>13</w:t>
      </w:r>
      <w:r w:rsidR="00051355" w:rsidRPr="009D0130">
        <w:t xml:space="preserve">  Subsection</w:t>
      </w:r>
      <w:r w:rsidR="009D0130" w:rsidRPr="009D0130">
        <w:t> </w:t>
      </w:r>
      <w:r w:rsidR="00051355" w:rsidRPr="009D0130">
        <w:t>355</w:t>
      </w:r>
      <w:r w:rsidR="000B2603">
        <w:noBreakHyphen/>
      </w:r>
      <w:r w:rsidR="00051355" w:rsidRPr="009D0130">
        <w:t>65(3) in Schedule</w:t>
      </w:r>
      <w:r w:rsidR="009D0130" w:rsidRPr="009D0130">
        <w:t> </w:t>
      </w:r>
      <w:r w:rsidR="00051355" w:rsidRPr="009D0130">
        <w:t>1 (table item</w:t>
      </w:r>
      <w:r w:rsidR="009D0130" w:rsidRPr="009D0130">
        <w:t> </w:t>
      </w:r>
      <w:r w:rsidR="00051355" w:rsidRPr="009D0130">
        <w:t>6A)</w:t>
      </w:r>
    </w:p>
    <w:p w:rsidR="00051355" w:rsidRPr="009D0130" w:rsidRDefault="00051355" w:rsidP="009D0130">
      <w:pPr>
        <w:pStyle w:val="Item"/>
      </w:pPr>
      <w:r w:rsidRPr="009D0130">
        <w:t>Omit “the Australian Securities and Investments Commission”, substitute “</w:t>
      </w:r>
      <w:r w:rsidR="009D0130" w:rsidRPr="009D0130">
        <w:rPr>
          <w:position w:val="6"/>
          <w:sz w:val="16"/>
        </w:rPr>
        <w:t>*</w:t>
      </w:r>
      <w:r w:rsidRPr="009D0130">
        <w:t>ASIC”.</w:t>
      </w:r>
    </w:p>
    <w:p w:rsidR="00051355" w:rsidRPr="009D0130" w:rsidRDefault="0004668B" w:rsidP="009D0130">
      <w:pPr>
        <w:pStyle w:val="ItemHead"/>
      </w:pPr>
      <w:r w:rsidRPr="009D0130">
        <w:t>14</w:t>
      </w:r>
      <w:r w:rsidR="00051355" w:rsidRPr="009D0130">
        <w:t xml:space="preserve">  Paragraph 355</w:t>
      </w:r>
      <w:r w:rsidR="000B2603">
        <w:noBreakHyphen/>
      </w:r>
      <w:r w:rsidR="00051355" w:rsidRPr="009D0130">
        <w:t>70(4)(l) in Schedule</w:t>
      </w:r>
      <w:r w:rsidR="009D0130" w:rsidRPr="009D0130">
        <w:t> </w:t>
      </w:r>
      <w:r w:rsidR="00051355" w:rsidRPr="009D0130">
        <w:t>1</w:t>
      </w:r>
    </w:p>
    <w:p w:rsidR="00051355" w:rsidRPr="009D0130" w:rsidRDefault="00051355" w:rsidP="009D0130">
      <w:pPr>
        <w:pStyle w:val="Item"/>
      </w:pPr>
      <w:r w:rsidRPr="009D0130">
        <w:t>Repeal the paragraph, substitute:</w:t>
      </w:r>
    </w:p>
    <w:p w:rsidR="00051355" w:rsidRPr="009D0130" w:rsidRDefault="00051355" w:rsidP="009D0130">
      <w:pPr>
        <w:pStyle w:val="paragraph"/>
      </w:pPr>
      <w:r w:rsidRPr="009D0130">
        <w:tab/>
        <w:t>(l)</w:t>
      </w:r>
      <w:r w:rsidRPr="009D0130">
        <w:tab/>
      </w:r>
      <w:r w:rsidR="009D0130" w:rsidRPr="009D0130">
        <w:rPr>
          <w:position w:val="6"/>
          <w:sz w:val="16"/>
        </w:rPr>
        <w:t>*</w:t>
      </w:r>
      <w:r w:rsidRPr="009D0130">
        <w:t>ASIC.</w:t>
      </w:r>
    </w:p>
    <w:p w:rsidR="00051355" w:rsidRPr="009D0130" w:rsidRDefault="0004668B" w:rsidP="009D0130">
      <w:pPr>
        <w:pStyle w:val="ItemHead"/>
      </w:pPr>
      <w:r w:rsidRPr="009D0130">
        <w:t>15</w:t>
      </w:r>
      <w:r w:rsidR="00051355" w:rsidRPr="009D0130">
        <w:t xml:space="preserve">  Paragraph 355</w:t>
      </w:r>
      <w:r w:rsidR="000B2603">
        <w:noBreakHyphen/>
      </w:r>
      <w:r w:rsidR="00051355" w:rsidRPr="009D0130">
        <w:t>70(7)(d) in Schedule</w:t>
      </w:r>
      <w:r w:rsidR="009D0130" w:rsidRPr="009D0130">
        <w:t> </w:t>
      </w:r>
      <w:r w:rsidR="00051355" w:rsidRPr="009D0130">
        <w:t>1</w:t>
      </w:r>
    </w:p>
    <w:p w:rsidR="00051355" w:rsidRPr="009D0130" w:rsidRDefault="00051355" w:rsidP="009D0130">
      <w:pPr>
        <w:pStyle w:val="Item"/>
      </w:pPr>
      <w:r w:rsidRPr="009D0130">
        <w:t>Repeal the paragraph, substitute:</w:t>
      </w:r>
    </w:p>
    <w:p w:rsidR="00051355" w:rsidRPr="009D0130" w:rsidRDefault="00051355" w:rsidP="009D0130">
      <w:pPr>
        <w:pStyle w:val="paragraph"/>
      </w:pPr>
      <w:r w:rsidRPr="009D0130">
        <w:tab/>
        <w:t>(d)</w:t>
      </w:r>
      <w:r w:rsidRPr="009D0130">
        <w:tab/>
      </w:r>
      <w:r w:rsidR="009D0130" w:rsidRPr="009D0130">
        <w:rPr>
          <w:position w:val="6"/>
          <w:sz w:val="16"/>
        </w:rPr>
        <w:t>*</w:t>
      </w:r>
      <w:r w:rsidRPr="009D0130">
        <w:t>ASIC;</w:t>
      </w:r>
    </w:p>
    <w:p w:rsidR="00051355" w:rsidRPr="009D0130" w:rsidRDefault="0004668B" w:rsidP="009D0130">
      <w:pPr>
        <w:pStyle w:val="ItemHead"/>
      </w:pPr>
      <w:r w:rsidRPr="009D0130">
        <w:t>16</w:t>
      </w:r>
      <w:r w:rsidR="00051355" w:rsidRPr="009D0130">
        <w:t xml:space="preserve">  Part</w:t>
      </w:r>
      <w:r w:rsidR="009D0130" w:rsidRPr="009D0130">
        <w:t> </w:t>
      </w:r>
      <w:r w:rsidR="00051355" w:rsidRPr="009D0130">
        <w:t>5</w:t>
      </w:r>
      <w:r w:rsidR="000B2603">
        <w:noBreakHyphen/>
      </w:r>
      <w:r w:rsidR="00051355" w:rsidRPr="009D0130">
        <w:t>25 (heading) in Schedule</w:t>
      </w:r>
      <w:r w:rsidR="009D0130" w:rsidRPr="009D0130">
        <w:t> </w:t>
      </w:r>
      <w:r w:rsidR="00051355" w:rsidRPr="009D0130">
        <w:t>1</w:t>
      </w:r>
    </w:p>
    <w:p w:rsidR="00051355" w:rsidRPr="009D0130" w:rsidRDefault="00051355" w:rsidP="009D0130">
      <w:pPr>
        <w:pStyle w:val="Item"/>
      </w:pPr>
      <w:r w:rsidRPr="009D0130">
        <w:t>Repeal the heading, substitute:</w:t>
      </w:r>
    </w:p>
    <w:p w:rsidR="00051355" w:rsidRPr="009D0130" w:rsidRDefault="00051355" w:rsidP="009D0130">
      <w:pPr>
        <w:pStyle w:val="ActHead2"/>
      </w:pPr>
      <w:bookmarkStart w:id="40" w:name="f_Check_Lines_above"/>
      <w:bookmarkStart w:id="41" w:name="_Toc436742108"/>
      <w:bookmarkEnd w:id="40"/>
      <w:r w:rsidRPr="009D0130">
        <w:rPr>
          <w:rStyle w:val="CharPartNo"/>
        </w:rPr>
        <w:lastRenderedPageBreak/>
        <w:t>Part</w:t>
      </w:r>
      <w:r w:rsidR="009D0130" w:rsidRPr="009D0130">
        <w:rPr>
          <w:rStyle w:val="CharPartNo"/>
        </w:rPr>
        <w:t> </w:t>
      </w:r>
      <w:r w:rsidRPr="009D0130">
        <w:rPr>
          <w:rStyle w:val="CharPartNo"/>
        </w:rPr>
        <w:t>5</w:t>
      </w:r>
      <w:r w:rsidR="000B2603">
        <w:rPr>
          <w:rStyle w:val="CharPartNo"/>
        </w:rPr>
        <w:noBreakHyphen/>
      </w:r>
      <w:r w:rsidRPr="009D0130">
        <w:rPr>
          <w:rStyle w:val="CharPartNo"/>
        </w:rPr>
        <w:t>25</w:t>
      </w:r>
      <w:r w:rsidRPr="009D0130">
        <w:t>—</w:t>
      </w:r>
      <w:r w:rsidRPr="009D0130">
        <w:rPr>
          <w:rStyle w:val="CharPartText"/>
        </w:rPr>
        <w:t>Record</w:t>
      </w:r>
      <w:r w:rsidR="000B2603">
        <w:rPr>
          <w:rStyle w:val="CharPartText"/>
        </w:rPr>
        <w:noBreakHyphen/>
      </w:r>
      <w:r w:rsidRPr="009D0130">
        <w:rPr>
          <w:rStyle w:val="CharPartText"/>
        </w:rPr>
        <w:t>keeping and other obligations relating to taxpayers</w:t>
      </w:r>
      <w:bookmarkEnd w:id="41"/>
    </w:p>
    <w:p w:rsidR="00051355" w:rsidRPr="009D0130" w:rsidRDefault="0004668B" w:rsidP="009D0130">
      <w:pPr>
        <w:pStyle w:val="ItemHead"/>
      </w:pPr>
      <w:r w:rsidRPr="009D0130">
        <w:t>17</w:t>
      </w:r>
      <w:r w:rsidR="00051355" w:rsidRPr="009D0130">
        <w:t xml:space="preserve">  Division</w:t>
      </w:r>
      <w:r w:rsidR="009D0130" w:rsidRPr="009D0130">
        <w:t> </w:t>
      </w:r>
      <w:r w:rsidR="00051355" w:rsidRPr="009D0130">
        <w:t>396 in Schedule</w:t>
      </w:r>
      <w:r w:rsidR="009D0130" w:rsidRPr="009D0130">
        <w:t> </w:t>
      </w:r>
      <w:r w:rsidR="00051355" w:rsidRPr="009D0130">
        <w:t>1 (heading)</w:t>
      </w:r>
    </w:p>
    <w:p w:rsidR="00051355" w:rsidRPr="009D0130" w:rsidRDefault="00051355" w:rsidP="009D0130">
      <w:pPr>
        <w:pStyle w:val="Item"/>
      </w:pPr>
      <w:r w:rsidRPr="009D0130">
        <w:t>Repeal the heading, substitute:</w:t>
      </w:r>
    </w:p>
    <w:p w:rsidR="00051355" w:rsidRPr="009D0130" w:rsidRDefault="00051355" w:rsidP="009D0130">
      <w:pPr>
        <w:pStyle w:val="ActHead3"/>
      </w:pPr>
      <w:bookmarkStart w:id="42" w:name="_Toc436742109"/>
      <w:r w:rsidRPr="009D0130">
        <w:rPr>
          <w:rStyle w:val="CharDivNo"/>
        </w:rPr>
        <w:t>Division</w:t>
      </w:r>
      <w:r w:rsidR="009D0130" w:rsidRPr="009D0130">
        <w:rPr>
          <w:rStyle w:val="CharDivNo"/>
        </w:rPr>
        <w:t> </w:t>
      </w:r>
      <w:r w:rsidRPr="009D0130">
        <w:rPr>
          <w:rStyle w:val="CharDivNo"/>
        </w:rPr>
        <w:t>396</w:t>
      </w:r>
      <w:r w:rsidRPr="009D0130">
        <w:t>—</w:t>
      </w:r>
      <w:r w:rsidRPr="009D0130">
        <w:rPr>
          <w:rStyle w:val="CharDivText"/>
        </w:rPr>
        <w:t>Third party reporting</w:t>
      </w:r>
      <w:bookmarkEnd w:id="42"/>
    </w:p>
    <w:p w:rsidR="00051355" w:rsidRPr="009D0130" w:rsidRDefault="00051355" w:rsidP="009D0130">
      <w:pPr>
        <w:pStyle w:val="TofSectsHeading"/>
      </w:pPr>
      <w:r w:rsidRPr="009D0130">
        <w:t>Table of Subdivisions</w:t>
      </w:r>
    </w:p>
    <w:p w:rsidR="00051355" w:rsidRPr="009D0130" w:rsidRDefault="00051355" w:rsidP="009D0130">
      <w:pPr>
        <w:pStyle w:val="TofSectsSubdiv"/>
        <w:rPr>
          <w:noProof/>
        </w:rPr>
      </w:pPr>
      <w:r w:rsidRPr="009D0130">
        <w:tab/>
        <w:t>Guide to Division</w:t>
      </w:r>
      <w:r w:rsidR="009D0130" w:rsidRPr="009D0130">
        <w:t> </w:t>
      </w:r>
      <w:r w:rsidRPr="009D0130">
        <w:t>396</w:t>
      </w:r>
    </w:p>
    <w:p w:rsidR="00051355" w:rsidRPr="009D0130" w:rsidRDefault="00051355" w:rsidP="009D0130">
      <w:pPr>
        <w:pStyle w:val="TofSectsSubdiv"/>
        <w:rPr>
          <w:noProof/>
        </w:rPr>
      </w:pPr>
      <w:r w:rsidRPr="009D0130">
        <w:rPr>
          <w:noProof/>
        </w:rPr>
        <w:t>396</w:t>
      </w:r>
      <w:r w:rsidR="000B2603">
        <w:rPr>
          <w:noProof/>
        </w:rPr>
        <w:noBreakHyphen/>
      </w:r>
      <w:r w:rsidRPr="009D0130">
        <w:rPr>
          <w:noProof/>
        </w:rPr>
        <w:t>A</w:t>
      </w:r>
      <w:r w:rsidRPr="009D0130">
        <w:rPr>
          <w:noProof/>
        </w:rPr>
        <w:tab/>
        <w:t>FATCA</w:t>
      </w:r>
    </w:p>
    <w:p w:rsidR="00051355" w:rsidRPr="009D0130" w:rsidRDefault="00051355" w:rsidP="009D0130">
      <w:pPr>
        <w:pStyle w:val="TofSectsSubdiv"/>
      </w:pPr>
      <w:r w:rsidRPr="009D0130">
        <w:rPr>
          <w:noProof/>
        </w:rPr>
        <w:t>396</w:t>
      </w:r>
      <w:r w:rsidR="000B2603">
        <w:rPr>
          <w:noProof/>
        </w:rPr>
        <w:noBreakHyphen/>
      </w:r>
      <w:r w:rsidRPr="009D0130">
        <w:rPr>
          <w:noProof/>
        </w:rPr>
        <w:t>B</w:t>
      </w:r>
      <w:r w:rsidRPr="009D0130">
        <w:rPr>
          <w:noProof/>
        </w:rPr>
        <w:tab/>
      </w:r>
      <w:r w:rsidRPr="009D0130">
        <w:t>Information about transactions that could have tax consequences for taxpayers</w:t>
      </w:r>
    </w:p>
    <w:p w:rsidR="00051355" w:rsidRPr="009D0130" w:rsidRDefault="0004668B" w:rsidP="009D0130">
      <w:pPr>
        <w:pStyle w:val="ItemHead"/>
      </w:pPr>
      <w:r w:rsidRPr="009D0130">
        <w:t>18</w:t>
      </w:r>
      <w:r w:rsidR="00051355" w:rsidRPr="009D0130">
        <w:t xml:space="preserve">  Before section</w:t>
      </w:r>
      <w:r w:rsidR="009D0130" w:rsidRPr="009D0130">
        <w:t> </w:t>
      </w:r>
      <w:r w:rsidR="00051355" w:rsidRPr="009D0130">
        <w:t>396</w:t>
      </w:r>
      <w:r w:rsidR="000B2603">
        <w:noBreakHyphen/>
      </w:r>
      <w:r w:rsidR="00051355" w:rsidRPr="009D0130">
        <w:t>1 in Schedule</w:t>
      </w:r>
      <w:r w:rsidR="009D0130" w:rsidRPr="009D0130">
        <w:t> </w:t>
      </w:r>
      <w:r w:rsidR="00051355" w:rsidRPr="009D0130">
        <w:t>1</w:t>
      </w:r>
    </w:p>
    <w:p w:rsidR="00051355" w:rsidRPr="009D0130" w:rsidRDefault="00051355" w:rsidP="009D0130">
      <w:pPr>
        <w:pStyle w:val="Item"/>
      </w:pPr>
      <w:r w:rsidRPr="009D0130">
        <w:t>Insert:</w:t>
      </w:r>
    </w:p>
    <w:p w:rsidR="00051355" w:rsidRPr="009D0130" w:rsidRDefault="00051355" w:rsidP="009D0130">
      <w:pPr>
        <w:pStyle w:val="ActHead5"/>
      </w:pPr>
      <w:bookmarkStart w:id="43" w:name="_Toc436742110"/>
      <w:r w:rsidRPr="009D0130">
        <w:rPr>
          <w:rStyle w:val="CharSectno"/>
        </w:rPr>
        <w:t>396</w:t>
      </w:r>
      <w:r w:rsidR="000B2603">
        <w:rPr>
          <w:rStyle w:val="CharSectno"/>
        </w:rPr>
        <w:noBreakHyphen/>
      </w:r>
      <w:r w:rsidRPr="009D0130">
        <w:rPr>
          <w:rStyle w:val="CharSectno"/>
        </w:rPr>
        <w:t>1A</w:t>
      </w:r>
      <w:r w:rsidRPr="009D0130">
        <w:t xml:space="preserve">  What this Division is about</w:t>
      </w:r>
      <w:bookmarkEnd w:id="43"/>
    </w:p>
    <w:p w:rsidR="00051355" w:rsidRPr="009D0130" w:rsidRDefault="00051355" w:rsidP="009D0130">
      <w:pPr>
        <w:pStyle w:val="SOText"/>
      </w:pPr>
      <w:r w:rsidRPr="009D0130">
        <w:t>Financial institutions must give the Commissioner information for the purposes of the FATCA Agreement.</w:t>
      </w:r>
    </w:p>
    <w:p w:rsidR="00051355" w:rsidRPr="009D0130" w:rsidRDefault="00051355" w:rsidP="009D0130">
      <w:pPr>
        <w:pStyle w:val="SOText"/>
      </w:pPr>
      <w:r w:rsidRPr="009D0130">
        <w:t>Certain entities must give the Commissioner information about transactions that could reasonably be expected to have tax consequences for other entities.</w:t>
      </w:r>
    </w:p>
    <w:p w:rsidR="00051355" w:rsidRPr="009D0130" w:rsidRDefault="00051355" w:rsidP="009D0130">
      <w:pPr>
        <w:pStyle w:val="ActHead4"/>
      </w:pPr>
      <w:bookmarkStart w:id="44" w:name="_Toc436742111"/>
      <w:r w:rsidRPr="009D0130">
        <w:rPr>
          <w:rStyle w:val="CharSubdNo"/>
        </w:rPr>
        <w:t>Subdivision</w:t>
      </w:r>
      <w:r w:rsidR="009D0130" w:rsidRPr="009D0130">
        <w:rPr>
          <w:rStyle w:val="CharSubdNo"/>
        </w:rPr>
        <w:t> </w:t>
      </w:r>
      <w:r w:rsidRPr="009D0130">
        <w:rPr>
          <w:rStyle w:val="CharSubdNo"/>
        </w:rPr>
        <w:t>396</w:t>
      </w:r>
      <w:r w:rsidR="000B2603">
        <w:rPr>
          <w:rStyle w:val="CharSubdNo"/>
        </w:rPr>
        <w:noBreakHyphen/>
      </w:r>
      <w:r w:rsidRPr="009D0130">
        <w:rPr>
          <w:rStyle w:val="CharSubdNo"/>
        </w:rPr>
        <w:t>A</w:t>
      </w:r>
      <w:r w:rsidRPr="009D0130">
        <w:t>—</w:t>
      </w:r>
      <w:r w:rsidRPr="009D0130">
        <w:rPr>
          <w:rStyle w:val="CharSubdText"/>
        </w:rPr>
        <w:t>FATCA</w:t>
      </w:r>
      <w:bookmarkEnd w:id="44"/>
    </w:p>
    <w:p w:rsidR="00051355" w:rsidRPr="009D0130" w:rsidRDefault="00051355" w:rsidP="009D0130">
      <w:pPr>
        <w:pStyle w:val="ActHead4"/>
      </w:pPr>
      <w:bookmarkStart w:id="45" w:name="_Toc436742112"/>
      <w:r w:rsidRPr="009D0130">
        <w:t>Guide to Subdivision</w:t>
      </w:r>
      <w:r w:rsidR="009D0130" w:rsidRPr="009D0130">
        <w:t> </w:t>
      </w:r>
      <w:r w:rsidRPr="009D0130">
        <w:t>396</w:t>
      </w:r>
      <w:r w:rsidR="000B2603">
        <w:noBreakHyphen/>
      </w:r>
      <w:r w:rsidRPr="009D0130">
        <w:t>A</w:t>
      </w:r>
      <w:bookmarkEnd w:id="45"/>
    </w:p>
    <w:p w:rsidR="00051355" w:rsidRPr="009D0130" w:rsidRDefault="0004668B" w:rsidP="009D0130">
      <w:pPr>
        <w:pStyle w:val="ItemHead"/>
      </w:pPr>
      <w:r w:rsidRPr="009D0130">
        <w:t>19</w:t>
      </w:r>
      <w:r w:rsidR="00051355" w:rsidRPr="009D0130">
        <w:t xml:space="preserve">  Section</w:t>
      </w:r>
      <w:r w:rsidR="009D0130" w:rsidRPr="009D0130">
        <w:t> </w:t>
      </w:r>
      <w:r w:rsidR="00051355" w:rsidRPr="009D0130">
        <w:t>396</w:t>
      </w:r>
      <w:r w:rsidR="000B2603">
        <w:noBreakHyphen/>
      </w:r>
      <w:r w:rsidR="00051355" w:rsidRPr="009D0130">
        <w:t>1 in Schedule</w:t>
      </w:r>
      <w:r w:rsidR="009D0130" w:rsidRPr="009D0130">
        <w:t> </w:t>
      </w:r>
      <w:r w:rsidR="00051355" w:rsidRPr="009D0130">
        <w:t>1 (heading)</w:t>
      </w:r>
    </w:p>
    <w:p w:rsidR="00051355" w:rsidRPr="009D0130" w:rsidRDefault="00051355" w:rsidP="009D0130">
      <w:pPr>
        <w:pStyle w:val="Item"/>
      </w:pPr>
      <w:r w:rsidRPr="009D0130">
        <w:t>Repeal the heading, substitute:</w:t>
      </w:r>
    </w:p>
    <w:p w:rsidR="00051355" w:rsidRPr="009D0130" w:rsidRDefault="00051355" w:rsidP="009D0130">
      <w:pPr>
        <w:pStyle w:val="ActHead5"/>
      </w:pPr>
      <w:bookmarkStart w:id="46" w:name="_Toc436742113"/>
      <w:r w:rsidRPr="009D0130">
        <w:rPr>
          <w:rStyle w:val="CharSectno"/>
        </w:rPr>
        <w:lastRenderedPageBreak/>
        <w:t>396</w:t>
      </w:r>
      <w:r w:rsidR="000B2603">
        <w:rPr>
          <w:rStyle w:val="CharSectno"/>
        </w:rPr>
        <w:noBreakHyphen/>
      </w:r>
      <w:r w:rsidRPr="009D0130">
        <w:rPr>
          <w:rStyle w:val="CharSectno"/>
        </w:rPr>
        <w:t>1</w:t>
      </w:r>
      <w:r w:rsidRPr="009D0130">
        <w:t xml:space="preserve">  What this Subdivision is about</w:t>
      </w:r>
      <w:bookmarkEnd w:id="46"/>
    </w:p>
    <w:p w:rsidR="00051355" w:rsidRPr="009D0130" w:rsidRDefault="0004668B" w:rsidP="009D0130">
      <w:pPr>
        <w:pStyle w:val="ItemHead"/>
      </w:pPr>
      <w:r w:rsidRPr="009D0130">
        <w:t>20</w:t>
      </w:r>
      <w:r w:rsidR="00051355" w:rsidRPr="009D0130">
        <w:t xml:space="preserve">  Before section</w:t>
      </w:r>
      <w:r w:rsidR="009D0130" w:rsidRPr="009D0130">
        <w:t> </w:t>
      </w:r>
      <w:r w:rsidR="00051355" w:rsidRPr="009D0130">
        <w:t>396</w:t>
      </w:r>
      <w:r w:rsidR="000B2603">
        <w:noBreakHyphen/>
      </w:r>
      <w:r w:rsidR="00051355" w:rsidRPr="009D0130">
        <w:t>5 in Schedule</w:t>
      </w:r>
      <w:r w:rsidR="009D0130" w:rsidRPr="009D0130">
        <w:t> </w:t>
      </w:r>
      <w:r w:rsidR="00051355" w:rsidRPr="009D0130">
        <w:t>1</w:t>
      </w:r>
    </w:p>
    <w:p w:rsidR="00051355" w:rsidRPr="009D0130" w:rsidRDefault="00051355" w:rsidP="009D0130">
      <w:pPr>
        <w:pStyle w:val="Item"/>
      </w:pPr>
      <w:r w:rsidRPr="009D0130">
        <w:t>Insert:</w:t>
      </w:r>
    </w:p>
    <w:p w:rsidR="00051355" w:rsidRPr="009D0130" w:rsidRDefault="00051355" w:rsidP="009D0130">
      <w:pPr>
        <w:pStyle w:val="ActHead4"/>
      </w:pPr>
      <w:bookmarkStart w:id="47" w:name="_Toc436742114"/>
      <w:r w:rsidRPr="009D0130">
        <w:t>Operative provisions</w:t>
      </w:r>
      <w:bookmarkEnd w:id="47"/>
    </w:p>
    <w:p w:rsidR="00051355" w:rsidRPr="009D0130" w:rsidRDefault="0004668B" w:rsidP="009D0130">
      <w:pPr>
        <w:pStyle w:val="ItemHead"/>
      </w:pPr>
      <w:r w:rsidRPr="009D0130">
        <w:t>21</w:t>
      </w:r>
      <w:r w:rsidR="00051355" w:rsidRPr="009D0130">
        <w:t xml:space="preserve">  Subsection</w:t>
      </w:r>
      <w:r w:rsidR="009D0130" w:rsidRPr="009D0130">
        <w:t> </w:t>
      </w:r>
      <w:r w:rsidR="00051355" w:rsidRPr="009D0130">
        <w:t>396</w:t>
      </w:r>
      <w:r w:rsidR="000B2603">
        <w:noBreakHyphen/>
      </w:r>
      <w:r w:rsidR="00051355" w:rsidRPr="009D0130">
        <w:t>20(1) in Schedule</w:t>
      </w:r>
      <w:r w:rsidR="009D0130" w:rsidRPr="009D0130">
        <w:t> </w:t>
      </w:r>
      <w:r w:rsidR="00051355" w:rsidRPr="009D0130">
        <w:t>1</w:t>
      </w:r>
    </w:p>
    <w:p w:rsidR="00051355" w:rsidRPr="009D0130" w:rsidRDefault="00051355" w:rsidP="009D0130">
      <w:pPr>
        <w:pStyle w:val="Item"/>
      </w:pPr>
      <w:r w:rsidRPr="009D0130">
        <w:t>Omit “this Division”, substitute “this Subdivision”.</w:t>
      </w:r>
    </w:p>
    <w:p w:rsidR="00051355" w:rsidRPr="009D0130" w:rsidRDefault="00051355" w:rsidP="009D0130">
      <w:pPr>
        <w:pStyle w:val="ActHead7"/>
        <w:pageBreakBefore/>
      </w:pPr>
      <w:bookmarkStart w:id="48" w:name="_Toc436742115"/>
      <w:r w:rsidRPr="009D0130">
        <w:rPr>
          <w:rStyle w:val="CharAmPartNo"/>
        </w:rPr>
        <w:lastRenderedPageBreak/>
        <w:t>Part</w:t>
      </w:r>
      <w:r w:rsidR="009D0130" w:rsidRPr="009D0130">
        <w:rPr>
          <w:rStyle w:val="CharAmPartNo"/>
        </w:rPr>
        <w:t> </w:t>
      </w:r>
      <w:r w:rsidRPr="009D0130">
        <w:rPr>
          <w:rStyle w:val="CharAmPartNo"/>
        </w:rPr>
        <w:t>3</w:t>
      </w:r>
      <w:r w:rsidRPr="009D0130">
        <w:t>—</w:t>
      </w:r>
      <w:r w:rsidRPr="009D0130">
        <w:rPr>
          <w:rStyle w:val="CharAmPartText"/>
        </w:rPr>
        <w:t>Contingent amendments</w:t>
      </w:r>
      <w:bookmarkEnd w:id="48"/>
    </w:p>
    <w:p w:rsidR="00270A1A" w:rsidRPr="009D0130" w:rsidRDefault="00270A1A" w:rsidP="009D0130">
      <w:pPr>
        <w:pStyle w:val="ActHead8"/>
      </w:pPr>
      <w:bookmarkStart w:id="49" w:name="_Toc436742116"/>
      <w:r w:rsidRPr="009D0130">
        <w:t>Division</w:t>
      </w:r>
      <w:r w:rsidR="009D0130" w:rsidRPr="009D0130">
        <w:t> </w:t>
      </w:r>
      <w:r w:rsidRPr="009D0130">
        <w:t xml:space="preserve">1—Amendments if </w:t>
      </w:r>
      <w:r w:rsidR="00620BAB" w:rsidRPr="009D0130">
        <w:t xml:space="preserve">the </w:t>
      </w:r>
      <w:r w:rsidRPr="009D0130">
        <w:t>Foreign Acquisitions and Takeovers Legislation Amendment Act 2015 has not already received the Royal Assent</w:t>
      </w:r>
      <w:bookmarkEnd w:id="49"/>
    </w:p>
    <w:p w:rsidR="00051355" w:rsidRPr="009D0130" w:rsidRDefault="00051355" w:rsidP="009D0130">
      <w:pPr>
        <w:pStyle w:val="ActHead9"/>
        <w:rPr>
          <w:i w:val="0"/>
        </w:rPr>
      </w:pPr>
      <w:bookmarkStart w:id="50" w:name="_Toc436742117"/>
      <w:r w:rsidRPr="009D0130">
        <w:t>Taxation Administration Act 1953</w:t>
      </w:r>
      <w:bookmarkEnd w:id="50"/>
    </w:p>
    <w:p w:rsidR="00051355" w:rsidRPr="009D0130" w:rsidRDefault="0004668B" w:rsidP="009D0130">
      <w:pPr>
        <w:pStyle w:val="ItemHead"/>
      </w:pPr>
      <w:r w:rsidRPr="009D0130">
        <w:t>22</w:t>
      </w:r>
      <w:r w:rsidR="00051355" w:rsidRPr="009D0130">
        <w:t xml:space="preserve">  Subsection</w:t>
      </w:r>
      <w:r w:rsidR="009D0130" w:rsidRPr="009D0130">
        <w:t> </w:t>
      </w:r>
      <w:r w:rsidR="00051355" w:rsidRPr="009D0130">
        <w:t>355</w:t>
      </w:r>
      <w:r w:rsidR="000B2603">
        <w:noBreakHyphen/>
      </w:r>
      <w:r w:rsidR="00051355" w:rsidRPr="009D0130">
        <w:t>65(4) in Schedule</w:t>
      </w:r>
      <w:r w:rsidR="009D0130" w:rsidRPr="009D0130">
        <w:t> </w:t>
      </w:r>
      <w:r w:rsidR="00051355" w:rsidRPr="009D0130">
        <w:t>1 (table item</w:t>
      </w:r>
      <w:r w:rsidR="009D0130" w:rsidRPr="009D0130">
        <w:t> </w:t>
      </w:r>
      <w:r w:rsidR="00051355" w:rsidRPr="009D0130">
        <w:t>1)</w:t>
      </w:r>
    </w:p>
    <w:p w:rsidR="0010174E" w:rsidRPr="009D0130" w:rsidRDefault="00051355" w:rsidP="009D0130">
      <w:pPr>
        <w:pStyle w:val="Item"/>
      </w:pPr>
      <w:r w:rsidRPr="009D0130">
        <w:t>Omit “the Australian Securities and Investments Commission (</w:t>
      </w:r>
      <w:r w:rsidRPr="009D0130">
        <w:rPr>
          <w:b/>
          <w:i/>
        </w:rPr>
        <w:t>ASIC</w:t>
      </w:r>
      <w:r w:rsidRPr="009D0130">
        <w:t>)”, substitute “</w:t>
      </w:r>
      <w:r w:rsidR="009D0130" w:rsidRPr="009D0130">
        <w:rPr>
          <w:position w:val="6"/>
          <w:sz w:val="16"/>
        </w:rPr>
        <w:t>*</w:t>
      </w:r>
      <w:r w:rsidRPr="009D0130">
        <w:t>ASIC”.</w:t>
      </w:r>
    </w:p>
    <w:p w:rsidR="00270A1A" w:rsidRPr="009D0130" w:rsidRDefault="0004668B" w:rsidP="009D0130">
      <w:pPr>
        <w:pStyle w:val="ItemHead"/>
      </w:pPr>
      <w:r w:rsidRPr="009D0130">
        <w:t>23</w:t>
      </w:r>
      <w:r w:rsidR="00270A1A" w:rsidRPr="009D0130">
        <w:t xml:space="preserve">  Subsection</w:t>
      </w:r>
      <w:r w:rsidR="009D0130" w:rsidRPr="009D0130">
        <w:t> </w:t>
      </w:r>
      <w:r w:rsidR="00270A1A" w:rsidRPr="009D0130">
        <w:t>355</w:t>
      </w:r>
      <w:r w:rsidR="000B2603">
        <w:noBreakHyphen/>
      </w:r>
      <w:r w:rsidR="00270A1A" w:rsidRPr="009D0130">
        <w:t>65(4) in Schedule</w:t>
      </w:r>
      <w:r w:rsidR="009D0130" w:rsidRPr="009D0130">
        <w:t> </w:t>
      </w:r>
      <w:r w:rsidR="00270A1A" w:rsidRPr="009D0130">
        <w:t>1 (table item</w:t>
      </w:r>
      <w:r w:rsidR="009D0130" w:rsidRPr="009D0130">
        <w:t> </w:t>
      </w:r>
      <w:r w:rsidR="00270A1A" w:rsidRPr="009D0130">
        <w:t>2)</w:t>
      </w:r>
    </w:p>
    <w:p w:rsidR="00270A1A" w:rsidRPr="009D0130" w:rsidRDefault="00270A1A" w:rsidP="009D0130">
      <w:pPr>
        <w:pStyle w:val="Item"/>
      </w:pPr>
      <w:r w:rsidRPr="009D0130">
        <w:t>Omit “ASIC” (first occurring), substitute “</w:t>
      </w:r>
      <w:r w:rsidR="009D0130" w:rsidRPr="009D0130">
        <w:rPr>
          <w:position w:val="6"/>
          <w:sz w:val="16"/>
        </w:rPr>
        <w:t>*</w:t>
      </w:r>
      <w:r w:rsidRPr="009D0130">
        <w:t>ASIC”.</w:t>
      </w:r>
    </w:p>
    <w:p w:rsidR="00270A1A" w:rsidRPr="009D0130" w:rsidRDefault="0004668B" w:rsidP="009D0130">
      <w:pPr>
        <w:pStyle w:val="ItemHead"/>
      </w:pPr>
      <w:r w:rsidRPr="009D0130">
        <w:t>24</w:t>
      </w:r>
      <w:r w:rsidR="00270A1A" w:rsidRPr="009D0130">
        <w:t xml:space="preserve">  Subsection</w:t>
      </w:r>
      <w:r w:rsidR="009D0130" w:rsidRPr="009D0130">
        <w:t> </w:t>
      </w:r>
      <w:r w:rsidR="00270A1A" w:rsidRPr="009D0130">
        <w:t>355</w:t>
      </w:r>
      <w:r w:rsidR="000B2603">
        <w:noBreakHyphen/>
      </w:r>
      <w:r w:rsidR="00270A1A" w:rsidRPr="009D0130">
        <w:t>65(4) in Schedule</w:t>
      </w:r>
      <w:r w:rsidR="009D0130" w:rsidRPr="009D0130">
        <w:t> </w:t>
      </w:r>
      <w:r w:rsidR="00270A1A" w:rsidRPr="009D0130">
        <w:t>1 (table items</w:t>
      </w:r>
      <w:r w:rsidR="009D0130" w:rsidRPr="009D0130">
        <w:t> </w:t>
      </w:r>
      <w:r w:rsidR="00270A1A" w:rsidRPr="009D0130">
        <w:t>3 and 4)</w:t>
      </w:r>
    </w:p>
    <w:p w:rsidR="00270A1A" w:rsidRPr="009D0130" w:rsidRDefault="00270A1A" w:rsidP="009D0130">
      <w:pPr>
        <w:pStyle w:val="Item"/>
      </w:pPr>
      <w:r w:rsidRPr="009D0130">
        <w:t>Omit “ASIC”, substitute “</w:t>
      </w:r>
      <w:r w:rsidR="009D0130" w:rsidRPr="009D0130">
        <w:rPr>
          <w:position w:val="6"/>
          <w:sz w:val="16"/>
        </w:rPr>
        <w:t>*</w:t>
      </w:r>
      <w:r w:rsidRPr="009D0130">
        <w:t>ASIC”.</w:t>
      </w:r>
    </w:p>
    <w:p w:rsidR="00270A1A" w:rsidRPr="009D0130" w:rsidRDefault="00270A1A" w:rsidP="009D0130">
      <w:pPr>
        <w:pStyle w:val="notemargin"/>
      </w:pPr>
      <w:r w:rsidRPr="009D0130">
        <w:t>Note:</w:t>
      </w:r>
      <w:r w:rsidRPr="009D0130">
        <w:tab/>
      </w:r>
      <w:r w:rsidR="00751AA2" w:rsidRPr="009D0130">
        <w:t>This Division</w:t>
      </w:r>
      <w:r w:rsidRPr="009D0130">
        <w:t xml:space="preserve"> commence</w:t>
      </w:r>
      <w:r w:rsidR="00751AA2" w:rsidRPr="009D0130">
        <w:t>s</w:t>
      </w:r>
      <w:r w:rsidRPr="009D0130">
        <w:t xml:space="preserve"> only if the </w:t>
      </w:r>
      <w:r w:rsidRPr="009D0130">
        <w:rPr>
          <w:i/>
        </w:rPr>
        <w:t>Foreign Acquisitions and Takeovers Legislation Amendment Act 2015</w:t>
      </w:r>
      <w:r w:rsidRPr="009D0130">
        <w:t xml:space="preserve"> has not already received the Royal Assent.</w:t>
      </w:r>
    </w:p>
    <w:p w:rsidR="00270A1A" w:rsidRPr="009D0130" w:rsidRDefault="00270A1A" w:rsidP="009D0130">
      <w:pPr>
        <w:pStyle w:val="ActHead8"/>
      </w:pPr>
      <w:bookmarkStart w:id="51" w:name="_Toc436742118"/>
      <w:r w:rsidRPr="009D0130">
        <w:t>Division</w:t>
      </w:r>
      <w:r w:rsidR="009D0130" w:rsidRPr="009D0130">
        <w:t> </w:t>
      </w:r>
      <w:r w:rsidRPr="009D0130">
        <w:t xml:space="preserve">2—Amendments if </w:t>
      </w:r>
      <w:r w:rsidR="00620BAB" w:rsidRPr="009D0130">
        <w:t xml:space="preserve">the </w:t>
      </w:r>
      <w:r w:rsidRPr="009D0130">
        <w:t>Foreign Acquisitions and Takeovers Legislation Amendment Act 2015 commences</w:t>
      </w:r>
      <w:bookmarkEnd w:id="51"/>
    </w:p>
    <w:p w:rsidR="00270A1A" w:rsidRPr="009D0130" w:rsidRDefault="00270A1A" w:rsidP="009D0130">
      <w:pPr>
        <w:pStyle w:val="ActHead9"/>
        <w:rPr>
          <w:i w:val="0"/>
        </w:rPr>
      </w:pPr>
      <w:bookmarkStart w:id="52" w:name="_Toc436742119"/>
      <w:r w:rsidRPr="009D0130">
        <w:t>Taxation Administration Act 1953</w:t>
      </w:r>
      <w:bookmarkEnd w:id="52"/>
    </w:p>
    <w:p w:rsidR="00E747FB" w:rsidRPr="009D0130" w:rsidRDefault="0004668B" w:rsidP="009D0130">
      <w:pPr>
        <w:pStyle w:val="ItemHead"/>
      </w:pPr>
      <w:r w:rsidRPr="009D0130">
        <w:t>25</w:t>
      </w:r>
      <w:r w:rsidR="00E747FB" w:rsidRPr="009D0130">
        <w:t xml:space="preserve">  Subsection</w:t>
      </w:r>
      <w:r w:rsidR="009D0130" w:rsidRPr="009D0130">
        <w:t> </w:t>
      </w:r>
      <w:r w:rsidR="00E747FB" w:rsidRPr="009D0130">
        <w:t>355</w:t>
      </w:r>
      <w:r w:rsidR="000B2603">
        <w:noBreakHyphen/>
      </w:r>
      <w:r w:rsidR="00E747FB" w:rsidRPr="009D0130">
        <w:t>65(4) in Schedule</w:t>
      </w:r>
      <w:r w:rsidR="009D0130" w:rsidRPr="009D0130">
        <w:t> </w:t>
      </w:r>
      <w:r w:rsidR="00E747FB" w:rsidRPr="009D0130">
        <w:t>1 (table item</w:t>
      </w:r>
      <w:r w:rsidR="009D0130" w:rsidRPr="009D0130">
        <w:t> </w:t>
      </w:r>
      <w:r w:rsidR="00E747FB" w:rsidRPr="009D0130">
        <w:t>1)</w:t>
      </w:r>
    </w:p>
    <w:p w:rsidR="00E747FB" w:rsidRPr="009D0130" w:rsidRDefault="00E747FB" w:rsidP="009D0130">
      <w:pPr>
        <w:pStyle w:val="Item"/>
      </w:pPr>
      <w:r w:rsidRPr="009D0130">
        <w:t>Omit “the Australian Securities and Investments Commission”, substitute “</w:t>
      </w:r>
      <w:r w:rsidR="009D0130" w:rsidRPr="009D0130">
        <w:rPr>
          <w:position w:val="6"/>
          <w:sz w:val="16"/>
        </w:rPr>
        <w:t>*</w:t>
      </w:r>
      <w:r w:rsidRPr="009D0130">
        <w:t>ASIC”.</w:t>
      </w:r>
    </w:p>
    <w:p w:rsidR="00E747FB" w:rsidRPr="009D0130" w:rsidRDefault="0004668B" w:rsidP="009D0130">
      <w:pPr>
        <w:pStyle w:val="ItemHead"/>
      </w:pPr>
      <w:r w:rsidRPr="009D0130">
        <w:t>26</w:t>
      </w:r>
      <w:r w:rsidR="00E747FB" w:rsidRPr="009D0130">
        <w:t xml:space="preserve">  Subsection</w:t>
      </w:r>
      <w:r w:rsidR="009D0130" w:rsidRPr="009D0130">
        <w:t> </w:t>
      </w:r>
      <w:r w:rsidR="00E747FB" w:rsidRPr="009D0130">
        <w:t>355</w:t>
      </w:r>
      <w:r w:rsidR="000B2603">
        <w:noBreakHyphen/>
      </w:r>
      <w:r w:rsidR="00E747FB" w:rsidRPr="009D0130">
        <w:t>65(4) in Schedule</w:t>
      </w:r>
      <w:r w:rsidR="009D0130" w:rsidRPr="009D0130">
        <w:t> </w:t>
      </w:r>
      <w:r w:rsidR="00E747FB" w:rsidRPr="009D0130">
        <w:t>1 (table item</w:t>
      </w:r>
      <w:r w:rsidR="009D0130" w:rsidRPr="009D0130">
        <w:t> </w:t>
      </w:r>
      <w:r w:rsidR="00E747FB" w:rsidRPr="009D0130">
        <w:t>1)</w:t>
      </w:r>
    </w:p>
    <w:p w:rsidR="00E747FB" w:rsidRPr="009D0130" w:rsidRDefault="00E747FB" w:rsidP="009D0130">
      <w:pPr>
        <w:pStyle w:val="Item"/>
      </w:pPr>
      <w:r w:rsidRPr="009D0130">
        <w:t>Omit “the Commission”, substitute “ASIC”.</w:t>
      </w:r>
    </w:p>
    <w:p w:rsidR="00E747FB" w:rsidRPr="009D0130" w:rsidRDefault="00270A1A" w:rsidP="009D0130">
      <w:pPr>
        <w:pStyle w:val="notemargin"/>
      </w:pPr>
      <w:r w:rsidRPr="009D0130">
        <w:t>Note:</w:t>
      </w:r>
      <w:r w:rsidRPr="009D0130">
        <w:tab/>
      </w:r>
      <w:r w:rsidR="00751AA2" w:rsidRPr="009D0130">
        <w:t>This Division</w:t>
      </w:r>
      <w:r w:rsidR="00E747FB" w:rsidRPr="009D0130">
        <w:t xml:space="preserve"> commence</w:t>
      </w:r>
      <w:r w:rsidR="00751AA2" w:rsidRPr="009D0130">
        <w:t>s</w:t>
      </w:r>
      <w:r w:rsidR="00E747FB" w:rsidRPr="009D0130">
        <w:t xml:space="preserve"> only if Schedule</w:t>
      </w:r>
      <w:r w:rsidR="009D0130" w:rsidRPr="009D0130">
        <w:t> </w:t>
      </w:r>
      <w:r w:rsidR="00E747FB" w:rsidRPr="009D0130">
        <w:t xml:space="preserve">4 to the </w:t>
      </w:r>
      <w:r w:rsidR="00E747FB" w:rsidRPr="009D0130">
        <w:rPr>
          <w:i/>
        </w:rPr>
        <w:t>Foreign Acquisitions and Takeovers Legislation Amendment Act 2015</w:t>
      </w:r>
      <w:r w:rsidR="00E747FB" w:rsidRPr="009D0130">
        <w:t xml:space="preserve"> commences.</w:t>
      </w:r>
    </w:p>
    <w:p w:rsidR="00051355" w:rsidRPr="009D0130" w:rsidRDefault="00051355" w:rsidP="009D0130">
      <w:pPr>
        <w:pStyle w:val="ActHead7"/>
        <w:pageBreakBefore/>
      </w:pPr>
      <w:bookmarkStart w:id="53" w:name="_Toc436742120"/>
      <w:r w:rsidRPr="009D0130">
        <w:rPr>
          <w:rStyle w:val="CharAmPartNo"/>
        </w:rPr>
        <w:lastRenderedPageBreak/>
        <w:t>Part</w:t>
      </w:r>
      <w:r w:rsidR="009D0130" w:rsidRPr="009D0130">
        <w:rPr>
          <w:rStyle w:val="CharAmPartNo"/>
        </w:rPr>
        <w:t> </w:t>
      </w:r>
      <w:r w:rsidRPr="009D0130">
        <w:rPr>
          <w:rStyle w:val="CharAmPartNo"/>
        </w:rPr>
        <w:t>4</w:t>
      </w:r>
      <w:r w:rsidRPr="009D0130">
        <w:t>—</w:t>
      </w:r>
      <w:r w:rsidRPr="009D0130">
        <w:rPr>
          <w:rStyle w:val="CharAmPartText"/>
        </w:rPr>
        <w:t>Application of amendments</w:t>
      </w:r>
      <w:bookmarkEnd w:id="53"/>
    </w:p>
    <w:p w:rsidR="00051355" w:rsidRPr="009D0130" w:rsidRDefault="0004668B" w:rsidP="009D0130">
      <w:pPr>
        <w:pStyle w:val="ItemHead"/>
      </w:pPr>
      <w:r w:rsidRPr="009D0130">
        <w:t>27</w:t>
      </w:r>
      <w:r w:rsidR="00051355" w:rsidRPr="009D0130">
        <w:t xml:space="preserve">  Application</w:t>
      </w:r>
      <w:r w:rsidR="000B5895" w:rsidRPr="009D0130">
        <w:t xml:space="preserve"> of amendments</w:t>
      </w:r>
    </w:p>
    <w:p w:rsidR="00051355" w:rsidRPr="009D0130" w:rsidRDefault="00051355" w:rsidP="009D0130">
      <w:pPr>
        <w:pStyle w:val="Subitem"/>
      </w:pPr>
      <w:r w:rsidRPr="009D0130">
        <w:t>(1)</w:t>
      </w:r>
      <w:r w:rsidRPr="009D0130">
        <w:tab/>
        <w:t>Subdivision</w:t>
      </w:r>
      <w:r w:rsidR="009D0130" w:rsidRPr="009D0130">
        <w:t> </w:t>
      </w:r>
      <w:r w:rsidRPr="009D0130">
        <w:t>396</w:t>
      </w:r>
      <w:r w:rsidR="000B2603">
        <w:noBreakHyphen/>
      </w:r>
      <w:r w:rsidRPr="009D0130">
        <w:t>B in Schedule</w:t>
      </w:r>
      <w:r w:rsidR="009D0130" w:rsidRPr="009D0130">
        <w:t> </w:t>
      </w:r>
      <w:r w:rsidRPr="009D0130">
        <w:t xml:space="preserve">1 to the </w:t>
      </w:r>
      <w:r w:rsidRPr="009D0130">
        <w:rPr>
          <w:i/>
        </w:rPr>
        <w:t>Taxation Administration Act 1953</w:t>
      </w:r>
      <w:r w:rsidRPr="009D0130">
        <w:t xml:space="preserve"> (as inserted by this Schedule) applies in relation to transactions entered into on or after:</w:t>
      </w:r>
    </w:p>
    <w:p w:rsidR="00051355" w:rsidRPr="009D0130" w:rsidRDefault="00051355" w:rsidP="009D0130">
      <w:pPr>
        <w:pStyle w:val="paragraph"/>
      </w:pPr>
      <w:r w:rsidRPr="009D0130">
        <w:tab/>
        <w:t>(a)</w:t>
      </w:r>
      <w:r w:rsidRPr="009D0130">
        <w:tab/>
        <w:t>if table item</w:t>
      </w:r>
      <w:r w:rsidR="009D0130" w:rsidRPr="009D0130">
        <w:t> </w:t>
      </w:r>
      <w:r w:rsidRPr="009D0130">
        <w:t>3 or 4 in section</w:t>
      </w:r>
      <w:r w:rsidR="009D0130" w:rsidRPr="009D0130">
        <w:t> </w:t>
      </w:r>
      <w:r w:rsidRPr="009D0130">
        <w:t>396</w:t>
      </w:r>
      <w:r w:rsidR="000B2603">
        <w:noBreakHyphen/>
      </w:r>
      <w:r w:rsidRPr="009D0130">
        <w:t>55 in that Schedule (as inserted by this Schedule) describes the transaction—1</w:t>
      </w:r>
      <w:r w:rsidR="009D0130" w:rsidRPr="009D0130">
        <w:t> </w:t>
      </w:r>
      <w:r w:rsidRPr="009D0130">
        <w:t>July 2016; or</w:t>
      </w:r>
    </w:p>
    <w:p w:rsidR="00051355" w:rsidRPr="009D0130" w:rsidRDefault="00051355" w:rsidP="009D0130">
      <w:pPr>
        <w:pStyle w:val="paragraph"/>
      </w:pPr>
      <w:r w:rsidRPr="009D0130">
        <w:tab/>
        <w:t>(b)</w:t>
      </w:r>
      <w:r w:rsidRPr="009D0130">
        <w:tab/>
        <w:t>otherwise—1</w:t>
      </w:r>
      <w:r w:rsidR="009D0130" w:rsidRPr="009D0130">
        <w:t> </w:t>
      </w:r>
      <w:r w:rsidRPr="009D0130">
        <w:t>July 2017.</w:t>
      </w:r>
    </w:p>
    <w:p w:rsidR="00051355" w:rsidRPr="009D0130" w:rsidRDefault="00051355" w:rsidP="009D0130">
      <w:pPr>
        <w:pStyle w:val="Subitem"/>
      </w:pPr>
      <w:r w:rsidRPr="009D0130">
        <w:t>(2)</w:t>
      </w:r>
      <w:r w:rsidRPr="009D0130">
        <w:tab/>
        <w:t>However, subparagraphs</w:t>
      </w:r>
      <w:r w:rsidR="009D0130" w:rsidRPr="009D0130">
        <w:t> </w:t>
      </w:r>
      <w:r w:rsidRPr="009D0130">
        <w:t>396</w:t>
      </w:r>
      <w:r w:rsidR="000B2603">
        <w:noBreakHyphen/>
      </w:r>
      <w:r w:rsidRPr="009D0130">
        <w:t>55(a)(ii) and (b)(ii) in Schedule</w:t>
      </w:r>
      <w:r w:rsidR="009D0130" w:rsidRPr="009D0130">
        <w:t> </w:t>
      </w:r>
      <w:r w:rsidRPr="009D0130">
        <w:t xml:space="preserve">1 to the </w:t>
      </w:r>
      <w:r w:rsidRPr="009D0130">
        <w:rPr>
          <w:i/>
        </w:rPr>
        <w:t>Taxation Administration Act 1953</w:t>
      </w:r>
      <w:r w:rsidRPr="009D0130">
        <w:t xml:space="preserve"> (as inserted by this Schedule) apply in relation to transactions entered into on or after:</w:t>
      </w:r>
    </w:p>
    <w:p w:rsidR="00051355" w:rsidRPr="009D0130" w:rsidRDefault="00051355" w:rsidP="009D0130">
      <w:pPr>
        <w:pStyle w:val="paragraph"/>
      </w:pPr>
      <w:r w:rsidRPr="009D0130">
        <w:tab/>
        <w:t>(a)</w:t>
      </w:r>
      <w:r w:rsidRPr="009D0130">
        <w:tab/>
        <w:t>if table item</w:t>
      </w:r>
      <w:r w:rsidR="009D0130" w:rsidRPr="009D0130">
        <w:t> </w:t>
      </w:r>
      <w:r w:rsidRPr="009D0130">
        <w:t>3 or 4 in section</w:t>
      </w:r>
      <w:r w:rsidR="009D0130" w:rsidRPr="009D0130">
        <w:t> </w:t>
      </w:r>
      <w:r w:rsidRPr="009D0130">
        <w:t>396</w:t>
      </w:r>
      <w:r w:rsidR="000B2603">
        <w:noBreakHyphen/>
      </w:r>
      <w:r w:rsidRPr="009D0130">
        <w:t>55 in that Schedule (as inserted by this Schedule) describes the transaction—1</w:t>
      </w:r>
      <w:r w:rsidR="009D0130" w:rsidRPr="009D0130">
        <w:t> </w:t>
      </w:r>
      <w:r w:rsidRPr="009D0130">
        <w:t>July 2016; or</w:t>
      </w:r>
    </w:p>
    <w:p w:rsidR="000B2603" w:rsidRDefault="00051355" w:rsidP="009D0130">
      <w:pPr>
        <w:pStyle w:val="paragraph"/>
      </w:pPr>
      <w:r w:rsidRPr="009D0130">
        <w:tab/>
        <w:t>(b)</w:t>
      </w:r>
      <w:r w:rsidRPr="009D0130">
        <w:tab/>
        <w:t>otherwise—1</w:t>
      </w:r>
      <w:r w:rsidR="009D0130" w:rsidRPr="009D0130">
        <w:t> </w:t>
      </w:r>
      <w:r w:rsidRPr="009D0130">
        <w:t>July 2020.</w:t>
      </w:r>
    </w:p>
    <w:p w:rsidR="00AB7C63" w:rsidRDefault="00AB7C63" w:rsidP="00863324"/>
    <w:p w:rsidR="00AB7C63" w:rsidRDefault="00AB7C63" w:rsidP="00027C40">
      <w:pPr>
        <w:pStyle w:val="AssentBk"/>
        <w:keepNext/>
      </w:pPr>
    </w:p>
    <w:p w:rsidR="00AB7C63" w:rsidRDefault="00AB7C63" w:rsidP="00027C40">
      <w:pPr>
        <w:pStyle w:val="AssentBk"/>
        <w:keepNext/>
      </w:pPr>
    </w:p>
    <w:p w:rsidR="00863324" w:rsidRDefault="00863324" w:rsidP="000C5962">
      <w:pPr>
        <w:pStyle w:val="2ndRd"/>
        <w:keepNext/>
        <w:pBdr>
          <w:top w:val="single" w:sz="2" w:space="1" w:color="auto"/>
        </w:pBdr>
      </w:pPr>
    </w:p>
    <w:p w:rsidR="00863324" w:rsidRDefault="00863324" w:rsidP="000C5962">
      <w:pPr>
        <w:pStyle w:val="2ndRd"/>
        <w:keepNext/>
        <w:spacing w:line="260" w:lineRule="atLeast"/>
        <w:rPr>
          <w:i/>
        </w:rPr>
      </w:pPr>
      <w:r>
        <w:t>[</w:t>
      </w:r>
      <w:r>
        <w:rPr>
          <w:i/>
        </w:rPr>
        <w:t>Minister’s second reading speech made in—</w:t>
      </w:r>
    </w:p>
    <w:p w:rsidR="00863324" w:rsidRDefault="00863324" w:rsidP="000C5962">
      <w:pPr>
        <w:pStyle w:val="2ndRd"/>
        <w:keepNext/>
        <w:spacing w:line="260" w:lineRule="atLeast"/>
        <w:rPr>
          <w:i/>
        </w:rPr>
      </w:pPr>
      <w:r>
        <w:rPr>
          <w:i/>
        </w:rPr>
        <w:t>House of Representatives on 15 October 2015</w:t>
      </w:r>
    </w:p>
    <w:p w:rsidR="00863324" w:rsidRDefault="00863324" w:rsidP="000C5962">
      <w:pPr>
        <w:pStyle w:val="2ndRd"/>
        <w:keepNext/>
        <w:spacing w:line="260" w:lineRule="atLeast"/>
        <w:rPr>
          <w:i/>
        </w:rPr>
      </w:pPr>
      <w:r>
        <w:rPr>
          <w:i/>
        </w:rPr>
        <w:t>Senate on 24 November 2015</w:t>
      </w:r>
      <w:r>
        <w:t>]</w:t>
      </w:r>
    </w:p>
    <w:p w:rsidR="00863324" w:rsidRDefault="00863324" w:rsidP="000C5962"/>
    <w:p w:rsidR="00AB7C63" w:rsidRPr="00863324" w:rsidRDefault="00863324" w:rsidP="00863324">
      <w:pPr>
        <w:framePr w:hSpace="180" w:wrap="around" w:vAnchor="text" w:hAnchor="page" w:x="2431" w:y="3030"/>
      </w:pPr>
      <w:r>
        <w:t>(155/15)</w:t>
      </w:r>
    </w:p>
    <w:p w:rsidR="00863324" w:rsidRDefault="00863324"/>
    <w:sectPr w:rsidR="00863324" w:rsidSect="00AB7C63">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03" w:rsidRDefault="000B2603" w:rsidP="0048364F">
      <w:pPr>
        <w:spacing w:line="240" w:lineRule="auto"/>
      </w:pPr>
      <w:r>
        <w:separator/>
      </w:r>
    </w:p>
  </w:endnote>
  <w:endnote w:type="continuationSeparator" w:id="0">
    <w:p w:rsidR="000B2603" w:rsidRDefault="000B260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5F1388" w:rsidRDefault="000B2603" w:rsidP="009D013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24" w:rsidRDefault="00863324"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B2603" w:rsidRDefault="000B2603" w:rsidP="009D0130">
    <w:pPr>
      <w:pStyle w:val="Footer"/>
      <w:spacing w:before="120"/>
    </w:pPr>
  </w:p>
  <w:p w:rsidR="000B2603" w:rsidRPr="005F1388" w:rsidRDefault="000B2603" w:rsidP="00633F81">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ED79B6" w:rsidRDefault="000B2603" w:rsidP="009D013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Default="000B2603" w:rsidP="009D0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B2603" w:rsidTr="00051355">
      <w:tc>
        <w:tcPr>
          <w:tcW w:w="646" w:type="dxa"/>
        </w:tcPr>
        <w:p w:rsidR="000B2603" w:rsidRDefault="000B2603" w:rsidP="0005135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36B0">
            <w:rPr>
              <w:i/>
              <w:noProof/>
              <w:sz w:val="18"/>
            </w:rPr>
            <w:t>ii</w:t>
          </w:r>
          <w:r w:rsidRPr="00ED79B6">
            <w:rPr>
              <w:i/>
              <w:sz w:val="18"/>
            </w:rPr>
            <w:fldChar w:fldCharType="end"/>
          </w:r>
        </w:p>
      </w:tc>
      <w:tc>
        <w:tcPr>
          <w:tcW w:w="5387" w:type="dxa"/>
        </w:tcPr>
        <w:p w:rsidR="000B2603" w:rsidRDefault="007034DE" w:rsidP="00051355">
          <w:pPr>
            <w:jc w:val="center"/>
            <w:rPr>
              <w:sz w:val="18"/>
            </w:rPr>
          </w:pPr>
          <w:r>
            <w:rPr>
              <w:i/>
              <w:sz w:val="18"/>
            </w:rPr>
            <w:t>Tax and Superannuation Laws Amendment (2015 Measures No. 5) Act 2015</w:t>
          </w:r>
        </w:p>
      </w:tc>
      <w:tc>
        <w:tcPr>
          <w:tcW w:w="1270" w:type="dxa"/>
        </w:tcPr>
        <w:p w:rsidR="000B2603" w:rsidRDefault="00863324" w:rsidP="00051355">
          <w:pPr>
            <w:jc w:val="right"/>
            <w:rPr>
              <w:sz w:val="18"/>
            </w:rPr>
          </w:pPr>
          <w:r>
            <w:rPr>
              <w:i/>
              <w:sz w:val="18"/>
            </w:rPr>
            <w:t>No. 162, 2015</w:t>
          </w:r>
        </w:p>
      </w:tc>
    </w:tr>
  </w:tbl>
  <w:p w:rsidR="000B2603" w:rsidRDefault="000B2603" w:rsidP="00633F8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Default="000B2603" w:rsidP="009D0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B2603" w:rsidTr="00051355">
      <w:tc>
        <w:tcPr>
          <w:tcW w:w="1247" w:type="dxa"/>
        </w:tcPr>
        <w:p w:rsidR="000B2603" w:rsidRDefault="007034DE" w:rsidP="00863324">
          <w:pPr>
            <w:rPr>
              <w:i/>
              <w:sz w:val="18"/>
            </w:rPr>
          </w:pPr>
          <w:r>
            <w:rPr>
              <w:i/>
              <w:sz w:val="18"/>
            </w:rPr>
            <w:t xml:space="preserve">No. </w:t>
          </w:r>
          <w:r w:rsidR="00863324">
            <w:rPr>
              <w:i/>
              <w:sz w:val="18"/>
            </w:rPr>
            <w:t>162</w:t>
          </w:r>
          <w:r>
            <w:rPr>
              <w:i/>
              <w:sz w:val="18"/>
            </w:rPr>
            <w:t>, 2015</w:t>
          </w:r>
        </w:p>
      </w:tc>
      <w:tc>
        <w:tcPr>
          <w:tcW w:w="5387" w:type="dxa"/>
        </w:tcPr>
        <w:p w:rsidR="000B2603" w:rsidRDefault="007034DE" w:rsidP="00051355">
          <w:pPr>
            <w:jc w:val="center"/>
            <w:rPr>
              <w:i/>
              <w:sz w:val="18"/>
            </w:rPr>
          </w:pPr>
          <w:r>
            <w:rPr>
              <w:i/>
              <w:sz w:val="18"/>
            </w:rPr>
            <w:t>Tax and Superannuation Laws Amendment (2015 Measures No. 5) Act 2015</w:t>
          </w:r>
        </w:p>
      </w:tc>
      <w:tc>
        <w:tcPr>
          <w:tcW w:w="669" w:type="dxa"/>
        </w:tcPr>
        <w:p w:rsidR="000B2603" w:rsidRDefault="000B2603" w:rsidP="0005135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36B0">
            <w:rPr>
              <w:i/>
              <w:noProof/>
              <w:sz w:val="18"/>
            </w:rPr>
            <w:t>i</w:t>
          </w:r>
          <w:r w:rsidRPr="00ED79B6">
            <w:rPr>
              <w:i/>
              <w:sz w:val="18"/>
            </w:rPr>
            <w:fldChar w:fldCharType="end"/>
          </w:r>
        </w:p>
      </w:tc>
    </w:tr>
  </w:tbl>
  <w:p w:rsidR="000B2603" w:rsidRPr="00ED79B6" w:rsidRDefault="000B2603" w:rsidP="00633F81">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A961C4" w:rsidRDefault="000B2603" w:rsidP="009D013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B2603" w:rsidTr="009D0130">
      <w:tc>
        <w:tcPr>
          <w:tcW w:w="646" w:type="dxa"/>
        </w:tcPr>
        <w:p w:rsidR="000B2603" w:rsidRDefault="000B2603" w:rsidP="0005135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136B0">
            <w:rPr>
              <w:i/>
              <w:noProof/>
              <w:sz w:val="18"/>
            </w:rPr>
            <w:t>32</w:t>
          </w:r>
          <w:r w:rsidRPr="007A1328">
            <w:rPr>
              <w:i/>
              <w:sz w:val="18"/>
            </w:rPr>
            <w:fldChar w:fldCharType="end"/>
          </w:r>
        </w:p>
      </w:tc>
      <w:tc>
        <w:tcPr>
          <w:tcW w:w="5387" w:type="dxa"/>
        </w:tcPr>
        <w:p w:rsidR="000B2603" w:rsidRDefault="007034DE" w:rsidP="00051355">
          <w:pPr>
            <w:jc w:val="center"/>
            <w:rPr>
              <w:sz w:val="18"/>
            </w:rPr>
          </w:pPr>
          <w:r>
            <w:rPr>
              <w:i/>
              <w:sz w:val="18"/>
            </w:rPr>
            <w:t>Tax and Superannuation Laws Amendment (2015 Measures No. 5) Act 2015</w:t>
          </w:r>
        </w:p>
      </w:tc>
      <w:tc>
        <w:tcPr>
          <w:tcW w:w="1270" w:type="dxa"/>
        </w:tcPr>
        <w:p w:rsidR="000B2603" w:rsidRDefault="00863324" w:rsidP="00051355">
          <w:pPr>
            <w:jc w:val="right"/>
            <w:rPr>
              <w:sz w:val="18"/>
            </w:rPr>
          </w:pPr>
          <w:r>
            <w:rPr>
              <w:i/>
              <w:sz w:val="18"/>
            </w:rPr>
            <w:t>No. 162, 2015</w:t>
          </w:r>
        </w:p>
      </w:tc>
    </w:tr>
  </w:tbl>
  <w:p w:rsidR="000B2603" w:rsidRPr="00A961C4" w:rsidRDefault="000B2603" w:rsidP="00633F8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A961C4" w:rsidRDefault="000B2603" w:rsidP="009D0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B2603" w:rsidTr="009D0130">
      <w:tc>
        <w:tcPr>
          <w:tcW w:w="1247" w:type="dxa"/>
        </w:tcPr>
        <w:p w:rsidR="000B2603" w:rsidRDefault="00863324" w:rsidP="00051355">
          <w:pPr>
            <w:rPr>
              <w:sz w:val="18"/>
            </w:rPr>
          </w:pPr>
          <w:r>
            <w:rPr>
              <w:i/>
              <w:sz w:val="18"/>
            </w:rPr>
            <w:t>No. 162, 2015</w:t>
          </w:r>
        </w:p>
      </w:tc>
      <w:tc>
        <w:tcPr>
          <w:tcW w:w="5387" w:type="dxa"/>
        </w:tcPr>
        <w:p w:rsidR="000B2603" w:rsidRDefault="007034DE" w:rsidP="00051355">
          <w:pPr>
            <w:jc w:val="center"/>
            <w:rPr>
              <w:sz w:val="18"/>
            </w:rPr>
          </w:pPr>
          <w:r>
            <w:rPr>
              <w:i/>
              <w:sz w:val="18"/>
            </w:rPr>
            <w:t>Tax and Superannuation Laws Amendment (2015 Measures No. 5) Act 2015</w:t>
          </w:r>
        </w:p>
      </w:tc>
      <w:tc>
        <w:tcPr>
          <w:tcW w:w="669" w:type="dxa"/>
        </w:tcPr>
        <w:p w:rsidR="000B2603" w:rsidRDefault="000B2603" w:rsidP="000513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136B0">
            <w:rPr>
              <w:i/>
              <w:noProof/>
              <w:sz w:val="18"/>
            </w:rPr>
            <w:t>31</w:t>
          </w:r>
          <w:r w:rsidRPr="007A1328">
            <w:rPr>
              <w:i/>
              <w:sz w:val="18"/>
            </w:rPr>
            <w:fldChar w:fldCharType="end"/>
          </w:r>
        </w:p>
      </w:tc>
    </w:tr>
  </w:tbl>
  <w:p w:rsidR="000B2603" w:rsidRPr="00055B5C" w:rsidRDefault="000B2603" w:rsidP="00633F8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A961C4" w:rsidRDefault="000B2603" w:rsidP="009D0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B2603" w:rsidTr="009D0130">
      <w:tc>
        <w:tcPr>
          <w:tcW w:w="1247" w:type="dxa"/>
        </w:tcPr>
        <w:p w:rsidR="000B2603" w:rsidRDefault="00863324" w:rsidP="00051355">
          <w:pPr>
            <w:rPr>
              <w:sz w:val="18"/>
            </w:rPr>
          </w:pPr>
          <w:r>
            <w:rPr>
              <w:i/>
              <w:sz w:val="18"/>
            </w:rPr>
            <w:t>No. 162, 2015</w:t>
          </w:r>
        </w:p>
      </w:tc>
      <w:tc>
        <w:tcPr>
          <w:tcW w:w="5387" w:type="dxa"/>
        </w:tcPr>
        <w:p w:rsidR="000B2603" w:rsidRDefault="007034DE" w:rsidP="00051355">
          <w:pPr>
            <w:jc w:val="center"/>
            <w:rPr>
              <w:sz w:val="18"/>
            </w:rPr>
          </w:pPr>
          <w:r>
            <w:rPr>
              <w:i/>
              <w:sz w:val="18"/>
            </w:rPr>
            <w:t>Tax and Superannuation Laws Amendment (2015 Measures No. 5) Act 2015</w:t>
          </w:r>
        </w:p>
      </w:tc>
      <w:tc>
        <w:tcPr>
          <w:tcW w:w="669" w:type="dxa"/>
        </w:tcPr>
        <w:p w:rsidR="000B2603" w:rsidRDefault="000B2603" w:rsidP="000513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136B0">
            <w:rPr>
              <w:i/>
              <w:noProof/>
              <w:sz w:val="18"/>
            </w:rPr>
            <w:t>1</w:t>
          </w:r>
          <w:r w:rsidRPr="007A1328">
            <w:rPr>
              <w:i/>
              <w:sz w:val="18"/>
            </w:rPr>
            <w:fldChar w:fldCharType="end"/>
          </w:r>
        </w:p>
      </w:tc>
    </w:tr>
  </w:tbl>
  <w:p w:rsidR="000B2603" w:rsidRPr="00A961C4" w:rsidRDefault="000B2603" w:rsidP="00633F81">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03" w:rsidRDefault="000B2603" w:rsidP="0048364F">
      <w:pPr>
        <w:spacing w:line="240" w:lineRule="auto"/>
      </w:pPr>
      <w:r>
        <w:separator/>
      </w:r>
    </w:p>
  </w:footnote>
  <w:footnote w:type="continuationSeparator" w:id="0">
    <w:p w:rsidR="000B2603" w:rsidRDefault="000B260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5F1388" w:rsidRDefault="000B2603" w:rsidP="00633F81">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5F1388" w:rsidRDefault="000B2603" w:rsidP="00633F81">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5F1388" w:rsidRDefault="000B2603" w:rsidP="00633F8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ED79B6" w:rsidRDefault="000B2603" w:rsidP="00633F8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ED79B6" w:rsidRDefault="000B2603" w:rsidP="00633F8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ED79B6" w:rsidRDefault="000B2603" w:rsidP="00633F8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A961C4" w:rsidRDefault="000B2603" w:rsidP="00633F81">
    <w:pPr>
      <w:rPr>
        <w:b/>
        <w:sz w:val="20"/>
      </w:rPr>
    </w:pPr>
    <w:r>
      <w:rPr>
        <w:b/>
        <w:sz w:val="20"/>
      </w:rPr>
      <w:fldChar w:fldCharType="begin"/>
    </w:r>
    <w:r>
      <w:rPr>
        <w:b/>
        <w:sz w:val="20"/>
      </w:rPr>
      <w:instrText xml:space="preserve"> STYLEREF CharAmSchNo </w:instrText>
    </w:r>
    <w:r w:rsidR="00A136B0">
      <w:rPr>
        <w:b/>
        <w:sz w:val="20"/>
      </w:rPr>
      <w:fldChar w:fldCharType="separate"/>
    </w:r>
    <w:r w:rsidR="00A136B0">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136B0">
      <w:rPr>
        <w:sz w:val="20"/>
      </w:rPr>
      <w:fldChar w:fldCharType="separate"/>
    </w:r>
    <w:r w:rsidR="00A136B0">
      <w:rPr>
        <w:noProof/>
        <w:sz w:val="20"/>
      </w:rPr>
      <w:t>Third party reporting</w:t>
    </w:r>
    <w:r>
      <w:rPr>
        <w:sz w:val="20"/>
      </w:rPr>
      <w:fldChar w:fldCharType="end"/>
    </w:r>
  </w:p>
  <w:p w:rsidR="000B2603" w:rsidRPr="00A961C4" w:rsidRDefault="000B2603" w:rsidP="00633F81">
    <w:pPr>
      <w:rPr>
        <w:b/>
        <w:sz w:val="20"/>
      </w:rPr>
    </w:pPr>
    <w:r>
      <w:rPr>
        <w:b/>
        <w:sz w:val="20"/>
      </w:rPr>
      <w:fldChar w:fldCharType="begin"/>
    </w:r>
    <w:r>
      <w:rPr>
        <w:b/>
        <w:sz w:val="20"/>
      </w:rPr>
      <w:instrText xml:space="preserve"> STYLEREF CharAmPartNo </w:instrText>
    </w:r>
    <w:r w:rsidR="00A136B0">
      <w:rPr>
        <w:b/>
        <w:sz w:val="20"/>
      </w:rPr>
      <w:fldChar w:fldCharType="separate"/>
    </w:r>
    <w:r w:rsidR="00A136B0">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136B0">
      <w:rPr>
        <w:sz w:val="20"/>
      </w:rPr>
      <w:fldChar w:fldCharType="separate"/>
    </w:r>
    <w:r w:rsidR="00A136B0">
      <w:rPr>
        <w:noProof/>
        <w:sz w:val="20"/>
      </w:rPr>
      <w:t>Application of amendments</w:t>
    </w:r>
    <w:r>
      <w:rPr>
        <w:sz w:val="20"/>
      </w:rPr>
      <w:fldChar w:fldCharType="end"/>
    </w:r>
  </w:p>
  <w:p w:rsidR="000B2603" w:rsidRPr="00A961C4" w:rsidRDefault="000B2603" w:rsidP="00633F81">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A961C4" w:rsidRDefault="000B2603" w:rsidP="00633F81">
    <w:pPr>
      <w:jc w:val="right"/>
      <w:rPr>
        <w:sz w:val="20"/>
      </w:rPr>
    </w:pPr>
    <w:r w:rsidRPr="00A961C4">
      <w:rPr>
        <w:sz w:val="20"/>
      </w:rPr>
      <w:fldChar w:fldCharType="begin"/>
    </w:r>
    <w:r w:rsidRPr="00A961C4">
      <w:rPr>
        <w:sz w:val="20"/>
      </w:rPr>
      <w:instrText xml:space="preserve"> STYLEREF CharAmSchText </w:instrText>
    </w:r>
    <w:r w:rsidR="00A136B0">
      <w:rPr>
        <w:sz w:val="20"/>
      </w:rPr>
      <w:fldChar w:fldCharType="separate"/>
    </w:r>
    <w:r w:rsidR="00A136B0">
      <w:rPr>
        <w:noProof/>
        <w:sz w:val="20"/>
      </w:rPr>
      <w:t>Third party reporting</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136B0">
      <w:rPr>
        <w:b/>
        <w:sz w:val="20"/>
      </w:rPr>
      <w:fldChar w:fldCharType="separate"/>
    </w:r>
    <w:r w:rsidR="00A136B0">
      <w:rPr>
        <w:b/>
        <w:noProof/>
        <w:sz w:val="20"/>
      </w:rPr>
      <w:t>Schedule 4</w:t>
    </w:r>
    <w:r>
      <w:rPr>
        <w:b/>
        <w:sz w:val="20"/>
      </w:rPr>
      <w:fldChar w:fldCharType="end"/>
    </w:r>
  </w:p>
  <w:p w:rsidR="000B2603" w:rsidRPr="00A961C4" w:rsidRDefault="000B2603" w:rsidP="00633F81">
    <w:pPr>
      <w:jc w:val="right"/>
      <w:rPr>
        <w:b/>
        <w:sz w:val="20"/>
      </w:rPr>
    </w:pPr>
    <w:r w:rsidRPr="00A961C4">
      <w:rPr>
        <w:sz w:val="20"/>
      </w:rPr>
      <w:fldChar w:fldCharType="begin"/>
    </w:r>
    <w:r w:rsidRPr="00A961C4">
      <w:rPr>
        <w:sz w:val="20"/>
      </w:rPr>
      <w:instrText xml:space="preserve"> STYLEREF CharAmPartText </w:instrText>
    </w:r>
    <w:r w:rsidR="00A136B0">
      <w:rPr>
        <w:sz w:val="20"/>
      </w:rPr>
      <w:fldChar w:fldCharType="separate"/>
    </w:r>
    <w:r w:rsidR="00A136B0">
      <w:rPr>
        <w:noProof/>
        <w:sz w:val="20"/>
      </w:rPr>
      <w:t>Contingent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136B0">
      <w:rPr>
        <w:b/>
        <w:sz w:val="20"/>
      </w:rPr>
      <w:fldChar w:fldCharType="separate"/>
    </w:r>
    <w:r w:rsidR="00A136B0">
      <w:rPr>
        <w:b/>
        <w:noProof/>
        <w:sz w:val="20"/>
      </w:rPr>
      <w:t>Part 3</w:t>
    </w:r>
    <w:r w:rsidRPr="00A961C4">
      <w:rPr>
        <w:b/>
        <w:sz w:val="20"/>
      </w:rPr>
      <w:fldChar w:fldCharType="end"/>
    </w:r>
  </w:p>
  <w:p w:rsidR="000B2603" w:rsidRPr="00A961C4" w:rsidRDefault="000B2603" w:rsidP="00633F81">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03" w:rsidRPr="00A961C4" w:rsidRDefault="000B2603" w:rsidP="00633F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55"/>
    <w:rsid w:val="000113BC"/>
    <w:rsid w:val="00011A1C"/>
    <w:rsid w:val="000136AF"/>
    <w:rsid w:val="00020AB0"/>
    <w:rsid w:val="000417C9"/>
    <w:rsid w:val="00041BB9"/>
    <w:rsid w:val="00043330"/>
    <w:rsid w:val="0004668B"/>
    <w:rsid w:val="00051355"/>
    <w:rsid w:val="00055B5C"/>
    <w:rsid w:val="00060FF9"/>
    <w:rsid w:val="000614BF"/>
    <w:rsid w:val="00075E26"/>
    <w:rsid w:val="000B1FD2"/>
    <w:rsid w:val="000B2603"/>
    <w:rsid w:val="000B5895"/>
    <w:rsid w:val="000D05EF"/>
    <w:rsid w:val="000F21C1"/>
    <w:rsid w:val="0010174E"/>
    <w:rsid w:val="00101D90"/>
    <w:rsid w:val="0010745C"/>
    <w:rsid w:val="00113BD1"/>
    <w:rsid w:val="00122206"/>
    <w:rsid w:val="0015646E"/>
    <w:rsid w:val="001643C9"/>
    <w:rsid w:val="00165568"/>
    <w:rsid w:val="0016648A"/>
    <w:rsid w:val="00166C2F"/>
    <w:rsid w:val="001716C9"/>
    <w:rsid w:val="00173363"/>
    <w:rsid w:val="00173B94"/>
    <w:rsid w:val="00177A28"/>
    <w:rsid w:val="00183F32"/>
    <w:rsid w:val="001854B4"/>
    <w:rsid w:val="001939E1"/>
    <w:rsid w:val="00195382"/>
    <w:rsid w:val="001A3658"/>
    <w:rsid w:val="001A759A"/>
    <w:rsid w:val="001B26F2"/>
    <w:rsid w:val="001B7A5D"/>
    <w:rsid w:val="001C2418"/>
    <w:rsid w:val="001C69C4"/>
    <w:rsid w:val="001E3590"/>
    <w:rsid w:val="001E7407"/>
    <w:rsid w:val="00201D27"/>
    <w:rsid w:val="00202618"/>
    <w:rsid w:val="00240749"/>
    <w:rsid w:val="00263820"/>
    <w:rsid w:val="00267EE4"/>
    <w:rsid w:val="00270A1A"/>
    <w:rsid w:val="00293B89"/>
    <w:rsid w:val="00297ECB"/>
    <w:rsid w:val="002B5A30"/>
    <w:rsid w:val="002B7C6C"/>
    <w:rsid w:val="002C6DB4"/>
    <w:rsid w:val="002D043A"/>
    <w:rsid w:val="002D395A"/>
    <w:rsid w:val="002D4EA1"/>
    <w:rsid w:val="002F119D"/>
    <w:rsid w:val="003017DF"/>
    <w:rsid w:val="00305AD0"/>
    <w:rsid w:val="003111DE"/>
    <w:rsid w:val="003415D3"/>
    <w:rsid w:val="00350417"/>
    <w:rsid w:val="00352B0F"/>
    <w:rsid w:val="00375C6C"/>
    <w:rsid w:val="003C5F2B"/>
    <w:rsid w:val="003D0BFE"/>
    <w:rsid w:val="003D5700"/>
    <w:rsid w:val="003D6567"/>
    <w:rsid w:val="003F4F0D"/>
    <w:rsid w:val="00405579"/>
    <w:rsid w:val="00410B8E"/>
    <w:rsid w:val="004116CD"/>
    <w:rsid w:val="00421639"/>
    <w:rsid w:val="00421FC1"/>
    <w:rsid w:val="004229C7"/>
    <w:rsid w:val="00424CA9"/>
    <w:rsid w:val="00436785"/>
    <w:rsid w:val="00436BD5"/>
    <w:rsid w:val="00437E4B"/>
    <w:rsid w:val="0044291A"/>
    <w:rsid w:val="004542FE"/>
    <w:rsid w:val="0048196B"/>
    <w:rsid w:val="0048364F"/>
    <w:rsid w:val="00496F97"/>
    <w:rsid w:val="004C4D01"/>
    <w:rsid w:val="004C7C8C"/>
    <w:rsid w:val="004E2A4A"/>
    <w:rsid w:val="004F0D23"/>
    <w:rsid w:val="004F1FAC"/>
    <w:rsid w:val="00516B8D"/>
    <w:rsid w:val="00537FBC"/>
    <w:rsid w:val="00543469"/>
    <w:rsid w:val="00551B54"/>
    <w:rsid w:val="00571C3A"/>
    <w:rsid w:val="005728B7"/>
    <w:rsid w:val="00583B78"/>
    <w:rsid w:val="00584811"/>
    <w:rsid w:val="0059206B"/>
    <w:rsid w:val="00593AA6"/>
    <w:rsid w:val="00594161"/>
    <w:rsid w:val="00594749"/>
    <w:rsid w:val="005A0D92"/>
    <w:rsid w:val="005B4067"/>
    <w:rsid w:val="005C1144"/>
    <w:rsid w:val="005C3F41"/>
    <w:rsid w:val="005E152A"/>
    <w:rsid w:val="005E3562"/>
    <w:rsid w:val="005E7846"/>
    <w:rsid w:val="00600219"/>
    <w:rsid w:val="00620BAB"/>
    <w:rsid w:val="00633F81"/>
    <w:rsid w:val="00641DE5"/>
    <w:rsid w:val="00656F0C"/>
    <w:rsid w:val="00677CC2"/>
    <w:rsid w:val="00681F92"/>
    <w:rsid w:val="006842C2"/>
    <w:rsid w:val="00685F42"/>
    <w:rsid w:val="0069207B"/>
    <w:rsid w:val="006C2874"/>
    <w:rsid w:val="006C7F8C"/>
    <w:rsid w:val="006D380D"/>
    <w:rsid w:val="006E0135"/>
    <w:rsid w:val="006E303A"/>
    <w:rsid w:val="006F7E19"/>
    <w:rsid w:val="00700B2C"/>
    <w:rsid w:val="007034DE"/>
    <w:rsid w:val="00705D32"/>
    <w:rsid w:val="00712D8D"/>
    <w:rsid w:val="00713084"/>
    <w:rsid w:val="00714B26"/>
    <w:rsid w:val="00720E20"/>
    <w:rsid w:val="00731E00"/>
    <w:rsid w:val="007440B7"/>
    <w:rsid w:val="00751AA2"/>
    <w:rsid w:val="007523C9"/>
    <w:rsid w:val="007634AD"/>
    <w:rsid w:val="00763BAF"/>
    <w:rsid w:val="007715C9"/>
    <w:rsid w:val="00774EDD"/>
    <w:rsid w:val="007757EC"/>
    <w:rsid w:val="0077741A"/>
    <w:rsid w:val="007835F7"/>
    <w:rsid w:val="00797F85"/>
    <w:rsid w:val="007A4C47"/>
    <w:rsid w:val="007B4274"/>
    <w:rsid w:val="007E7720"/>
    <w:rsid w:val="007E7D4A"/>
    <w:rsid w:val="007F51BF"/>
    <w:rsid w:val="007F7BC6"/>
    <w:rsid w:val="008006CC"/>
    <w:rsid w:val="00807F18"/>
    <w:rsid w:val="00811EA0"/>
    <w:rsid w:val="008173B1"/>
    <w:rsid w:val="00831E8D"/>
    <w:rsid w:val="00856A31"/>
    <w:rsid w:val="00857D6B"/>
    <w:rsid w:val="00863324"/>
    <w:rsid w:val="008754D0"/>
    <w:rsid w:val="00877D48"/>
    <w:rsid w:val="00883781"/>
    <w:rsid w:val="00885570"/>
    <w:rsid w:val="00893958"/>
    <w:rsid w:val="008A2E77"/>
    <w:rsid w:val="008B04DF"/>
    <w:rsid w:val="008B0C1A"/>
    <w:rsid w:val="008B1C2A"/>
    <w:rsid w:val="008B6F09"/>
    <w:rsid w:val="008C6F6F"/>
    <w:rsid w:val="008D0EE0"/>
    <w:rsid w:val="008F3455"/>
    <w:rsid w:val="008F4F1C"/>
    <w:rsid w:val="008F77C4"/>
    <w:rsid w:val="009103F3"/>
    <w:rsid w:val="00911D76"/>
    <w:rsid w:val="00927201"/>
    <w:rsid w:val="00932377"/>
    <w:rsid w:val="00967042"/>
    <w:rsid w:val="0098255A"/>
    <w:rsid w:val="009845BE"/>
    <w:rsid w:val="009863FE"/>
    <w:rsid w:val="009969C9"/>
    <w:rsid w:val="00997952"/>
    <w:rsid w:val="009A2B03"/>
    <w:rsid w:val="009D0130"/>
    <w:rsid w:val="00A1029C"/>
    <w:rsid w:val="00A10775"/>
    <w:rsid w:val="00A136B0"/>
    <w:rsid w:val="00A231E2"/>
    <w:rsid w:val="00A36C48"/>
    <w:rsid w:val="00A41E0B"/>
    <w:rsid w:val="00A511AE"/>
    <w:rsid w:val="00A55631"/>
    <w:rsid w:val="00A64912"/>
    <w:rsid w:val="00A70A74"/>
    <w:rsid w:val="00A717B8"/>
    <w:rsid w:val="00AA0AB2"/>
    <w:rsid w:val="00AA3795"/>
    <w:rsid w:val="00AA7296"/>
    <w:rsid w:val="00AB3CE0"/>
    <w:rsid w:val="00AB7C63"/>
    <w:rsid w:val="00AC1E75"/>
    <w:rsid w:val="00AD5641"/>
    <w:rsid w:val="00AE1088"/>
    <w:rsid w:val="00AF1BA4"/>
    <w:rsid w:val="00AF5B9F"/>
    <w:rsid w:val="00B032D8"/>
    <w:rsid w:val="00B1445E"/>
    <w:rsid w:val="00B33B3C"/>
    <w:rsid w:val="00B6382D"/>
    <w:rsid w:val="00B640B4"/>
    <w:rsid w:val="00B93990"/>
    <w:rsid w:val="00BA5026"/>
    <w:rsid w:val="00BB40BF"/>
    <w:rsid w:val="00BC0CD1"/>
    <w:rsid w:val="00BC1AB5"/>
    <w:rsid w:val="00BE115E"/>
    <w:rsid w:val="00BE2C12"/>
    <w:rsid w:val="00BE719A"/>
    <w:rsid w:val="00BE720A"/>
    <w:rsid w:val="00BF0461"/>
    <w:rsid w:val="00BF4944"/>
    <w:rsid w:val="00C04409"/>
    <w:rsid w:val="00C067E5"/>
    <w:rsid w:val="00C164CA"/>
    <w:rsid w:val="00C176CF"/>
    <w:rsid w:val="00C21CC2"/>
    <w:rsid w:val="00C25325"/>
    <w:rsid w:val="00C402BE"/>
    <w:rsid w:val="00C42BF8"/>
    <w:rsid w:val="00C460AE"/>
    <w:rsid w:val="00C50043"/>
    <w:rsid w:val="00C54E84"/>
    <w:rsid w:val="00C7573B"/>
    <w:rsid w:val="00C76CF3"/>
    <w:rsid w:val="00CB18A6"/>
    <w:rsid w:val="00CE1E31"/>
    <w:rsid w:val="00CF0BB2"/>
    <w:rsid w:val="00D00EAA"/>
    <w:rsid w:val="00D01707"/>
    <w:rsid w:val="00D0583C"/>
    <w:rsid w:val="00D13441"/>
    <w:rsid w:val="00D243A3"/>
    <w:rsid w:val="00D426BC"/>
    <w:rsid w:val="00D431F5"/>
    <w:rsid w:val="00D477C3"/>
    <w:rsid w:val="00D52EFE"/>
    <w:rsid w:val="00D63EF6"/>
    <w:rsid w:val="00D70DFB"/>
    <w:rsid w:val="00D73029"/>
    <w:rsid w:val="00D745D9"/>
    <w:rsid w:val="00D766DF"/>
    <w:rsid w:val="00D81EE4"/>
    <w:rsid w:val="00DA14B0"/>
    <w:rsid w:val="00DA4D14"/>
    <w:rsid w:val="00DE2E26"/>
    <w:rsid w:val="00DF217C"/>
    <w:rsid w:val="00DF7AE9"/>
    <w:rsid w:val="00E00228"/>
    <w:rsid w:val="00E00E71"/>
    <w:rsid w:val="00E05704"/>
    <w:rsid w:val="00E12B0F"/>
    <w:rsid w:val="00E237DC"/>
    <w:rsid w:val="00E24D66"/>
    <w:rsid w:val="00E3310C"/>
    <w:rsid w:val="00E54292"/>
    <w:rsid w:val="00E747FB"/>
    <w:rsid w:val="00E74DC7"/>
    <w:rsid w:val="00E771EE"/>
    <w:rsid w:val="00E87699"/>
    <w:rsid w:val="00EC1424"/>
    <w:rsid w:val="00ED492F"/>
    <w:rsid w:val="00EE1450"/>
    <w:rsid w:val="00EE73B3"/>
    <w:rsid w:val="00EF0D31"/>
    <w:rsid w:val="00EF2E3A"/>
    <w:rsid w:val="00F047E2"/>
    <w:rsid w:val="00F078DC"/>
    <w:rsid w:val="00F13E86"/>
    <w:rsid w:val="00F16B6E"/>
    <w:rsid w:val="00F17B00"/>
    <w:rsid w:val="00F44A04"/>
    <w:rsid w:val="00F64F12"/>
    <w:rsid w:val="00F677A9"/>
    <w:rsid w:val="00F84CF5"/>
    <w:rsid w:val="00F92D35"/>
    <w:rsid w:val="00FA420B"/>
    <w:rsid w:val="00FC3354"/>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130"/>
    <w:pPr>
      <w:spacing w:line="260" w:lineRule="atLeast"/>
    </w:pPr>
    <w:rPr>
      <w:sz w:val="22"/>
    </w:rPr>
  </w:style>
  <w:style w:type="paragraph" w:styleId="Heading1">
    <w:name w:val="heading 1"/>
    <w:basedOn w:val="Normal"/>
    <w:next w:val="Normal"/>
    <w:link w:val="Heading1Char"/>
    <w:uiPriority w:val="9"/>
    <w:qFormat/>
    <w:rsid w:val="00AB7C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7C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7C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7C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B7C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7C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7C6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C6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B7C6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0130"/>
  </w:style>
  <w:style w:type="paragraph" w:customStyle="1" w:styleId="OPCParaBase">
    <w:name w:val="OPCParaBase"/>
    <w:link w:val="OPCParaBaseChar"/>
    <w:qFormat/>
    <w:rsid w:val="009D013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D0130"/>
    <w:pPr>
      <w:spacing w:line="240" w:lineRule="auto"/>
    </w:pPr>
    <w:rPr>
      <w:b/>
      <w:sz w:val="40"/>
    </w:rPr>
  </w:style>
  <w:style w:type="paragraph" w:customStyle="1" w:styleId="ActHead1">
    <w:name w:val="ActHead 1"/>
    <w:aliases w:val="c"/>
    <w:basedOn w:val="OPCParaBase"/>
    <w:next w:val="Normal"/>
    <w:qFormat/>
    <w:rsid w:val="009D01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1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01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D01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1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1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01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1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13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D0130"/>
  </w:style>
  <w:style w:type="paragraph" w:customStyle="1" w:styleId="Blocks">
    <w:name w:val="Blocks"/>
    <w:aliases w:val="bb"/>
    <w:basedOn w:val="OPCParaBase"/>
    <w:qFormat/>
    <w:rsid w:val="009D0130"/>
    <w:pPr>
      <w:spacing w:line="240" w:lineRule="auto"/>
    </w:pPr>
    <w:rPr>
      <w:sz w:val="24"/>
    </w:rPr>
  </w:style>
  <w:style w:type="paragraph" w:customStyle="1" w:styleId="BoxText">
    <w:name w:val="BoxText"/>
    <w:aliases w:val="bt"/>
    <w:basedOn w:val="OPCParaBase"/>
    <w:qFormat/>
    <w:rsid w:val="009D01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130"/>
    <w:rPr>
      <w:b/>
    </w:rPr>
  </w:style>
  <w:style w:type="paragraph" w:customStyle="1" w:styleId="BoxHeadItalic">
    <w:name w:val="BoxHeadItalic"/>
    <w:aliases w:val="bhi"/>
    <w:basedOn w:val="BoxText"/>
    <w:next w:val="BoxStep"/>
    <w:qFormat/>
    <w:rsid w:val="009D0130"/>
    <w:rPr>
      <w:i/>
    </w:rPr>
  </w:style>
  <w:style w:type="paragraph" w:customStyle="1" w:styleId="BoxList">
    <w:name w:val="BoxList"/>
    <w:aliases w:val="bl"/>
    <w:basedOn w:val="BoxText"/>
    <w:qFormat/>
    <w:rsid w:val="009D0130"/>
    <w:pPr>
      <w:ind w:left="1559" w:hanging="425"/>
    </w:pPr>
  </w:style>
  <w:style w:type="paragraph" w:customStyle="1" w:styleId="BoxNote">
    <w:name w:val="BoxNote"/>
    <w:aliases w:val="bn"/>
    <w:basedOn w:val="BoxText"/>
    <w:qFormat/>
    <w:rsid w:val="009D0130"/>
    <w:pPr>
      <w:tabs>
        <w:tab w:val="left" w:pos="1985"/>
      </w:tabs>
      <w:spacing w:before="122" w:line="198" w:lineRule="exact"/>
      <w:ind w:left="2948" w:hanging="1814"/>
    </w:pPr>
    <w:rPr>
      <w:sz w:val="18"/>
    </w:rPr>
  </w:style>
  <w:style w:type="paragraph" w:customStyle="1" w:styleId="BoxPara">
    <w:name w:val="BoxPara"/>
    <w:aliases w:val="bp"/>
    <w:basedOn w:val="BoxText"/>
    <w:qFormat/>
    <w:rsid w:val="009D0130"/>
    <w:pPr>
      <w:tabs>
        <w:tab w:val="right" w:pos="2268"/>
      </w:tabs>
      <w:ind w:left="2552" w:hanging="1418"/>
    </w:pPr>
  </w:style>
  <w:style w:type="paragraph" w:customStyle="1" w:styleId="BoxStep">
    <w:name w:val="BoxStep"/>
    <w:aliases w:val="bs"/>
    <w:basedOn w:val="BoxText"/>
    <w:qFormat/>
    <w:rsid w:val="009D0130"/>
    <w:pPr>
      <w:ind w:left="1985" w:hanging="851"/>
    </w:pPr>
  </w:style>
  <w:style w:type="character" w:customStyle="1" w:styleId="CharAmPartNo">
    <w:name w:val="CharAmPartNo"/>
    <w:basedOn w:val="OPCCharBase"/>
    <w:qFormat/>
    <w:rsid w:val="009D0130"/>
  </w:style>
  <w:style w:type="character" w:customStyle="1" w:styleId="CharAmPartText">
    <w:name w:val="CharAmPartText"/>
    <w:basedOn w:val="OPCCharBase"/>
    <w:qFormat/>
    <w:rsid w:val="009D0130"/>
  </w:style>
  <w:style w:type="character" w:customStyle="1" w:styleId="CharAmSchNo">
    <w:name w:val="CharAmSchNo"/>
    <w:basedOn w:val="OPCCharBase"/>
    <w:qFormat/>
    <w:rsid w:val="009D0130"/>
  </w:style>
  <w:style w:type="character" w:customStyle="1" w:styleId="CharAmSchText">
    <w:name w:val="CharAmSchText"/>
    <w:basedOn w:val="OPCCharBase"/>
    <w:qFormat/>
    <w:rsid w:val="009D0130"/>
  </w:style>
  <w:style w:type="character" w:customStyle="1" w:styleId="CharBoldItalic">
    <w:name w:val="CharBoldItalic"/>
    <w:basedOn w:val="OPCCharBase"/>
    <w:uiPriority w:val="1"/>
    <w:qFormat/>
    <w:rsid w:val="009D0130"/>
    <w:rPr>
      <w:b/>
      <w:i/>
    </w:rPr>
  </w:style>
  <w:style w:type="character" w:customStyle="1" w:styleId="CharChapNo">
    <w:name w:val="CharChapNo"/>
    <w:basedOn w:val="OPCCharBase"/>
    <w:uiPriority w:val="1"/>
    <w:qFormat/>
    <w:rsid w:val="009D0130"/>
  </w:style>
  <w:style w:type="character" w:customStyle="1" w:styleId="CharChapText">
    <w:name w:val="CharChapText"/>
    <w:basedOn w:val="OPCCharBase"/>
    <w:uiPriority w:val="1"/>
    <w:qFormat/>
    <w:rsid w:val="009D0130"/>
  </w:style>
  <w:style w:type="character" w:customStyle="1" w:styleId="CharDivNo">
    <w:name w:val="CharDivNo"/>
    <w:basedOn w:val="OPCCharBase"/>
    <w:uiPriority w:val="1"/>
    <w:qFormat/>
    <w:rsid w:val="009D0130"/>
  </w:style>
  <w:style w:type="character" w:customStyle="1" w:styleId="CharDivText">
    <w:name w:val="CharDivText"/>
    <w:basedOn w:val="OPCCharBase"/>
    <w:uiPriority w:val="1"/>
    <w:qFormat/>
    <w:rsid w:val="009D0130"/>
  </w:style>
  <w:style w:type="character" w:customStyle="1" w:styleId="CharItalic">
    <w:name w:val="CharItalic"/>
    <w:basedOn w:val="OPCCharBase"/>
    <w:uiPriority w:val="1"/>
    <w:qFormat/>
    <w:rsid w:val="009D0130"/>
    <w:rPr>
      <w:i/>
    </w:rPr>
  </w:style>
  <w:style w:type="character" w:customStyle="1" w:styleId="CharPartNo">
    <w:name w:val="CharPartNo"/>
    <w:basedOn w:val="OPCCharBase"/>
    <w:uiPriority w:val="1"/>
    <w:qFormat/>
    <w:rsid w:val="009D0130"/>
  </w:style>
  <w:style w:type="character" w:customStyle="1" w:styleId="CharPartText">
    <w:name w:val="CharPartText"/>
    <w:basedOn w:val="OPCCharBase"/>
    <w:uiPriority w:val="1"/>
    <w:qFormat/>
    <w:rsid w:val="009D0130"/>
  </w:style>
  <w:style w:type="character" w:customStyle="1" w:styleId="CharSectno">
    <w:name w:val="CharSectno"/>
    <w:basedOn w:val="OPCCharBase"/>
    <w:qFormat/>
    <w:rsid w:val="009D0130"/>
  </w:style>
  <w:style w:type="character" w:customStyle="1" w:styleId="CharSubdNo">
    <w:name w:val="CharSubdNo"/>
    <w:basedOn w:val="OPCCharBase"/>
    <w:uiPriority w:val="1"/>
    <w:qFormat/>
    <w:rsid w:val="009D0130"/>
  </w:style>
  <w:style w:type="character" w:customStyle="1" w:styleId="CharSubdText">
    <w:name w:val="CharSubdText"/>
    <w:basedOn w:val="OPCCharBase"/>
    <w:uiPriority w:val="1"/>
    <w:qFormat/>
    <w:rsid w:val="009D0130"/>
  </w:style>
  <w:style w:type="paragraph" w:customStyle="1" w:styleId="CTA--">
    <w:name w:val="CTA --"/>
    <w:basedOn w:val="OPCParaBase"/>
    <w:next w:val="Normal"/>
    <w:rsid w:val="009D0130"/>
    <w:pPr>
      <w:spacing w:before="60" w:line="240" w:lineRule="atLeast"/>
      <w:ind w:left="142" w:hanging="142"/>
    </w:pPr>
    <w:rPr>
      <w:sz w:val="20"/>
    </w:rPr>
  </w:style>
  <w:style w:type="paragraph" w:customStyle="1" w:styleId="CTA-">
    <w:name w:val="CTA -"/>
    <w:basedOn w:val="OPCParaBase"/>
    <w:rsid w:val="009D0130"/>
    <w:pPr>
      <w:spacing w:before="60" w:line="240" w:lineRule="atLeast"/>
      <w:ind w:left="85" w:hanging="85"/>
    </w:pPr>
    <w:rPr>
      <w:sz w:val="20"/>
    </w:rPr>
  </w:style>
  <w:style w:type="paragraph" w:customStyle="1" w:styleId="CTA---">
    <w:name w:val="CTA ---"/>
    <w:basedOn w:val="OPCParaBase"/>
    <w:next w:val="Normal"/>
    <w:rsid w:val="009D0130"/>
    <w:pPr>
      <w:spacing w:before="60" w:line="240" w:lineRule="atLeast"/>
      <w:ind w:left="198" w:hanging="198"/>
    </w:pPr>
    <w:rPr>
      <w:sz w:val="20"/>
    </w:rPr>
  </w:style>
  <w:style w:type="paragraph" w:customStyle="1" w:styleId="CTA----">
    <w:name w:val="CTA ----"/>
    <w:basedOn w:val="OPCParaBase"/>
    <w:next w:val="Normal"/>
    <w:rsid w:val="009D0130"/>
    <w:pPr>
      <w:spacing w:before="60" w:line="240" w:lineRule="atLeast"/>
      <w:ind w:left="255" w:hanging="255"/>
    </w:pPr>
    <w:rPr>
      <w:sz w:val="20"/>
    </w:rPr>
  </w:style>
  <w:style w:type="paragraph" w:customStyle="1" w:styleId="CTA1a">
    <w:name w:val="CTA 1(a)"/>
    <w:basedOn w:val="OPCParaBase"/>
    <w:rsid w:val="009D0130"/>
    <w:pPr>
      <w:tabs>
        <w:tab w:val="right" w:pos="414"/>
      </w:tabs>
      <w:spacing w:before="40" w:line="240" w:lineRule="atLeast"/>
      <w:ind w:left="675" w:hanging="675"/>
    </w:pPr>
    <w:rPr>
      <w:sz w:val="20"/>
    </w:rPr>
  </w:style>
  <w:style w:type="paragraph" w:customStyle="1" w:styleId="CTA1ai">
    <w:name w:val="CTA 1(a)(i)"/>
    <w:basedOn w:val="OPCParaBase"/>
    <w:rsid w:val="009D0130"/>
    <w:pPr>
      <w:tabs>
        <w:tab w:val="right" w:pos="1004"/>
      </w:tabs>
      <w:spacing w:before="40" w:line="240" w:lineRule="atLeast"/>
      <w:ind w:left="1253" w:hanging="1253"/>
    </w:pPr>
    <w:rPr>
      <w:sz w:val="20"/>
    </w:rPr>
  </w:style>
  <w:style w:type="paragraph" w:customStyle="1" w:styleId="CTA2a">
    <w:name w:val="CTA 2(a)"/>
    <w:basedOn w:val="OPCParaBase"/>
    <w:rsid w:val="009D0130"/>
    <w:pPr>
      <w:tabs>
        <w:tab w:val="right" w:pos="482"/>
      </w:tabs>
      <w:spacing w:before="40" w:line="240" w:lineRule="atLeast"/>
      <w:ind w:left="748" w:hanging="748"/>
    </w:pPr>
    <w:rPr>
      <w:sz w:val="20"/>
    </w:rPr>
  </w:style>
  <w:style w:type="paragraph" w:customStyle="1" w:styleId="CTA2ai">
    <w:name w:val="CTA 2(a)(i)"/>
    <w:basedOn w:val="OPCParaBase"/>
    <w:rsid w:val="009D0130"/>
    <w:pPr>
      <w:tabs>
        <w:tab w:val="right" w:pos="1089"/>
      </w:tabs>
      <w:spacing w:before="40" w:line="240" w:lineRule="atLeast"/>
      <w:ind w:left="1327" w:hanging="1327"/>
    </w:pPr>
    <w:rPr>
      <w:sz w:val="20"/>
    </w:rPr>
  </w:style>
  <w:style w:type="paragraph" w:customStyle="1" w:styleId="CTA3a">
    <w:name w:val="CTA 3(a)"/>
    <w:basedOn w:val="OPCParaBase"/>
    <w:rsid w:val="009D0130"/>
    <w:pPr>
      <w:tabs>
        <w:tab w:val="right" w:pos="556"/>
      </w:tabs>
      <w:spacing w:before="40" w:line="240" w:lineRule="atLeast"/>
      <w:ind w:left="805" w:hanging="805"/>
    </w:pPr>
    <w:rPr>
      <w:sz w:val="20"/>
    </w:rPr>
  </w:style>
  <w:style w:type="paragraph" w:customStyle="1" w:styleId="CTA3ai">
    <w:name w:val="CTA 3(a)(i)"/>
    <w:basedOn w:val="OPCParaBase"/>
    <w:rsid w:val="009D0130"/>
    <w:pPr>
      <w:tabs>
        <w:tab w:val="right" w:pos="1140"/>
      </w:tabs>
      <w:spacing w:before="40" w:line="240" w:lineRule="atLeast"/>
      <w:ind w:left="1361" w:hanging="1361"/>
    </w:pPr>
    <w:rPr>
      <w:sz w:val="20"/>
    </w:rPr>
  </w:style>
  <w:style w:type="paragraph" w:customStyle="1" w:styleId="CTA4a">
    <w:name w:val="CTA 4(a)"/>
    <w:basedOn w:val="OPCParaBase"/>
    <w:rsid w:val="009D0130"/>
    <w:pPr>
      <w:tabs>
        <w:tab w:val="right" w:pos="624"/>
      </w:tabs>
      <w:spacing w:before="40" w:line="240" w:lineRule="atLeast"/>
      <w:ind w:left="873" w:hanging="873"/>
    </w:pPr>
    <w:rPr>
      <w:sz w:val="20"/>
    </w:rPr>
  </w:style>
  <w:style w:type="paragraph" w:customStyle="1" w:styleId="CTA4ai">
    <w:name w:val="CTA 4(a)(i)"/>
    <w:basedOn w:val="OPCParaBase"/>
    <w:rsid w:val="009D0130"/>
    <w:pPr>
      <w:tabs>
        <w:tab w:val="right" w:pos="1213"/>
      </w:tabs>
      <w:spacing w:before="40" w:line="240" w:lineRule="atLeast"/>
      <w:ind w:left="1452" w:hanging="1452"/>
    </w:pPr>
    <w:rPr>
      <w:sz w:val="20"/>
    </w:rPr>
  </w:style>
  <w:style w:type="paragraph" w:customStyle="1" w:styleId="CTACAPS">
    <w:name w:val="CTA CAPS"/>
    <w:basedOn w:val="OPCParaBase"/>
    <w:rsid w:val="009D0130"/>
    <w:pPr>
      <w:spacing w:before="60" w:line="240" w:lineRule="atLeast"/>
    </w:pPr>
    <w:rPr>
      <w:sz w:val="20"/>
    </w:rPr>
  </w:style>
  <w:style w:type="paragraph" w:customStyle="1" w:styleId="CTAright">
    <w:name w:val="CTA right"/>
    <w:basedOn w:val="OPCParaBase"/>
    <w:rsid w:val="009D0130"/>
    <w:pPr>
      <w:spacing w:before="60" w:line="240" w:lineRule="auto"/>
      <w:jc w:val="right"/>
    </w:pPr>
    <w:rPr>
      <w:sz w:val="20"/>
    </w:rPr>
  </w:style>
  <w:style w:type="paragraph" w:customStyle="1" w:styleId="subsection">
    <w:name w:val="subsection"/>
    <w:aliases w:val="ss"/>
    <w:basedOn w:val="OPCParaBase"/>
    <w:link w:val="subsectionChar"/>
    <w:rsid w:val="009D0130"/>
    <w:pPr>
      <w:tabs>
        <w:tab w:val="right" w:pos="1021"/>
      </w:tabs>
      <w:spacing w:before="180" w:line="240" w:lineRule="auto"/>
      <w:ind w:left="1134" w:hanging="1134"/>
    </w:pPr>
  </w:style>
  <w:style w:type="paragraph" w:customStyle="1" w:styleId="Definition">
    <w:name w:val="Definition"/>
    <w:aliases w:val="dd"/>
    <w:basedOn w:val="OPCParaBase"/>
    <w:rsid w:val="009D0130"/>
    <w:pPr>
      <w:spacing w:before="180" w:line="240" w:lineRule="auto"/>
      <w:ind w:left="1134"/>
    </w:pPr>
  </w:style>
  <w:style w:type="paragraph" w:customStyle="1" w:styleId="ETAsubitem">
    <w:name w:val="ETA(subitem)"/>
    <w:basedOn w:val="OPCParaBase"/>
    <w:rsid w:val="009D0130"/>
    <w:pPr>
      <w:tabs>
        <w:tab w:val="right" w:pos="340"/>
      </w:tabs>
      <w:spacing w:before="60" w:line="240" w:lineRule="auto"/>
      <w:ind w:left="454" w:hanging="454"/>
    </w:pPr>
    <w:rPr>
      <w:sz w:val="20"/>
    </w:rPr>
  </w:style>
  <w:style w:type="paragraph" w:customStyle="1" w:styleId="ETApara">
    <w:name w:val="ETA(para)"/>
    <w:basedOn w:val="OPCParaBase"/>
    <w:rsid w:val="009D0130"/>
    <w:pPr>
      <w:tabs>
        <w:tab w:val="right" w:pos="754"/>
      </w:tabs>
      <w:spacing w:before="60" w:line="240" w:lineRule="auto"/>
      <w:ind w:left="828" w:hanging="828"/>
    </w:pPr>
    <w:rPr>
      <w:sz w:val="20"/>
    </w:rPr>
  </w:style>
  <w:style w:type="paragraph" w:customStyle="1" w:styleId="ETAsubpara">
    <w:name w:val="ETA(subpara)"/>
    <w:basedOn w:val="OPCParaBase"/>
    <w:rsid w:val="009D0130"/>
    <w:pPr>
      <w:tabs>
        <w:tab w:val="right" w:pos="1083"/>
      </w:tabs>
      <w:spacing w:before="60" w:line="240" w:lineRule="auto"/>
      <w:ind w:left="1191" w:hanging="1191"/>
    </w:pPr>
    <w:rPr>
      <w:sz w:val="20"/>
    </w:rPr>
  </w:style>
  <w:style w:type="paragraph" w:customStyle="1" w:styleId="ETAsub-subpara">
    <w:name w:val="ETA(sub-subpara)"/>
    <w:basedOn w:val="OPCParaBase"/>
    <w:rsid w:val="009D0130"/>
    <w:pPr>
      <w:tabs>
        <w:tab w:val="right" w:pos="1412"/>
      </w:tabs>
      <w:spacing w:before="60" w:line="240" w:lineRule="auto"/>
      <w:ind w:left="1525" w:hanging="1525"/>
    </w:pPr>
    <w:rPr>
      <w:sz w:val="20"/>
    </w:rPr>
  </w:style>
  <w:style w:type="paragraph" w:customStyle="1" w:styleId="Formula">
    <w:name w:val="Formula"/>
    <w:basedOn w:val="OPCParaBase"/>
    <w:rsid w:val="009D0130"/>
    <w:pPr>
      <w:spacing w:line="240" w:lineRule="auto"/>
      <w:ind w:left="1134"/>
    </w:pPr>
    <w:rPr>
      <w:sz w:val="20"/>
    </w:rPr>
  </w:style>
  <w:style w:type="paragraph" w:styleId="Header">
    <w:name w:val="header"/>
    <w:basedOn w:val="OPCParaBase"/>
    <w:link w:val="HeaderChar"/>
    <w:unhideWhenUsed/>
    <w:rsid w:val="009D01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0130"/>
    <w:rPr>
      <w:rFonts w:eastAsia="Times New Roman" w:cs="Times New Roman"/>
      <w:sz w:val="16"/>
      <w:lang w:eastAsia="en-AU"/>
    </w:rPr>
  </w:style>
  <w:style w:type="paragraph" w:customStyle="1" w:styleId="House">
    <w:name w:val="House"/>
    <w:basedOn w:val="OPCParaBase"/>
    <w:rsid w:val="009D0130"/>
    <w:pPr>
      <w:spacing w:line="240" w:lineRule="auto"/>
    </w:pPr>
    <w:rPr>
      <w:sz w:val="28"/>
    </w:rPr>
  </w:style>
  <w:style w:type="paragraph" w:customStyle="1" w:styleId="Item">
    <w:name w:val="Item"/>
    <w:aliases w:val="i"/>
    <w:basedOn w:val="OPCParaBase"/>
    <w:next w:val="ItemHead"/>
    <w:rsid w:val="009D0130"/>
    <w:pPr>
      <w:keepLines/>
      <w:spacing w:before="80" w:line="240" w:lineRule="auto"/>
      <w:ind w:left="709"/>
    </w:pPr>
  </w:style>
  <w:style w:type="paragraph" w:customStyle="1" w:styleId="ItemHead">
    <w:name w:val="ItemHead"/>
    <w:aliases w:val="ih"/>
    <w:basedOn w:val="OPCParaBase"/>
    <w:next w:val="Item"/>
    <w:link w:val="ItemHeadChar"/>
    <w:rsid w:val="009D01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0130"/>
    <w:pPr>
      <w:spacing w:line="240" w:lineRule="auto"/>
    </w:pPr>
    <w:rPr>
      <w:b/>
      <w:sz w:val="32"/>
    </w:rPr>
  </w:style>
  <w:style w:type="paragraph" w:customStyle="1" w:styleId="notedraft">
    <w:name w:val="note(draft)"/>
    <w:aliases w:val="nd"/>
    <w:basedOn w:val="OPCParaBase"/>
    <w:rsid w:val="009D0130"/>
    <w:pPr>
      <w:spacing w:before="240" w:line="240" w:lineRule="auto"/>
      <w:ind w:left="284" w:hanging="284"/>
    </w:pPr>
    <w:rPr>
      <w:i/>
      <w:sz w:val="24"/>
    </w:rPr>
  </w:style>
  <w:style w:type="paragraph" w:customStyle="1" w:styleId="notemargin">
    <w:name w:val="note(margin)"/>
    <w:aliases w:val="nm"/>
    <w:basedOn w:val="OPCParaBase"/>
    <w:rsid w:val="009D0130"/>
    <w:pPr>
      <w:tabs>
        <w:tab w:val="left" w:pos="709"/>
      </w:tabs>
      <w:spacing w:before="122" w:line="198" w:lineRule="exact"/>
      <w:ind w:left="709" w:hanging="709"/>
    </w:pPr>
    <w:rPr>
      <w:sz w:val="18"/>
    </w:rPr>
  </w:style>
  <w:style w:type="paragraph" w:customStyle="1" w:styleId="noteToPara">
    <w:name w:val="noteToPara"/>
    <w:aliases w:val="ntp"/>
    <w:basedOn w:val="OPCParaBase"/>
    <w:rsid w:val="009D0130"/>
    <w:pPr>
      <w:spacing w:before="122" w:line="198" w:lineRule="exact"/>
      <w:ind w:left="2353" w:hanging="709"/>
    </w:pPr>
    <w:rPr>
      <w:sz w:val="18"/>
    </w:rPr>
  </w:style>
  <w:style w:type="paragraph" w:customStyle="1" w:styleId="noteParlAmend">
    <w:name w:val="note(ParlAmend)"/>
    <w:aliases w:val="npp"/>
    <w:basedOn w:val="OPCParaBase"/>
    <w:next w:val="ParlAmend"/>
    <w:rsid w:val="009D0130"/>
    <w:pPr>
      <w:spacing w:line="240" w:lineRule="auto"/>
      <w:jc w:val="right"/>
    </w:pPr>
    <w:rPr>
      <w:rFonts w:ascii="Arial" w:hAnsi="Arial"/>
      <w:b/>
      <w:i/>
    </w:rPr>
  </w:style>
  <w:style w:type="paragraph" w:customStyle="1" w:styleId="Page1">
    <w:name w:val="Page1"/>
    <w:basedOn w:val="OPCParaBase"/>
    <w:rsid w:val="009D0130"/>
    <w:pPr>
      <w:spacing w:before="400" w:line="240" w:lineRule="auto"/>
    </w:pPr>
    <w:rPr>
      <w:b/>
      <w:sz w:val="32"/>
    </w:rPr>
  </w:style>
  <w:style w:type="paragraph" w:customStyle="1" w:styleId="PageBreak">
    <w:name w:val="PageBreak"/>
    <w:aliases w:val="pb"/>
    <w:basedOn w:val="OPCParaBase"/>
    <w:rsid w:val="009D0130"/>
    <w:pPr>
      <w:spacing w:line="240" w:lineRule="auto"/>
    </w:pPr>
    <w:rPr>
      <w:sz w:val="20"/>
    </w:rPr>
  </w:style>
  <w:style w:type="paragraph" w:customStyle="1" w:styleId="paragraphsub">
    <w:name w:val="paragraph(sub)"/>
    <w:aliases w:val="aa"/>
    <w:basedOn w:val="OPCParaBase"/>
    <w:rsid w:val="009D0130"/>
    <w:pPr>
      <w:tabs>
        <w:tab w:val="right" w:pos="1985"/>
      </w:tabs>
      <w:spacing w:before="40" w:line="240" w:lineRule="auto"/>
      <w:ind w:left="2098" w:hanging="2098"/>
    </w:pPr>
  </w:style>
  <w:style w:type="paragraph" w:customStyle="1" w:styleId="paragraphsub-sub">
    <w:name w:val="paragraph(sub-sub)"/>
    <w:aliases w:val="aaa"/>
    <w:basedOn w:val="OPCParaBase"/>
    <w:rsid w:val="009D0130"/>
    <w:pPr>
      <w:tabs>
        <w:tab w:val="right" w:pos="2722"/>
      </w:tabs>
      <w:spacing w:before="40" w:line="240" w:lineRule="auto"/>
      <w:ind w:left="2835" w:hanging="2835"/>
    </w:pPr>
  </w:style>
  <w:style w:type="paragraph" w:customStyle="1" w:styleId="paragraph">
    <w:name w:val="paragraph"/>
    <w:aliases w:val="a"/>
    <w:basedOn w:val="OPCParaBase"/>
    <w:link w:val="paragraphChar"/>
    <w:rsid w:val="009D0130"/>
    <w:pPr>
      <w:tabs>
        <w:tab w:val="right" w:pos="1531"/>
      </w:tabs>
      <w:spacing w:before="40" w:line="240" w:lineRule="auto"/>
      <w:ind w:left="1644" w:hanging="1644"/>
    </w:pPr>
  </w:style>
  <w:style w:type="paragraph" w:customStyle="1" w:styleId="ParlAmend">
    <w:name w:val="ParlAmend"/>
    <w:aliases w:val="pp"/>
    <w:basedOn w:val="OPCParaBase"/>
    <w:rsid w:val="009D0130"/>
    <w:pPr>
      <w:spacing w:before="240" w:line="240" w:lineRule="atLeast"/>
      <w:ind w:hanging="567"/>
    </w:pPr>
    <w:rPr>
      <w:sz w:val="24"/>
    </w:rPr>
  </w:style>
  <w:style w:type="paragraph" w:customStyle="1" w:styleId="Penalty">
    <w:name w:val="Penalty"/>
    <w:basedOn w:val="OPCParaBase"/>
    <w:rsid w:val="009D0130"/>
    <w:pPr>
      <w:tabs>
        <w:tab w:val="left" w:pos="2977"/>
      </w:tabs>
      <w:spacing w:before="180" w:line="240" w:lineRule="auto"/>
      <w:ind w:left="1985" w:hanging="851"/>
    </w:pPr>
  </w:style>
  <w:style w:type="paragraph" w:customStyle="1" w:styleId="Portfolio">
    <w:name w:val="Portfolio"/>
    <w:basedOn w:val="OPCParaBase"/>
    <w:rsid w:val="009D0130"/>
    <w:pPr>
      <w:spacing w:line="240" w:lineRule="auto"/>
    </w:pPr>
    <w:rPr>
      <w:i/>
      <w:sz w:val="20"/>
    </w:rPr>
  </w:style>
  <w:style w:type="paragraph" w:customStyle="1" w:styleId="Preamble">
    <w:name w:val="Preamble"/>
    <w:basedOn w:val="OPCParaBase"/>
    <w:next w:val="Normal"/>
    <w:rsid w:val="009D01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130"/>
    <w:pPr>
      <w:spacing w:line="240" w:lineRule="auto"/>
    </w:pPr>
    <w:rPr>
      <w:i/>
      <w:sz w:val="20"/>
    </w:rPr>
  </w:style>
  <w:style w:type="paragraph" w:customStyle="1" w:styleId="Session">
    <w:name w:val="Session"/>
    <w:basedOn w:val="OPCParaBase"/>
    <w:rsid w:val="009D0130"/>
    <w:pPr>
      <w:spacing w:line="240" w:lineRule="auto"/>
    </w:pPr>
    <w:rPr>
      <w:sz w:val="28"/>
    </w:rPr>
  </w:style>
  <w:style w:type="paragraph" w:customStyle="1" w:styleId="Sponsor">
    <w:name w:val="Sponsor"/>
    <w:basedOn w:val="OPCParaBase"/>
    <w:rsid w:val="009D0130"/>
    <w:pPr>
      <w:spacing w:line="240" w:lineRule="auto"/>
    </w:pPr>
    <w:rPr>
      <w:i/>
    </w:rPr>
  </w:style>
  <w:style w:type="paragraph" w:customStyle="1" w:styleId="Subitem">
    <w:name w:val="Subitem"/>
    <w:aliases w:val="iss"/>
    <w:basedOn w:val="OPCParaBase"/>
    <w:rsid w:val="009D0130"/>
    <w:pPr>
      <w:spacing w:before="180" w:line="240" w:lineRule="auto"/>
      <w:ind w:left="709" w:hanging="709"/>
    </w:pPr>
  </w:style>
  <w:style w:type="paragraph" w:customStyle="1" w:styleId="SubitemHead">
    <w:name w:val="SubitemHead"/>
    <w:aliases w:val="issh"/>
    <w:basedOn w:val="OPCParaBase"/>
    <w:rsid w:val="009D01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0130"/>
    <w:pPr>
      <w:spacing w:before="40" w:line="240" w:lineRule="auto"/>
      <w:ind w:left="1134"/>
    </w:pPr>
  </w:style>
  <w:style w:type="paragraph" w:customStyle="1" w:styleId="SubsectionHead">
    <w:name w:val="SubsectionHead"/>
    <w:aliases w:val="ssh"/>
    <w:basedOn w:val="OPCParaBase"/>
    <w:next w:val="subsection"/>
    <w:rsid w:val="009D0130"/>
    <w:pPr>
      <w:keepNext/>
      <w:keepLines/>
      <w:spacing w:before="240" w:line="240" w:lineRule="auto"/>
      <w:ind w:left="1134"/>
    </w:pPr>
    <w:rPr>
      <w:i/>
    </w:rPr>
  </w:style>
  <w:style w:type="paragraph" w:customStyle="1" w:styleId="Tablea">
    <w:name w:val="Table(a)"/>
    <w:aliases w:val="ta"/>
    <w:basedOn w:val="OPCParaBase"/>
    <w:rsid w:val="009D0130"/>
    <w:pPr>
      <w:spacing w:before="60" w:line="240" w:lineRule="auto"/>
      <w:ind w:left="284" w:hanging="284"/>
    </w:pPr>
    <w:rPr>
      <w:sz w:val="20"/>
    </w:rPr>
  </w:style>
  <w:style w:type="paragraph" w:customStyle="1" w:styleId="TableAA">
    <w:name w:val="Table(AA)"/>
    <w:aliases w:val="taaa"/>
    <w:basedOn w:val="OPCParaBase"/>
    <w:rsid w:val="009D01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01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0130"/>
    <w:pPr>
      <w:spacing w:before="60" w:line="240" w:lineRule="atLeast"/>
    </w:pPr>
    <w:rPr>
      <w:sz w:val="20"/>
    </w:rPr>
  </w:style>
  <w:style w:type="paragraph" w:customStyle="1" w:styleId="TLPBoxTextnote">
    <w:name w:val="TLPBoxText(note"/>
    <w:aliases w:val="right)"/>
    <w:basedOn w:val="OPCParaBase"/>
    <w:rsid w:val="009D01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1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130"/>
    <w:pPr>
      <w:spacing w:before="122" w:line="198" w:lineRule="exact"/>
      <w:ind w:left="1985" w:hanging="851"/>
      <w:jc w:val="right"/>
    </w:pPr>
    <w:rPr>
      <w:sz w:val="18"/>
    </w:rPr>
  </w:style>
  <w:style w:type="paragraph" w:customStyle="1" w:styleId="TLPTableBullet">
    <w:name w:val="TLPTableBullet"/>
    <w:aliases w:val="ttb"/>
    <w:basedOn w:val="OPCParaBase"/>
    <w:rsid w:val="009D0130"/>
    <w:pPr>
      <w:spacing w:line="240" w:lineRule="exact"/>
      <w:ind w:left="284" w:hanging="284"/>
    </w:pPr>
    <w:rPr>
      <w:sz w:val="20"/>
    </w:rPr>
  </w:style>
  <w:style w:type="paragraph" w:styleId="TOC1">
    <w:name w:val="toc 1"/>
    <w:basedOn w:val="OPCParaBase"/>
    <w:next w:val="Normal"/>
    <w:uiPriority w:val="39"/>
    <w:semiHidden/>
    <w:unhideWhenUsed/>
    <w:rsid w:val="009D01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01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01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D01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2B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D01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D01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D01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01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0130"/>
    <w:pPr>
      <w:keepLines/>
      <w:spacing w:before="240" w:after="120" w:line="240" w:lineRule="auto"/>
      <w:ind w:left="794"/>
    </w:pPr>
    <w:rPr>
      <w:b/>
      <w:kern w:val="28"/>
      <w:sz w:val="20"/>
    </w:rPr>
  </w:style>
  <w:style w:type="paragraph" w:customStyle="1" w:styleId="TofSectsHeading">
    <w:name w:val="TofSects(Heading)"/>
    <w:basedOn w:val="OPCParaBase"/>
    <w:rsid w:val="009D0130"/>
    <w:pPr>
      <w:spacing w:before="240" w:after="120" w:line="240" w:lineRule="auto"/>
    </w:pPr>
    <w:rPr>
      <w:b/>
      <w:sz w:val="24"/>
    </w:rPr>
  </w:style>
  <w:style w:type="paragraph" w:customStyle="1" w:styleId="TofSectsSection">
    <w:name w:val="TofSects(Section)"/>
    <w:basedOn w:val="OPCParaBase"/>
    <w:rsid w:val="009D0130"/>
    <w:pPr>
      <w:keepLines/>
      <w:spacing w:before="40" w:line="240" w:lineRule="auto"/>
      <w:ind w:left="1588" w:hanging="794"/>
    </w:pPr>
    <w:rPr>
      <w:kern w:val="28"/>
      <w:sz w:val="18"/>
    </w:rPr>
  </w:style>
  <w:style w:type="paragraph" w:customStyle="1" w:styleId="TofSectsSubdiv">
    <w:name w:val="TofSects(Subdiv)"/>
    <w:basedOn w:val="OPCParaBase"/>
    <w:rsid w:val="009D0130"/>
    <w:pPr>
      <w:keepLines/>
      <w:spacing w:before="80" w:line="240" w:lineRule="auto"/>
      <w:ind w:left="1588" w:hanging="794"/>
    </w:pPr>
    <w:rPr>
      <w:kern w:val="28"/>
    </w:rPr>
  </w:style>
  <w:style w:type="paragraph" w:customStyle="1" w:styleId="WRStyle">
    <w:name w:val="WR Style"/>
    <w:aliases w:val="WR"/>
    <w:basedOn w:val="OPCParaBase"/>
    <w:rsid w:val="009D0130"/>
    <w:pPr>
      <w:spacing w:before="240" w:line="240" w:lineRule="auto"/>
      <w:ind w:left="284" w:hanging="284"/>
    </w:pPr>
    <w:rPr>
      <w:b/>
      <w:i/>
      <w:kern w:val="28"/>
      <w:sz w:val="24"/>
    </w:rPr>
  </w:style>
  <w:style w:type="paragraph" w:customStyle="1" w:styleId="notepara">
    <w:name w:val="note(para)"/>
    <w:aliases w:val="na"/>
    <w:basedOn w:val="OPCParaBase"/>
    <w:rsid w:val="009D0130"/>
    <w:pPr>
      <w:spacing w:before="40" w:line="198" w:lineRule="exact"/>
      <w:ind w:left="2354" w:hanging="369"/>
    </w:pPr>
    <w:rPr>
      <w:sz w:val="18"/>
    </w:rPr>
  </w:style>
  <w:style w:type="paragraph" w:styleId="Footer">
    <w:name w:val="footer"/>
    <w:link w:val="FooterChar"/>
    <w:rsid w:val="009D01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0130"/>
    <w:rPr>
      <w:rFonts w:eastAsia="Times New Roman" w:cs="Times New Roman"/>
      <w:sz w:val="22"/>
      <w:szCs w:val="24"/>
      <w:lang w:eastAsia="en-AU"/>
    </w:rPr>
  </w:style>
  <w:style w:type="character" w:styleId="LineNumber">
    <w:name w:val="line number"/>
    <w:basedOn w:val="OPCCharBase"/>
    <w:uiPriority w:val="99"/>
    <w:semiHidden/>
    <w:unhideWhenUsed/>
    <w:rsid w:val="009D0130"/>
    <w:rPr>
      <w:sz w:val="16"/>
    </w:rPr>
  </w:style>
  <w:style w:type="table" w:customStyle="1" w:styleId="CFlag">
    <w:name w:val="CFlag"/>
    <w:basedOn w:val="TableNormal"/>
    <w:uiPriority w:val="99"/>
    <w:rsid w:val="009D0130"/>
    <w:rPr>
      <w:rFonts w:eastAsia="Times New Roman" w:cs="Times New Roman"/>
      <w:lang w:eastAsia="en-AU"/>
    </w:rPr>
    <w:tblPr/>
  </w:style>
  <w:style w:type="paragraph" w:customStyle="1" w:styleId="NotesHeading1">
    <w:name w:val="NotesHeading 1"/>
    <w:basedOn w:val="OPCParaBase"/>
    <w:next w:val="Normal"/>
    <w:rsid w:val="009D0130"/>
    <w:rPr>
      <w:b/>
      <w:sz w:val="28"/>
      <w:szCs w:val="28"/>
    </w:rPr>
  </w:style>
  <w:style w:type="paragraph" w:customStyle="1" w:styleId="NotesHeading2">
    <w:name w:val="NotesHeading 2"/>
    <w:basedOn w:val="OPCParaBase"/>
    <w:next w:val="Normal"/>
    <w:rsid w:val="009D0130"/>
    <w:rPr>
      <w:b/>
      <w:sz w:val="28"/>
      <w:szCs w:val="28"/>
    </w:rPr>
  </w:style>
  <w:style w:type="paragraph" w:customStyle="1" w:styleId="SignCoverPageEnd">
    <w:name w:val="SignCoverPageEnd"/>
    <w:basedOn w:val="OPCParaBase"/>
    <w:next w:val="Normal"/>
    <w:rsid w:val="009D01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130"/>
    <w:pPr>
      <w:pBdr>
        <w:top w:val="single" w:sz="4" w:space="1" w:color="auto"/>
      </w:pBdr>
      <w:spacing w:before="360"/>
      <w:ind w:right="397"/>
      <w:jc w:val="both"/>
    </w:pPr>
  </w:style>
  <w:style w:type="paragraph" w:customStyle="1" w:styleId="Paragraphsub-sub-sub">
    <w:name w:val="Paragraph(sub-sub-sub)"/>
    <w:aliases w:val="aaaa"/>
    <w:basedOn w:val="OPCParaBase"/>
    <w:rsid w:val="009D01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01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1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1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13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D0130"/>
    <w:pPr>
      <w:spacing w:before="120"/>
    </w:pPr>
  </w:style>
  <w:style w:type="paragraph" w:customStyle="1" w:styleId="TableTextEndNotes">
    <w:name w:val="TableTextEndNotes"/>
    <w:aliases w:val="Tten"/>
    <w:basedOn w:val="Normal"/>
    <w:rsid w:val="009D0130"/>
    <w:pPr>
      <w:spacing w:before="60" w:line="240" w:lineRule="auto"/>
    </w:pPr>
    <w:rPr>
      <w:rFonts w:cs="Arial"/>
      <w:sz w:val="20"/>
      <w:szCs w:val="22"/>
    </w:rPr>
  </w:style>
  <w:style w:type="paragraph" w:customStyle="1" w:styleId="TableHeading">
    <w:name w:val="TableHeading"/>
    <w:aliases w:val="th"/>
    <w:basedOn w:val="OPCParaBase"/>
    <w:next w:val="Tabletext"/>
    <w:rsid w:val="009D0130"/>
    <w:pPr>
      <w:keepNext/>
      <w:spacing w:before="60" w:line="240" w:lineRule="atLeast"/>
    </w:pPr>
    <w:rPr>
      <w:b/>
      <w:sz w:val="20"/>
    </w:rPr>
  </w:style>
  <w:style w:type="paragraph" w:customStyle="1" w:styleId="NoteToSubpara">
    <w:name w:val="NoteToSubpara"/>
    <w:aliases w:val="nts"/>
    <w:basedOn w:val="OPCParaBase"/>
    <w:rsid w:val="009D0130"/>
    <w:pPr>
      <w:spacing w:before="40" w:line="198" w:lineRule="exact"/>
      <w:ind w:left="2835" w:hanging="709"/>
    </w:pPr>
    <w:rPr>
      <w:sz w:val="18"/>
    </w:rPr>
  </w:style>
  <w:style w:type="paragraph" w:customStyle="1" w:styleId="ENoteTableHeading">
    <w:name w:val="ENoteTableHeading"/>
    <w:aliases w:val="enth"/>
    <w:basedOn w:val="OPCParaBase"/>
    <w:rsid w:val="009D0130"/>
    <w:pPr>
      <w:keepNext/>
      <w:spacing w:before="60" w:line="240" w:lineRule="atLeast"/>
    </w:pPr>
    <w:rPr>
      <w:rFonts w:ascii="Arial" w:hAnsi="Arial"/>
      <w:b/>
      <w:sz w:val="16"/>
    </w:rPr>
  </w:style>
  <w:style w:type="paragraph" w:customStyle="1" w:styleId="ENoteTTi">
    <w:name w:val="ENoteTTi"/>
    <w:aliases w:val="entti"/>
    <w:basedOn w:val="OPCParaBase"/>
    <w:rsid w:val="009D0130"/>
    <w:pPr>
      <w:keepNext/>
      <w:spacing w:before="60" w:line="240" w:lineRule="atLeast"/>
      <w:ind w:left="170"/>
    </w:pPr>
    <w:rPr>
      <w:sz w:val="16"/>
    </w:rPr>
  </w:style>
  <w:style w:type="paragraph" w:customStyle="1" w:styleId="ENotesHeading1">
    <w:name w:val="ENotesHeading 1"/>
    <w:aliases w:val="Enh1"/>
    <w:basedOn w:val="OPCParaBase"/>
    <w:next w:val="Normal"/>
    <w:rsid w:val="009D0130"/>
    <w:pPr>
      <w:spacing w:before="120"/>
      <w:outlineLvl w:val="1"/>
    </w:pPr>
    <w:rPr>
      <w:b/>
      <w:sz w:val="28"/>
      <w:szCs w:val="28"/>
    </w:rPr>
  </w:style>
  <w:style w:type="paragraph" w:customStyle="1" w:styleId="ENotesHeading2">
    <w:name w:val="ENotesHeading 2"/>
    <w:aliases w:val="Enh2"/>
    <w:basedOn w:val="OPCParaBase"/>
    <w:next w:val="Normal"/>
    <w:rsid w:val="009D0130"/>
    <w:pPr>
      <w:spacing w:before="120" w:after="120"/>
      <w:outlineLvl w:val="2"/>
    </w:pPr>
    <w:rPr>
      <w:b/>
      <w:sz w:val="24"/>
      <w:szCs w:val="28"/>
    </w:rPr>
  </w:style>
  <w:style w:type="paragraph" w:customStyle="1" w:styleId="ENoteTTIndentHeading">
    <w:name w:val="ENoteTTIndentHeading"/>
    <w:aliases w:val="enTTHi"/>
    <w:basedOn w:val="OPCParaBase"/>
    <w:rsid w:val="009D01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0130"/>
    <w:pPr>
      <w:spacing w:before="60" w:line="240" w:lineRule="atLeast"/>
    </w:pPr>
    <w:rPr>
      <w:sz w:val="16"/>
    </w:rPr>
  </w:style>
  <w:style w:type="paragraph" w:customStyle="1" w:styleId="MadeunderText">
    <w:name w:val="MadeunderText"/>
    <w:basedOn w:val="OPCParaBase"/>
    <w:next w:val="Normal"/>
    <w:rsid w:val="009D0130"/>
    <w:pPr>
      <w:spacing w:before="240"/>
    </w:pPr>
    <w:rPr>
      <w:sz w:val="24"/>
      <w:szCs w:val="24"/>
    </w:rPr>
  </w:style>
  <w:style w:type="paragraph" w:customStyle="1" w:styleId="ENotesHeading3">
    <w:name w:val="ENotesHeading 3"/>
    <w:aliases w:val="Enh3"/>
    <w:basedOn w:val="OPCParaBase"/>
    <w:next w:val="Normal"/>
    <w:rsid w:val="009D0130"/>
    <w:pPr>
      <w:keepNext/>
      <w:spacing w:before="120" w:line="240" w:lineRule="auto"/>
      <w:outlineLvl w:val="4"/>
    </w:pPr>
    <w:rPr>
      <w:b/>
      <w:szCs w:val="24"/>
    </w:rPr>
  </w:style>
  <w:style w:type="paragraph" w:customStyle="1" w:styleId="SubPartCASA">
    <w:name w:val="SubPart(CASA)"/>
    <w:aliases w:val="csp"/>
    <w:basedOn w:val="OPCParaBase"/>
    <w:next w:val="ActHead3"/>
    <w:rsid w:val="009D0130"/>
    <w:pPr>
      <w:keepNext/>
      <w:keepLines/>
      <w:spacing w:before="280"/>
      <w:outlineLvl w:val="1"/>
    </w:pPr>
    <w:rPr>
      <w:b/>
      <w:kern w:val="28"/>
      <w:sz w:val="32"/>
    </w:rPr>
  </w:style>
  <w:style w:type="character" w:customStyle="1" w:styleId="CharSubPartTextCASA">
    <w:name w:val="CharSubPartText(CASA)"/>
    <w:basedOn w:val="OPCCharBase"/>
    <w:uiPriority w:val="1"/>
    <w:rsid w:val="009D0130"/>
  </w:style>
  <w:style w:type="character" w:customStyle="1" w:styleId="CharSubPartNoCASA">
    <w:name w:val="CharSubPartNo(CASA)"/>
    <w:basedOn w:val="OPCCharBase"/>
    <w:uiPriority w:val="1"/>
    <w:rsid w:val="009D0130"/>
  </w:style>
  <w:style w:type="paragraph" w:customStyle="1" w:styleId="ENoteTTIndentHeadingSub">
    <w:name w:val="ENoteTTIndentHeadingSub"/>
    <w:aliases w:val="enTTHis"/>
    <w:basedOn w:val="OPCParaBase"/>
    <w:rsid w:val="009D0130"/>
    <w:pPr>
      <w:keepNext/>
      <w:spacing w:before="60" w:line="240" w:lineRule="atLeast"/>
      <w:ind w:left="340"/>
    </w:pPr>
    <w:rPr>
      <w:b/>
      <w:sz w:val="16"/>
    </w:rPr>
  </w:style>
  <w:style w:type="paragraph" w:customStyle="1" w:styleId="ENoteTTiSub">
    <w:name w:val="ENoteTTiSub"/>
    <w:aliases w:val="enttis"/>
    <w:basedOn w:val="OPCParaBase"/>
    <w:rsid w:val="009D0130"/>
    <w:pPr>
      <w:keepNext/>
      <w:spacing w:before="60" w:line="240" w:lineRule="atLeast"/>
      <w:ind w:left="340"/>
    </w:pPr>
    <w:rPr>
      <w:sz w:val="16"/>
    </w:rPr>
  </w:style>
  <w:style w:type="paragraph" w:customStyle="1" w:styleId="SubDivisionMigration">
    <w:name w:val="SubDivisionMigration"/>
    <w:aliases w:val="sdm"/>
    <w:basedOn w:val="OPCParaBase"/>
    <w:rsid w:val="009D01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130"/>
    <w:pPr>
      <w:keepNext/>
      <w:keepLines/>
      <w:spacing w:before="240" w:line="240" w:lineRule="auto"/>
      <w:ind w:left="1134" w:hanging="1134"/>
    </w:pPr>
    <w:rPr>
      <w:b/>
      <w:sz w:val="28"/>
    </w:rPr>
  </w:style>
  <w:style w:type="table" w:styleId="TableGrid">
    <w:name w:val="Table Grid"/>
    <w:basedOn w:val="TableNormal"/>
    <w:uiPriority w:val="59"/>
    <w:rsid w:val="009D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D013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D01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0130"/>
    <w:rPr>
      <w:sz w:val="22"/>
    </w:rPr>
  </w:style>
  <w:style w:type="paragraph" w:customStyle="1" w:styleId="SOTextNote">
    <w:name w:val="SO TextNote"/>
    <w:aliases w:val="sont"/>
    <w:basedOn w:val="SOText"/>
    <w:qFormat/>
    <w:rsid w:val="009D0130"/>
    <w:pPr>
      <w:spacing w:before="122" w:line="198" w:lineRule="exact"/>
      <w:ind w:left="1843" w:hanging="709"/>
    </w:pPr>
    <w:rPr>
      <w:sz w:val="18"/>
    </w:rPr>
  </w:style>
  <w:style w:type="paragraph" w:customStyle="1" w:styleId="SOPara">
    <w:name w:val="SO Para"/>
    <w:aliases w:val="soa"/>
    <w:basedOn w:val="SOText"/>
    <w:link w:val="SOParaChar"/>
    <w:qFormat/>
    <w:rsid w:val="009D0130"/>
    <w:pPr>
      <w:tabs>
        <w:tab w:val="right" w:pos="1786"/>
      </w:tabs>
      <w:spacing w:before="40"/>
      <w:ind w:left="2070" w:hanging="936"/>
    </w:pPr>
  </w:style>
  <w:style w:type="character" w:customStyle="1" w:styleId="SOParaChar">
    <w:name w:val="SO Para Char"/>
    <w:aliases w:val="soa Char"/>
    <w:basedOn w:val="DefaultParagraphFont"/>
    <w:link w:val="SOPara"/>
    <w:rsid w:val="009D0130"/>
    <w:rPr>
      <w:sz w:val="22"/>
    </w:rPr>
  </w:style>
  <w:style w:type="paragraph" w:customStyle="1" w:styleId="FileName">
    <w:name w:val="FileName"/>
    <w:basedOn w:val="Normal"/>
    <w:rsid w:val="009D0130"/>
  </w:style>
  <w:style w:type="paragraph" w:customStyle="1" w:styleId="SOHeadBold">
    <w:name w:val="SO HeadBold"/>
    <w:aliases w:val="sohb"/>
    <w:basedOn w:val="SOText"/>
    <w:next w:val="SOText"/>
    <w:link w:val="SOHeadBoldChar"/>
    <w:qFormat/>
    <w:rsid w:val="009D0130"/>
    <w:rPr>
      <w:b/>
    </w:rPr>
  </w:style>
  <w:style w:type="character" w:customStyle="1" w:styleId="SOHeadBoldChar">
    <w:name w:val="SO HeadBold Char"/>
    <w:aliases w:val="sohb Char"/>
    <w:basedOn w:val="DefaultParagraphFont"/>
    <w:link w:val="SOHeadBold"/>
    <w:rsid w:val="009D0130"/>
    <w:rPr>
      <w:b/>
      <w:sz w:val="22"/>
    </w:rPr>
  </w:style>
  <w:style w:type="paragraph" w:customStyle="1" w:styleId="SOHeadItalic">
    <w:name w:val="SO HeadItalic"/>
    <w:aliases w:val="sohi"/>
    <w:basedOn w:val="SOText"/>
    <w:next w:val="SOText"/>
    <w:link w:val="SOHeadItalicChar"/>
    <w:qFormat/>
    <w:rsid w:val="009D0130"/>
    <w:rPr>
      <w:i/>
    </w:rPr>
  </w:style>
  <w:style w:type="character" w:customStyle="1" w:styleId="SOHeadItalicChar">
    <w:name w:val="SO HeadItalic Char"/>
    <w:aliases w:val="sohi Char"/>
    <w:basedOn w:val="DefaultParagraphFont"/>
    <w:link w:val="SOHeadItalic"/>
    <w:rsid w:val="009D0130"/>
    <w:rPr>
      <w:i/>
      <w:sz w:val="22"/>
    </w:rPr>
  </w:style>
  <w:style w:type="paragraph" w:customStyle="1" w:styleId="SOBullet">
    <w:name w:val="SO Bullet"/>
    <w:aliases w:val="sotb"/>
    <w:basedOn w:val="SOText"/>
    <w:link w:val="SOBulletChar"/>
    <w:qFormat/>
    <w:rsid w:val="009D0130"/>
    <w:pPr>
      <w:ind w:left="1559" w:hanging="425"/>
    </w:pPr>
  </w:style>
  <w:style w:type="character" w:customStyle="1" w:styleId="SOBulletChar">
    <w:name w:val="SO Bullet Char"/>
    <w:aliases w:val="sotb Char"/>
    <w:basedOn w:val="DefaultParagraphFont"/>
    <w:link w:val="SOBullet"/>
    <w:rsid w:val="009D0130"/>
    <w:rPr>
      <w:sz w:val="22"/>
    </w:rPr>
  </w:style>
  <w:style w:type="paragraph" w:customStyle="1" w:styleId="SOBulletNote">
    <w:name w:val="SO BulletNote"/>
    <w:aliases w:val="sonb"/>
    <w:basedOn w:val="SOTextNote"/>
    <w:link w:val="SOBulletNoteChar"/>
    <w:qFormat/>
    <w:rsid w:val="009D0130"/>
    <w:pPr>
      <w:tabs>
        <w:tab w:val="left" w:pos="1560"/>
      </w:tabs>
      <w:ind w:left="2268" w:hanging="1134"/>
    </w:pPr>
  </w:style>
  <w:style w:type="character" w:customStyle="1" w:styleId="SOBulletNoteChar">
    <w:name w:val="SO BulletNote Char"/>
    <w:aliases w:val="sonb Char"/>
    <w:basedOn w:val="DefaultParagraphFont"/>
    <w:link w:val="SOBulletNote"/>
    <w:rsid w:val="009D0130"/>
    <w:rPr>
      <w:sz w:val="18"/>
    </w:rPr>
  </w:style>
  <w:style w:type="paragraph" w:customStyle="1" w:styleId="SOText2">
    <w:name w:val="SO Text2"/>
    <w:aliases w:val="sot2"/>
    <w:basedOn w:val="Normal"/>
    <w:next w:val="SOText"/>
    <w:link w:val="SOText2Char"/>
    <w:rsid w:val="009D01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0130"/>
    <w:rPr>
      <w:sz w:val="22"/>
    </w:rPr>
  </w:style>
  <w:style w:type="character" w:customStyle="1" w:styleId="subsectionChar">
    <w:name w:val="subsection Char"/>
    <w:aliases w:val="ss Char"/>
    <w:link w:val="subsection"/>
    <w:rsid w:val="00EC1424"/>
    <w:rPr>
      <w:rFonts w:eastAsia="Times New Roman" w:cs="Times New Roman"/>
      <w:sz w:val="22"/>
      <w:lang w:eastAsia="en-AU"/>
    </w:rPr>
  </w:style>
  <w:style w:type="character" w:customStyle="1" w:styleId="ActHead5Char">
    <w:name w:val="ActHead 5 Char"/>
    <w:aliases w:val="s Char"/>
    <w:link w:val="ActHead5"/>
    <w:rsid w:val="00EC1424"/>
    <w:rPr>
      <w:rFonts w:eastAsia="Times New Roman" w:cs="Times New Roman"/>
      <w:b/>
      <w:kern w:val="28"/>
      <w:sz w:val="24"/>
      <w:lang w:eastAsia="en-AU"/>
    </w:rPr>
  </w:style>
  <w:style w:type="paragraph" w:customStyle="1" w:styleId="tableText0">
    <w:name w:val="table.Text"/>
    <w:basedOn w:val="Normal"/>
    <w:rsid w:val="00EC1424"/>
    <w:pPr>
      <w:spacing w:before="24" w:after="24"/>
    </w:pPr>
    <w:rPr>
      <w:rFonts w:eastAsia="Calibri" w:cs="Times New Roman"/>
      <w:sz w:val="20"/>
    </w:rPr>
  </w:style>
  <w:style w:type="paragraph" w:customStyle="1" w:styleId="tableIndentText">
    <w:name w:val="table.Indent.Text"/>
    <w:rsid w:val="00EC1424"/>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DE2E26"/>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D81E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EE4"/>
    <w:rPr>
      <w:rFonts w:ascii="Tahoma" w:hAnsi="Tahoma" w:cs="Tahoma"/>
      <w:sz w:val="16"/>
      <w:szCs w:val="16"/>
    </w:rPr>
  </w:style>
  <w:style w:type="character" w:customStyle="1" w:styleId="paragraphChar">
    <w:name w:val="paragraph Char"/>
    <w:aliases w:val="a Char"/>
    <w:link w:val="paragraph"/>
    <w:rsid w:val="00B640B4"/>
    <w:rPr>
      <w:rFonts w:eastAsia="Times New Roman" w:cs="Times New Roman"/>
      <w:sz w:val="22"/>
      <w:lang w:eastAsia="en-AU"/>
    </w:rPr>
  </w:style>
  <w:style w:type="character" w:customStyle="1" w:styleId="ActHead4Char">
    <w:name w:val="ActHead 4 Char"/>
    <w:aliases w:val="sd Char"/>
    <w:link w:val="ActHead4"/>
    <w:rsid w:val="00B640B4"/>
    <w:rPr>
      <w:rFonts w:eastAsia="Times New Roman" w:cs="Times New Roman"/>
      <w:b/>
      <w:kern w:val="28"/>
      <w:sz w:val="26"/>
      <w:lang w:eastAsia="en-AU"/>
    </w:rPr>
  </w:style>
  <w:style w:type="character" w:customStyle="1" w:styleId="Heading1Char">
    <w:name w:val="Heading 1 Char"/>
    <w:basedOn w:val="DefaultParagraphFont"/>
    <w:link w:val="Heading1"/>
    <w:uiPriority w:val="9"/>
    <w:rsid w:val="00AB7C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B7C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B7C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B7C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B7C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B7C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B7C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B7C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7C6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B7C63"/>
    <w:pPr>
      <w:spacing w:before="800"/>
    </w:pPr>
  </w:style>
  <w:style w:type="character" w:customStyle="1" w:styleId="OPCParaBaseChar">
    <w:name w:val="OPCParaBase Char"/>
    <w:basedOn w:val="DefaultParagraphFont"/>
    <w:link w:val="OPCParaBase"/>
    <w:rsid w:val="00AB7C63"/>
    <w:rPr>
      <w:rFonts w:eastAsia="Times New Roman" w:cs="Times New Roman"/>
      <w:sz w:val="22"/>
      <w:lang w:eastAsia="en-AU"/>
    </w:rPr>
  </w:style>
  <w:style w:type="character" w:customStyle="1" w:styleId="ShortTChar">
    <w:name w:val="ShortT Char"/>
    <w:basedOn w:val="OPCParaBaseChar"/>
    <w:link w:val="ShortT"/>
    <w:rsid w:val="00AB7C63"/>
    <w:rPr>
      <w:rFonts w:eastAsia="Times New Roman" w:cs="Times New Roman"/>
      <w:b/>
      <w:sz w:val="40"/>
      <w:lang w:eastAsia="en-AU"/>
    </w:rPr>
  </w:style>
  <w:style w:type="character" w:customStyle="1" w:styleId="ShortTP1Char">
    <w:name w:val="ShortTP1 Char"/>
    <w:basedOn w:val="ShortTChar"/>
    <w:link w:val="ShortTP1"/>
    <w:rsid w:val="00AB7C63"/>
    <w:rPr>
      <w:rFonts w:eastAsia="Times New Roman" w:cs="Times New Roman"/>
      <w:b/>
      <w:sz w:val="40"/>
      <w:lang w:eastAsia="en-AU"/>
    </w:rPr>
  </w:style>
  <w:style w:type="paragraph" w:customStyle="1" w:styleId="ActNoP1">
    <w:name w:val="ActNoP1"/>
    <w:basedOn w:val="Actno"/>
    <w:link w:val="ActNoP1Char"/>
    <w:rsid w:val="00AB7C63"/>
    <w:pPr>
      <w:spacing w:before="800"/>
    </w:pPr>
    <w:rPr>
      <w:sz w:val="28"/>
    </w:rPr>
  </w:style>
  <w:style w:type="character" w:customStyle="1" w:styleId="ActnoChar">
    <w:name w:val="Actno Char"/>
    <w:basedOn w:val="ShortTChar"/>
    <w:link w:val="Actno"/>
    <w:rsid w:val="00AB7C63"/>
    <w:rPr>
      <w:rFonts w:eastAsia="Times New Roman" w:cs="Times New Roman"/>
      <w:b/>
      <w:sz w:val="40"/>
      <w:lang w:eastAsia="en-AU"/>
    </w:rPr>
  </w:style>
  <w:style w:type="character" w:customStyle="1" w:styleId="ActNoP1Char">
    <w:name w:val="ActNoP1 Char"/>
    <w:basedOn w:val="ActnoChar"/>
    <w:link w:val="ActNoP1"/>
    <w:rsid w:val="00AB7C63"/>
    <w:rPr>
      <w:rFonts w:eastAsia="Times New Roman" w:cs="Times New Roman"/>
      <w:b/>
      <w:sz w:val="28"/>
      <w:lang w:eastAsia="en-AU"/>
    </w:rPr>
  </w:style>
  <w:style w:type="paragraph" w:customStyle="1" w:styleId="ShortTCP">
    <w:name w:val="ShortTCP"/>
    <w:basedOn w:val="ShortT"/>
    <w:link w:val="ShortTCPChar"/>
    <w:rsid w:val="00AB7C63"/>
  </w:style>
  <w:style w:type="character" w:customStyle="1" w:styleId="ShortTCPChar">
    <w:name w:val="ShortTCP Char"/>
    <w:basedOn w:val="ShortTChar"/>
    <w:link w:val="ShortTCP"/>
    <w:rsid w:val="00AB7C63"/>
    <w:rPr>
      <w:rFonts w:eastAsia="Times New Roman" w:cs="Times New Roman"/>
      <w:b/>
      <w:sz w:val="40"/>
      <w:lang w:eastAsia="en-AU"/>
    </w:rPr>
  </w:style>
  <w:style w:type="paragraph" w:customStyle="1" w:styleId="ActNoCP">
    <w:name w:val="ActNoCP"/>
    <w:basedOn w:val="Actno"/>
    <w:link w:val="ActNoCPChar"/>
    <w:rsid w:val="00AB7C63"/>
    <w:pPr>
      <w:spacing w:before="400"/>
    </w:pPr>
  </w:style>
  <w:style w:type="character" w:customStyle="1" w:styleId="ActNoCPChar">
    <w:name w:val="ActNoCP Char"/>
    <w:basedOn w:val="ActnoChar"/>
    <w:link w:val="ActNoCP"/>
    <w:rsid w:val="00AB7C63"/>
    <w:rPr>
      <w:rFonts w:eastAsia="Times New Roman" w:cs="Times New Roman"/>
      <w:b/>
      <w:sz w:val="40"/>
      <w:lang w:eastAsia="en-AU"/>
    </w:rPr>
  </w:style>
  <w:style w:type="paragraph" w:customStyle="1" w:styleId="AssentBk">
    <w:name w:val="AssentBk"/>
    <w:basedOn w:val="Normal"/>
    <w:rsid w:val="00AB7C63"/>
    <w:pPr>
      <w:spacing w:line="240" w:lineRule="auto"/>
    </w:pPr>
    <w:rPr>
      <w:rFonts w:eastAsia="Times New Roman" w:cs="Times New Roman"/>
      <w:sz w:val="20"/>
      <w:lang w:eastAsia="en-AU"/>
    </w:rPr>
  </w:style>
  <w:style w:type="paragraph" w:customStyle="1" w:styleId="AssentDt">
    <w:name w:val="AssentDt"/>
    <w:basedOn w:val="Normal"/>
    <w:rsid w:val="00863324"/>
    <w:pPr>
      <w:spacing w:line="240" w:lineRule="auto"/>
    </w:pPr>
    <w:rPr>
      <w:rFonts w:eastAsia="Times New Roman" w:cs="Times New Roman"/>
      <w:sz w:val="20"/>
      <w:lang w:eastAsia="en-AU"/>
    </w:rPr>
  </w:style>
  <w:style w:type="paragraph" w:customStyle="1" w:styleId="2ndRd">
    <w:name w:val="2ndRd"/>
    <w:basedOn w:val="Normal"/>
    <w:rsid w:val="00863324"/>
    <w:pPr>
      <w:spacing w:line="240" w:lineRule="auto"/>
    </w:pPr>
    <w:rPr>
      <w:rFonts w:eastAsia="Times New Roman" w:cs="Times New Roman"/>
      <w:sz w:val="20"/>
      <w:lang w:eastAsia="en-AU"/>
    </w:rPr>
  </w:style>
  <w:style w:type="paragraph" w:customStyle="1" w:styleId="ScalePlusRef">
    <w:name w:val="ScalePlusRef"/>
    <w:basedOn w:val="Normal"/>
    <w:rsid w:val="0086332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130"/>
    <w:pPr>
      <w:spacing w:line="260" w:lineRule="atLeast"/>
    </w:pPr>
    <w:rPr>
      <w:sz w:val="22"/>
    </w:rPr>
  </w:style>
  <w:style w:type="paragraph" w:styleId="Heading1">
    <w:name w:val="heading 1"/>
    <w:basedOn w:val="Normal"/>
    <w:next w:val="Normal"/>
    <w:link w:val="Heading1Char"/>
    <w:uiPriority w:val="9"/>
    <w:qFormat/>
    <w:rsid w:val="00AB7C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7C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7C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7C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B7C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7C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7C6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C6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B7C6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0130"/>
  </w:style>
  <w:style w:type="paragraph" w:customStyle="1" w:styleId="OPCParaBase">
    <w:name w:val="OPCParaBase"/>
    <w:link w:val="OPCParaBaseChar"/>
    <w:qFormat/>
    <w:rsid w:val="009D013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D0130"/>
    <w:pPr>
      <w:spacing w:line="240" w:lineRule="auto"/>
    </w:pPr>
    <w:rPr>
      <w:b/>
      <w:sz w:val="40"/>
    </w:rPr>
  </w:style>
  <w:style w:type="paragraph" w:customStyle="1" w:styleId="ActHead1">
    <w:name w:val="ActHead 1"/>
    <w:aliases w:val="c"/>
    <w:basedOn w:val="OPCParaBase"/>
    <w:next w:val="Normal"/>
    <w:qFormat/>
    <w:rsid w:val="009D01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1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01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D01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1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1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01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1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13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D0130"/>
  </w:style>
  <w:style w:type="paragraph" w:customStyle="1" w:styleId="Blocks">
    <w:name w:val="Blocks"/>
    <w:aliases w:val="bb"/>
    <w:basedOn w:val="OPCParaBase"/>
    <w:qFormat/>
    <w:rsid w:val="009D0130"/>
    <w:pPr>
      <w:spacing w:line="240" w:lineRule="auto"/>
    </w:pPr>
    <w:rPr>
      <w:sz w:val="24"/>
    </w:rPr>
  </w:style>
  <w:style w:type="paragraph" w:customStyle="1" w:styleId="BoxText">
    <w:name w:val="BoxText"/>
    <w:aliases w:val="bt"/>
    <w:basedOn w:val="OPCParaBase"/>
    <w:qFormat/>
    <w:rsid w:val="009D01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130"/>
    <w:rPr>
      <w:b/>
    </w:rPr>
  </w:style>
  <w:style w:type="paragraph" w:customStyle="1" w:styleId="BoxHeadItalic">
    <w:name w:val="BoxHeadItalic"/>
    <w:aliases w:val="bhi"/>
    <w:basedOn w:val="BoxText"/>
    <w:next w:val="BoxStep"/>
    <w:qFormat/>
    <w:rsid w:val="009D0130"/>
    <w:rPr>
      <w:i/>
    </w:rPr>
  </w:style>
  <w:style w:type="paragraph" w:customStyle="1" w:styleId="BoxList">
    <w:name w:val="BoxList"/>
    <w:aliases w:val="bl"/>
    <w:basedOn w:val="BoxText"/>
    <w:qFormat/>
    <w:rsid w:val="009D0130"/>
    <w:pPr>
      <w:ind w:left="1559" w:hanging="425"/>
    </w:pPr>
  </w:style>
  <w:style w:type="paragraph" w:customStyle="1" w:styleId="BoxNote">
    <w:name w:val="BoxNote"/>
    <w:aliases w:val="bn"/>
    <w:basedOn w:val="BoxText"/>
    <w:qFormat/>
    <w:rsid w:val="009D0130"/>
    <w:pPr>
      <w:tabs>
        <w:tab w:val="left" w:pos="1985"/>
      </w:tabs>
      <w:spacing w:before="122" w:line="198" w:lineRule="exact"/>
      <w:ind w:left="2948" w:hanging="1814"/>
    </w:pPr>
    <w:rPr>
      <w:sz w:val="18"/>
    </w:rPr>
  </w:style>
  <w:style w:type="paragraph" w:customStyle="1" w:styleId="BoxPara">
    <w:name w:val="BoxPara"/>
    <w:aliases w:val="bp"/>
    <w:basedOn w:val="BoxText"/>
    <w:qFormat/>
    <w:rsid w:val="009D0130"/>
    <w:pPr>
      <w:tabs>
        <w:tab w:val="right" w:pos="2268"/>
      </w:tabs>
      <w:ind w:left="2552" w:hanging="1418"/>
    </w:pPr>
  </w:style>
  <w:style w:type="paragraph" w:customStyle="1" w:styleId="BoxStep">
    <w:name w:val="BoxStep"/>
    <w:aliases w:val="bs"/>
    <w:basedOn w:val="BoxText"/>
    <w:qFormat/>
    <w:rsid w:val="009D0130"/>
    <w:pPr>
      <w:ind w:left="1985" w:hanging="851"/>
    </w:pPr>
  </w:style>
  <w:style w:type="character" w:customStyle="1" w:styleId="CharAmPartNo">
    <w:name w:val="CharAmPartNo"/>
    <w:basedOn w:val="OPCCharBase"/>
    <w:qFormat/>
    <w:rsid w:val="009D0130"/>
  </w:style>
  <w:style w:type="character" w:customStyle="1" w:styleId="CharAmPartText">
    <w:name w:val="CharAmPartText"/>
    <w:basedOn w:val="OPCCharBase"/>
    <w:qFormat/>
    <w:rsid w:val="009D0130"/>
  </w:style>
  <w:style w:type="character" w:customStyle="1" w:styleId="CharAmSchNo">
    <w:name w:val="CharAmSchNo"/>
    <w:basedOn w:val="OPCCharBase"/>
    <w:qFormat/>
    <w:rsid w:val="009D0130"/>
  </w:style>
  <w:style w:type="character" w:customStyle="1" w:styleId="CharAmSchText">
    <w:name w:val="CharAmSchText"/>
    <w:basedOn w:val="OPCCharBase"/>
    <w:qFormat/>
    <w:rsid w:val="009D0130"/>
  </w:style>
  <w:style w:type="character" w:customStyle="1" w:styleId="CharBoldItalic">
    <w:name w:val="CharBoldItalic"/>
    <w:basedOn w:val="OPCCharBase"/>
    <w:uiPriority w:val="1"/>
    <w:qFormat/>
    <w:rsid w:val="009D0130"/>
    <w:rPr>
      <w:b/>
      <w:i/>
    </w:rPr>
  </w:style>
  <w:style w:type="character" w:customStyle="1" w:styleId="CharChapNo">
    <w:name w:val="CharChapNo"/>
    <w:basedOn w:val="OPCCharBase"/>
    <w:uiPriority w:val="1"/>
    <w:qFormat/>
    <w:rsid w:val="009D0130"/>
  </w:style>
  <w:style w:type="character" w:customStyle="1" w:styleId="CharChapText">
    <w:name w:val="CharChapText"/>
    <w:basedOn w:val="OPCCharBase"/>
    <w:uiPriority w:val="1"/>
    <w:qFormat/>
    <w:rsid w:val="009D0130"/>
  </w:style>
  <w:style w:type="character" w:customStyle="1" w:styleId="CharDivNo">
    <w:name w:val="CharDivNo"/>
    <w:basedOn w:val="OPCCharBase"/>
    <w:uiPriority w:val="1"/>
    <w:qFormat/>
    <w:rsid w:val="009D0130"/>
  </w:style>
  <w:style w:type="character" w:customStyle="1" w:styleId="CharDivText">
    <w:name w:val="CharDivText"/>
    <w:basedOn w:val="OPCCharBase"/>
    <w:uiPriority w:val="1"/>
    <w:qFormat/>
    <w:rsid w:val="009D0130"/>
  </w:style>
  <w:style w:type="character" w:customStyle="1" w:styleId="CharItalic">
    <w:name w:val="CharItalic"/>
    <w:basedOn w:val="OPCCharBase"/>
    <w:uiPriority w:val="1"/>
    <w:qFormat/>
    <w:rsid w:val="009D0130"/>
    <w:rPr>
      <w:i/>
    </w:rPr>
  </w:style>
  <w:style w:type="character" w:customStyle="1" w:styleId="CharPartNo">
    <w:name w:val="CharPartNo"/>
    <w:basedOn w:val="OPCCharBase"/>
    <w:uiPriority w:val="1"/>
    <w:qFormat/>
    <w:rsid w:val="009D0130"/>
  </w:style>
  <w:style w:type="character" w:customStyle="1" w:styleId="CharPartText">
    <w:name w:val="CharPartText"/>
    <w:basedOn w:val="OPCCharBase"/>
    <w:uiPriority w:val="1"/>
    <w:qFormat/>
    <w:rsid w:val="009D0130"/>
  </w:style>
  <w:style w:type="character" w:customStyle="1" w:styleId="CharSectno">
    <w:name w:val="CharSectno"/>
    <w:basedOn w:val="OPCCharBase"/>
    <w:qFormat/>
    <w:rsid w:val="009D0130"/>
  </w:style>
  <w:style w:type="character" w:customStyle="1" w:styleId="CharSubdNo">
    <w:name w:val="CharSubdNo"/>
    <w:basedOn w:val="OPCCharBase"/>
    <w:uiPriority w:val="1"/>
    <w:qFormat/>
    <w:rsid w:val="009D0130"/>
  </w:style>
  <w:style w:type="character" w:customStyle="1" w:styleId="CharSubdText">
    <w:name w:val="CharSubdText"/>
    <w:basedOn w:val="OPCCharBase"/>
    <w:uiPriority w:val="1"/>
    <w:qFormat/>
    <w:rsid w:val="009D0130"/>
  </w:style>
  <w:style w:type="paragraph" w:customStyle="1" w:styleId="CTA--">
    <w:name w:val="CTA --"/>
    <w:basedOn w:val="OPCParaBase"/>
    <w:next w:val="Normal"/>
    <w:rsid w:val="009D0130"/>
    <w:pPr>
      <w:spacing w:before="60" w:line="240" w:lineRule="atLeast"/>
      <w:ind w:left="142" w:hanging="142"/>
    </w:pPr>
    <w:rPr>
      <w:sz w:val="20"/>
    </w:rPr>
  </w:style>
  <w:style w:type="paragraph" w:customStyle="1" w:styleId="CTA-">
    <w:name w:val="CTA -"/>
    <w:basedOn w:val="OPCParaBase"/>
    <w:rsid w:val="009D0130"/>
    <w:pPr>
      <w:spacing w:before="60" w:line="240" w:lineRule="atLeast"/>
      <w:ind w:left="85" w:hanging="85"/>
    </w:pPr>
    <w:rPr>
      <w:sz w:val="20"/>
    </w:rPr>
  </w:style>
  <w:style w:type="paragraph" w:customStyle="1" w:styleId="CTA---">
    <w:name w:val="CTA ---"/>
    <w:basedOn w:val="OPCParaBase"/>
    <w:next w:val="Normal"/>
    <w:rsid w:val="009D0130"/>
    <w:pPr>
      <w:spacing w:before="60" w:line="240" w:lineRule="atLeast"/>
      <w:ind w:left="198" w:hanging="198"/>
    </w:pPr>
    <w:rPr>
      <w:sz w:val="20"/>
    </w:rPr>
  </w:style>
  <w:style w:type="paragraph" w:customStyle="1" w:styleId="CTA----">
    <w:name w:val="CTA ----"/>
    <w:basedOn w:val="OPCParaBase"/>
    <w:next w:val="Normal"/>
    <w:rsid w:val="009D0130"/>
    <w:pPr>
      <w:spacing w:before="60" w:line="240" w:lineRule="atLeast"/>
      <w:ind w:left="255" w:hanging="255"/>
    </w:pPr>
    <w:rPr>
      <w:sz w:val="20"/>
    </w:rPr>
  </w:style>
  <w:style w:type="paragraph" w:customStyle="1" w:styleId="CTA1a">
    <w:name w:val="CTA 1(a)"/>
    <w:basedOn w:val="OPCParaBase"/>
    <w:rsid w:val="009D0130"/>
    <w:pPr>
      <w:tabs>
        <w:tab w:val="right" w:pos="414"/>
      </w:tabs>
      <w:spacing w:before="40" w:line="240" w:lineRule="atLeast"/>
      <w:ind w:left="675" w:hanging="675"/>
    </w:pPr>
    <w:rPr>
      <w:sz w:val="20"/>
    </w:rPr>
  </w:style>
  <w:style w:type="paragraph" w:customStyle="1" w:styleId="CTA1ai">
    <w:name w:val="CTA 1(a)(i)"/>
    <w:basedOn w:val="OPCParaBase"/>
    <w:rsid w:val="009D0130"/>
    <w:pPr>
      <w:tabs>
        <w:tab w:val="right" w:pos="1004"/>
      </w:tabs>
      <w:spacing w:before="40" w:line="240" w:lineRule="atLeast"/>
      <w:ind w:left="1253" w:hanging="1253"/>
    </w:pPr>
    <w:rPr>
      <w:sz w:val="20"/>
    </w:rPr>
  </w:style>
  <w:style w:type="paragraph" w:customStyle="1" w:styleId="CTA2a">
    <w:name w:val="CTA 2(a)"/>
    <w:basedOn w:val="OPCParaBase"/>
    <w:rsid w:val="009D0130"/>
    <w:pPr>
      <w:tabs>
        <w:tab w:val="right" w:pos="482"/>
      </w:tabs>
      <w:spacing w:before="40" w:line="240" w:lineRule="atLeast"/>
      <w:ind w:left="748" w:hanging="748"/>
    </w:pPr>
    <w:rPr>
      <w:sz w:val="20"/>
    </w:rPr>
  </w:style>
  <w:style w:type="paragraph" w:customStyle="1" w:styleId="CTA2ai">
    <w:name w:val="CTA 2(a)(i)"/>
    <w:basedOn w:val="OPCParaBase"/>
    <w:rsid w:val="009D0130"/>
    <w:pPr>
      <w:tabs>
        <w:tab w:val="right" w:pos="1089"/>
      </w:tabs>
      <w:spacing w:before="40" w:line="240" w:lineRule="atLeast"/>
      <w:ind w:left="1327" w:hanging="1327"/>
    </w:pPr>
    <w:rPr>
      <w:sz w:val="20"/>
    </w:rPr>
  </w:style>
  <w:style w:type="paragraph" w:customStyle="1" w:styleId="CTA3a">
    <w:name w:val="CTA 3(a)"/>
    <w:basedOn w:val="OPCParaBase"/>
    <w:rsid w:val="009D0130"/>
    <w:pPr>
      <w:tabs>
        <w:tab w:val="right" w:pos="556"/>
      </w:tabs>
      <w:spacing w:before="40" w:line="240" w:lineRule="atLeast"/>
      <w:ind w:left="805" w:hanging="805"/>
    </w:pPr>
    <w:rPr>
      <w:sz w:val="20"/>
    </w:rPr>
  </w:style>
  <w:style w:type="paragraph" w:customStyle="1" w:styleId="CTA3ai">
    <w:name w:val="CTA 3(a)(i)"/>
    <w:basedOn w:val="OPCParaBase"/>
    <w:rsid w:val="009D0130"/>
    <w:pPr>
      <w:tabs>
        <w:tab w:val="right" w:pos="1140"/>
      </w:tabs>
      <w:spacing w:before="40" w:line="240" w:lineRule="atLeast"/>
      <w:ind w:left="1361" w:hanging="1361"/>
    </w:pPr>
    <w:rPr>
      <w:sz w:val="20"/>
    </w:rPr>
  </w:style>
  <w:style w:type="paragraph" w:customStyle="1" w:styleId="CTA4a">
    <w:name w:val="CTA 4(a)"/>
    <w:basedOn w:val="OPCParaBase"/>
    <w:rsid w:val="009D0130"/>
    <w:pPr>
      <w:tabs>
        <w:tab w:val="right" w:pos="624"/>
      </w:tabs>
      <w:spacing w:before="40" w:line="240" w:lineRule="atLeast"/>
      <w:ind w:left="873" w:hanging="873"/>
    </w:pPr>
    <w:rPr>
      <w:sz w:val="20"/>
    </w:rPr>
  </w:style>
  <w:style w:type="paragraph" w:customStyle="1" w:styleId="CTA4ai">
    <w:name w:val="CTA 4(a)(i)"/>
    <w:basedOn w:val="OPCParaBase"/>
    <w:rsid w:val="009D0130"/>
    <w:pPr>
      <w:tabs>
        <w:tab w:val="right" w:pos="1213"/>
      </w:tabs>
      <w:spacing w:before="40" w:line="240" w:lineRule="atLeast"/>
      <w:ind w:left="1452" w:hanging="1452"/>
    </w:pPr>
    <w:rPr>
      <w:sz w:val="20"/>
    </w:rPr>
  </w:style>
  <w:style w:type="paragraph" w:customStyle="1" w:styleId="CTACAPS">
    <w:name w:val="CTA CAPS"/>
    <w:basedOn w:val="OPCParaBase"/>
    <w:rsid w:val="009D0130"/>
    <w:pPr>
      <w:spacing w:before="60" w:line="240" w:lineRule="atLeast"/>
    </w:pPr>
    <w:rPr>
      <w:sz w:val="20"/>
    </w:rPr>
  </w:style>
  <w:style w:type="paragraph" w:customStyle="1" w:styleId="CTAright">
    <w:name w:val="CTA right"/>
    <w:basedOn w:val="OPCParaBase"/>
    <w:rsid w:val="009D0130"/>
    <w:pPr>
      <w:spacing w:before="60" w:line="240" w:lineRule="auto"/>
      <w:jc w:val="right"/>
    </w:pPr>
    <w:rPr>
      <w:sz w:val="20"/>
    </w:rPr>
  </w:style>
  <w:style w:type="paragraph" w:customStyle="1" w:styleId="subsection">
    <w:name w:val="subsection"/>
    <w:aliases w:val="ss"/>
    <w:basedOn w:val="OPCParaBase"/>
    <w:link w:val="subsectionChar"/>
    <w:rsid w:val="009D0130"/>
    <w:pPr>
      <w:tabs>
        <w:tab w:val="right" w:pos="1021"/>
      </w:tabs>
      <w:spacing w:before="180" w:line="240" w:lineRule="auto"/>
      <w:ind w:left="1134" w:hanging="1134"/>
    </w:pPr>
  </w:style>
  <w:style w:type="paragraph" w:customStyle="1" w:styleId="Definition">
    <w:name w:val="Definition"/>
    <w:aliases w:val="dd"/>
    <w:basedOn w:val="OPCParaBase"/>
    <w:rsid w:val="009D0130"/>
    <w:pPr>
      <w:spacing w:before="180" w:line="240" w:lineRule="auto"/>
      <w:ind w:left="1134"/>
    </w:pPr>
  </w:style>
  <w:style w:type="paragraph" w:customStyle="1" w:styleId="ETAsubitem">
    <w:name w:val="ETA(subitem)"/>
    <w:basedOn w:val="OPCParaBase"/>
    <w:rsid w:val="009D0130"/>
    <w:pPr>
      <w:tabs>
        <w:tab w:val="right" w:pos="340"/>
      </w:tabs>
      <w:spacing w:before="60" w:line="240" w:lineRule="auto"/>
      <w:ind w:left="454" w:hanging="454"/>
    </w:pPr>
    <w:rPr>
      <w:sz w:val="20"/>
    </w:rPr>
  </w:style>
  <w:style w:type="paragraph" w:customStyle="1" w:styleId="ETApara">
    <w:name w:val="ETA(para)"/>
    <w:basedOn w:val="OPCParaBase"/>
    <w:rsid w:val="009D0130"/>
    <w:pPr>
      <w:tabs>
        <w:tab w:val="right" w:pos="754"/>
      </w:tabs>
      <w:spacing w:before="60" w:line="240" w:lineRule="auto"/>
      <w:ind w:left="828" w:hanging="828"/>
    </w:pPr>
    <w:rPr>
      <w:sz w:val="20"/>
    </w:rPr>
  </w:style>
  <w:style w:type="paragraph" w:customStyle="1" w:styleId="ETAsubpara">
    <w:name w:val="ETA(subpara)"/>
    <w:basedOn w:val="OPCParaBase"/>
    <w:rsid w:val="009D0130"/>
    <w:pPr>
      <w:tabs>
        <w:tab w:val="right" w:pos="1083"/>
      </w:tabs>
      <w:spacing w:before="60" w:line="240" w:lineRule="auto"/>
      <w:ind w:left="1191" w:hanging="1191"/>
    </w:pPr>
    <w:rPr>
      <w:sz w:val="20"/>
    </w:rPr>
  </w:style>
  <w:style w:type="paragraph" w:customStyle="1" w:styleId="ETAsub-subpara">
    <w:name w:val="ETA(sub-subpara)"/>
    <w:basedOn w:val="OPCParaBase"/>
    <w:rsid w:val="009D0130"/>
    <w:pPr>
      <w:tabs>
        <w:tab w:val="right" w:pos="1412"/>
      </w:tabs>
      <w:spacing w:before="60" w:line="240" w:lineRule="auto"/>
      <w:ind w:left="1525" w:hanging="1525"/>
    </w:pPr>
    <w:rPr>
      <w:sz w:val="20"/>
    </w:rPr>
  </w:style>
  <w:style w:type="paragraph" w:customStyle="1" w:styleId="Formula">
    <w:name w:val="Formula"/>
    <w:basedOn w:val="OPCParaBase"/>
    <w:rsid w:val="009D0130"/>
    <w:pPr>
      <w:spacing w:line="240" w:lineRule="auto"/>
      <w:ind w:left="1134"/>
    </w:pPr>
    <w:rPr>
      <w:sz w:val="20"/>
    </w:rPr>
  </w:style>
  <w:style w:type="paragraph" w:styleId="Header">
    <w:name w:val="header"/>
    <w:basedOn w:val="OPCParaBase"/>
    <w:link w:val="HeaderChar"/>
    <w:unhideWhenUsed/>
    <w:rsid w:val="009D01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0130"/>
    <w:rPr>
      <w:rFonts w:eastAsia="Times New Roman" w:cs="Times New Roman"/>
      <w:sz w:val="16"/>
      <w:lang w:eastAsia="en-AU"/>
    </w:rPr>
  </w:style>
  <w:style w:type="paragraph" w:customStyle="1" w:styleId="House">
    <w:name w:val="House"/>
    <w:basedOn w:val="OPCParaBase"/>
    <w:rsid w:val="009D0130"/>
    <w:pPr>
      <w:spacing w:line="240" w:lineRule="auto"/>
    </w:pPr>
    <w:rPr>
      <w:sz w:val="28"/>
    </w:rPr>
  </w:style>
  <w:style w:type="paragraph" w:customStyle="1" w:styleId="Item">
    <w:name w:val="Item"/>
    <w:aliases w:val="i"/>
    <w:basedOn w:val="OPCParaBase"/>
    <w:next w:val="ItemHead"/>
    <w:rsid w:val="009D0130"/>
    <w:pPr>
      <w:keepLines/>
      <w:spacing w:before="80" w:line="240" w:lineRule="auto"/>
      <w:ind w:left="709"/>
    </w:pPr>
  </w:style>
  <w:style w:type="paragraph" w:customStyle="1" w:styleId="ItemHead">
    <w:name w:val="ItemHead"/>
    <w:aliases w:val="ih"/>
    <w:basedOn w:val="OPCParaBase"/>
    <w:next w:val="Item"/>
    <w:link w:val="ItemHeadChar"/>
    <w:rsid w:val="009D01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0130"/>
    <w:pPr>
      <w:spacing w:line="240" w:lineRule="auto"/>
    </w:pPr>
    <w:rPr>
      <w:b/>
      <w:sz w:val="32"/>
    </w:rPr>
  </w:style>
  <w:style w:type="paragraph" w:customStyle="1" w:styleId="notedraft">
    <w:name w:val="note(draft)"/>
    <w:aliases w:val="nd"/>
    <w:basedOn w:val="OPCParaBase"/>
    <w:rsid w:val="009D0130"/>
    <w:pPr>
      <w:spacing w:before="240" w:line="240" w:lineRule="auto"/>
      <w:ind w:left="284" w:hanging="284"/>
    </w:pPr>
    <w:rPr>
      <w:i/>
      <w:sz w:val="24"/>
    </w:rPr>
  </w:style>
  <w:style w:type="paragraph" w:customStyle="1" w:styleId="notemargin">
    <w:name w:val="note(margin)"/>
    <w:aliases w:val="nm"/>
    <w:basedOn w:val="OPCParaBase"/>
    <w:rsid w:val="009D0130"/>
    <w:pPr>
      <w:tabs>
        <w:tab w:val="left" w:pos="709"/>
      </w:tabs>
      <w:spacing w:before="122" w:line="198" w:lineRule="exact"/>
      <w:ind w:left="709" w:hanging="709"/>
    </w:pPr>
    <w:rPr>
      <w:sz w:val="18"/>
    </w:rPr>
  </w:style>
  <w:style w:type="paragraph" w:customStyle="1" w:styleId="noteToPara">
    <w:name w:val="noteToPara"/>
    <w:aliases w:val="ntp"/>
    <w:basedOn w:val="OPCParaBase"/>
    <w:rsid w:val="009D0130"/>
    <w:pPr>
      <w:spacing w:before="122" w:line="198" w:lineRule="exact"/>
      <w:ind w:left="2353" w:hanging="709"/>
    </w:pPr>
    <w:rPr>
      <w:sz w:val="18"/>
    </w:rPr>
  </w:style>
  <w:style w:type="paragraph" w:customStyle="1" w:styleId="noteParlAmend">
    <w:name w:val="note(ParlAmend)"/>
    <w:aliases w:val="npp"/>
    <w:basedOn w:val="OPCParaBase"/>
    <w:next w:val="ParlAmend"/>
    <w:rsid w:val="009D0130"/>
    <w:pPr>
      <w:spacing w:line="240" w:lineRule="auto"/>
      <w:jc w:val="right"/>
    </w:pPr>
    <w:rPr>
      <w:rFonts w:ascii="Arial" w:hAnsi="Arial"/>
      <w:b/>
      <w:i/>
    </w:rPr>
  </w:style>
  <w:style w:type="paragraph" w:customStyle="1" w:styleId="Page1">
    <w:name w:val="Page1"/>
    <w:basedOn w:val="OPCParaBase"/>
    <w:rsid w:val="009D0130"/>
    <w:pPr>
      <w:spacing w:before="400" w:line="240" w:lineRule="auto"/>
    </w:pPr>
    <w:rPr>
      <w:b/>
      <w:sz w:val="32"/>
    </w:rPr>
  </w:style>
  <w:style w:type="paragraph" w:customStyle="1" w:styleId="PageBreak">
    <w:name w:val="PageBreak"/>
    <w:aliases w:val="pb"/>
    <w:basedOn w:val="OPCParaBase"/>
    <w:rsid w:val="009D0130"/>
    <w:pPr>
      <w:spacing w:line="240" w:lineRule="auto"/>
    </w:pPr>
    <w:rPr>
      <w:sz w:val="20"/>
    </w:rPr>
  </w:style>
  <w:style w:type="paragraph" w:customStyle="1" w:styleId="paragraphsub">
    <w:name w:val="paragraph(sub)"/>
    <w:aliases w:val="aa"/>
    <w:basedOn w:val="OPCParaBase"/>
    <w:rsid w:val="009D0130"/>
    <w:pPr>
      <w:tabs>
        <w:tab w:val="right" w:pos="1985"/>
      </w:tabs>
      <w:spacing w:before="40" w:line="240" w:lineRule="auto"/>
      <w:ind w:left="2098" w:hanging="2098"/>
    </w:pPr>
  </w:style>
  <w:style w:type="paragraph" w:customStyle="1" w:styleId="paragraphsub-sub">
    <w:name w:val="paragraph(sub-sub)"/>
    <w:aliases w:val="aaa"/>
    <w:basedOn w:val="OPCParaBase"/>
    <w:rsid w:val="009D0130"/>
    <w:pPr>
      <w:tabs>
        <w:tab w:val="right" w:pos="2722"/>
      </w:tabs>
      <w:spacing w:before="40" w:line="240" w:lineRule="auto"/>
      <w:ind w:left="2835" w:hanging="2835"/>
    </w:pPr>
  </w:style>
  <w:style w:type="paragraph" w:customStyle="1" w:styleId="paragraph">
    <w:name w:val="paragraph"/>
    <w:aliases w:val="a"/>
    <w:basedOn w:val="OPCParaBase"/>
    <w:link w:val="paragraphChar"/>
    <w:rsid w:val="009D0130"/>
    <w:pPr>
      <w:tabs>
        <w:tab w:val="right" w:pos="1531"/>
      </w:tabs>
      <w:spacing w:before="40" w:line="240" w:lineRule="auto"/>
      <w:ind w:left="1644" w:hanging="1644"/>
    </w:pPr>
  </w:style>
  <w:style w:type="paragraph" w:customStyle="1" w:styleId="ParlAmend">
    <w:name w:val="ParlAmend"/>
    <w:aliases w:val="pp"/>
    <w:basedOn w:val="OPCParaBase"/>
    <w:rsid w:val="009D0130"/>
    <w:pPr>
      <w:spacing w:before="240" w:line="240" w:lineRule="atLeast"/>
      <w:ind w:hanging="567"/>
    </w:pPr>
    <w:rPr>
      <w:sz w:val="24"/>
    </w:rPr>
  </w:style>
  <w:style w:type="paragraph" w:customStyle="1" w:styleId="Penalty">
    <w:name w:val="Penalty"/>
    <w:basedOn w:val="OPCParaBase"/>
    <w:rsid w:val="009D0130"/>
    <w:pPr>
      <w:tabs>
        <w:tab w:val="left" w:pos="2977"/>
      </w:tabs>
      <w:spacing w:before="180" w:line="240" w:lineRule="auto"/>
      <w:ind w:left="1985" w:hanging="851"/>
    </w:pPr>
  </w:style>
  <w:style w:type="paragraph" w:customStyle="1" w:styleId="Portfolio">
    <w:name w:val="Portfolio"/>
    <w:basedOn w:val="OPCParaBase"/>
    <w:rsid w:val="009D0130"/>
    <w:pPr>
      <w:spacing w:line="240" w:lineRule="auto"/>
    </w:pPr>
    <w:rPr>
      <w:i/>
      <w:sz w:val="20"/>
    </w:rPr>
  </w:style>
  <w:style w:type="paragraph" w:customStyle="1" w:styleId="Preamble">
    <w:name w:val="Preamble"/>
    <w:basedOn w:val="OPCParaBase"/>
    <w:next w:val="Normal"/>
    <w:rsid w:val="009D01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130"/>
    <w:pPr>
      <w:spacing w:line="240" w:lineRule="auto"/>
    </w:pPr>
    <w:rPr>
      <w:i/>
      <w:sz w:val="20"/>
    </w:rPr>
  </w:style>
  <w:style w:type="paragraph" w:customStyle="1" w:styleId="Session">
    <w:name w:val="Session"/>
    <w:basedOn w:val="OPCParaBase"/>
    <w:rsid w:val="009D0130"/>
    <w:pPr>
      <w:spacing w:line="240" w:lineRule="auto"/>
    </w:pPr>
    <w:rPr>
      <w:sz w:val="28"/>
    </w:rPr>
  </w:style>
  <w:style w:type="paragraph" w:customStyle="1" w:styleId="Sponsor">
    <w:name w:val="Sponsor"/>
    <w:basedOn w:val="OPCParaBase"/>
    <w:rsid w:val="009D0130"/>
    <w:pPr>
      <w:spacing w:line="240" w:lineRule="auto"/>
    </w:pPr>
    <w:rPr>
      <w:i/>
    </w:rPr>
  </w:style>
  <w:style w:type="paragraph" w:customStyle="1" w:styleId="Subitem">
    <w:name w:val="Subitem"/>
    <w:aliases w:val="iss"/>
    <w:basedOn w:val="OPCParaBase"/>
    <w:rsid w:val="009D0130"/>
    <w:pPr>
      <w:spacing w:before="180" w:line="240" w:lineRule="auto"/>
      <w:ind w:left="709" w:hanging="709"/>
    </w:pPr>
  </w:style>
  <w:style w:type="paragraph" w:customStyle="1" w:styleId="SubitemHead">
    <w:name w:val="SubitemHead"/>
    <w:aliases w:val="issh"/>
    <w:basedOn w:val="OPCParaBase"/>
    <w:rsid w:val="009D01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0130"/>
    <w:pPr>
      <w:spacing w:before="40" w:line="240" w:lineRule="auto"/>
      <w:ind w:left="1134"/>
    </w:pPr>
  </w:style>
  <w:style w:type="paragraph" w:customStyle="1" w:styleId="SubsectionHead">
    <w:name w:val="SubsectionHead"/>
    <w:aliases w:val="ssh"/>
    <w:basedOn w:val="OPCParaBase"/>
    <w:next w:val="subsection"/>
    <w:rsid w:val="009D0130"/>
    <w:pPr>
      <w:keepNext/>
      <w:keepLines/>
      <w:spacing w:before="240" w:line="240" w:lineRule="auto"/>
      <w:ind w:left="1134"/>
    </w:pPr>
    <w:rPr>
      <w:i/>
    </w:rPr>
  </w:style>
  <w:style w:type="paragraph" w:customStyle="1" w:styleId="Tablea">
    <w:name w:val="Table(a)"/>
    <w:aliases w:val="ta"/>
    <w:basedOn w:val="OPCParaBase"/>
    <w:rsid w:val="009D0130"/>
    <w:pPr>
      <w:spacing w:before="60" w:line="240" w:lineRule="auto"/>
      <w:ind w:left="284" w:hanging="284"/>
    </w:pPr>
    <w:rPr>
      <w:sz w:val="20"/>
    </w:rPr>
  </w:style>
  <w:style w:type="paragraph" w:customStyle="1" w:styleId="TableAA">
    <w:name w:val="Table(AA)"/>
    <w:aliases w:val="taaa"/>
    <w:basedOn w:val="OPCParaBase"/>
    <w:rsid w:val="009D01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01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0130"/>
    <w:pPr>
      <w:spacing w:before="60" w:line="240" w:lineRule="atLeast"/>
    </w:pPr>
    <w:rPr>
      <w:sz w:val="20"/>
    </w:rPr>
  </w:style>
  <w:style w:type="paragraph" w:customStyle="1" w:styleId="TLPBoxTextnote">
    <w:name w:val="TLPBoxText(note"/>
    <w:aliases w:val="right)"/>
    <w:basedOn w:val="OPCParaBase"/>
    <w:rsid w:val="009D01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1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130"/>
    <w:pPr>
      <w:spacing w:before="122" w:line="198" w:lineRule="exact"/>
      <w:ind w:left="1985" w:hanging="851"/>
      <w:jc w:val="right"/>
    </w:pPr>
    <w:rPr>
      <w:sz w:val="18"/>
    </w:rPr>
  </w:style>
  <w:style w:type="paragraph" w:customStyle="1" w:styleId="TLPTableBullet">
    <w:name w:val="TLPTableBullet"/>
    <w:aliases w:val="ttb"/>
    <w:basedOn w:val="OPCParaBase"/>
    <w:rsid w:val="009D0130"/>
    <w:pPr>
      <w:spacing w:line="240" w:lineRule="exact"/>
      <w:ind w:left="284" w:hanging="284"/>
    </w:pPr>
    <w:rPr>
      <w:sz w:val="20"/>
    </w:rPr>
  </w:style>
  <w:style w:type="paragraph" w:styleId="TOC1">
    <w:name w:val="toc 1"/>
    <w:basedOn w:val="OPCParaBase"/>
    <w:next w:val="Normal"/>
    <w:uiPriority w:val="39"/>
    <w:semiHidden/>
    <w:unhideWhenUsed/>
    <w:rsid w:val="009D01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01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01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D01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2B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D01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D01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D01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01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0130"/>
    <w:pPr>
      <w:keepLines/>
      <w:spacing w:before="240" w:after="120" w:line="240" w:lineRule="auto"/>
      <w:ind w:left="794"/>
    </w:pPr>
    <w:rPr>
      <w:b/>
      <w:kern w:val="28"/>
      <w:sz w:val="20"/>
    </w:rPr>
  </w:style>
  <w:style w:type="paragraph" w:customStyle="1" w:styleId="TofSectsHeading">
    <w:name w:val="TofSects(Heading)"/>
    <w:basedOn w:val="OPCParaBase"/>
    <w:rsid w:val="009D0130"/>
    <w:pPr>
      <w:spacing w:before="240" w:after="120" w:line="240" w:lineRule="auto"/>
    </w:pPr>
    <w:rPr>
      <w:b/>
      <w:sz w:val="24"/>
    </w:rPr>
  </w:style>
  <w:style w:type="paragraph" w:customStyle="1" w:styleId="TofSectsSection">
    <w:name w:val="TofSects(Section)"/>
    <w:basedOn w:val="OPCParaBase"/>
    <w:rsid w:val="009D0130"/>
    <w:pPr>
      <w:keepLines/>
      <w:spacing w:before="40" w:line="240" w:lineRule="auto"/>
      <w:ind w:left="1588" w:hanging="794"/>
    </w:pPr>
    <w:rPr>
      <w:kern w:val="28"/>
      <w:sz w:val="18"/>
    </w:rPr>
  </w:style>
  <w:style w:type="paragraph" w:customStyle="1" w:styleId="TofSectsSubdiv">
    <w:name w:val="TofSects(Subdiv)"/>
    <w:basedOn w:val="OPCParaBase"/>
    <w:rsid w:val="009D0130"/>
    <w:pPr>
      <w:keepLines/>
      <w:spacing w:before="80" w:line="240" w:lineRule="auto"/>
      <w:ind w:left="1588" w:hanging="794"/>
    </w:pPr>
    <w:rPr>
      <w:kern w:val="28"/>
    </w:rPr>
  </w:style>
  <w:style w:type="paragraph" w:customStyle="1" w:styleId="WRStyle">
    <w:name w:val="WR Style"/>
    <w:aliases w:val="WR"/>
    <w:basedOn w:val="OPCParaBase"/>
    <w:rsid w:val="009D0130"/>
    <w:pPr>
      <w:spacing w:before="240" w:line="240" w:lineRule="auto"/>
      <w:ind w:left="284" w:hanging="284"/>
    </w:pPr>
    <w:rPr>
      <w:b/>
      <w:i/>
      <w:kern w:val="28"/>
      <w:sz w:val="24"/>
    </w:rPr>
  </w:style>
  <w:style w:type="paragraph" w:customStyle="1" w:styleId="notepara">
    <w:name w:val="note(para)"/>
    <w:aliases w:val="na"/>
    <w:basedOn w:val="OPCParaBase"/>
    <w:rsid w:val="009D0130"/>
    <w:pPr>
      <w:spacing w:before="40" w:line="198" w:lineRule="exact"/>
      <w:ind w:left="2354" w:hanging="369"/>
    </w:pPr>
    <w:rPr>
      <w:sz w:val="18"/>
    </w:rPr>
  </w:style>
  <w:style w:type="paragraph" w:styleId="Footer">
    <w:name w:val="footer"/>
    <w:link w:val="FooterChar"/>
    <w:rsid w:val="009D01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0130"/>
    <w:rPr>
      <w:rFonts w:eastAsia="Times New Roman" w:cs="Times New Roman"/>
      <w:sz w:val="22"/>
      <w:szCs w:val="24"/>
      <w:lang w:eastAsia="en-AU"/>
    </w:rPr>
  </w:style>
  <w:style w:type="character" w:styleId="LineNumber">
    <w:name w:val="line number"/>
    <w:basedOn w:val="OPCCharBase"/>
    <w:uiPriority w:val="99"/>
    <w:semiHidden/>
    <w:unhideWhenUsed/>
    <w:rsid w:val="009D0130"/>
    <w:rPr>
      <w:sz w:val="16"/>
    </w:rPr>
  </w:style>
  <w:style w:type="table" w:customStyle="1" w:styleId="CFlag">
    <w:name w:val="CFlag"/>
    <w:basedOn w:val="TableNormal"/>
    <w:uiPriority w:val="99"/>
    <w:rsid w:val="009D0130"/>
    <w:rPr>
      <w:rFonts w:eastAsia="Times New Roman" w:cs="Times New Roman"/>
      <w:lang w:eastAsia="en-AU"/>
    </w:rPr>
    <w:tblPr/>
  </w:style>
  <w:style w:type="paragraph" w:customStyle="1" w:styleId="NotesHeading1">
    <w:name w:val="NotesHeading 1"/>
    <w:basedOn w:val="OPCParaBase"/>
    <w:next w:val="Normal"/>
    <w:rsid w:val="009D0130"/>
    <w:rPr>
      <w:b/>
      <w:sz w:val="28"/>
      <w:szCs w:val="28"/>
    </w:rPr>
  </w:style>
  <w:style w:type="paragraph" w:customStyle="1" w:styleId="NotesHeading2">
    <w:name w:val="NotesHeading 2"/>
    <w:basedOn w:val="OPCParaBase"/>
    <w:next w:val="Normal"/>
    <w:rsid w:val="009D0130"/>
    <w:rPr>
      <w:b/>
      <w:sz w:val="28"/>
      <w:szCs w:val="28"/>
    </w:rPr>
  </w:style>
  <w:style w:type="paragraph" w:customStyle="1" w:styleId="SignCoverPageEnd">
    <w:name w:val="SignCoverPageEnd"/>
    <w:basedOn w:val="OPCParaBase"/>
    <w:next w:val="Normal"/>
    <w:rsid w:val="009D01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130"/>
    <w:pPr>
      <w:pBdr>
        <w:top w:val="single" w:sz="4" w:space="1" w:color="auto"/>
      </w:pBdr>
      <w:spacing w:before="360"/>
      <w:ind w:right="397"/>
      <w:jc w:val="both"/>
    </w:pPr>
  </w:style>
  <w:style w:type="paragraph" w:customStyle="1" w:styleId="Paragraphsub-sub-sub">
    <w:name w:val="Paragraph(sub-sub-sub)"/>
    <w:aliases w:val="aaaa"/>
    <w:basedOn w:val="OPCParaBase"/>
    <w:rsid w:val="009D01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01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1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1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13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D0130"/>
    <w:pPr>
      <w:spacing w:before="120"/>
    </w:pPr>
  </w:style>
  <w:style w:type="paragraph" w:customStyle="1" w:styleId="TableTextEndNotes">
    <w:name w:val="TableTextEndNotes"/>
    <w:aliases w:val="Tten"/>
    <w:basedOn w:val="Normal"/>
    <w:rsid w:val="009D0130"/>
    <w:pPr>
      <w:spacing w:before="60" w:line="240" w:lineRule="auto"/>
    </w:pPr>
    <w:rPr>
      <w:rFonts w:cs="Arial"/>
      <w:sz w:val="20"/>
      <w:szCs w:val="22"/>
    </w:rPr>
  </w:style>
  <w:style w:type="paragraph" w:customStyle="1" w:styleId="TableHeading">
    <w:name w:val="TableHeading"/>
    <w:aliases w:val="th"/>
    <w:basedOn w:val="OPCParaBase"/>
    <w:next w:val="Tabletext"/>
    <w:rsid w:val="009D0130"/>
    <w:pPr>
      <w:keepNext/>
      <w:spacing w:before="60" w:line="240" w:lineRule="atLeast"/>
    </w:pPr>
    <w:rPr>
      <w:b/>
      <w:sz w:val="20"/>
    </w:rPr>
  </w:style>
  <w:style w:type="paragraph" w:customStyle="1" w:styleId="NoteToSubpara">
    <w:name w:val="NoteToSubpara"/>
    <w:aliases w:val="nts"/>
    <w:basedOn w:val="OPCParaBase"/>
    <w:rsid w:val="009D0130"/>
    <w:pPr>
      <w:spacing w:before="40" w:line="198" w:lineRule="exact"/>
      <w:ind w:left="2835" w:hanging="709"/>
    </w:pPr>
    <w:rPr>
      <w:sz w:val="18"/>
    </w:rPr>
  </w:style>
  <w:style w:type="paragraph" w:customStyle="1" w:styleId="ENoteTableHeading">
    <w:name w:val="ENoteTableHeading"/>
    <w:aliases w:val="enth"/>
    <w:basedOn w:val="OPCParaBase"/>
    <w:rsid w:val="009D0130"/>
    <w:pPr>
      <w:keepNext/>
      <w:spacing w:before="60" w:line="240" w:lineRule="atLeast"/>
    </w:pPr>
    <w:rPr>
      <w:rFonts w:ascii="Arial" w:hAnsi="Arial"/>
      <w:b/>
      <w:sz w:val="16"/>
    </w:rPr>
  </w:style>
  <w:style w:type="paragraph" w:customStyle="1" w:styleId="ENoteTTi">
    <w:name w:val="ENoteTTi"/>
    <w:aliases w:val="entti"/>
    <w:basedOn w:val="OPCParaBase"/>
    <w:rsid w:val="009D0130"/>
    <w:pPr>
      <w:keepNext/>
      <w:spacing w:before="60" w:line="240" w:lineRule="atLeast"/>
      <w:ind w:left="170"/>
    </w:pPr>
    <w:rPr>
      <w:sz w:val="16"/>
    </w:rPr>
  </w:style>
  <w:style w:type="paragraph" w:customStyle="1" w:styleId="ENotesHeading1">
    <w:name w:val="ENotesHeading 1"/>
    <w:aliases w:val="Enh1"/>
    <w:basedOn w:val="OPCParaBase"/>
    <w:next w:val="Normal"/>
    <w:rsid w:val="009D0130"/>
    <w:pPr>
      <w:spacing w:before="120"/>
      <w:outlineLvl w:val="1"/>
    </w:pPr>
    <w:rPr>
      <w:b/>
      <w:sz w:val="28"/>
      <w:szCs w:val="28"/>
    </w:rPr>
  </w:style>
  <w:style w:type="paragraph" w:customStyle="1" w:styleId="ENotesHeading2">
    <w:name w:val="ENotesHeading 2"/>
    <w:aliases w:val="Enh2"/>
    <w:basedOn w:val="OPCParaBase"/>
    <w:next w:val="Normal"/>
    <w:rsid w:val="009D0130"/>
    <w:pPr>
      <w:spacing w:before="120" w:after="120"/>
      <w:outlineLvl w:val="2"/>
    </w:pPr>
    <w:rPr>
      <w:b/>
      <w:sz w:val="24"/>
      <w:szCs w:val="28"/>
    </w:rPr>
  </w:style>
  <w:style w:type="paragraph" w:customStyle="1" w:styleId="ENoteTTIndentHeading">
    <w:name w:val="ENoteTTIndentHeading"/>
    <w:aliases w:val="enTTHi"/>
    <w:basedOn w:val="OPCParaBase"/>
    <w:rsid w:val="009D01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0130"/>
    <w:pPr>
      <w:spacing w:before="60" w:line="240" w:lineRule="atLeast"/>
    </w:pPr>
    <w:rPr>
      <w:sz w:val="16"/>
    </w:rPr>
  </w:style>
  <w:style w:type="paragraph" w:customStyle="1" w:styleId="MadeunderText">
    <w:name w:val="MadeunderText"/>
    <w:basedOn w:val="OPCParaBase"/>
    <w:next w:val="Normal"/>
    <w:rsid w:val="009D0130"/>
    <w:pPr>
      <w:spacing w:before="240"/>
    </w:pPr>
    <w:rPr>
      <w:sz w:val="24"/>
      <w:szCs w:val="24"/>
    </w:rPr>
  </w:style>
  <w:style w:type="paragraph" w:customStyle="1" w:styleId="ENotesHeading3">
    <w:name w:val="ENotesHeading 3"/>
    <w:aliases w:val="Enh3"/>
    <w:basedOn w:val="OPCParaBase"/>
    <w:next w:val="Normal"/>
    <w:rsid w:val="009D0130"/>
    <w:pPr>
      <w:keepNext/>
      <w:spacing w:before="120" w:line="240" w:lineRule="auto"/>
      <w:outlineLvl w:val="4"/>
    </w:pPr>
    <w:rPr>
      <w:b/>
      <w:szCs w:val="24"/>
    </w:rPr>
  </w:style>
  <w:style w:type="paragraph" w:customStyle="1" w:styleId="SubPartCASA">
    <w:name w:val="SubPart(CASA)"/>
    <w:aliases w:val="csp"/>
    <w:basedOn w:val="OPCParaBase"/>
    <w:next w:val="ActHead3"/>
    <w:rsid w:val="009D0130"/>
    <w:pPr>
      <w:keepNext/>
      <w:keepLines/>
      <w:spacing w:before="280"/>
      <w:outlineLvl w:val="1"/>
    </w:pPr>
    <w:rPr>
      <w:b/>
      <w:kern w:val="28"/>
      <w:sz w:val="32"/>
    </w:rPr>
  </w:style>
  <w:style w:type="character" w:customStyle="1" w:styleId="CharSubPartTextCASA">
    <w:name w:val="CharSubPartText(CASA)"/>
    <w:basedOn w:val="OPCCharBase"/>
    <w:uiPriority w:val="1"/>
    <w:rsid w:val="009D0130"/>
  </w:style>
  <w:style w:type="character" w:customStyle="1" w:styleId="CharSubPartNoCASA">
    <w:name w:val="CharSubPartNo(CASA)"/>
    <w:basedOn w:val="OPCCharBase"/>
    <w:uiPriority w:val="1"/>
    <w:rsid w:val="009D0130"/>
  </w:style>
  <w:style w:type="paragraph" w:customStyle="1" w:styleId="ENoteTTIndentHeadingSub">
    <w:name w:val="ENoteTTIndentHeadingSub"/>
    <w:aliases w:val="enTTHis"/>
    <w:basedOn w:val="OPCParaBase"/>
    <w:rsid w:val="009D0130"/>
    <w:pPr>
      <w:keepNext/>
      <w:spacing w:before="60" w:line="240" w:lineRule="atLeast"/>
      <w:ind w:left="340"/>
    </w:pPr>
    <w:rPr>
      <w:b/>
      <w:sz w:val="16"/>
    </w:rPr>
  </w:style>
  <w:style w:type="paragraph" w:customStyle="1" w:styleId="ENoteTTiSub">
    <w:name w:val="ENoteTTiSub"/>
    <w:aliases w:val="enttis"/>
    <w:basedOn w:val="OPCParaBase"/>
    <w:rsid w:val="009D0130"/>
    <w:pPr>
      <w:keepNext/>
      <w:spacing w:before="60" w:line="240" w:lineRule="atLeast"/>
      <w:ind w:left="340"/>
    </w:pPr>
    <w:rPr>
      <w:sz w:val="16"/>
    </w:rPr>
  </w:style>
  <w:style w:type="paragraph" w:customStyle="1" w:styleId="SubDivisionMigration">
    <w:name w:val="SubDivisionMigration"/>
    <w:aliases w:val="sdm"/>
    <w:basedOn w:val="OPCParaBase"/>
    <w:rsid w:val="009D01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130"/>
    <w:pPr>
      <w:keepNext/>
      <w:keepLines/>
      <w:spacing w:before="240" w:line="240" w:lineRule="auto"/>
      <w:ind w:left="1134" w:hanging="1134"/>
    </w:pPr>
    <w:rPr>
      <w:b/>
      <w:sz w:val="28"/>
    </w:rPr>
  </w:style>
  <w:style w:type="table" w:styleId="TableGrid">
    <w:name w:val="Table Grid"/>
    <w:basedOn w:val="TableNormal"/>
    <w:uiPriority w:val="59"/>
    <w:rsid w:val="009D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D013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D01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0130"/>
    <w:rPr>
      <w:sz w:val="22"/>
    </w:rPr>
  </w:style>
  <w:style w:type="paragraph" w:customStyle="1" w:styleId="SOTextNote">
    <w:name w:val="SO TextNote"/>
    <w:aliases w:val="sont"/>
    <w:basedOn w:val="SOText"/>
    <w:qFormat/>
    <w:rsid w:val="009D0130"/>
    <w:pPr>
      <w:spacing w:before="122" w:line="198" w:lineRule="exact"/>
      <w:ind w:left="1843" w:hanging="709"/>
    </w:pPr>
    <w:rPr>
      <w:sz w:val="18"/>
    </w:rPr>
  </w:style>
  <w:style w:type="paragraph" w:customStyle="1" w:styleId="SOPara">
    <w:name w:val="SO Para"/>
    <w:aliases w:val="soa"/>
    <w:basedOn w:val="SOText"/>
    <w:link w:val="SOParaChar"/>
    <w:qFormat/>
    <w:rsid w:val="009D0130"/>
    <w:pPr>
      <w:tabs>
        <w:tab w:val="right" w:pos="1786"/>
      </w:tabs>
      <w:spacing w:before="40"/>
      <w:ind w:left="2070" w:hanging="936"/>
    </w:pPr>
  </w:style>
  <w:style w:type="character" w:customStyle="1" w:styleId="SOParaChar">
    <w:name w:val="SO Para Char"/>
    <w:aliases w:val="soa Char"/>
    <w:basedOn w:val="DefaultParagraphFont"/>
    <w:link w:val="SOPara"/>
    <w:rsid w:val="009D0130"/>
    <w:rPr>
      <w:sz w:val="22"/>
    </w:rPr>
  </w:style>
  <w:style w:type="paragraph" w:customStyle="1" w:styleId="FileName">
    <w:name w:val="FileName"/>
    <w:basedOn w:val="Normal"/>
    <w:rsid w:val="009D0130"/>
  </w:style>
  <w:style w:type="paragraph" w:customStyle="1" w:styleId="SOHeadBold">
    <w:name w:val="SO HeadBold"/>
    <w:aliases w:val="sohb"/>
    <w:basedOn w:val="SOText"/>
    <w:next w:val="SOText"/>
    <w:link w:val="SOHeadBoldChar"/>
    <w:qFormat/>
    <w:rsid w:val="009D0130"/>
    <w:rPr>
      <w:b/>
    </w:rPr>
  </w:style>
  <w:style w:type="character" w:customStyle="1" w:styleId="SOHeadBoldChar">
    <w:name w:val="SO HeadBold Char"/>
    <w:aliases w:val="sohb Char"/>
    <w:basedOn w:val="DefaultParagraphFont"/>
    <w:link w:val="SOHeadBold"/>
    <w:rsid w:val="009D0130"/>
    <w:rPr>
      <w:b/>
      <w:sz w:val="22"/>
    </w:rPr>
  </w:style>
  <w:style w:type="paragraph" w:customStyle="1" w:styleId="SOHeadItalic">
    <w:name w:val="SO HeadItalic"/>
    <w:aliases w:val="sohi"/>
    <w:basedOn w:val="SOText"/>
    <w:next w:val="SOText"/>
    <w:link w:val="SOHeadItalicChar"/>
    <w:qFormat/>
    <w:rsid w:val="009D0130"/>
    <w:rPr>
      <w:i/>
    </w:rPr>
  </w:style>
  <w:style w:type="character" w:customStyle="1" w:styleId="SOHeadItalicChar">
    <w:name w:val="SO HeadItalic Char"/>
    <w:aliases w:val="sohi Char"/>
    <w:basedOn w:val="DefaultParagraphFont"/>
    <w:link w:val="SOHeadItalic"/>
    <w:rsid w:val="009D0130"/>
    <w:rPr>
      <w:i/>
      <w:sz w:val="22"/>
    </w:rPr>
  </w:style>
  <w:style w:type="paragraph" w:customStyle="1" w:styleId="SOBullet">
    <w:name w:val="SO Bullet"/>
    <w:aliases w:val="sotb"/>
    <w:basedOn w:val="SOText"/>
    <w:link w:val="SOBulletChar"/>
    <w:qFormat/>
    <w:rsid w:val="009D0130"/>
    <w:pPr>
      <w:ind w:left="1559" w:hanging="425"/>
    </w:pPr>
  </w:style>
  <w:style w:type="character" w:customStyle="1" w:styleId="SOBulletChar">
    <w:name w:val="SO Bullet Char"/>
    <w:aliases w:val="sotb Char"/>
    <w:basedOn w:val="DefaultParagraphFont"/>
    <w:link w:val="SOBullet"/>
    <w:rsid w:val="009D0130"/>
    <w:rPr>
      <w:sz w:val="22"/>
    </w:rPr>
  </w:style>
  <w:style w:type="paragraph" w:customStyle="1" w:styleId="SOBulletNote">
    <w:name w:val="SO BulletNote"/>
    <w:aliases w:val="sonb"/>
    <w:basedOn w:val="SOTextNote"/>
    <w:link w:val="SOBulletNoteChar"/>
    <w:qFormat/>
    <w:rsid w:val="009D0130"/>
    <w:pPr>
      <w:tabs>
        <w:tab w:val="left" w:pos="1560"/>
      </w:tabs>
      <w:ind w:left="2268" w:hanging="1134"/>
    </w:pPr>
  </w:style>
  <w:style w:type="character" w:customStyle="1" w:styleId="SOBulletNoteChar">
    <w:name w:val="SO BulletNote Char"/>
    <w:aliases w:val="sonb Char"/>
    <w:basedOn w:val="DefaultParagraphFont"/>
    <w:link w:val="SOBulletNote"/>
    <w:rsid w:val="009D0130"/>
    <w:rPr>
      <w:sz w:val="18"/>
    </w:rPr>
  </w:style>
  <w:style w:type="paragraph" w:customStyle="1" w:styleId="SOText2">
    <w:name w:val="SO Text2"/>
    <w:aliases w:val="sot2"/>
    <w:basedOn w:val="Normal"/>
    <w:next w:val="SOText"/>
    <w:link w:val="SOText2Char"/>
    <w:rsid w:val="009D01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0130"/>
    <w:rPr>
      <w:sz w:val="22"/>
    </w:rPr>
  </w:style>
  <w:style w:type="character" w:customStyle="1" w:styleId="subsectionChar">
    <w:name w:val="subsection Char"/>
    <w:aliases w:val="ss Char"/>
    <w:link w:val="subsection"/>
    <w:rsid w:val="00EC1424"/>
    <w:rPr>
      <w:rFonts w:eastAsia="Times New Roman" w:cs="Times New Roman"/>
      <w:sz w:val="22"/>
      <w:lang w:eastAsia="en-AU"/>
    </w:rPr>
  </w:style>
  <w:style w:type="character" w:customStyle="1" w:styleId="ActHead5Char">
    <w:name w:val="ActHead 5 Char"/>
    <w:aliases w:val="s Char"/>
    <w:link w:val="ActHead5"/>
    <w:rsid w:val="00EC1424"/>
    <w:rPr>
      <w:rFonts w:eastAsia="Times New Roman" w:cs="Times New Roman"/>
      <w:b/>
      <w:kern w:val="28"/>
      <w:sz w:val="24"/>
      <w:lang w:eastAsia="en-AU"/>
    </w:rPr>
  </w:style>
  <w:style w:type="paragraph" w:customStyle="1" w:styleId="tableText0">
    <w:name w:val="table.Text"/>
    <w:basedOn w:val="Normal"/>
    <w:rsid w:val="00EC1424"/>
    <w:pPr>
      <w:spacing w:before="24" w:after="24"/>
    </w:pPr>
    <w:rPr>
      <w:rFonts w:eastAsia="Calibri" w:cs="Times New Roman"/>
      <w:sz w:val="20"/>
    </w:rPr>
  </w:style>
  <w:style w:type="paragraph" w:customStyle="1" w:styleId="tableIndentText">
    <w:name w:val="table.Indent.Text"/>
    <w:rsid w:val="00EC1424"/>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DE2E26"/>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D81E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EE4"/>
    <w:rPr>
      <w:rFonts w:ascii="Tahoma" w:hAnsi="Tahoma" w:cs="Tahoma"/>
      <w:sz w:val="16"/>
      <w:szCs w:val="16"/>
    </w:rPr>
  </w:style>
  <w:style w:type="character" w:customStyle="1" w:styleId="paragraphChar">
    <w:name w:val="paragraph Char"/>
    <w:aliases w:val="a Char"/>
    <w:link w:val="paragraph"/>
    <w:rsid w:val="00B640B4"/>
    <w:rPr>
      <w:rFonts w:eastAsia="Times New Roman" w:cs="Times New Roman"/>
      <w:sz w:val="22"/>
      <w:lang w:eastAsia="en-AU"/>
    </w:rPr>
  </w:style>
  <w:style w:type="character" w:customStyle="1" w:styleId="ActHead4Char">
    <w:name w:val="ActHead 4 Char"/>
    <w:aliases w:val="sd Char"/>
    <w:link w:val="ActHead4"/>
    <w:rsid w:val="00B640B4"/>
    <w:rPr>
      <w:rFonts w:eastAsia="Times New Roman" w:cs="Times New Roman"/>
      <w:b/>
      <w:kern w:val="28"/>
      <w:sz w:val="26"/>
      <w:lang w:eastAsia="en-AU"/>
    </w:rPr>
  </w:style>
  <w:style w:type="character" w:customStyle="1" w:styleId="Heading1Char">
    <w:name w:val="Heading 1 Char"/>
    <w:basedOn w:val="DefaultParagraphFont"/>
    <w:link w:val="Heading1"/>
    <w:uiPriority w:val="9"/>
    <w:rsid w:val="00AB7C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B7C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B7C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B7C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B7C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B7C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B7C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B7C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7C6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B7C63"/>
    <w:pPr>
      <w:spacing w:before="800"/>
    </w:pPr>
  </w:style>
  <w:style w:type="character" w:customStyle="1" w:styleId="OPCParaBaseChar">
    <w:name w:val="OPCParaBase Char"/>
    <w:basedOn w:val="DefaultParagraphFont"/>
    <w:link w:val="OPCParaBase"/>
    <w:rsid w:val="00AB7C63"/>
    <w:rPr>
      <w:rFonts w:eastAsia="Times New Roman" w:cs="Times New Roman"/>
      <w:sz w:val="22"/>
      <w:lang w:eastAsia="en-AU"/>
    </w:rPr>
  </w:style>
  <w:style w:type="character" w:customStyle="1" w:styleId="ShortTChar">
    <w:name w:val="ShortT Char"/>
    <w:basedOn w:val="OPCParaBaseChar"/>
    <w:link w:val="ShortT"/>
    <w:rsid w:val="00AB7C63"/>
    <w:rPr>
      <w:rFonts w:eastAsia="Times New Roman" w:cs="Times New Roman"/>
      <w:b/>
      <w:sz w:val="40"/>
      <w:lang w:eastAsia="en-AU"/>
    </w:rPr>
  </w:style>
  <w:style w:type="character" w:customStyle="1" w:styleId="ShortTP1Char">
    <w:name w:val="ShortTP1 Char"/>
    <w:basedOn w:val="ShortTChar"/>
    <w:link w:val="ShortTP1"/>
    <w:rsid w:val="00AB7C63"/>
    <w:rPr>
      <w:rFonts w:eastAsia="Times New Roman" w:cs="Times New Roman"/>
      <w:b/>
      <w:sz w:val="40"/>
      <w:lang w:eastAsia="en-AU"/>
    </w:rPr>
  </w:style>
  <w:style w:type="paragraph" w:customStyle="1" w:styleId="ActNoP1">
    <w:name w:val="ActNoP1"/>
    <w:basedOn w:val="Actno"/>
    <w:link w:val="ActNoP1Char"/>
    <w:rsid w:val="00AB7C63"/>
    <w:pPr>
      <w:spacing w:before="800"/>
    </w:pPr>
    <w:rPr>
      <w:sz w:val="28"/>
    </w:rPr>
  </w:style>
  <w:style w:type="character" w:customStyle="1" w:styleId="ActnoChar">
    <w:name w:val="Actno Char"/>
    <w:basedOn w:val="ShortTChar"/>
    <w:link w:val="Actno"/>
    <w:rsid w:val="00AB7C63"/>
    <w:rPr>
      <w:rFonts w:eastAsia="Times New Roman" w:cs="Times New Roman"/>
      <w:b/>
      <w:sz w:val="40"/>
      <w:lang w:eastAsia="en-AU"/>
    </w:rPr>
  </w:style>
  <w:style w:type="character" w:customStyle="1" w:styleId="ActNoP1Char">
    <w:name w:val="ActNoP1 Char"/>
    <w:basedOn w:val="ActnoChar"/>
    <w:link w:val="ActNoP1"/>
    <w:rsid w:val="00AB7C63"/>
    <w:rPr>
      <w:rFonts w:eastAsia="Times New Roman" w:cs="Times New Roman"/>
      <w:b/>
      <w:sz w:val="28"/>
      <w:lang w:eastAsia="en-AU"/>
    </w:rPr>
  </w:style>
  <w:style w:type="paragraph" w:customStyle="1" w:styleId="ShortTCP">
    <w:name w:val="ShortTCP"/>
    <w:basedOn w:val="ShortT"/>
    <w:link w:val="ShortTCPChar"/>
    <w:rsid w:val="00AB7C63"/>
  </w:style>
  <w:style w:type="character" w:customStyle="1" w:styleId="ShortTCPChar">
    <w:name w:val="ShortTCP Char"/>
    <w:basedOn w:val="ShortTChar"/>
    <w:link w:val="ShortTCP"/>
    <w:rsid w:val="00AB7C63"/>
    <w:rPr>
      <w:rFonts w:eastAsia="Times New Roman" w:cs="Times New Roman"/>
      <w:b/>
      <w:sz w:val="40"/>
      <w:lang w:eastAsia="en-AU"/>
    </w:rPr>
  </w:style>
  <w:style w:type="paragraph" w:customStyle="1" w:styleId="ActNoCP">
    <w:name w:val="ActNoCP"/>
    <w:basedOn w:val="Actno"/>
    <w:link w:val="ActNoCPChar"/>
    <w:rsid w:val="00AB7C63"/>
    <w:pPr>
      <w:spacing w:before="400"/>
    </w:pPr>
  </w:style>
  <w:style w:type="character" w:customStyle="1" w:styleId="ActNoCPChar">
    <w:name w:val="ActNoCP Char"/>
    <w:basedOn w:val="ActnoChar"/>
    <w:link w:val="ActNoCP"/>
    <w:rsid w:val="00AB7C63"/>
    <w:rPr>
      <w:rFonts w:eastAsia="Times New Roman" w:cs="Times New Roman"/>
      <w:b/>
      <w:sz w:val="40"/>
      <w:lang w:eastAsia="en-AU"/>
    </w:rPr>
  </w:style>
  <w:style w:type="paragraph" w:customStyle="1" w:styleId="AssentBk">
    <w:name w:val="AssentBk"/>
    <w:basedOn w:val="Normal"/>
    <w:rsid w:val="00AB7C63"/>
    <w:pPr>
      <w:spacing w:line="240" w:lineRule="auto"/>
    </w:pPr>
    <w:rPr>
      <w:rFonts w:eastAsia="Times New Roman" w:cs="Times New Roman"/>
      <w:sz w:val="20"/>
      <w:lang w:eastAsia="en-AU"/>
    </w:rPr>
  </w:style>
  <w:style w:type="paragraph" w:customStyle="1" w:styleId="AssentDt">
    <w:name w:val="AssentDt"/>
    <w:basedOn w:val="Normal"/>
    <w:rsid w:val="00863324"/>
    <w:pPr>
      <w:spacing w:line="240" w:lineRule="auto"/>
    </w:pPr>
    <w:rPr>
      <w:rFonts w:eastAsia="Times New Roman" w:cs="Times New Roman"/>
      <w:sz w:val="20"/>
      <w:lang w:eastAsia="en-AU"/>
    </w:rPr>
  </w:style>
  <w:style w:type="paragraph" w:customStyle="1" w:styleId="2ndRd">
    <w:name w:val="2ndRd"/>
    <w:basedOn w:val="Normal"/>
    <w:rsid w:val="00863324"/>
    <w:pPr>
      <w:spacing w:line="240" w:lineRule="auto"/>
    </w:pPr>
    <w:rPr>
      <w:rFonts w:eastAsia="Times New Roman" w:cs="Times New Roman"/>
      <w:sz w:val="20"/>
      <w:lang w:eastAsia="en-AU"/>
    </w:rPr>
  </w:style>
  <w:style w:type="paragraph" w:customStyle="1" w:styleId="ScalePlusRef">
    <w:name w:val="ScalePlusRef"/>
    <w:basedOn w:val="Normal"/>
    <w:rsid w:val="0086332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4831</Words>
  <Characters>27543</Characters>
  <Application>Microsoft Office Word</Application>
  <DocSecurity>0</DocSecurity>
  <PresentationFormat/>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2015-12-01T00:16:00Z</dcterms:created>
  <dcterms:modified xsi:type="dcterms:W3CDTF">2015-12-01T05:06:00Z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and Superannuation Laws Amendment (2015 Measures No. 5) Act 2015</vt:lpwstr>
  </property>
  <property fmtid="{D5CDD505-2E9C-101B-9397-08002B2CF9AE}" pid="3" name="Actno">
    <vt:lpwstr>No. 162, 2015</vt:lpwstr>
  </property>
</Properties>
</file>