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Default="002C4F3F" w:rsidP="003B66E6">
      <w:pPr>
        <w:spacing w:after="0"/>
        <w:rPr>
          <w:caps/>
        </w:rPr>
      </w:pPr>
    </w:p>
    <w:p w:rsidR="00DA4BC8" w:rsidRPr="0059089C" w:rsidRDefault="00DA4BC8" w:rsidP="00DA4BC8">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DA4BC8" w:rsidRPr="0059089C" w:rsidTr="009D6C8D">
        <w:tc>
          <w:tcPr>
            <w:tcW w:w="1134" w:type="dxa"/>
          </w:tcPr>
          <w:p w:rsidR="00DA4BC8" w:rsidRPr="0059089C" w:rsidRDefault="00DA4BC8" w:rsidP="009D6C8D">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DA4BC8" w:rsidRPr="0059089C" w:rsidRDefault="00DA4BC8" w:rsidP="009D6C8D">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DA4BC8" w:rsidRPr="0059089C" w:rsidRDefault="00DA4BC8" w:rsidP="009D6C8D">
            <w:pPr>
              <w:spacing w:line="276" w:lineRule="auto"/>
              <w:rPr>
                <w:rFonts w:asciiTheme="minorHAnsi" w:hAnsiTheme="minorHAnsi"/>
                <w:b/>
                <w:sz w:val="16"/>
                <w:szCs w:val="16"/>
              </w:rPr>
            </w:pPr>
            <w:r w:rsidRPr="0059089C">
              <w:rPr>
                <w:rFonts w:asciiTheme="minorHAnsi" w:hAnsiTheme="minorHAnsi"/>
                <w:b/>
                <w:sz w:val="16"/>
                <w:szCs w:val="16"/>
              </w:rPr>
              <w:t>Date</w:t>
            </w:r>
          </w:p>
        </w:tc>
      </w:tr>
      <w:tr w:rsidR="00DA4BC8" w:rsidRPr="0059089C" w:rsidTr="009D6C8D">
        <w:tc>
          <w:tcPr>
            <w:tcW w:w="1134"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2015/7413</w:t>
            </w:r>
          </w:p>
        </w:tc>
        <w:tc>
          <w:tcPr>
            <w:tcW w:w="7513"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APT O&amp;M Services Pty Ltd/Energy generation and supply (non-renewable)/Pakenham and Koo Wee Rup/VIC/Koo Wee Rup Supply Main and Reticulation Project, Vic</w:t>
            </w:r>
          </w:p>
        </w:tc>
        <w:tc>
          <w:tcPr>
            <w:tcW w:w="992"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26/02/2015</w:t>
            </w:r>
          </w:p>
          <w:p w:rsidR="00DA4BC8" w:rsidRDefault="00DA4BC8" w:rsidP="009D6C8D">
            <w:pPr>
              <w:rPr>
                <w:rFonts w:ascii="Calibri" w:hAnsi="Calibri" w:cs="Arial"/>
                <w:color w:val="000000"/>
                <w:sz w:val="16"/>
                <w:szCs w:val="16"/>
              </w:rPr>
            </w:pPr>
          </w:p>
        </w:tc>
      </w:tr>
    </w:tbl>
    <w:p w:rsidR="00DA4BC8" w:rsidRPr="0059089C" w:rsidRDefault="00DA4BC8" w:rsidP="00DA4BC8">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DA4BC8" w:rsidRDefault="00DA4BC8" w:rsidP="003B66E6">
      <w:pPr>
        <w:spacing w:after="0"/>
        <w:rPr>
          <w:caps/>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506805">
        <w:tc>
          <w:tcPr>
            <w:tcW w:w="1134"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Date</w:t>
            </w:r>
          </w:p>
        </w:tc>
      </w:tr>
      <w:tr w:rsidR="00DA4BC8" w:rsidRPr="0059089C" w:rsidTr="009D6C8D">
        <w:tc>
          <w:tcPr>
            <w:tcW w:w="1134"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2013/6729</w:t>
            </w:r>
          </w:p>
        </w:tc>
        <w:tc>
          <w:tcPr>
            <w:tcW w:w="5387"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 xml:space="preserve">ATEC Rail Group Limited/Transport - land/From </w:t>
            </w:r>
            <w:proofErr w:type="spellStart"/>
            <w:r>
              <w:rPr>
                <w:rFonts w:ascii="Calibri" w:hAnsi="Calibri" w:cs="Arial"/>
                <w:color w:val="000000"/>
                <w:sz w:val="16"/>
                <w:szCs w:val="16"/>
              </w:rPr>
              <w:t>Columboola</w:t>
            </w:r>
            <w:proofErr w:type="spellEnd"/>
            <w:r>
              <w:rPr>
                <w:rFonts w:ascii="Calibri" w:hAnsi="Calibri" w:cs="Arial"/>
                <w:color w:val="000000"/>
                <w:sz w:val="16"/>
                <w:szCs w:val="16"/>
              </w:rPr>
              <w:t xml:space="preserve">, north to </w:t>
            </w:r>
            <w:proofErr w:type="spellStart"/>
            <w:r>
              <w:rPr>
                <w:rFonts w:ascii="Calibri" w:hAnsi="Calibri" w:cs="Arial"/>
                <w:color w:val="000000"/>
                <w:sz w:val="16"/>
                <w:szCs w:val="16"/>
              </w:rPr>
              <w:t>Kowguran</w:t>
            </w:r>
            <w:proofErr w:type="spellEnd"/>
            <w:r>
              <w:rPr>
                <w:rFonts w:ascii="Calibri" w:hAnsi="Calibri" w:cs="Arial"/>
                <w:color w:val="000000"/>
                <w:sz w:val="16"/>
                <w:szCs w:val="16"/>
              </w:rPr>
              <w:t>/QLD/Construction of the Central Surat Rail Project</w:t>
            </w:r>
          </w:p>
        </w:tc>
        <w:tc>
          <w:tcPr>
            <w:tcW w:w="2126"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Preliminary Documentation</w:t>
            </w:r>
          </w:p>
          <w:p w:rsidR="00DA4BC8" w:rsidRDefault="00DA4BC8" w:rsidP="009D6C8D">
            <w:pPr>
              <w:rPr>
                <w:rFonts w:ascii="Calibri" w:hAnsi="Calibri" w:cs="Arial"/>
                <w:color w:val="000000"/>
                <w:sz w:val="16"/>
                <w:szCs w:val="16"/>
              </w:rPr>
            </w:pPr>
          </w:p>
        </w:tc>
        <w:tc>
          <w:tcPr>
            <w:tcW w:w="992" w:type="dxa"/>
          </w:tcPr>
          <w:p w:rsidR="00DA4BC8" w:rsidRDefault="00DA4BC8" w:rsidP="009D6C8D">
            <w:pPr>
              <w:rPr>
                <w:rFonts w:ascii="Calibri" w:hAnsi="Calibri" w:cs="Arial"/>
                <w:color w:val="000000"/>
                <w:sz w:val="16"/>
                <w:szCs w:val="16"/>
              </w:rPr>
            </w:pPr>
            <w:r>
              <w:rPr>
                <w:rFonts w:ascii="Calibri" w:hAnsi="Calibri" w:cs="Arial"/>
                <w:color w:val="000000"/>
                <w:sz w:val="16"/>
                <w:szCs w:val="16"/>
              </w:rPr>
              <w:t>23/02/2015</w:t>
            </w:r>
          </w:p>
          <w:p w:rsidR="00DA4BC8" w:rsidRDefault="00DA4BC8" w:rsidP="009D6C8D">
            <w:pPr>
              <w:rPr>
                <w:rFonts w:ascii="Calibri" w:hAnsi="Calibri" w:cs="Arial"/>
                <w:color w:val="000000"/>
                <w:sz w:val="16"/>
                <w:szCs w:val="16"/>
              </w:rPr>
            </w:pPr>
          </w:p>
        </w:tc>
      </w:tr>
    </w:tbl>
    <w:p w:rsidR="00841C3C" w:rsidRPr="002C4F3F" w:rsidRDefault="00841C3C" w:rsidP="003B66E6">
      <w:pPr>
        <w:spacing w:after="0"/>
        <w:rPr>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506805">
        <w:tc>
          <w:tcPr>
            <w:tcW w:w="1134"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Date</w:t>
            </w:r>
          </w:p>
        </w:tc>
      </w:tr>
      <w:tr w:rsidR="007C2F69" w:rsidRPr="0059089C" w:rsidTr="009D6C8D">
        <w:tc>
          <w:tcPr>
            <w:tcW w:w="1134" w:type="dxa"/>
          </w:tcPr>
          <w:p w:rsidR="007C2F69" w:rsidRDefault="007C2F69" w:rsidP="009D6C8D">
            <w:pPr>
              <w:rPr>
                <w:rFonts w:ascii="Calibri" w:hAnsi="Calibri" w:cs="Arial"/>
                <w:color w:val="000000"/>
                <w:sz w:val="16"/>
                <w:szCs w:val="16"/>
              </w:rPr>
            </w:pPr>
            <w:r>
              <w:rPr>
                <w:rFonts w:ascii="Calibri" w:hAnsi="Calibri" w:cs="Arial"/>
                <w:color w:val="000000"/>
                <w:sz w:val="16"/>
                <w:szCs w:val="16"/>
              </w:rPr>
              <w:t>2013/7088</w:t>
            </w:r>
          </w:p>
        </w:tc>
        <w:tc>
          <w:tcPr>
            <w:tcW w:w="5387" w:type="dxa"/>
          </w:tcPr>
          <w:p w:rsidR="007C2F69" w:rsidRDefault="007C2F69" w:rsidP="009D6C8D">
            <w:pPr>
              <w:rPr>
                <w:rFonts w:ascii="Calibri" w:hAnsi="Calibri" w:cs="Arial"/>
                <w:color w:val="000000"/>
                <w:sz w:val="16"/>
                <w:szCs w:val="16"/>
              </w:rPr>
            </w:pPr>
            <w:r>
              <w:rPr>
                <w:rFonts w:ascii="Calibri" w:hAnsi="Calibri" w:cs="Arial"/>
                <w:color w:val="000000"/>
                <w:sz w:val="16"/>
                <w:szCs w:val="16"/>
              </w:rPr>
              <w:t>Norwest Energy NL/Exploration (mineral, oil and gas - non-marine)/</w:t>
            </w:r>
            <w:proofErr w:type="spellStart"/>
            <w:r>
              <w:rPr>
                <w:rFonts w:ascii="Calibri" w:hAnsi="Calibri" w:cs="Arial"/>
                <w:color w:val="000000"/>
                <w:sz w:val="16"/>
                <w:szCs w:val="16"/>
              </w:rPr>
              <w:t>Arrowsmith</w:t>
            </w:r>
            <w:proofErr w:type="spellEnd"/>
            <w:r>
              <w:rPr>
                <w:rFonts w:ascii="Calibri" w:hAnsi="Calibri" w:cs="Arial"/>
                <w:color w:val="000000"/>
                <w:sz w:val="16"/>
                <w:szCs w:val="16"/>
              </w:rPr>
              <w:t>/WA/Undertake seismic survey to assess shale resources</w:t>
            </w:r>
          </w:p>
        </w:tc>
        <w:tc>
          <w:tcPr>
            <w:tcW w:w="2126" w:type="dxa"/>
          </w:tcPr>
          <w:p w:rsidR="007C2F69" w:rsidRDefault="007C2F69" w:rsidP="009D6C8D">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7C2F69" w:rsidRDefault="007C2F69" w:rsidP="009D6C8D">
            <w:pPr>
              <w:rPr>
                <w:rFonts w:ascii="Calibri" w:hAnsi="Calibri" w:cs="Arial"/>
                <w:color w:val="000000"/>
                <w:sz w:val="16"/>
                <w:szCs w:val="16"/>
              </w:rPr>
            </w:pPr>
            <w:r>
              <w:rPr>
                <w:rFonts w:ascii="Calibri" w:hAnsi="Calibri" w:cs="Arial"/>
                <w:color w:val="000000"/>
                <w:sz w:val="16"/>
                <w:szCs w:val="16"/>
              </w:rPr>
              <w:t>25/02/2015</w:t>
            </w:r>
          </w:p>
        </w:tc>
      </w:tr>
    </w:tbl>
    <w:p w:rsidR="008B3EB7" w:rsidRPr="002C4F3F" w:rsidRDefault="008B3EB7" w:rsidP="003B66E6">
      <w:pPr>
        <w:spacing w:after="0"/>
        <w:rPr>
          <w:szCs w:val="16"/>
        </w:rPr>
      </w:pPr>
    </w:p>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387"/>
        <w:gridCol w:w="2126"/>
        <w:gridCol w:w="992"/>
      </w:tblGrid>
      <w:tr w:rsidR="008B3EB7" w:rsidRPr="0059089C" w:rsidTr="00506805">
        <w:tc>
          <w:tcPr>
            <w:tcW w:w="1134"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900DFB">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00DFB">
              <w:rPr>
                <w:rFonts w:asciiTheme="minorHAnsi" w:hAnsiTheme="minorHAnsi"/>
                <w:b/>
                <w:sz w:val="16"/>
                <w:szCs w:val="16"/>
              </w:rPr>
              <w:t>to</w:t>
            </w:r>
          </w:p>
        </w:tc>
        <w:tc>
          <w:tcPr>
            <w:tcW w:w="992" w:type="dxa"/>
          </w:tcPr>
          <w:p w:rsidR="008B3EB7" w:rsidRPr="0059089C" w:rsidRDefault="008B3EB7" w:rsidP="00506805">
            <w:pPr>
              <w:spacing w:line="276" w:lineRule="auto"/>
              <w:rPr>
                <w:rFonts w:asciiTheme="minorHAnsi" w:hAnsiTheme="minorHAnsi"/>
                <w:b/>
                <w:sz w:val="16"/>
                <w:szCs w:val="16"/>
              </w:rPr>
            </w:pPr>
            <w:r w:rsidRPr="0059089C">
              <w:rPr>
                <w:rFonts w:asciiTheme="minorHAnsi" w:hAnsiTheme="minorHAnsi"/>
                <w:b/>
                <w:sz w:val="16"/>
                <w:szCs w:val="16"/>
              </w:rPr>
              <w:t>Date</w:t>
            </w:r>
          </w:p>
        </w:tc>
      </w:tr>
      <w:tr w:rsidR="007C2F69" w:rsidRPr="0059089C" w:rsidTr="00900DFB">
        <w:tc>
          <w:tcPr>
            <w:tcW w:w="1134"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2012/6351</w:t>
            </w:r>
          </w:p>
        </w:tc>
        <w:tc>
          <w:tcPr>
            <w:tcW w:w="5387"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Bushland Grove Pty Ltd /Residential development/Mt Low/QLD/Mt Low Developments Master Planned Community</w:t>
            </w:r>
          </w:p>
        </w:tc>
        <w:tc>
          <w:tcPr>
            <w:tcW w:w="2126" w:type="dxa"/>
          </w:tcPr>
          <w:p w:rsidR="007C2F69" w:rsidRDefault="00900DFB" w:rsidP="00900DFB">
            <w:pPr>
              <w:rPr>
                <w:rFonts w:ascii="Calibri" w:hAnsi="Calibri" w:cs="Arial"/>
                <w:color w:val="000000"/>
                <w:sz w:val="16"/>
                <w:szCs w:val="16"/>
              </w:rPr>
            </w:pPr>
            <w:r>
              <w:rPr>
                <w:rFonts w:ascii="Calibri" w:hAnsi="Calibri" w:cs="Arial"/>
                <w:color w:val="000000"/>
                <w:sz w:val="16"/>
                <w:szCs w:val="16"/>
              </w:rPr>
              <w:t>30 June 2015</w:t>
            </w:r>
          </w:p>
        </w:tc>
        <w:tc>
          <w:tcPr>
            <w:tcW w:w="992"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25/02/2015</w:t>
            </w:r>
          </w:p>
          <w:p w:rsidR="007C2F69" w:rsidRDefault="007C2F69" w:rsidP="00900DFB">
            <w:pPr>
              <w:rPr>
                <w:rFonts w:ascii="Calibri" w:hAnsi="Calibri" w:cs="Arial"/>
                <w:color w:val="000000"/>
                <w:sz w:val="16"/>
                <w:szCs w:val="16"/>
              </w:rPr>
            </w:pPr>
          </w:p>
        </w:tc>
      </w:tr>
      <w:tr w:rsidR="007C2F69" w:rsidRPr="0059089C" w:rsidTr="00900DFB">
        <w:tc>
          <w:tcPr>
            <w:tcW w:w="1134"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2012/6643</w:t>
            </w:r>
          </w:p>
        </w:tc>
        <w:tc>
          <w:tcPr>
            <w:tcW w:w="5387"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Eaton Place Pty Ltd/Tourism and recreation/Hummock Hill Island 30km south east of Gladstone/QLD/</w:t>
            </w:r>
            <w:proofErr w:type="spellStart"/>
            <w:r>
              <w:rPr>
                <w:rFonts w:ascii="Calibri" w:hAnsi="Calibri" w:cs="Arial"/>
                <w:color w:val="000000"/>
                <w:sz w:val="16"/>
                <w:szCs w:val="16"/>
              </w:rPr>
              <w:t>Pacificus</w:t>
            </w:r>
            <w:proofErr w:type="spellEnd"/>
            <w:r>
              <w:rPr>
                <w:rFonts w:ascii="Calibri" w:hAnsi="Calibri" w:cs="Arial"/>
                <w:color w:val="000000"/>
                <w:sz w:val="16"/>
                <w:szCs w:val="16"/>
              </w:rPr>
              <w:t xml:space="preserve"> Tourism Project</w:t>
            </w:r>
          </w:p>
        </w:tc>
        <w:tc>
          <w:tcPr>
            <w:tcW w:w="2126" w:type="dxa"/>
          </w:tcPr>
          <w:p w:rsidR="007C2F69" w:rsidRDefault="00900DFB" w:rsidP="00900DFB">
            <w:pPr>
              <w:rPr>
                <w:rFonts w:ascii="Calibri" w:hAnsi="Calibri" w:cs="Arial"/>
                <w:color w:val="000000"/>
                <w:sz w:val="16"/>
                <w:szCs w:val="16"/>
              </w:rPr>
            </w:pPr>
            <w:r>
              <w:rPr>
                <w:rFonts w:ascii="Calibri" w:hAnsi="Calibri" w:cs="Arial"/>
                <w:color w:val="000000"/>
                <w:sz w:val="16"/>
                <w:szCs w:val="16"/>
              </w:rPr>
              <w:t>31 August 2015</w:t>
            </w:r>
          </w:p>
        </w:tc>
        <w:tc>
          <w:tcPr>
            <w:tcW w:w="992"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26/02/2015</w:t>
            </w:r>
          </w:p>
          <w:p w:rsidR="007C2F69" w:rsidRDefault="007C2F69" w:rsidP="00900DFB">
            <w:pPr>
              <w:spacing w:line="276" w:lineRule="auto"/>
              <w:rPr>
                <w:rFonts w:ascii="Calibri" w:hAnsi="Calibri" w:cs="Arial"/>
                <w:color w:val="000000"/>
                <w:sz w:val="16"/>
                <w:szCs w:val="16"/>
              </w:rPr>
            </w:pPr>
          </w:p>
        </w:tc>
      </w:tr>
      <w:tr w:rsidR="007C2F69" w:rsidRPr="0059089C" w:rsidTr="00900DFB">
        <w:tc>
          <w:tcPr>
            <w:tcW w:w="1134"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2014/7169</w:t>
            </w:r>
          </w:p>
        </w:tc>
        <w:tc>
          <w:tcPr>
            <w:tcW w:w="5387" w:type="dxa"/>
          </w:tcPr>
          <w:p w:rsidR="007C2F69" w:rsidRDefault="007C2F69" w:rsidP="00900DFB">
            <w:pPr>
              <w:rPr>
                <w:rFonts w:ascii="Calibri" w:hAnsi="Calibri" w:cs="Arial"/>
                <w:color w:val="000000"/>
                <w:sz w:val="16"/>
                <w:szCs w:val="16"/>
              </w:rPr>
            </w:pPr>
            <w:proofErr w:type="spellStart"/>
            <w:r>
              <w:rPr>
                <w:rFonts w:ascii="Calibri" w:hAnsi="Calibri" w:cs="Arial"/>
                <w:color w:val="000000"/>
                <w:sz w:val="16"/>
                <w:szCs w:val="16"/>
              </w:rPr>
              <w:t>Aquis</w:t>
            </w:r>
            <w:proofErr w:type="spellEnd"/>
            <w:r>
              <w:rPr>
                <w:rFonts w:ascii="Calibri" w:hAnsi="Calibri" w:cs="Arial"/>
                <w:color w:val="000000"/>
                <w:sz w:val="16"/>
                <w:szCs w:val="16"/>
              </w:rPr>
              <w:t xml:space="preserve"> Resort at The Great Barrier Reef Pty Ltd/Commercial development/</w:t>
            </w:r>
            <w:proofErr w:type="spellStart"/>
            <w:r>
              <w:rPr>
                <w:rFonts w:ascii="Calibri" w:hAnsi="Calibri" w:cs="Arial"/>
                <w:color w:val="000000"/>
                <w:sz w:val="16"/>
                <w:szCs w:val="16"/>
              </w:rPr>
              <w:t>Yorkeys</w:t>
            </w:r>
            <w:proofErr w:type="spellEnd"/>
            <w:r>
              <w:rPr>
                <w:rFonts w:ascii="Calibri" w:hAnsi="Calibri" w:cs="Arial"/>
                <w:color w:val="000000"/>
                <w:sz w:val="16"/>
                <w:szCs w:val="16"/>
              </w:rPr>
              <w:t xml:space="preserve"> Knob Rd, approximately 13kms north of Cairns/QLD/</w:t>
            </w:r>
            <w:proofErr w:type="spellStart"/>
            <w:r>
              <w:rPr>
                <w:rFonts w:ascii="Calibri" w:hAnsi="Calibri" w:cs="Arial"/>
                <w:color w:val="000000"/>
                <w:sz w:val="16"/>
                <w:szCs w:val="16"/>
              </w:rPr>
              <w:t>Aquis</w:t>
            </w:r>
            <w:proofErr w:type="spellEnd"/>
            <w:r>
              <w:rPr>
                <w:rFonts w:ascii="Calibri" w:hAnsi="Calibri" w:cs="Arial"/>
                <w:color w:val="000000"/>
                <w:sz w:val="16"/>
                <w:szCs w:val="16"/>
              </w:rPr>
              <w:t xml:space="preserve"> Resort and Casino at The Great Barrier Reef, Qld</w:t>
            </w:r>
          </w:p>
        </w:tc>
        <w:tc>
          <w:tcPr>
            <w:tcW w:w="2126" w:type="dxa"/>
          </w:tcPr>
          <w:p w:rsidR="007C2F69" w:rsidRDefault="00900DFB" w:rsidP="00900DFB">
            <w:pPr>
              <w:rPr>
                <w:rFonts w:ascii="Calibri" w:hAnsi="Calibri" w:cs="Arial"/>
                <w:color w:val="000000"/>
                <w:sz w:val="16"/>
                <w:szCs w:val="16"/>
              </w:rPr>
            </w:pPr>
            <w:r>
              <w:rPr>
                <w:rFonts w:ascii="Calibri" w:hAnsi="Calibri" w:cs="Arial"/>
                <w:color w:val="000000"/>
                <w:sz w:val="16"/>
                <w:szCs w:val="16"/>
              </w:rPr>
              <w:t>30 April 2015</w:t>
            </w:r>
          </w:p>
        </w:tc>
        <w:tc>
          <w:tcPr>
            <w:tcW w:w="992"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25/02/2015</w:t>
            </w:r>
          </w:p>
        </w:tc>
      </w:tr>
      <w:tr w:rsidR="007C2F69" w:rsidRPr="0059089C" w:rsidTr="00900DFB">
        <w:tc>
          <w:tcPr>
            <w:tcW w:w="1134"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2014/7355</w:t>
            </w:r>
          </w:p>
        </w:tc>
        <w:tc>
          <w:tcPr>
            <w:tcW w:w="5387"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The Minister for Economic Development Queensland/Transport - water/Abbot Point/QLD/Abbot Point Port and Wetland Enhancement Project, Abbot Point, Qld</w:t>
            </w:r>
          </w:p>
        </w:tc>
        <w:tc>
          <w:tcPr>
            <w:tcW w:w="2126" w:type="dxa"/>
          </w:tcPr>
          <w:p w:rsidR="007C2F69" w:rsidRDefault="00900DFB" w:rsidP="00900DFB">
            <w:pPr>
              <w:rPr>
                <w:rFonts w:ascii="Calibri" w:hAnsi="Calibri" w:cs="Arial"/>
                <w:color w:val="000000"/>
                <w:sz w:val="16"/>
                <w:szCs w:val="16"/>
              </w:rPr>
            </w:pPr>
            <w:r>
              <w:rPr>
                <w:rFonts w:ascii="Calibri" w:hAnsi="Calibri" w:cs="Arial"/>
                <w:color w:val="000000"/>
                <w:sz w:val="16"/>
                <w:szCs w:val="16"/>
              </w:rPr>
              <w:t>30  April 2015</w:t>
            </w:r>
          </w:p>
        </w:tc>
        <w:tc>
          <w:tcPr>
            <w:tcW w:w="992"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26/02/2015</w:t>
            </w:r>
          </w:p>
        </w:tc>
      </w:tr>
      <w:tr w:rsidR="007C2F69" w:rsidRPr="0059089C" w:rsidTr="00900DFB">
        <w:tc>
          <w:tcPr>
            <w:tcW w:w="1134"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2014/7356</w:t>
            </w:r>
          </w:p>
        </w:tc>
        <w:tc>
          <w:tcPr>
            <w:tcW w:w="5387"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The Minister for Economic Development Queensland/Transport - water/Abbot Point/QLD/Abbot Point Dredging and onshore placement of dredged material, Abbot Point, Qld</w:t>
            </w:r>
          </w:p>
        </w:tc>
        <w:tc>
          <w:tcPr>
            <w:tcW w:w="2126" w:type="dxa"/>
          </w:tcPr>
          <w:p w:rsidR="007C2F69" w:rsidRDefault="00900DFB" w:rsidP="00900DFB">
            <w:pPr>
              <w:rPr>
                <w:rFonts w:ascii="Calibri" w:hAnsi="Calibri" w:cs="Arial"/>
                <w:color w:val="000000"/>
                <w:sz w:val="16"/>
                <w:szCs w:val="16"/>
              </w:rPr>
            </w:pPr>
            <w:r>
              <w:rPr>
                <w:rFonts w:ascii="Calibri" w:hAnsi="Calibri" w:cs="Arial"/>
                <w:color w:val="000000"/>
                <w:sz w:val="16"/>
                <w:szCs w:val="16"/>
              </w:rPr>
              <w:t>30 April 2015</w:t>
            </w:r>
          </w:p>
        </w:tc>
        <w:tc>
          <w:tcPr>
            <w:tcW w:w="992" w:type="dxa"/>
          </w:tcPr>
          <w:p w:rsidR="007C2F69" w:rsidRDefault="007C2F69" w:rsidP="00900DFB">
            <w:pPr>
              <w:rPr>
                <w:rFonts w:ascii="Calibri" w:hAnsi="Calibri" w:cs="Arial"/>
                <w:color w:val="000000"/>
                <w:sz w:val="16"/>
                <w:szCs w:val="16"/>
              </w:rPr>
            </w:pPr>
            <w:r>
              <w:rPr>
                <w:rFonts w:ascii="Calibri" w:hAnsi="Calibri" w:cs="Arial"/>
                <w:color w:val="000000"/>
                <w:sz w:val="16"/>
                <w:szCs w:val="16"/>
              </w:rPr>
              <w:t>26/02/2015</w:t>
            </w:r>
          </w:p>
        </w:tc>
      </w:tr>
    </w:tbl>
    <w:p w:rsidR="004021AD" w:rsidRDefault="004021AD" w:rsidP="003B66E6">
      <w:pPr>
        <w:spacing w:after="0"/>
        <w:rPr>
          <w:caps/>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8D" w:rsidRDefault="009D6C8D" w:rsidP="003A707F">
      <w:pPr>
        <w:spacing w:after="0" w:line="240" w:lineRule="auto"/>
      </w:pPr>
      <w:r>
        <w:separator/>
      </w:r>
    </w:p>
  </w:endnote>
  <w:endnote w:type="continuationSeparator" w:id="0">
    <w:p w:rsidR="009D6C8D" w:rsidRDefault="009D6C8D"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8D" w:rsidRDefault="009D6C8D" w:rsidP="003A707F">
      <w:pPr>
        <w:spacing w:after="0" w:line="240" w:lineRule="auto"/>
      </w:pPr>
      <w:r>
        <w:separator/>
      </w:r>
    </w:p>
  </w:footnote>
  <w:footnote w:type="continuationSeparator" w:id="0">
    <w:p w:rsidR="009D6C8D" w:rsidRDefault="009D6C8D"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9D6C8D"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D6C8D" w:rsidRPr="00CE796A" w:rsidRDefault="009D6C8D"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D6C8D" w:rsidRPr="00CE796A" w:rsidRDefault="009D6C8D"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9D6C8D" w:rsidRPr="00CE796A" w:rsidRDefault="009D6C8D"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D6C8D"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D6C8D" w:rsidRPr="00CE796A" w:rsidRDefault="009D6C8D"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D6C8D" w:rsidRPr="00840A06" w:rsidRDefault="009D6C8D"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9D6C8D" w:rsidRPr="003A707F" w:rsidRDefault="009D6C8D" w:rsidP="00F40885">
    <w:pPr>
      <w:pStyle w:val="Header"/>
      <w:rPr>
        <w:sz w:val="2"/>
        <w:szCs w:val="2"/>
      </w:rPr>
    </w:pPr>
  </w:p>
  <w:p w:rsidR="009D6C8D" w:rsidRPr="00F40885" w:rsidRDefault="009D6C8D">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rsids>
    <w:rsidRoot w:val="008E4F6C"/>
    <w:rsid w:val="000252C2"/>
    <w:rsid w:val="00034184"/>
    <w:rsid w:val="000A2BDB"/>
    <w:rsid w:val="000E1F2B"/>
    <w:rsid w:val="001454DF"/>
    <w:rsid w:val="0018568B"/>
    <w:rsid w:val="001A36FD"/>
    <w:rsid w:val="001C2AAD"/>
    <w:rsid w:val="001E3481"/>
    <w:rsid w:val="001F526E"/>
    <w:rsid w:val="001F6E54"/>
    <w:rsid w:val="00237CE7"/>
    <w:rsid w:val="00280818"/>
    <w:rsid w:val="00280BCD"/>
    <w:rsid w:val="002A21FB"/>
    <w:rsid w:val="002C4F3F"/>
    <w:rsid w:val="002E5F1D"/>
    <w:rsid w:val="003117F9"/>
    <w:rsid w:val="00341969"/>
    <w:rsid w:val="00361F79"/>
    <w:rsid w:val="00365117"/>
    <w:rsid w:val="003A707F"/>
    <w:rsid w:val="003B0EC1"/>
    <w:rsid w:val="003B573B"/>
    <w:rsid w:val="003B66E6"/>
    <w:rsid w:val="003D71BC"/>
    <w:rsid w:val="003E7076"/>
    <w:rsid w:val="003F2CBD"/>
    <w:rsid w:val="004021AD"/>
    <w:rsid w:val="00424B97"/>
    <w:rsid w:val="00445473"/>
    <w:rsid w:val="004B2753"/>
    <w:rsid w:val="004F66BD"/>
    <w:rsid w:val="00506805"/>
    <w:rsid w:val="00520873"/>
    <w:rsid w:val="00566CA3"/>
    <w:rsid w:val="00573D44"/>
    <w:rsid w:val="005C5592"/>
    <w:rsid w:val="00656A10"/>
    <w:rsid w:val="0067768F"/>
    <w:rsid w:val="007A63E4"/>
    <w:rsid w:val="007C2F69"/>
    <w:rsid w:val="00840A06"/>
    <w:rsid w:val="00841C3C"/>
    <w:rsid w:val="008439B7"/>
    <w:rsid w:val="0087253F"/>
    <w:rsid w:val="008B3EB7"/>
    <w:rsid w:val="008D53DD"/>
    <w:rsid w:val="008D596A"/>
    <w:rsid w:val="008E4F6C"/>
    <w:rsid w:val="00900DFB"/>
    <w:rsid w:val="00925A2C"/>
    <w:rsid w:val="009519AD"/>
    <w:rsid w:val="009539C7"/>
    <w:rsid w:val="00963825"/>
    <w:rsid w:val="009C4E63"/>
    <w:rsid w:val="009D6C8D"/>
    <w:rsid w:val="009F2BF9"/>
    <w:rsid w:val="00A00F21"/>
    <w:rsid w:val="00A162B8"/>
    <w:rsid w:val="00A17F8A"/>
    <w:rsid w:val="00A53659"/>
    <w:rsid w:val="00AA5128"/>
    <w:rsid w:val="00AA5F14"/>
    <w:rsid w:val="00B279FA"/>
    <w:rsid w:val="00B3650E"/>
    <w:rsid w:val="00B466DD"/>
    <w:rsid w:val="00B610AC"/>
    <w:rsid w:val="00B83BBD"/>
    <w:rsid w:val="00B84226"/>
    <w:rsid w:val="00B97629"/>
    <w:rsid w:val="00BF4ECD"/>
    <w:rsid w:val="00BF4F72"/>
    <w:rsid w:val="00C23A3D"/>
    <w:rsid w:val="00C272B1"/>
    <w:rsid w:val="00C60E1A"/>
    <w:rsid w:val="00C6395C"/>
    <w:rsid w:val="00C63C4E"/>
    <w:rsid w:val="00CC240A"/>
    <w:rsid w:val="00D04B83"/>
    <w:rsid w:val="00D16C77"/>
    <w:rsid w:val="00D77A88"/>
    <w:rsid w:val="00DA4BC8"/>
    <w:rsid w:val="00F11B12"/>
    <w:rsid w:val="00F40885"/>
    <w:rsid w:val="00F5559F"/>
    <w:rsid w:val="00F73882"/>
    <w:rsid w:val="00FB49AE"/>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477766731">
      <w:bodyDiv w:val="1"/>
      <w:marLeft w:val="0"/>
      <w:marRight w:val="0"/>
      <w:marTop w:val="0"/>
      <w:marBottom w:val="0"/>
      <w:divBdr>
        <w:top w:val="none" w:sz="0" w:space="0" w:color="auto"/>
        <w:left w:val="none" w:sz="0" w:space="0" w:color="auto"/>
        <w:bottom w:val="none" w:sz="0" w:space="0" w:color="auto"/>
        <w:right w:val="none" w:sz="0" w:space="0" w:color="auto"/>
      </w:divBdr>
    </w:div>
    <w:div w:id="488861307">
      <w:bodyDiv w:val="1"/>
      <w:marLeft w:val="0"/>
      <w:marRight w:val="0"/>
      <w:marTop w:val="0"/>
      <w:marBottom w:val="0"/>
      <w:divBdr>
        <w:top w:val="none" w:sz="0" w:space="0" w:color="auto"/>
        <w:left w:val="none" w:sz="0" w:space="0" w:color="auto"/>
        <w:bottom w:val="none" w:sz="0" w:space="0" w:color="auto"/>
        <w:right w:val="none" w:sz="0" w:space="0" w:color="auto"/>
      </w:divBdr>
    </w:div>
    <w:div w:id="815873346">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618103712">
      <w:bodyDiv w:val="1"/>
      <w:marLeft w:val="0"/>
      <w:marRight w:val="0"/>
      <w:marTop w:val="0"/>
      <w:marBottom w:val="0"/>
      <w:divBdr>
        <w:top w:val="none" w:sz="0" w:space="0" w:color="auto"/>
        <w:left w:val="none" w:sz="0" w:space="0" w:color="auto"/>
        <w:bottom w:val="none" w:sz="0" w:space="0" w:color="auto"/>
        <w:right w:val="none" w:sz="0" w:space="0" w:color="auto"/>
      </w:divBdr>
    </w:div>
    <w:div w:id="1986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150220</DocumentDescription>
    <Function xmlns="426d917c-97c2-4e4d-83fc-c9396d0fafe9">Administration</Function>
    <Approval xmlns="426d917c-97c2-4e4d-83fc-c9396d0fafe9">Approved</Approval>
    <RecordNumber xmlns="426d917c-97c2-4e4d-83fc-c9396d0fafe9"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26d917c-97c2-4e4d-83fc-c9396d0fafe9"/>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8A21CDA-3423-4859-BF1D-E3E12C1A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51C827-099C-4DCC-A8F1-57F5C9A6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Gazette-150227</vt:lpstr>
    </vt:vector>
  </TitlesOfParts>
  <Company>Office of Parliamentary Counsel</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Gazette-150227</dc:title>
  <dc:creator>Oliver, Bev</dc:creator>
  <cp:lastModifiedBy>A01338</cp:lastModifiedBy>
  <cp:revision>3</cp:revision>
  <cp:lastPrinted>2013-06-24T01:35:00Z</cp:lastPrinted>
  <dcterms:created xsi:type="dcterms:W3CDTF">2015-02-27T06:28:00Z</dcterms:created>
  <dcterms:modified xsi:type="dcterms:W3CDTF">2015-03-01T23:23:00Z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{ce7f8c18-6fd6-443f-81bd-22eadd7c3bd6}</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