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bookmarkStart w:id="0" w:name="_GoBack"/>
      <w:bookmarkEnd w:id="0"/>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152484" w:rsidRDefault="00152484" w:rsidP="004958FF">
            <w:pPr>
              <w:spacing w:after="120" w:line="240" w:lineRule="auto"/>
              <w:rPr>
                <w:rFonts w:ascii="Arial" w:hAnsi="Arial" w:cs="Arial"/>
                <w:sz w:val="20"/>
                <w:szCs w:val="20"/>
              </w:rPr>
            </w:pPr>
            <w:r w:rsidRPr="00152484">
              <w:rPr>
                <w:rFonts w:ascii="Arial" w:hAnsi="Arial" w:cs="Arial"/>
                <w:sz w:val="20"/>
                <w:szCs w:val="20"/>
              </w:rPr>
              <w:t>CR 2015/24</w:t>
            </w:r>
          </w:p>
        </w:tc>
        <w:tc>
          <w:tcPr>
            <w:tcW w:w="3780" w:type="dxa"/>
            <w:tcBorders>
              <w:top w:val="single" w:sz="6" w:space="0" w:color="auto"/>
              <w:left w:val="single" w:sz="6" w:space="0" w:color="auto"/>
              <w:bottom w:val="single" w:sz="6" w:space="0" w:color="auto"/>
              <w:right w:val="single" w:sz="6" w:space="0" w:color="auto"/>
            </w:tcBorders>
          </w:tcPr>
          <w:p w:rsidR="00114CB2" w:rsidRPr="00152484" w:rsidDel="00F44FF5" w:rsidRDefault="00152484" w:rsidP="004958FF">
            <w:pPr>
              <w:pStyle w:val="Header"/>
              <w:spacing w:after="120"/>
              <w:rPr>
                <w:rFonts w:ascii="Arial" w:hAnsi="Arial" w:cs="Arial"/>
                <w:sz w:val="20"/>
                <w:szCs w:val="20"/>
              </w:rPr>
            </w:pPr>
            <w:r w:rsidRPr="00152484">
              <w:rPr>
                <w:rFonts w:ascii="Arial" w:hAnsi="Arial" w:cs="Arial"/>
                <w:color w:val="000000"/>
                <w:sz w:val="20"/>
                <w:szCs w:val="20"/>
              </w:rPr>
              <w:t>Income tax:  Calliden Group Limited Scheme of Arrangement and Special Dividend</w:t>
            </w:r>
          </w:p>
        </w:tc>
        <w:tc>
          <w:tcPr>
            <w:tcW w:w="4140" w:type="dxa"/>
            <w:tcBorders>
              <w:top w:val="single" w:sz="6" w:space="0" w:color="auto"/>
              <w:left w:val="single" w:sz="6" w:space="0" w:color="auto"/>
              <w:bottom w:val="single" w:sz="6" w:space="0" w:color="auto"/>
              <w:right w:val="single" w:sz="6" w:space="0" w:color="auto"/>
            </w:tcBorders>
          </w:tcPr>
          <w:p w:rsidR="00E823AE" w:rsidRPr="00152484" w:rsidRDefault="005C5F31" w:rsidP="004958FF">
            <w:pPr>
              <w:spacing w:after="120" w:line="240" w:lineRule="auto"/>
              <w:rPr>
                <w:rFonts w:ascii="Arial" w:eastAsia="Times New Roman" w:hAnsi="Arial" w:cs="Arial"/>
                <w:sz w:val="20"/>
                <w:szCs w:val="20"/>
              </w:rPr>
            </w:pPr>
            <w:r w:rsidRPr="00B733FA">
              <w:rPr>
                <w:rFonts w:ascii="Arial" w:hAnsi="Arial" w:cs="Arial"/>
                <w:sz w:val="20"/>
                <w:szCs w:val="20"/>
              </w:rPr>
              <w:t>Th</w:t>
            </w:r>
            <w:r>
              <w:rPr>
                <w:rFonts w:ascii="Arial" w:hAnsi="Arial" w:cs="Arial"/>
                <w:sz w:val="20"/>
                <w:szCs w:val="20"/>
              </w:rPr>
              <w:t>e</w:t>
            </w:r>
            <w:r w:rsidRPr="00B733FA">
              <w:rPr>
                <w:rFonts w:ascii="Arial" w:hAnsi="Arial" w:cs="Arial"/>
                <w:sz w:val="20"/>
                <w:szCs w:val="20"/>
              </w:rPr>
              <w:t xml:space="preserve"> Ruling sets out the Commissioner’s position for </w:t>
            </w:r>
            <w:r w:rsidR="00152484" w:rsidRPr="00152484">
              <w:rPr>
                <w:rFonts w:ascii="Arial" w:eastAsia="Times New Roman" w:hAnsi="Arial" w:cs="Arial"/>
                <w:sz w:val="20"/>
                <w:szCs w:val="20"/>
              </w:rPr>
              <w:t>ordinary shareholders of Calliden Group Limited</w:t>
            </w:r>
            <w:r>
              <w:rPr>
                <w:rFonts w:ascii="Arial" w:eastAsia="Times New Roman" w:hAnsi="Arial" w:cs="Arial"/>
                <w:sz w:val="20"/>
                <w:szCs w:val="20"/>
              </w:rPr>
              <w:t>.</w:t>
            </w:r>
          </w:p>
          <w:p w:rsidR="00152484" w:rsidRPr="00152484" w:rsidRDefault="00152484" w:rsidP="004958FF">
            <w:pPr>
              <w:spacing w:after="120" w:line="240" w:lineRule="auto"/>
              <w:rPr>
                <w:rFonts w:ascii="Arial" w:hAnsi="Arial" w:cs="Arial"/>
                <w:sz w:val="20"/>
                <w:szCs w:val="20"/>
              </w:rPr>
            </w:pPr>
            <w:r w:rsidRPr="00152484">
              <w:rPr>
                <w:rFonts w:ascii="Arial" w:hAnsi="Arial" w:cs="Arial"/>
                <w:sz w:val="20"/>
                <w:szCs w:val="20"/>
              </w:rPr>
              <w:t>The Ruling applies from 1</w:t>
            </w:r>
            <w:r w:rsidR="005C5F31">
              <w:rPr>
                <w:rFonts w:ascii="Arial" w:hAnsi="Arial" w:cs="Arial"/>
                <w:sz w:val="20"/>
                <w:szCs w:val="20"/>
              </w:rPr>
              <w:t> </w:t>
            </w:r>
            <w:r w:rsidRPr="00152484">
              <w:rPr>
                <w:rFonts w:ascii="Arial" w:hAnsi="Arial" w:cs="Arial"/>
                <w:sz w:val="20"/>
                <w:szCs w:val="20"/>
              </w:rPr>
              <w:t>July</w:t>
            </w:r>
            <w:r w:rsidR="005C5F31">
              <w:rPr>
                <w:rFonts w:ascii="Arial" w:hAnsi="Arial" w:cs="Arial"/>
                <w:sz w:val="20"/>
                <w:szCs w:val="20"/>
              </w:rPr>
              <w:t> </w:t>
            </w:r>
            <w:r w:rsidRPr="00152484">
              <w:rPr>
                <w:rFonts w:ascii="Arial" w:hAnsi="Arial" w:cs="Arial"/>
                <w:sz w:val="20"/>
                <w:szCs w:val="20"/>
              </w:rPr>
              <w:t>2014 to 30</w:t>
            </w:r>
            <w:r w:rsidR="005C5F31">
              <w:rPr>
                <w:rFonts w:ascii="Arial" w:hAnsi="Arial" w:cs="Arial"/>
                <w:sz w:val="20"/>
                <w:szCs w:val="20"/>
              </w:rPr>
              <w:t> </w:t>
            </w:r>
            <w:r w:rsidRPr="00152484">
              <w:rPr>
                <w:rFonts w:ascii="Arial" w:hAnsi="Arial" w:cs="Arial"/>
                <w:sz w:val="20"/>
                <w:szCs w:val="20"/>
              </w:rPr>
              <w:t>June</w:t>
            </w:r>
            <w:r w:rsidR="005C5F31">
              <w:rPr>
                <w:rFonts w:ascii="Arial" w:hAnsi="Arial" w:cs="Arial"/>
                <w:sz w:val="20"/>
                <w:szCs w:val="20"/>
              </w:rPr>
              <w:t> </w:t>
            </w:r>
            <w:r w:rsidRPr="00152484">
              <w:rPr>
                <w:rFonts w:ascii="Arial" w:hAnsi="Arial" w:cs="Arial"/>
                <w:sz w:val="20"/>
                <w:szCs w:val="20"/>
              </w:rPr>
              <w:t>2015.</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152484" w:rsidRDefault="00152484" w:rsidP="004958FF">
            <w:pPr>
              <w:pStyle w:val="Header"/>
              <w:spacing w:after="120"/>
              <w:rPr>
                <w:rFonts w:ascii="Arial" w:hAnsi="Arial" w:cs="Arial"/>
                <w:sz w:val="20"/>
                <w:szCs w:val="20"/>
              </w:rPr>
            </w:pPr>
            <w:r w:rsidRPr="00152484">
              <w:rPr>
                <w:rFonts w:ascii="Arial" w:hAnsi="Arial" w:cs="Arial"/>
                <w:sz w:val="20"/>
                <w:szCs w:val="20"/>
              </w:rPr>
              <w:t>CR 2015/25</w:t>
            </w:r>
          </w:p>
        </w:tc>
        <w:tc>
          <w:tcPr>
            <w:tcW w:w="3780" w:type="dxa"/>
            <w:tcBorders>
              <w:top w:val="single" w:sz="6" w:space="0" w:color="auto"/>
              <w:left w:val="single" w:sz="6" w:space="0" w:color="auto"/>
              <w:bottom w:val="single" w:sz="6" w:space="0" w:color="auto"/>
              <w:right w:val="single" w:sz="6" w:space="0" w:color="auto"/>
            </w:tcBorders>
          </w:tcPr>
          <w:p w:rsidR="00E823AE" w:rsidRPr="00152484" w:rsidRDefault="00152484" w:rsidP="004958FF">
            <w:pPr>
              <w:pStyle w:val="Header"/>
              <w:spacing w:after="120"/>
              <w:rPr>
                <w:rFonts w:ascii="Arial" w:hAnsi="Arial" w:cs="Arial"/>
                <w:sz w:val="20"/>
                <w:szCs w:val="20"/>
              </w:rPr>
            </w:pPr>
            <w:bookmarkStart w:id="1" w:name="GTopicHeader"/>
            <w:r w:rsidRPr="00152484">
              <w:rPr>
                <w:rFonts w:ascii="Arial" w:hAnsi="Arial" w:cs="Arial"/>
                <w:color w:val="000000"/>
                <w:sz w:val="20"/>
                <w:szCs w:val="20"/>
              </w:rPr>
              <w:t>Income tax:  Calliden Group Limited Scheme of Arrangement - Special Dividend - Participants of the Calliden Group Limited Incentive Rights Plan</w:t>
            </w:r>
            <w:bookmarkEnd w:id="1"/>
          </w:p>
        </w:tc>
        <w:tc>
          <w:tcPr>
            <w:tcW w:w="4140" w:type="dxa"/>
            <w:tcBorders>
              <w:top w:val="single" w:sz="6" w:space="0" w:color="auto"/>
              <w:left w:val="single" w:sz="6" w:space="0" w:color="auto"/>
              <w:bottom w:val="single" w:sz="6" w:space="0" w:color="auto"/>
              <w:right w:val="single" w:sz="6" w:space="0" w:color="auto"/>
            </w:tcBorders>
          </w:tcPr>
          <w:p w:rsidR="00E823AE" w:rsidRPr="00152484" w:rsidRDefault="005C5F31" w:rsidP="004958FF">
            <w:pPr>
              <w:spacing w:after="120" w:line="240" w:lineRule="auto"/>
              <w:rPr>
                <w:rFonts w:ascii="Arial" w:hAnsi="Arial" w:cs="Arial"/>
                <w:sz w:val="20"/>
                <w:szCs w:val="20"/>
              </w:rPr>
            </w:pPr>
            <w:r w:rsidRPr="00B733FA">
              <w:rPr>
                <w:rFonts w:ascii="Arial" w:hAnsi="Arial" w:cs="Arial"/>
                <w:sz w:val="20"/>
                <w:szCs w:val="20"/>
              </w:rPr>
              <w:t>Th</w:t>
            </w:r>
            <w:r>
              <w:rPr>
                <w:rFonts w:ascii="Arial" w:hAnsi="Arial" w:cs="Arial"/>
                <w:sz w:val="20"/>
                <w:szCs w:val="20"/>
              </w:rPr>
              <w:t>e</w:t>
            </w:r>
            <w:r w:rsidRPr="00B733FA">
              <w:rPr>
                <w:rFonts w:ascii="Arial" w:hAnsi="Arial" w:cs="Arial"/>
                <w:sz w:val="20"/>
                <w:szCs w:val="20"/>
              </w:rPr>
              <w:t xml:space="preserve"> Ruling sets out the Commissioner’s position for </w:t>
            </w:r>
            <w:r>
              <w:rPr>
                <w:rFonts w:ascii="Arial" w:hAnsi="Arial" w:cs="Arial"/>
                <w:sz w:val="20"/>
                <w:szCs w:val="20"/>
              </w:rPr>
              <w:t>a</w:t>
            </w:r>
            <w:r w:rsidR="00152484" w:rsidRPr="00152484">
              <w:rPr>
                <w:rFonts w:ascii="Arial" w:hAnsi="Arial" w:cs="Arial"/>
                <w:sz w:val="20"/>
                <w:szCs w:val="20"/>
              </w:rPr>
              <w:t>ll employees of Calliden or its wholly owned subsidiaries</w:t>
            </w:r>
            <w:r>
              <w:rPr>
                <w:rFonts w:ascii="Arial" w:hAnsi="Arial" w:cs="Arial"/>
                <w:sz w:val="20"/>
                <w:szCs w:val="20"/>
              </w:rPr>
              <w:t>.</w:t>
            </w:r>
          </w:p>
          <w:p w:rsidR="00152484" w:rsidRPr="00152484" w:rsidRDefault="00152484" w:rsidP="004958FF">
            <w:pPr>
              <w:spacing w:after="120" w:line="240" w:lineRule="auto"/>
              <w:rPr>
                <w:rFonts w:ascii="Arial" w:hAnsi="Arial" w:cs="Arial"/>
                <w:sz w:val="20"/>
                <w:szCs w:val="20"/>
              </w:rPr>
            </w:pPr>
            <w:r w:rsidRPr="00152484">
              <w:rPr>
                <w:rFonts w:ascii="Arial" w:hAnsi="Arial" w:cs="Arial"/>
                <w:sz w:val="20"/>
                <w:szCs w:val="20"/>
              </w:rPr>
              <w:t>The Ruling applies from 1</w:t>
            </w:r>
            <w:r w:rsidR="00757B65">
              <w:rPr>
                <w:rFonts w:ascii="Arial" w:hAnsi="Arial" w:cs="Arial"/>
                <w:sz w:val="20"/>
                <w:szCs w:val="20"/>
              </w:rPr>
              <w:t> </w:t>
            </w:r>
            <w:r w:rsidRPr="00152484">
              <w:rPr>
                <w:rFonts w:ascii="Arial" w:hAnsi="Arial" w:cs="Arial"/>
                <w:sz w:val="20"/>
                <w:szCs w:val="20"/>
              </w:rPr>
              <w:t>July</w:t>
            </w:r>
            <w:r w:rsidR="00757B65">
              <w:rPr>
                <w:rFonts w:ascii="Arial" w:hAnsi="Arial" w:cs="Arial"/>
                <w:sz w:val="20"/>
                <w:szCs w:val="20"/>
              </w:rPr>
              <w:t> 2</w:t>
            </w:r>
            <w:r w:rsidRPr="00152484">
              <w:rPr>
                <w:rFonts w:ascii="Arial" w:hAnsi="Arial" w:cs="Arial"/>
                <w:sz w:val="20"/>
                <w:szCs w:val="20"/>
              </w:rPr>
              <w:t>014 to 30</w:t>
            </w:r>
            <w:r w:rsidR="00757B65">
              <w:rPr>
                <w:rFonts w:ascii="Arial" w:hAnsi="Arial" w:cs="Arial"/>
                <w:sz w:val="20"/>
                <w:szCs w:val="20"/>
              </w:rPr>
              <w:t> </w:t>
            </w:r>
            <w:r w:rsidRPr="00152484">
              <w:rPr>
                <w:rFonts w:ascii="Arial" w:hAnsi="Arial" w:cs="Arial"/>
                <w:sz w:val="20"/>
                <w:szCs w:val="20"/>
              </w:rPr>
              <w:t>June</w:t>
            </w:r>
            <w:r w:rsidR="00757B65">
              <w:rPr>
                <w:rFonts w:ascii="Arial" w:hAnsi="Arial" w:cs="Arial"/>
                <w:sz w:val="20"/>
                <w:szCs w:val="20"/>
              </w:rPr>
              <w:t> </w:t>
            </w:r>
            <w:r w:rsidRPr="00152484">
              <w:rPr>
                <w:rFonts w:ascii="Arial" w:hAnsi="Arial" w:cs="Arial"/>
                <w:sz w:val="20"/>
                <w:szCs w:val="20"/>
              </w:rPr>
              <w:t>2015.</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152484" w:rsidRDefault="00152484" w:rsidP="004958FF">
            <w:pPr>
              <w:pStyle w:val="Header"/>
              <w:spacing w:after="120"/>
              <w:rPr>
                <w:rFonts w:ascii="Arial" w:hAnsi="Arial" w:cs="Arial"/>
                <w:sz w:val="20"/>
                <w:szCs w:val="20"/>
              </w:rPr>
            </w:pPr>
            <w:r w:rsidRPr="00152484">
              <w:rPr>
                <w:rFonts w:ascii="Arial" w:hAnsi="Arial" w:cs="Arial"/>
                <w:sz w:val="20"/>
                <w:szCs w:val="20"/>
              </w:rPr>
              <w:t>PR 2015/3</w:t>
            </w:r>
          </w:p>
        </w:tc>
        <w:tc>
          <w:tcPr>
            <w:tcW w:w="3780" w:type="dxa"/>
            <w:tcBorders>
              <w:top w:val="single" w:sz="6" w:space="0" w:color="auto"/>
              <w:left w:val="single" w:sz="6" w:space="0" w:color="auto"/>
              <w:bottom w:val="single" w:sz="6" w:space="0" w:color="auto"/>
              <w:right w:val="single" w:sz="6" w:space="0" w:color="auto"/>
            </w:tcBorders>
          </w:tcPr>
          <w:p w:rsidR="00E823AE" w:rsidRPr="00152484" w:rsidRDefault="00152484" w:rsidP="004958FF">
            <w:pPr>
              <w:pStyle w:val="Header"/>
              <w:spacing w:after="120"/>
              <w:rPr>
                <w:rFonts w:ascii="Arial" w:hAnsi="Arial" w:cs="Arial"/>
                <w:sz w:val="20"/>
                <w:szCs w:val="20"/>
              </w:rPr>
            </w:pPr>
            <w:r w:rsidRPr="00152484">
              <w:rPr>
                <w:rFonts w:ascii="Arial" w:hAnsi="Arial" w:cs="Arial"/>
                <w:color w:val="000000"/>
                <w:sz w:val="20"/>
                <w:szCs w:val="20"/>
              </w:rPr>
              <w:t>Income tax:  deductibility of interest in relation to investment in units in the Macquarie Flexi 100 Trust issued on or before 30 June 2018 – Flexi Professional</w:t>
            </w:r>
          </w:p>
        </w:tc>
        <w:tc>
          <w:tcPr>
            <w:tcW w:w="4140" w:type="dxa"/>
            <w:tcBorders>
              <w:top w:val="single" w:sz="6" w:space="0" w:color="auto"/>
              <w:left w:val="single" w:sz="6" w:space="0" w:color="auto"/>
              <w:bottom w:val="single" w:sz="6" w:space="0" w:color="auto"/>
              <w:right w:val="single" w:sz="6" w:space="0" w:color="auto"/>
            </w:tcBorders>
          </w:tcPr>
          <w:p w:rsidR="00E823AE" w:rsidRPr="00152484" w:rsidRDefault="005C5F31" w:rsidP="004958FF">
            <w:pPr>
              <w:spacing w:after="120" w:line="240" w:lineRule="auto"/>
              <w:rPr>
                <w:rFonts w:ascii="Arial" w:hAnsi="Arial" w:cs="Arial"/>
                <w:sz w:val="20"/>
                <w:szCs w:val="20"/>
              </w:rPr>
            </w:pPr>
            <w:r w:rsidRPr="00B733FA">
              <w:rPr>
                <w:rFonts w:ascii="Arial" w:hAnsi="Arial" w:cs="Arial"/>
                <w:sz w:val="20"/>
                <w:szCs w:val="20"/>
              </w:rPr>
              <w:t>Th</w:t>
            </w:r>
            <w:r>
              <w:rPr>
                <w:rFonts w:ascii="Arial" w:hAnsi="Arial" w:cs="Arial"/>
                <w:sz w:val="20"/>
                <w:szCs w:val="20"/>
              </w:rPr>
              <w:t>e</w:t>
            </w:r>
            <w:r w:rsidRPr="00B733FA">
              <w:rPr>
                <w:rFonts w:ascii="Arial" w:hAnsi="Arial" w:cs="Arial"/>
                <w:sz w:val="20"/>
                <w:szCs w:val="20"/>
              </w:rPr>
              <w:t xml:space="preserve"> Ruling sets out the Commissioner’s position </w:t>
            </w:r>
            <w:r w:rsidR="00757B65">
              <w:rPr>
                <w:rFonts w:ascii="Arial" w:hAnsi="Arial" w:cs="Arial"/>
                <w:sz w:val="20"/>
                <w:szCs w:val="20"/>
              </w:rPr>
              <w:t>on</w:t>
            </w:r>
            <w:r w:rsidR="00152484" w:rsidRPr="00152484">
              <w:rPr>
                <w:rFonts w:ascii="Arial" w:hAnsi="Arial" w:cs="Arial"/>
                <w:sz w:val="20"/>
                <w:szCs w:val="20"/>
              </w:rPr>
              <w:t xml:space="preserve"> investment in the Macquarie Flexi 100 Trust using a limited recourse loan made by Macquarie Specialist Investments Lending Limited and the grant of put options over the investment by the Loan Provider</w:t>
            </w:r>
            <w:r w:rsidR="00757B65">
              <w:rPr>
                <w:rFonts w:ascii="Arial" w:hAnsi="Arial" w:cs="Arial"/>
                <w:sz w:val="20"/>
                <w:szCs w:val="20"/>
              </w:rPr>
              <w:t>.</w:t>
            </w:r>
          </w:p>
          <w:p w:rsidR="00152484" w:rsidRPr="00152484" w:rsidRDefault="00152484" w:rsidP="004958FF">
            <w:pPr>
              <w:spacing w:after="120" w:line="240" w:lineRule="auto"/>
              <w:rPr>
                <w:rFonts w:ascii="Arial" w:hAnsi="Arial" w:cs="Arial"/>
                <w:sz w:val="20"/>
                <w:szCs w:val="20"/>
              </w:rPr>
            </w:pPr>
            <w:r w:rsidRPr="00152484">
              <w:rPr>
                <w:rFonts w:ascii="Arial" w:hAnsi="Arial" w:cs="Arial"/>
                <w:sz w:val="20"/>
                <w:szCs w:val="20"/>
              </w:rPr>
              <w:t>The Ruling applies prospectively from 1</w:t>
            </w:r>
            <w:r w:rsidR="00757B65">
              <w:rPr>
                <w:rFonts w:ascii="Arial" w:hAnsi="Arial" w:cs="Arial"/>
                <w:sz w:val="20"/>
                <w:szCs w:val="20"/>
              </w:rPr>
              <w:t> </w:t>
            </w:r>
            <w:r w:rsidRPr="00152484">
              <w:rPr>
                <w:rFonts w:ascii="Arial" w:hAnsi="Arial" w:cs="Arial"/>
                <w:sz w:val="20"/>
                <w:szCs w:val="20"/>
              </w:rPr>
              <w:t>April</w:t>
            </w:r>
            <w:r w:rsidR="00757B65">
              <w:rPr>
                <w:rFonts w:ascii="Arial" w:hAnsi="Arial" w:cs="Arial"/>
                <w:sz w:val="20"/>
                <w:szCs w:val="20"/>
              </w:rPr>
              <w:t> </w:t>
            </w:r>
            <w:r w:rsidRPr="00152484">
              <w:rPr>
                <w:rFonts w:ascii="Arial" w:hAnsi="Arial" w:cs="Arial"/>
                <w:sz w:val="20"/>
                <w:szCs w:val="20"/>
              </w:rPr>
              <w:t>2015, the date it is published.</w:t>
            </w:r>
          </w:p>
        </w:tc>
      </w:tr>
    </w:tbl>
    <w:p w:rsidR="00114CB2" w:rsidRDefault="00114CB2" w:rsidP="00424B97"/>
    <w:tbl>
      <w:tblPr>
        <w:tblW w:w="9648" w:type="dxa"/>
        <w:tblLayout w:type="fixed"/>
        <w:tblLook w:val="0000" w:firstRow="0" w:lastRow="0" w:firstColumn="0" w:lastColumn="0" w:noHBand="0" w:noVBand="0"/>
      </w:tblPr>
      <w:tblGrid>
        <w:gridCol w:w="1728"/>
        <w:gridCol w:w="3780"/>
        <w:gridCol w:w="4140"/>
      </w:tblGrid>
      <w:tr w:rsidR="00BF534D" w:rsidRPr="00773255" w:rsidTr="00560E9C">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BF534D" w:rsidRPr="00773255" w:rsidRDefault="00BF534D" w:rsidP="00BF534D">
            <w:pPr>
              <w:pStyle w:val="Heading3"/>
              <w:keepLines/>
              <w:spacing w:before="80" w:after="80"/>
              <w:jc w:val="center"/>
              <w:rPr>
                <w:sz w:val="22"/>
                <w:szCs w:val="22"/>
              </w:rPr>
            </w:pPr>
            <w:r w:rsidRPr="00773255">
              <w:rPr>
                <w:sz w:val="22"/>
                <w:szCs w:val="22"/>
              </w:rPr>
              <w:lastRenderedPageBreak/>
              <w:t xml:space="preserve">NOTICE OF </w:t>
            </w:r>
            <w:r>
              <w:rPr>
                <w:sz w:val="22"/>
                <w:szCs w:val="22"/>
              </w:rPr>
              <w:t>ADDENDA</w:t>
            </w:r>
          </w:p>
        </w:tc>
      </w:tr>
      <w:tr w:rsidR="00BF534D" w:rsidRPr="00773255" w:rsidTr="00560E9C">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BF534D" w:rsidRPr="00773255" w:rsidRDefault="00BF534D" w:rsidP="00560E9C">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BF534D" w:rsidRPr="00773255" w:rsidRDefault="00BF534D" w:rsidP="00560E9C">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BF534D" w:rsidRPr="00773255" w:rsidRDefault="00BF534D" w:rsidP="00560E9C">
            <w:pPr>
              <w:pStyle w:val="Heading3"/>
              <w:keepLines/>
              <w:spacing w:before="80" w:after="80"/>
              <w:jc w:val="center"/>
              <w:rPr>
                <w:sz w:val="22"/>
                <w:szCs w:val="22"/>
              </w:rPr>
            </w:pPr>
            <w:r w:rsidRPr="00773255">
              <w:rPr>
                <w:sz w:val="22"/>
                <w:szCs w:val="22"/>
              </w:rPr>
              <w:t>Brief Description</w:t>
            </w:r>
          </w:p>
        </w:tc>
      </w:tr>
      <w:tr w:rsidR="00BF534D" w:rsidRPr="00152484" w:rsidTr="00560E9C">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spacing w:after="120" w:line="240" w:lineRule="auto"/>
              <w:rPr>
                <w:rFonts w:ascii="Arial" w:hAnsi="Arial" w:cs="Arial"/>
                <w:sz w:val="20"/>
                <w:szCs w:val="20"/>
              </w:rPr>
            </w:pPr>
            <w:r w:rsidRPr="00BF534D">
              <w:rPr>
                <w:rFonts w:ascii="Arial" w:hAnsi="Arial" w:cs="Arial"/>
                <w:sz w:val="20"/>
                <w:szCs w:val="20"/>
              </w:rPr>
              <w:t>MT 2008/1</w:t>
            </w:r>
          </w:p>
        </w:tc>
        <w:tc>
          <w:tcPr>
            <w:tcW w:w="3780" w:type="dxa"/>
            <w:tcBorders>
              <w:top w:val="single" w:sz="6" w:space="0" w:color="auto"/>
              <w:left w:val="single" w:sz="6" w:space="0" w:color="auto"/>
              <w:bottom w:val="single" w:sz="6" w:space="0" w:color="auto"/>
              <w:right w:val="single" w:sz="6" w:space="0" w:color="auto"/>
            </w:tcBorders>
          </w:tcPr>
          <w:p w:rsidR="00BF534D" w:rsidRPr="00BF534D" w:rsidDel="00F44FF5" w:rsidRDefault="00BF534D" w:rsidP="004958FF">
            <w:pPr>
              <w:pStyle w:val="Header"/>
              <w:spacing w:after="120"/>
              <w:rPr>
                <w:rFonts w:ascii="Arial" w:hAnsi="Arial" w:cs="Arial"/>
                <w:color w:val="000000"/>
                <w:sz w:val="20"/>
                <w:szCs w:val="20"/>
              </w:rPr>
            </w:pPr>
            <w:r w:rsidRPr="00BF534D">
              <w:rPr>
                <w:rFonts w:ascii="Arial" w:hAnsi="Arial" w:cs="Arial"/>
                <w:color w:val="000000"/>
                <w:sz w:val="20"/>
                <w:szCs w:val="20"/>
              </w:rPr>
              <w:t>Penalty relating to statements:   meaning of reasonable care, recklessness and intentional disregard</w:t>
            </w:r>
          </w:p>
        </w:tc>
        <w:tc>
          <w:tcPr>
            <w:tcW w:w="4140"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spacing w:after="120" w:line="240" w:lineRule="auto"/>
              <w:rPr>
                <w:rFonts w:ascii="Arial" w:hAnsi="Arial" w:cs="Arial"/>
                <w:sz w:val="20"/>
                <w:szCs w:val="20"/>
              </w:rPr>
            </w:pPr>
            <w:r w:rsidRPr="00BF534D">
              <w:rPr>
                <w:rFonts w:ascii="Arial" w:hAnsi="Arial" w:cs="Arial"/>
                <w:color w:val="000000"/>
                <w:sz w:val="20"/>
                <w:szCs w:val="20"/>
              </w:rPr>
              <w:t xml:space="preserve">The Addendum </w:t>
            </w:r>
            <w:r w:rsidRPr="00BF534D">
              <w:rPr>
                <w:rFonts w:ascii="Arial" w:hAnsi="Arial" w:cs="Arial"/>
                <w:sz w:val="20"/>
                <w:szCs w:val="20"/>
              </w:rPr>
              <w:t>amends Miscellaneous Taxation Ruling MT 2008/01 to take into account:</w:t>
            </w:r>
          </w:p>
          <w:p w:rsidR="00BF534D" w:rsidRPr="00BF534D" w:rsidRDefault="00BF534D" w:rsidP="004958FF">
            <w:pPr>
              <w:numPr>
                <w:ilvl w:val="0"/>
                <w:numId w:val="2"/>
              </w:numPr>
              <w:tabs>
                <w:tab w:val="clear" w:pos="780"/>
              </w:tabs>
              <w:spacing w:after="120" w:line="240" w:lineRule="auto"/>
              <w:ind w:left="448" w:hanging="306"/>
              <w:rPr>
                <w:rFonts w:ascii="Arial" w:hAnsi="Arial" w:cs="Arial"/>
                <w:sz w:val="20"/>
                <w:szCs w:val="20"/>
              </w:rPr>
            </w:pPr>
            <w:r w:rsidRPr="00BF534D">
              <w:rPr>
                <w:rFonts w:ascii="Arial" w:hAnsi="Arial" w:cs="Arial"/>
                <w:sz w:val="20"/>
                <w:szCs w:val="20"/>
              </w:rPr>
              <w:t>the withdrawal of Law Administration Practice Statement PS LA 2006/2 and its replacement with Law Administration Practice Statements PS LA 2012/4 and 2012/5</w:t>
            </w:r>
          </w:p>
          <w:p w:rsidR="00BF534D" w:rsidRPr="00BF534D" w:rsidRDefault="00BF534D" w:rsidP="004958FF">
            <w:pPr>
              <w:numPr>
                <w:ilvl w:val="0"/>
                <w:numId w:val="2"/>
              </w:numPr>
              <w:tabs>
                <w:tab w:val="clear" w:pos="780"/>
              </w:tabs>
              <w:spacing w:after="120" w:line="240" w:lineRule="auto"/>
              <w:ind w:left="446" w:hanging="304"/>
              <w:rPr>
                <w:rFonts w:ascii="Arial" w:hAnsi="Arial" w:cs="Arial"/>
                <w:sz w:val="20"/>
                <w:szCs w:val="20"/>
              </w:rPr>
            </w:pPr>
            <w:r w:rsidRPr="00BF534D">
              <w:rPr>
                <w:rFonts w:ascii="Arial" w:hAnsi="Arial" w:cs="Arial"/>
                <w:sz w:val="20"/>
                <w:szCs w:val="20"/>
              </w:rPr>
              <w:t xml:space="preserve">that the administrative penalty contained in Division 284 of Schedule 1 to the </w:t>
            </w:r>
            <w:r w:rsidRPr="00BF534D">
              <w:rPr>
                <w:rFonts w:ascii="Arial" w:hAnsi="Arial" w:cs="Arial"/>
                <w:i/>
                <w:sz w:val="20"/>
                <w:szCs w:val="20"/>
              </w:rPr>
              <w:t>Taxation Administration Act 1953</w:t>
            </w:r>
            <w:r w:rsidRPr="00BF534D">
              <w:rPr>
                <w:rFonts w:ascii="Arial" w:hAnsi="Arial" w:cs="Arial"/>
                <w:sz w:val="20"/>
                <w:szCs w:val="20"/>
              </w:rPr>
              <w:t xml:space="preserve"> applies in relation to Petroleum Resource Rent Tax matters, and</w:t>
            </w:r>
          </w:p>
          <w:p w:rsidR="00BF534D" w:rsidRPr="00BF534D" w:rsidRDefault="00BF534D" w:rsidP="004958FF">
            <w:pPr>
              <w:numPr>
                <w:ilvl w:val="0"/>
                <w:numId w:val="2"/>
              </w:numPr>
              <w:tabs>
                <w:tab w:val="clear" w:pos="780"/>
              </w:tabs>
              <w:spacing w:after="120" w:line="240" w:lineRule="auto"/>
              <w:ind w:left="446" w:hanging="304"/>
              <w:rPr>
                <w:rFonts w:ascii="Arial" w:hAnsi="Arial" w:cs="Arial"/>
                <w:sz w:val="20"/>
                <w:szCs w:val="20"/>
              </w:rPr>
            </w:pPr>
            <w:r w:rsidRPr="00BF534D">
              <w:rPr>
                <w:rFonts w:ascii="Arial" w:hAnsi="Arial" w:cs="Arial"/>
                <w:sz w:val="20"/>
                <w:szCs w:val="20"/>
              </w:rPr>
              <w:t>the repeal of the Minerals Resource Rent Tax (MRRT).</w:t>
            </w:r>
          </w:p>
          <w:p w:rsidR="00BF534D" w:rsidRPr="00BF534D" w:rsidRDefault="00BF534D" w:rsidP="004958FF">
            <w:pPr>
              <w:spacing w:after="120" w:line="240" w:lineRule="auto"/>
              <w:rPr>
                <w:rFonts w:ascii="Arial" w:hAnsi="Arial" w:cs="Arial"/>
                <w:sz w:val="20"/>
                <w:szCs w:val="20"/>
              </w:rPr>
            </w:pPr>
            <w:r w:rsidRPr="00BF534D">
              <w:rPr>
                <w:rFonts w:ascii="Arial" w:hAnsi="Arial" w:cs="Arial"/>
                <w:color w:val="000000"/>
                <w:sz w:val="20"/>
                <w:szCs w:val="20"/>
              </w:rPr>
              <w:t xml:space="preserve"> The Addendum applies on and from 1 October 2014.</w:t>
            </w:r>
          </w:p>
        </w:tc>
      </w:tr>
      <w:tr w:rsidR="00BF534D" w:rsidRPr="00152484" w:rsidTr="00560E9C">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pStyle w:val="Header"/>
              <w:spacing w:after="120"/>
              <w:rPr>
                <w:rFonts w:ascii="Arial" w:hAnsi="Arial" w:cs="Arial"/>
                <w:sz w:val="20"/>
                <w:szCs w:val="20"/>
              </w:rPr>
            </w:pPr>
            <w:r w:rsidRPr="00BF534D">
              <w:rPr>
                <w:rFonts w:ascii="Arial" w:hAnsi="Arial" w:cs="Arial"/>
                <w:sz w:val="20"/>
                <w:szCs w:val="20"/>
              </w:rPr>
              <w:t>MT 2008/2</w:t>
            </w:r>
          </w:p>
        </w:tc>
        <w:tc>
          <w:tcPr>
            <w:tcW w:w="3780"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pStyle w:val="Header"/>
              <w:spacing w:after="120"/>
              <w:rPr>
                <w:rFonts w:ascii="Arial" w:hAnsi="Arial" w:cs="Arial"/>
                <w:sz w:val="20"/>
                <w:szCs w:val="20"/>
              </w:rPr>
            </w:pPr>
            <w:r w:rsidRPr="00BF534D">
              <w:rPr>
                <w:rFonts w:ascii="Arial" w:hAnsi="Arial" w:cs="Arial"/>
                <w:sz w:val="20"/>
                <w:szCs w:val="20"/>
              </w:rPr>
              <w:t>Shortfall penalties:  administrative penalty for taking a position that is not reasonably arguable</w:t>
            </w:r>
          </w:p>
          <w:p w:rsidR="00BF534D" w:rsidRPr="00BF534D" w:rsidDel="00F44FF5" w:rsidRDefault="00BF534D" w:rsidP="004958FF">
            <w:pPr>
              <w:pStyle w:val="Header"/>
              <w:spacing w:after="120"/>
              <w:rPr>
                <w:rFonts w:ascii="Arial" w:hAnsi="Arial" w:cs="Arial"/>
                <w:sz w:val="20"/>
                <w:szCs w:val="20"/>
              </w:rPr>
            </w:pPr>
          </w:p>
        </w:tc>
        <w:tc>
          <w:tcPr>
            <w:tcW w:w="4140"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spacing w:after="120" w:line="240" w:lineRule="auto"/>
              <w:rPr>
                <w:rFonts w:ascii="Arial" w:hAnsi="Arial" w:cs="Arial"/>
                <w:sz w:val="20"/>
                <w:szCs w:val="20"/>
              </w:rPr>
            </w:pPr>
            <w:r w:rsidRPr="00BF534D">
              <w:rPr>
                <w:rFonts w:ascii="Arial" w:hAnsi="Arial" w:cs="Arial"/>
                <w:color w:val="000000"/>
                <w:sz w:val="20"/>
                <w:szCs w:val="20"/>
              </w:rPr>
              <w:t xml:space="preserve">The Addendum </w:t>
            </w:r>
            <w:r w:rsidRPr="00BF534D">
              <w:rPr>
                <w:rFonts w:ascii="Arial" w:hAnsi="Arial" w:cs="Arial"/>
                <w:sz w:val="20"/>
                <w:szCs w:val="20"/>
              </w:rPr>
              <w:t>amends Miscellaneous Taxation Ruling MT 2008/02 to take into account:</w:t>
            </w:r>
          </w:p>
          <w:p w:rsidR="00BF534D" w:rsidRPr="00BF534D" w:rsidRDefault="00BF534D" w:rsidP="004958FF">
            <w:pPr>
              <w:numPr>
                <w:ilvl w:val="0"/>
                <w:numId w:val="2"/>
              </w:numPr>
              <w:tabs>
                <w:tab w:val="clear" w:pos="780"/>
              </w:tabs>
              <w:spacing w:after="120" w:line="240" w:lineRule="auto"/>
              <w:ind w:left="446" w:hanging="304"/>
              <w:rPr>
                <w:rFonts w:ascii="Arial" w:hAnsi="Arial" w:cs="Arial"/>
                <w:sz w:val="20"/>
                <w:szCs w:val="20"/>
              </w:rPr>
            </w:pPr>
            <w:r w:rsidRPr="00BF534D">
              <w:rPr>
                <w:rFonts w:ascii="Arial" w:hAnsi="Arial" w:cs="Arial"/>
                <w:sz w:val="20"/>
                <w:szCs w:val="20"/>
              </w:rPr>
              <w:t>the withdrawal of Law Administration Practice Statement PS LA 2006/2 and its replacement with Law Administration Practice Statements PS LA 2012/4 and 2012/5, and</w:t>
            </w:r>
          </w:p>
          <w:p w:rsidR="00BF534D" w:rsidRPr="00BF534D" w:rsidRDefault="00BF534D" w:rsidP="004958FF">
            <w:pPr>
              <w:numPr>
                <w:ilvl w:val="0"/>
                <w:numId w:val="2"/>
              </w:numPr>
              <w:tabs>
                <w:tab w:val="clear" w:pos="780"/>
              </w:tabs>
              <w:spacing w:after="120" w:line="240" w:lineRule="auto"/>
              <w:ind w:left="446" w:hanging="304"/>
              <w:rPr>
                <w:rFonts w:ascii="Arial" w:hAnsi="Arial" w:cs="Arial"/>
                <w:sz w:val="20"/>
                <w:szCs w:val="20"/>
              </w:rPr>
            </w:pPr>
            <w:r w:rsidRPr="00BF534D">
              <w:rPr>
                <w:rFonts w:ascii="Arial" w:hAnsi="Arial" w:cs="Arial"/>
                <w:sz w:val="20"/>
                <w:szCs w:val="20"/>
              </w:rPr>
              <w:t>the repeal of the Minerals Resource Rent Tax (MRRT).</w:t>
            </w:r>
          </w:p>
          <w:p w:rsidR="00BF534D" w:rsidRPr="00BF534D" w:rsidRDefault="00BF534D" w:rsidP="004958FF">
            <w:pPr>
              <w:spacing w:after="120" w:line="240" w:lineRule="auto"/>
              <w:rPr>
                <w:rFonts w:ascii="Arial" w:hAnsi="Arial" w:cs="Arial"/>
                <w:sz w:val="20"/>
                <w:szCs w:val="20"/>
              </w:rPr>
            </w:pPr>
            <w:r w:rsidRPr="00BF534D">
              <w:rPr>
                <w:rFonts w:ascii="Arial" w:hAnsi="Arial" w:cs="Arial"/>
                <w:sz w:val="20"/>
                <w:szCs w:val="20"/>
              </w:rPr>
              <w:t>The Addendum applies on and from 1 October 2014.</w:t>
            </w:r>
          </w:p>
        </w:tc>
      </w:tr>
      <w:tr w:rsidR="00BF534D" w:rsidRPr="00152484" w:rsidTr="00560E9C">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BF534D" w:rsidRPr="00BF534D" w:rsidRDefault="00BF534D" w:rsidP="004958FF">
            <w:pPr>
              <w:pStyle w:val="Header"/>
              <w:tabs>
                <w:tab w:val="clear" w:pos="4513"/>
                <w:tab w:val="clear" w:pos="9026"/>
              </w:tabs>
              <w:spacing w:after="120"/>
              <w:rPr>
                <w:rFonts w:ascii="Arial" w:eastAsia="Times New Roman" w:hAnsi="Arial" w:cs="Arial"/>
                <w:color w:val="000000"/>
                <w:sz w:val="20"/>
                <w:szCs w:val="20"/>
                <w:lang w:eastAsia="en-AU"/>
              </w:rPr>
            </w:pPr>
            <w:r w:rsidRPr="00BF534D">
              <w:rPr>
                <w:rFonts w:ascii="Arial" w:eastAsia="Times New Roman" w:hAnsi="Arial" w:cs="Arial"/>
                <w:color w:val="000000"/>
                <w:sz w:val="20"/>
                <w:szCs w:val="20"/>
                <w:lang w:eastAsia="en-AU"/>
              </w:rPr>
              <w:lastRenderedPageBreak/>
              <w:t>MT 2011/1</w:t>
            </w:r>
          </w:p>
        </w:tc>
        <w:tc>
          <w:tcPr>
            <w:tcW w:w="3780" w:type="dxa"/>
            <w:tcBorders>
              <w:top w:val="single" w:sz="6" w:space="0" w:color="auto"/>
              <w:left w:val="single" w:sz="6" w:space="0" w:color="auto"/>
              <w:bottom w:val="single" w:sz="6" w:space="0" w:color="auto"/>
              <w:right w:val="single" w:sz="6" w:space="0" w:color="auto"/>
            </w:tcBorders>
          </w:tcPr>
          <w:p w:rsidR="00BF534D" w:rsidRPr="00BF534D" w:rsidDel="00F44FF5" w:rsidRDefault="00BF534D" w:rsidP="004958FF">
            <w:pPr>
              <w:pStyle w:val="Header"/>
              <w:tabs>
                <w:tab w:val="clear" w:pos="4513"/>
                <w:tab w:val="clear" w:pos="9026"/>
              </w:tabs>
              <w:spacing w:after="120"/>
              <w:rPr>
                <w:rFonts w:ascii="Arial" w:eastAsia="Times New Roman" w:hAnsi="Arial" w:cs="Arial"/>
                <w:color w:val="000000"/>
                <w:sz w:val="20"/>
                <w:szCs w:val="20"/>
                <w:lang w:eastAsia="en-AU"/>
              </w:rPr>
            </w:pPr>
            <w:r w:rsidRPr="00BF534D">
              <w:rPr>
                <w:rFonts w:ascii="Arial" w:eastAsia="Times New Roman" w:hAnsi="Arial" w:cs="Arial"/>
                <w:color w:val="000000"/>
                <w:sz w:val="20"/>
                <w:szCs w:val="20"/>
                <w:lang w:eastAsia="en-AU"/>
              </w:rPr>
              <w:t>Miscellaneous taxes:  application of penalties and interest charges to the Commonwealth, States, Northern Territory and Australian Capital Territory</w:t>
            </w:r>
          </w:p>
        </w:tc>
        <w:tc>
          <w:tcPr>
            <w:tcW w:w="4140" w:type="dxa"/>
            <w:tcBorders>
              <w:top w:val="single" w:sz="6" w:space="0" w:color="auto"/>
              <w:left w:val="single" w:sz="6" w:space="0" w:color="auto"/>
              <w:bottom w:val="single" w:sz="6" w:space="0" w:color="auto"/>
              <w:right w:val="single" w:sz="6" w:space="0" w:color="auto"/>
            </w:tcBorders>
          </w:tcPr>
          <w:p w:rsidR="00BF534D" w:rsidRPr="005B0731" w:rsidRDefault="00BF534D" w:rsidP="004958FF">
            <w:pPr>
              <w:spacing w:after="120" w:line="240" w:lineRule="auto"/>
              <w:rPr>
                <w:rFonts w:cs="Arial"/>
              </w:rPr>
            </w:pPr>
            <w:r w:rsidRPr="00BF534D">
              <w:rPr>
                <w:rFonts w:ascii="Arial" w:hAnsi="Arial" w:cs="Arial"/>
                <w:color w:val="000000"/>
                <w:sz w:val="20"/>
                <w:szCs w:val="20"/>
              </w:rPr>
              <w:t>The Addendum</w:t>
            </w:r>
            <w:r w:rsidRPr="005B0731">
              <w:rPr>
                <w:rFonts w:cs="Arial"/>
              </w:rPr>
              <w:t xml:space="preserve"> amends </w:t>
            </w:r>
            <w:r w:rsidR="0048531F">
              <w:rPr>
                <w:rFonts w:cs="Arial"/>
              </w:rPr>
              <w:t xml:space="preserve">Miscellaneous </w:t>
            </w:r>
            <w:r w:rsidRPr="005B0731">
              <w:rPr>
                <w:rFonts w:cs="Arial"/>
              </w:rPr>
              <w:t xml:space="preserve">Taxation Ruling </w:t>
            </w:r>
            <w:r w:rsidR="0048531F">
              <w:rPr>
                <w:rFonts w:cs="Arial"/>
              </w:rPr>
              <w:t>MT 2011/1</w:t>
            </w:r>
            <w:r w:rsidRPr="005B0731">
              <w:rPr>
                <w:rFonts w:cs="Arial"/>
              </w:rPr>
              <w:t xml:space="preserve"> to take into account:</w:t>
            </w:r>
          </w:p>
          <w:p w:rsidR="00BF534D" w:rsidRDefault="00BF534D" w:rsidP="004958FF">
            <w:pPr>
              <w:numPr>
                <w:ilvl w:val="0"/>
                <w:numId w:val="2"/>
              </w:numPr>
              <w:tabs>
                <w:tab w:val="clear" w:pos="780"/>
              </w:tabs>
              <w:spacing w:after="120" w:line="240" w:lineRule="auto"/>
              <w:ind w:left="446" w:hanging="304"/>
              <w:rPr>
                <w:rFonts w:cs="Arial"/>
              </w:rPr>
            </w:pPr>
            <w:r>
              <w:rPr>
                <w:rFonts w:cs="Arial"/>
              </w:rPr>
              <w:t>the withdrawal of Law Administration Practice Statement PS LA 2006/2 and its replacement with Law Administration Practice Statements PS LA 2012/4 and 2012/5</w:t>
            </w:r>
          </w:p>
          <w:p w:rsidR="00BF534D" w:rsidRPr="005B0731" w:rsidRDefault="00BF534D" w:rsidP="004958FF">
            <w:pPr>
              <w:numPr>
                <w:ilvl w:val="0"/>
                <w:numId w:val="2"/>
              </w:numPr>
              <w:tabs>
                <w:tab w:val="clear" w:pos="780"/>
              </w:tabs>
              <w:spacing w:after="120" w:line="240" w:lineRule="auto"/>
              <w:ind w:left="446" w:hanging="304"/>
              <w:rPr>
                <w:rFonts w:cs="Arial"/>
              </w:rPr>
            </w:pPr>
            <w:r w:rsidRPr="005B0731">
              <w:rPr>
                <w:rFonts w:cs="Arial"/>
              </w:rPr>
              <w:t xml:space="preserve">that the </w:t>
            </w:r>
            <w:r>
              <w:rPr>
                <w:rFonts w:cs="Arial"/>
              </w:rPr>
              <w:t xml:space="preserve">administrative penalty </w:t>
            </w:r>
            <w:r w:rsidRPr="005B0731">
              <w:rPr>
                <w:rFonts w:cs="Arial"/>
              </w:rPr>
              <w:t>contained in Division</w:t>
            </w:r>
            <w:r>
              <w:rPr>
                <w:rFonts w:cs="Arial"/>
              </w:rPr>
              <w:t> </w:t>
            </w:r>
            <w:r w:rsidRPr="005B0731">
              <w:rPr>
                <w:rFonts w:cs="Arial"/>
              </w:rPr>
              <w:t xml:space="preserve">284 of Schedule 1 to the </w:t>
            </w:r>
            <w:r w:rsidRPr="005B0731">
              <w:rPr>
                <w:rFonts w:cs="Arial"/>
                <w:i/>
              </w:rPr>
              <w:t>Taxation Administration Act</w:t>
            </w:r>
            <w:r>
              <w:rPr>
                <w:rFonts w:cs="Arial"/>
                <w:i/>
              </w:rPr>
              <w:t> </w:t>
            </w:r>
            <w:r w:rsidRPr="005B0731">
              <w:rPr>
                <w:rFonts w:cs="Arial"/>
                <w:i/>
              </w:rPr>
              <w:t>1953</w:t>
            </w:r>
            <w:r w:rsidRPr="005B0731">
              <w:rPr>
                <w:rFonts w:cs="Arial"/>
              </w:rPr>
              <w:t xml:space="preserve"> applies </w:t>
            </w:r>
            <w:r>
              <w:rPr>
                <w:rFonts w:cs="Arial"/>
              </w:rPr>
              <w:t xml:space="preserve">in relation </w:t>
            </w:r>
            <w:r w:rsidRPr="005B0731">
              <w:rPr>
                <w:rFonts w:cs="Arial"/>
              </w:rPr>
              <w:t xml:space="preserve">to </w:t>
            </w:r>
            <w:r>
              <w:rPr>
                <w:rFonts w:cs="Arial"/>
              </w:rPr>
              <w:t>Petroleum Resource Rent Tax</w:t>
            </w:r>
            <w:r w:rsidRPr="005B0731">
              <w:rPr>
                <w:rFonts w:cs="Arial"/>
              </w:rPr>
              <w:t xml:space="preserve"> </w:t>
            </w:r>
            <w:r>
              <w:rPr>
                <w:rFonts w:cs="Arial"/>
              </w:rPr>
              <w:t>matters</w:t>
            </w:r>
            <w:r w:rsidR="0048531F">
              <w:rPr>
                <w:rFonts w:cs="Arial"/>
              </w:rPr>
              <w:t>, and</w:t>
            </w:r>
            <w:r w:rsidRPr="005B0731">
              <w:rPr>
                <w:rFonts w:cs="Arial"/>
              </w:rPr>
              <w:t xml:space="preserve"> </w:t>
            </w:r>
          </w:p>
          <w:p w:rsidR="00BF534D" w:rsidRPr="005B0731" w:rsidRDefault="00BF534D" w:rsidP="004958FF">
            <w:pPr>
              <w:numPr>
                <w:ilvl w:val="0"/>
                <w:numId w:val="2"/>
              </w:numPr>
              <w:tabs>
                <w:tab w:val="clear" w:pos="780"/>
              </w:tabs>
              <w:spacing w:after="120" w:line="240" w:lineRule="auto"/>
              <w:ind w:left="446" w:hanging="304"/>
              <w:rPr>
                <w:rFonts w:cs="Arial"/>
              </w:rPr>
            </w:pPr>
            <w:r w:rsidRPr="005B0731">
              <w:rPr>
                <w:rFonts w:cs="Arial"/>
              </w:rPr>
              <w:t>the repeal of the Minerals Resource Rent Tax (MRRT).</w:t>
            </w:r>
          </w:p>
          <w:p w:rsidR="00BF534D" w:rsidRPr="00152484" w:rsidRDefault="00BF534D" w:rsidP="004958FF">
            <w:pPr>
              <w:spacing w:after="120" w:line="240" w:lineRule="auto"/>
              <w:rPr>
                <w:rFonts w:ascii="Arial" w:hAnsi="Arial" w:cs="Arial"/>
                <w:sz w:val="20"/>
                <w:szCs w:val="20"/>
              </w:rPr>
            </w:pPr>
            <w:r w:rsidRPr="00BF534D">
              <w:rPr>
                <w:rFonts w:ascii="Arial" w:hAnsi="Arial" w:cs="Arial"/>
                <w:sz w:val="20"/>
                <w:szCs w:val="20"/>
              </w:rPr>
              <w:t>The</w:t>
            </w:r>
            <w:r w:rsidRPr="00FA7B62">
              <w:rPr>
                <w:rFonts w:cs="Arial"/>
              </w:rPr>
              <w:t xml:space="preserve"> Addendum applies on and from 1 </w:t>
            </w:r>
            <w:r>
              <w:rPr>
                <w:rFonts w:cs="Arial"/>
              </w:rPr>
              <w:t>October</w:t>
            </w:r>
            <w:r w:rsidRPr="00FA7B62">
              <w:rPr>
                <w:rFonts w:cs="Arial"/>
              </w:rPr>
              <w:t> 201</w:t>
            </w:r>
            <w:r>
              <w:rPr>
                <w:rFonts w:cs="Arial"/>
              </w:rPr>
              <w:t>4.</w:t>
            </w:r>
          </w:p>
        </w:tc>
      </w:tr>
      <w:tr w:rsidR="00BF534D" w:rsidRPr="00152484" w:rsidTr="00560E9C">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BF534D" w:rsidRPr="00023407" w:rsidRDefault="00BF534D" w:rsidP="00023407">
            <w:pPr>
              <w:pStyle w:val="Header"/>
              <w:spacing w:after="120"/>
              <w:rPr>
                <w:rFonts w:ascii="Arial" w:hAnsi="Arial" w:cs="Arial"/>
                <w:sz w:val="20"/>
                <w:szCs w:val="20"/>
              </w:rPr>
            </w:pPr>
            <w:r w:rsidRPr="00023407">
              <w:rPr>
                <w:rFonts w:ascii="Arial" w:hAnsi="Arial" w:cs="Arial"/>
                <w:sz w:val="20"/>
                <w:szCs w:val="20"/>
              </w:rPr>
              <w:t>MT 2012/3</w:t>
            </w:r>
          </w:p>
        </w:tc>
        <w:tc>
          <w:tcPr>
            <w:tcW w:w="3780" w:type="dxa"/>
            <w:tcBorders>
              <w:top w:val="single" w:sz="6" w:space="0" w:color="auto"/>
              <w:left w:val="single" w:sz="6" w:space="0" w:color="auto"/>
              <w:bottom w:val="single" w:sz="6" w:space="0" w:color="auto"/>
              <w:right w:val="single" w:sz="6" w:space="0" w:color="auto"/>
            </w:tcBorders>
          </w:tcPr>
          <w:p w:rsidR="00BF534D" w:rsidRPr="00023407" w:rsidDel="00F44FF5" w:rsidRDefault="00023407" w:rsidP="00023407">
            <w:pPr>
              <w:pStyle w:val="Header"/>
              <w:keepNext/>
              <w:spacing w:after="120"/>
              <w:rPr>
                <w:rFonts w:ascii="Arial" w:hAnsi="Arial" w:cs="Arial"/>
                <w:sz w:val="20"/>
                <w:szCs w:val="20"/>
              </w:rPr>
            </w:pPr>
            <w:r w:rsidRPr="00023407">
              <w:rPr>
                <w:rFonts w:ascii="Arial" w:hAnsi="Arial" w:cs="Arial"/>
                <w:sz w:val="20"/>
                <w:szCs w:val="20"/>
              </w:rPr>
              <w:t>Administrative penalties:  voluntary disclosures</w:t>
            </w:r>
          </w:p>
        </w:tc>
        <w:tc>
          <w:tcPr>
            <w:tcW w:w="4140" w:type="dxa"/>
            <w:tcBorders>
              <w:top w:val="single" w:sz="6" w:space="0" w:color="auto"/>
              <w:left w:val="single" w:sz="6" w:space="0" w:color="auto"/>
              <w:bottom w:val="single" w:sz="6" w:space="0" w:color="auto"/>
              <w:right w:val="single" w:sz="6" w:space="0" w:color="auto"/>
            </w:tcBorders>
          </w:tcPr>
          <w:p w:rsidR="00023407" w:rsidRPr="00023407" w:rsidRDefault="00023407" w:rsidP="00023407">
            <w:pPr>
              <w:keepLines/>
              <w:spacing w:after="120" w:line="240" w:lineRule="auto"/>
              <w:rPr>
                <w:rFonts w:ascii="Arial" w:hAnsi="Arial" w:cs="Arial"/>
                <w:sz w:val="20"/>
                <w:szCs w:val="20"/>
              </w:rPr>
            </w:pPr>
            <w:r w:rsidRPr="00023407">
              <w:rPr>
                <w:rFonts w:ascii="Arial" w:hAnsi="Arial" w:cs="Arial"/>
                <w:sz w:val="20"/>
                <w:szCs w:val="20"/>
              </w:rPr>
              <w:t>The Addendum amends Miscellaneous Taxation Ruling MT </w:t>
            </w:r>
            <w:r w:rsidR="00024C36">
              <w:rPr>
                <w:rFonts w:ascii="Arial" w:hAnsi="Arial" w:cs="Arial"/>
                <w:sz w:val="20"/>
                <w:szCs w:val="20"/>
              </w:rPr>
              <w:t>2012/3</w:t>
            </w:r>
            <w:r w:rsidRPr="00023407">
              <w:rPr>
                <w:rFonts w:ascii="Arial" w:hAnsi="Arial" w:cs="Arial"/>
                <w:sz w:val="20"/>
                <w:szCs w:val="20"/>
              </w:rPr>
              <w:t xml:space="preserve"> to take into account:</w:t>
            </w:r>
          </w:p>
          <w:p w:rsidR="00023407" w:rsidRPr="00023407" w:rsidRDefault="00023407" w:rsidP="00023407">
            <w:pPr>
              <w:numPr>
                <w:ilvl w:val="0"/>
                <w:numId w:val="2"/>
              </w:numPr>
              <w:tabs>
                <w:tab w:val="clear" w:pos="780"/>
              </w:tabs>
              <w:spacing w:after="120" w:line="240" w:lineRule="auto"/>
              <w:ind w:left="446" w:hanging="304"/>
              <w:rPr>
                <w:rFonts w:ascii="Arial" w:hAnsi="Arial" w:cs="Arial"/>
                <w:sz w:val="20"/>
                <w:szCs w:val="20"/>
              </w:rPr>
            </w:pPr>
            <w:r w:rsidRPr="00023407">
              <w:rPr>
                <w:rFonts w:ascii="Arial" w:hAnsi="Arial" w:cs="Arial"/>
                <w:sz w:val="20"/>
                <w:szCs w:val="20"/>
              </w:rPr>
              <w:t>the withdrawal of Law Administration Practice Statement PS LA 2006/2 and its replacement with Law Administration Practice Statements PS LA 2012/4 and 2012/5.</w:t>
            </w:r>
          </w:p>
          <w:p w:rsidR="00023407" w:rsidRPr="00023407" w:rsidRDefault="00023407" w:rsidP="00023407">
            <w:pPr>
              <w:numPr>
                <w:ilvl w:val="0"/>
                <w:numId w:val="2"/>
              </w:numPr>
              <w:tabs>
                <w:tab w:val="clear" w:pos="780"/>
              </w:tabs>
              <w:spacing w:after="120" w:line="240" w:lineRule="auto"/>
              <w:ind w:left="446" w:hanging="304"/>
              <w:rPr>
                <w:rFonts w:ascii="Arial" w:hAnsi="Arial" w:cs="Arial"/>
                <w:sz w:val="20"/>
                <w:szCs w:val="20"/>
              </w:rPr>
            </w:pPr>
            <w:r w:rsidRPr="00023407">
              <w:rPr>
                <w:rFonts w:ascii="Arial" w:hAnsi="Arial" w:cs="Arial"/>
                <w:sz w:val="20"/>
                <w:szCs w:val="20"/>
              </w:rPr>
              <w:t>the repeal of the Minerals Resource Rent Tax (MRRT).</w:t>
            </w:r>
          </w:p>
          <w:p w:rsidR="00023407" w:rsidRPr="00023407" w:rsidRDefault="00023407" w:rsidP="00023407">
            <w:pPr>
              <w:spacing w:after="120" w:line="240" w:lineRule="auto"/>
              <w:rPr>
                <w:rFonts w:ascii="Arial" w:hAnsi="Arial" w:cs="Arial"/>
                <w:sz w:val="20"/>
                <w:szCs w:val="20"/>
              </w:rPr>
            </w:pPr>
            <w:r w:rsidRPr="00023407">
              <w:rPr>
                <w:rFonts w:ascii="Arial" w:hAnsi="Arial" w:cs="Arial"/>
                <w:sz w:val="20"/>
                <w:szCs w:val="20"/>
              </w:rPr>
              <w:t>The Addendum applies on and from 1 October 2014.</w:t>
            </w:r>
          </w:p>
        </w:tc>
      </w:tr>
    </w:tbl>
    <w:p w:rsidR="00BF534D" w:rsidRPr="00424B97" w:rsidRDefault="00BF534D" w:rsidP="00424B97"/>
    <w:sectPr w:rsidR="00BF534D"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D801F2" w:rsidP="00840A06">
          <w:pPr>
            <w:spacing w:before="60" w:after="0"/>
            <w:ind w:left="-51"/>
            <w:rPr>
              <w:rFonts w:ascii="Arial" w:hAnsi="Arial"/>
              <w:sz w:val="12"/>
            </w:rPr>
          </w:pPr>
          <w:bookmarkStart w:id="2"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3" w:name="GazNo"/>
          <w:bookmarkEnd w:id="3"/>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2"/>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E69FB"/>
    <w:multiLevelType w:val="hybridMultilevel"/>
    <w:tmpl w:val="99D612F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07360"/>
    <w:rsid w:val="00023407"/>
    <w:rsid w:val="00024C36"/>
    <w:rsid w:val="000E1F2B"/>
    <w:rsid w:val="00114CB2"/>
    <w:rsid w:val="00141674"/>
    <w:rsid w:val="00152484"/>
    <w:rsid w:val="001C2AAD"/>
    <w:rsid w:val="001F6E54"/>
    <w:rsid w:val="00237961"/>
    <w:rsid w:val="00280BCD"/>
    <w:rsid w:val="003A707F"/>
    <w:rsid w:val="003B0EC1"/>
    <w:rsid w:val="003B573B"/>
    <w:rsid w:val="003F2CBD"/>
    <w:rsid w:val="00424B97"/>
    <w:rsid w:val="0048531F"/>
    <w:rsid w:val="004958FF"/>
    <w:rsid w:val="004B2753"/>
    <w:rsid w:val="004C5A5D"/>
    <w:rsid w:val="00520873"/>
    <w:rsid w:val="00573D44"/>
    <w:rsid w:val="005C5F31"/>
    <w:rsid w:val="005E7AE5"/>
    <w:rsid w:val="006B38CC"/>
    <w:rsid w:val="00757B65"/>
    <w:rsid w:val="00773255"/>
    <w:rsid w:val="007C490F"/>
    <w:rsid w:val="007E2CA6"/>
    <w:rsid w:val="00840A06"/>
    <w:rsid w:val="008439B7"/>
    <w:rsid w:val="0087253F"/>
    <w:rsid w:val="008D17C9"/>
    <w:rsid w:val="008E4F6C"/>
    <w:rsid w:val="0094219E"/>
    <w:rsid w:val="00943B8D"/>
    <w:rsid w:val="009539C7"/>
    <w:rsid w:val="0095650D"/>
    <w:rsid w:val="00A00F21"/>
    <w:rsid w:val="00A41F5C"/>
    <w:rsid w:val="00A60CE8"/>
    <w:rsid w:val="00A83BCC"/>
    <w:rsid w:val="00AD0943"/>
    <w:rsid w:val="00B4706B"/>
    <w:rsid w:val="00B84226"/>
    <w:rsid w:val="00BF534D"/>
    <w:rsid w:val="00C51492"/>
    <w:rsid w:val="00C51D3C"/>
    <w:rsid w:val="00C63C4E"/>
    <w:rsid w:val="00D77A88"/>
    <w:rsid w:val="00D801F2"/>
    <w:rsid w:val="00DD66DC"/>
    <w:rsid w:val="00E823AE"/>
    <w:rsid w:val="00EB3C1D"/>
    <w:rsid w:val="00ED2E52"/>
    <w:rsid w:val="00F40885"/>
    <w:rsid w:val="00F44FF5"/>
    <w:rsid w:val="00FF0119"/>
    <w:rsid w:val="00FF4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Glover, Theresa</cp:lastModifiedBy>
  <cp:revision>18</cp:revision>
  <cp:lastPrinted>2015-03-25T05:06:00Z</cp:lastPrinted>
  <dcterms:created xsi:type="dcterms:W3CDTF">2013-09-12T22:07:00Z</dcterms:created>
  <dcterms:modified xsi:type="dcterms:W3CDTF">2015-03-27T03:37:00Z</dcterms:modified>
</cp:coreProperties>
</file>