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6A4104" w:rsidRDefault="006A4104" w:rsidP="00424B97"/>
    <w:p w:rsidR="006A4104" w:rsidRDefault="006A4104" w:rsidP="006A4104">
      <w:pPr>
        <w:widowControl w:val="0"/>
        <w:snapToGrid w:val="0"/>
        <w:spacing w:after="0" w:line="240" w:lineRule="auto"/>
        <w:jc w:val="center"/>
        <w:rPr>
          <w:rFonts w:ascii="Calibri" w:eastAsia="Times New Roman" w:hAnsi="Calibri" w:cs="Times New Roman"/>
          <w:b/>
          <w:i/>
          <w:color w:val="1F497D"/>
          <w:sz w:val="20"/>
          <w:szCs w:val="20"/>
          <w:lang w:val="en-US"/>
        </w:rPr>
      </w:pPr>
    </w:p>
    <w:p w:rsidR="006A4104" w:rsidRPr="006A4104" w:rsidRDefault="006A4104" w:rsidP="006A4104">
      <w:pPr>
        <w:widowControl w:val="0"/>
        <w:snapToGrid w:val="0"/>
        <w:spacing w:after="0" w:line="240" w:lineRule="auto"/>
        <w:jc w:val="center"/>
        <w:rPr>
          <w:rFonts w:ascii="Calibri" w:eastAsia="Times New Roman" w:hAnsi="Calibri" w:cs="Times New Roman"/>
          <w:b/>
          <w:color w:val="1F497D"/>
          <w:sz w:val="20"/>
          <w:szCs w:val="20"/>
          <w:lang w:val="en-US"/>
        </w:rPr>
      </w:pPr>
      <w:r w:rsidRPr="006A4104">
        <w:rPr>
          <w:rFonts w:ascii="Calibri" w:eastAsia="Times New Roman" w:hAnsi="Calibri" w:cs="Times New Roman"/>
          <w:b/>
          <w:i/>
          <w:color w:val="1F497D"/>
          <w:sz w:val="20"/>
          <w:szCs w:val="20"/>
          <w:lang w:val="en-US"/>
        </w:rPr>
        <w:t xml:space="preserve">Australian Radiation Protection and Nuclear Safety Act 1998 </w:t>
      </w:r>
    </w:p>
    <w:p w:rsidR="006A4104" w:rsidRPr="006A4104" w:rsidRDefault="006A4104" w:rsidP="006A4104">
      <w:pPr>
        <w:widowControl w:val="0"/>
        <w:snapToGrid w:val="0"/>
        <w:spacing w:after="0" w:line="240" w:lineRule="auto"/>
        <w:jc w:val="center"/>
        <w:rPr>
          <w:rFonts w:ascii="Calibri" w:eastAsia="Times New Roman" w:hAnsi="Calibri" w:cs="Times New Roman"/>
          <w:b/>
          <w:color w:val="1F497D"/>
          <w:sz w:val="20"/>
          <w:szCs w:val="20"/>
          <w:lang w:val="en-US"/>
        </w:rPr>
      </w:pPr>
      <w:r w:rsidRPr="006A4104">
        <w:rPr>
          <w:rFonts w:ascii="Calibri" w:eastAsia="Times New Roman" w:hAnsi="Calibri" w:cs="Times New Roman"/>
          <w:b/>
          <w:color w:val="1F497D"/>
          <w:sz w:val="20"/>
          <w:szCs w:val="20"/>
          <w:lang w:val="en-US"/>
        </w:rPr>
        <w:t>Australian Radiation Protection and Nuclear Safety Regulations 1999</w:t>
      </w:r>
    </w:p>
    <w:p w:rsidR="006A4104" w:rsidRPr="006A4104" w:rsidRDefault="006A4104" w:rsidP="006A4104">
      <w:pPr>
        <w:widowControl w:val="0"/>
        <w:snapToGrid w:val="0"/>
        <w:spacing w:after="0" w:line="240" w:lineRule="auto"/>
        <w:rPr>
          <w:rFonts w:ascii="Calibri" w:eastAsia="Times New Roman" w:hAnsi="Calibri" w:cs="Times New Roman"/>
          <w:b/>
          <w:i/>
          <w:sz w:val="24"/>
          <w:szCs w:val="20"/>
          <w:lang w:val="en-US"/>
        </w:rPr>
      </w:pPr>
      <w:r w:rsidRPr="006A4104">
        <w:rPr>
          <w:rFonts w:ascii="Calibri" w:eastAsia="Times New Roman" w:hAnsi="Calibri" w:cs="Times New Roman"/>
          <w:sz w:val="24"/>
          <w:szCs w:val="20"/>
          <w:lang w:eastAsia="en-AU"/>
        </w:rPr>
        <w:tab/>
        <w:t xml:space="preserve"> </w:t>
      </w:r>
    </w:p>
    <w:p w:rsidR="006A4104" w:rsidRPr="006A4104" w:rsidRDefault="006A4104" w:rsidP="006A4104">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92"/>
          <w:tab w:val="left" w:pos="7687"/>
          <w:tab w:val="left" w:pos="8640"/>
        </w:tabs>
        <w:snapToGrid w:val="0"/>
        <w:spacing w:after="0" w:line="240" w:lineRule="auto"/>
        <w:jc w:val="center"/>
        <w:outlineLvl w:val="1"/>
        <w:rPr>
          <w:rFonts w:ascii="Cambria" w:eastAsia="Times New Roman" w:hAnsi="Cambria" w:cs="Times New Roman"/>
          <w:b/>
          <w:color w:val="1F497D"/>
          <w:sz w:val="28"/>
          <w:szCs w:val="28"/>
        </w:rPr>
      </w:pPr>
      <w:r w:rsidRPr="006A4104">
        <w:rPr>
          <w:rFonts w:ascii="Cambria" w:eastAsia="Times New Roman" w:hAnsi="Cambria" w:cs="Times New Roman"/>
          <w:b/>
          <w:color w:val="1F497D"/>
          <w:sz w:val="28"/>
          <w:szCs w:val="28"/>
        </w:rPr>
        <w:t>Declaration of Exemption</w:t>
      </w:r>
    </w:p>
    <w:p w:rsidR="006A4104" w:rsidRPr="006A4104" w:rsidRDefault="006A4104" w:rsidP="006A4104">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92"/>
          <w:tab w:val="left" w:pos="7687"/>
          <w:tab w:val="left" w:pos="8640"/>
        </w:tabs>
        <w:snapToGrid w:val="0"/>
        <w:spacing w:after="0" w:line="240" w:lineRule="auto"/>
        <w:jc w:val="center"/>
        <w:outlineLvl w:val="1"/>
        <w:rPr>
          <w:rFonts w:ascii="Calibri" w:eastAsia="Times New Roman" w:hAnsi="Calibri" w:cs="Times New Roman"/>
          <w:b/>
          <w:color w:val="000000"/>
          <w:sz w:val="24"/>
          <w:szCs w:val="24"/>
        </w:rPr>
      </w:pPr>
    </w:p>
    <w:p w:rsidR="006A4104" w:rsidRPr="006A4104" w:rsidRDefault="006A4104" w:rsidP="006A4104">
      <w:pPr>
        <w:snapToGrid w:val="0"/>
        <w:spacing w:after="0" w:line="240" w:lineRule="auto"/>
        <w:ind w:left="426" w:right="283"/>
        <w:jc w:val="both"/>
        <w:rPr>
          <w:rFonts w:ascii="Calibri" w:eastAsia="Times New Roman" w:hAnsi="Calibri" w:cs="Times New Roman"/>
          <w:color w:val="000000"/>
          <w:lang w:val="en-US"/>
        </w:rPr>
      </w:pPr>
      <w:r w:rsidRPr="006A4104">
        <w:rPr>
          <w:rFonts w:ascii="Calibri" w:eastAsia="Times New Roman" w:hAnsi="Calibri" w:cs="Times New Roman"/>
          <w:color w:val="000000"/>
          <w:lang w:val="en-US"/>
        </w:rPr>
        <w:t>I, Jack Dillich,</w:t>
      </w:r>
      <w:r w:rsidRPr="006A4104">
        <w:rPr>
          <w:rFonts w:ascii="Calibri" w:eastAsia="Times New Roman" w:hAnsi="Calibri" w:cs="Times New Roman"/>
          <w:b/>
          <w:color w:val="000000"/>
          <w:lang w:val="en-US"/>
        </w:rPr>
        <w:t xml:space="preserve"> </w:t>
      </w:r>
      <w:r w:rsidRPr="006A4104">
        <w:rPr>
          <w:rFonts w:ascii="Calibri" w:eastAsia="Times New Roman" w:hAnsi="Calibri" w:cs="Times New Roman"/>
          <w:color w:val="000000"/>
          <w:lang w:val="en-US"/>
        </w:rPr>
        <w:t>delegate of the</w:t>
      </w:r>
      <w:r w:rsidRPr="006A4104">
        <w:rPr>
          <w:rFonts w:ascii="Calibri" w:eastAsia="Times New Roman" w:hAnsi="Calibri" w:cs="Times New Roman"/>
          <w:b/>
          <w:color w:val="000000"/>
          <w:lang w:val="en-US"/>
        </w:rPr>
        <w:t xml:space="preserve"> </w:t>
      </w:r>
      <w:r w:rsidRPr="006A4104">
        <w:rPr>
          <w:rFonts w:ascii="Calibri" w:eastAsia="Times New Roman" w:hAnsi="Calibri" w:cs="Times New Roman"/>
          <w:color w:val="000000"/>
          <w:lang w:val="en-US"/>
        </w:rPr>
        <w:t xml:space="preserve">Chief Executive Officer of ARPANSA, acting pursuant to regulation 38(5) of the Australian Radiation Protection and Nuclear Safety Regulations 1999 (the Regulations) am satisfied that  Australian Customs and Border Protection Services, in dealing with:  </w:t>
      </w:r>
    </w:p>
    <w:p w:rsidR="006A4104" w:rsidRPr="006A4104" w:rsidRDefault="006A4104" w:rsidP="006A4104">
      <w:pPr>
        <w:snapToGrid w:val="0"/>
        <w:spacing w:after="0" w:line="240" w:lineRule="auto"/>
        <w:ind w:left="426" w:right="283"/>
        <w:jc w:val="both"/>
        <w:rPr>
          <w:rFonts w:ascii="Calibri" w:eastAsia="Times New Roman" w:hAnsi="Calibri" w:cs="Times New Roman"/>
          <w:color w:val="000000"/>
          <w:lang w:val="en-US"/>
        </w:rPr>
      </w:pPr>
    </w:p>
    <w:p w:rsidR="006A4104" w:rsidRPr="006A4104" w:rsidRDefault="006A4104" w:rsidP="006A4104">
      <w:pPr>
        <w:snapToGrid w:val="0"/>
        <w:spacing w:after="0" w:line="240" w:lineRule="auto"/>
        <w:ind w:left="426" w:right="283"/>
        <w:jc w:val="center"/>
        <w:rPr>
          <w:rFonts w:ascii="Calibri" w:eastAsia="Times New Roman" w:hAnsi="Calibri" w:cs="Times New Roman"/>
          <w:color w:val="000000"/>
          <w:lang w:val="en-US"/>
        </w:rPr>
      </w:pPr>
      <w:proofErr w:type="gramStart"/>
      <w:r w:rsidRPr="006A4104">
        <w:rPr>
          <w:rFonts w:ascii="Calibri" w:eastAsia="Times New Roman" w:hAnsi="Calibri" w:cs="Times New Roman"/>
          <w:color w:val="000000"/>
          <w:lang w:val="en-US"/>
        </w:rPr>
        <w:t>use</w:t>
      </w:r>
      <w:proofErr w:type="gramEnd"/>
      <w:r w:rsidRPr="006A4104">
        <w:rPr>
          <w:rFonts w:ascii="Calibri" w:eastAsia="Times New Roman" w:hAnsi="Calibri" w:cs="Times New Roman"/>
          <w:color w:val="000000"/>
          <w:lang w:val="en-US"/>
        </w:rPr>
        <w:t xml:space="preserve"> and possession of Zircon Sand Training Sources</w:t>
      </w:r>
    </w:p>
    <w:p w:rsidR="006A4104" w:rsidRPr="006A4104" w:rsidRDefault="006A4104" w:rsidP="006A4104">
      <w:pPr>
        <w:snapToGrid w:val="0"/>
        <w:spacing w:after="0" w:line="240" w:lineRule="auto"/>
        <w:ind w:left="426" w:right="283"/>
        <w:jc w:val="both"/>
        <w:rPr>
          <w:rFonts w:ascii="Calibri" w:eastAsia="Times New Roman" w:hAnsi="Calibri" w:cs="Times New Roman"/>
          <w:color w:val="000000"/>
          <w:lang w:val="en-US"/>
        </w:rPr>
      </w:pPr>
      <w:bookmarkStart w:id="0" w:name="_GoBack"/>
      <w:bookmarkEnd w:id="0"/>
    </w:p>
    <w:p w:rsidR="006A4104" w:rsidRPr="006A4104" w:rsidRDefault="006A4104" w:rsidP="006A4104">
      <w:pPr>
        <w:snapToGrid w:val="0"/>
        <w:spacing w:after="0" w:line="240" w:lineRule="auto"/>
        <w:ind w:left="426" w:right="283"/>
        <w:jc w:val="both"/>
        <w:rPr>
          <w:rFonts w:ascii="Calibri" w:eastAsia="Times New Roman" w:hAnsi="Calibri" w:cs="Times New Roman"/>
          <w:color w:val="000000"/>
          <w:lang w:val="en-US"/>
        </w:rPr>
      </w:pPr>
      <w:r w:rsidRPr="006A4104">
        <w:rPr>
          <w:rFonts w:ascii="Calibri" w:eastAsia="Times New Roman" w:hAnsi="Calibri" w:cs="Times New Roman"/>
          <w:color w:val="000000"/>
          <w:lang w:val="en-US"/>
        </w:rPr>
        <w:t>satisfies the requirements of paragraphs 38(5)(a), (b) and (c) of the Regulations Therefore, in accordance with sub-clause 38(7), this dealing is an exempt dealing for the purposes of paragraph 31 (1) (b) of the Act.</w:t>
      </w:r>
    </w:p>
    <w:p w:rsidR="006A4104" w:rsidRPr="006A4104" w:rsidRDefault="006A4104" w:rsidP="006A4104">
      <w:pPr>
        <w:widowControl w:val="0"/>
        <w:tabs>
          <w:tab w:val="right" w:pos="709"/>
        </w:tabs>
        <w:snapToGrid w:val="0"/>
        <w:spacing w:after="0" w:line="240" w:lineRule="auto"/>
        <w:ind w:left="426" w:right="567"/>
        <w:jc w:val="both"/>
        <w:rPr>
          <w:rFonts w:ascii="Calibri" w:eastAsia="Times New Roman" w:hAnsi="Calibri" w:cs="Times New Roman"/>
          <w:color w:val="000000"/>
          <w:lang w:val="en-US"/>
        </w:rPr>
      </w:pPr>
      <w:r w:rsidRPr="006A4104">
        <w:rPr>
          <w:rFonts w:ascii="Calibri" w:eastAsia="Times New Roman" w:hAnsi="Calibri" w:cs="Times New Roman"/>
          <w:color w:val="000000"/>
          <w:lang w:val="en-US"/>
        </w:rPr>
        <w:tab/>
      </w:r>
    </w:p>
    <w:p w:rsidR="006A4104" w:rsidRPr="006A4104" w:rsidRDefault="006A4104" w:rsidP="006A4104">
      <w:pPr>
        <w:widowControl w:val="0"/>
        <w:tabs>
          <w:tab w:val="right" w:pos="284"/>
          <w:tab w:val="left" w:pos="851"/>
        </w:tabs>
        <w:snapToGrid w:val="0"/>
        <w:spacing w:after="0" w:line="240" w:lineRule="auto"/>
        <w:ind w:left="426" w:right="425"/>
        <w:jc w:val="both"/>
        <w:rPr>
          <w:rFonts w:ascii="Calibri" w:eastAsia="Times New Roman" w:hAnsi="Calibri" w:cs="Times New Roman"/>
          <w:color w:val="000000"/>
          <w:lang w:val="en-US"/>
        </w:rPr>
      </w:pPr>
    </w:p>
    <w:p w:rsidR="006A4104" w:rsidRPr="006A4104" w:rsidRDefault="001D2D71" w:rsidP="006A4104">
      <w:pPr>
        <w:widowControl w:val="0"/>
        <w:tabs>
          <w:tab w:val="right" w:pos="284"/>
          <w:tab w:val="right" w:pos="426"/>
          <w:tab w:val="left" w:pos="851"/>
        </w:tabs>
        <w:snapToGrid w:val="0"/>
        <w:spacing w:after="0" w:line="240" w:lineRule="auto"/>
        <w:ind w:left="720" w:hanging="141"/>
        <w:rPr>
          <w:rFonts w:ascii="Calibri" w:eastAsia="Times New Roman" w:hAnsi="Calibri" w:cs="Times New Roman"/>
          <w:color w:val="000000"/>
          <w:lang w:val="en-US"/>
        </w:rPr>
      </w:pPr>
      <w:r>
        <w:rPr>
          <w:noProof/>
          <w:lang w:eastAsia="en-AU"/>
        </w:rPr>
        <w:drawing>
          <wp:inline distT="0" distB="0" distL="0" distR="0" wp14:anchorId="657AF972" wp14:editId="39C07676">
            <wp:extent cx="1028700" cy="37195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28700" cy="371959"/>
                    </a:xfrm>
                    <a:prstGeom prst="rect">
                      <a:avLst/>
                    </a:prstGeom>
                  </pic:spPr>
                </pic:pic>
              </a:graphicData>
            </a:graphic>
          </wp:inline>
        </w:drawing>
      </w:r>
    </w:p>
    <w:p w:rsidR="006A4104" w:rsidRPr="001D2D71" w:rsidRDefault="001D2D71" w:rsidP="001D2D71">
      <w:pPr>
        <w:widowControl w:val="0"/>
        <w:tabs>
          <w:tab w:val="right" w:pos="284"/>
          <w:tab w:val="right" w:pos="426"/>
          <w:tab w:val="left" w:pos="851"/>
        </w:tabs>
        <w:snapToGrid w:val="0"/>
        <w:spacing w:after="0" w:line="240" w:lineRule="auto"/>
        <w:rPr>
          <w:rFonts w:ascii="Calibri" w:eastAsia="Times New Roman" w:hAnsi="Calibri" w:cs="Times New Roman"/>
          <w:i/>
          <w:color w:val="000000"/>
          <w:lang w:val="en-US"/>
        </w:rPr>
      </w:pPr>
      <w:r>
        <w:rPr>
          <w:rFonts w:ascii="Calibri" w:eastAsia="Times New Roman" w:hAnsi="Calibri" w:cs="Times New Roman"/>
          <w:b/>
          <w:color w:val="000000"/>
          <w:lang w:val="en-US"/>
        </w:rPr>
        <w:tab/>
      </w:r>
      <w:r>
        <w:rPr>
          <w:rFonts w:ascii="Calibri" w:eastAsia="Times New Roman" w:hAnsi="Calibri" w:cs="Times New Roman"/>
          <w:b/>
          <w:color w:val="000000"/>
          <w:lang w:val="en-US"/>
        </w:rPr>
        <w:tab/>
        <w:t xml:space="preserve">    </w:t>
      </w:r>
      <w:r w:rsidR="006A4104" w:rsidRPr="006A4104">
        <w:rPr>
          <w:rFonts w:ascii="Calibri" w:eastAsia="Times New Roman" w:hAnsi="Calibri" w:cs="Times New Roman"/>
          <w:b/>
          <w:color w:val="000000"/>
          <w:lang w:val="en-US"/>
        </w:rPr>
        <w:t>Jack Dillich</w:t>
      </w:r>
    </w:p>
    <w:p w:rsidR="006A4104" w:rsidRPr="006A4104" w:rsidRDefault="006A4104" w:rsidP="006A4104">
      <w:pPr>
        <w:widowControl w:val="0"/>
        <w:tabs>
          <w:tab w:val="right" w:pos="284"/>
          <w:tab w:val="right" w:pos="426"/>
          <w:tab w:val="left" w:pos="851"/>
        </w:tabs>
        <w:snapToGrid w:val="0"/>
        <w:spacing w:after="0" w:line="240" w:lineRule="auto"/>
        <w:ind w:left="567" w:hanging="141"/>
        <w:jc w:val="both"/>
        <w:rPr>
          <w:rFonts w:ascii="Calibri" w:eastAsia="Times New Roman" w:hAnsi="Calibri" w:cs="Times New Roman"/>
          <w:b/>
          <w:color w:val="000000"/>
          <w:lang w:val="en-US"/>
        </w:rPr>
      </w:pPr>
      <w:r w:rsidRPr="006A4104">
        <w:rPr>
          <w:rFonts w:ascii="Calibri" w:eastAsia="Times New Roman" w:hAnsi="Calibri" w:cs="Times New Roman"/>
          <w:b/>
          <w:color w:val="000000"/>
          <w:lang w:val="en-US"/>
        </w:rPr>
        <w:t>Delegate of the CEO of ARPANSA</w:t>
      </w:r>
    </w:p>
    <w:p w:rsidR="006A4104" w:rsidRPr="006A4104" w:rsidRDefault="006A4104" w:rsidP="006A4104">
      <w:pPr>
        <w:widowControl w:val="0"/>
        <w:tabs>
          <w:tab w:val="right" w:pos="284"/>
          <w:tab w:val="right" w:pos="426"/>
          <w:tab w:val="left" w:pos="851"/>
        </w:tabs>
        <w:snapToGrid w:val="0"/>
        <w:spacing w:after="0" w:line="240" w:lineRule="auto"/>
        <w:ind w:left="567" w:hanging="141"/>
        <w:jc w:val="both"/>
        <w:rPr>
          <w:rFonts w:ascii="Calibri" w:eastAsia="Times New Roman" w:hAnsi="Calibri" w:cs="Times New Roman"/>
          <w:b/>
          <w:color w:val="000000"/>
          <w:lang w:val="en-US"/>
        </w:rPr>
      </w:pPr>
    </w:p>
    <w:p w:rsidR="006A4104" w:rsidRPr="006A4104" w:rsidRDefault="006A4104" w:rsidP="006A4104">
      <w:pPr>
        <w:widowControl w:val="0"/>
        <w:tabs>
          <w:tab w:val="right" w:pos="284"/>
          <w:tab w:val="right" w:pos="426"/>
          <w:tab w:val="left" w:pos="851"/>
        </w:tabs>
        <w:snapToGrid w:val="0"/>
        <w:spacing w:after="0" w:line="240" w:lineRule="auto"/>
        <w:ind w:left="567" w:hanging="141"/>
        <w:jc w:val="both"/>
        <w:rPr>
          <w:rFonts w:ascii="Calibri" w:eastAsia="Times New Roman" w:hAnsi="Calibri" w:cs="Times New Roman"/>
          <w:color w:val="000000"/>
          <w:lang w:val="en-US"/>
        </w:rPr>
      </w:pPr>
      <w:r w:rsidRPr="006A4104">
        <w:rPr>
          <w:rFonts w:ascii="Calibri" w:eastAsia="Times New Roman" w:hAnsi="Calibri" w:cs="Times New Roman"/>
          <w:color w:val="000000"/>
          <w:lang w:val="en-US"/>
        </w:rPr>
        <w:t>28 May 2015</w:t>
      </w:r>
    </w:p>
    <w:p w:rsidR="006A4104" w:rsidRPr="006A4104" w:rsidRDefault="006A4104" w:rsidP="006A4104">
      <w:pPr>
        <w:snapToGrid w:val="0"/>
        <w:spacing w:after="0" w:line="240" w:lineRule="auto"/>
        <w:rPr>
          <w:rFonts w:ascii="Times New Roman" w:eastAsia="Times New Roman" w:hAnsi="Times New Roman" w:cs="Times New Roman"/>
          <w:lang w:val="en-US"/>
        </w:rPr>
      </w:pPr>
    </w:p>
    <w:p w:rsidR="006A4104" w:rsidRPr="00424B97" w:rsidRDefault="006A4104" w:rsidP="00424B97"/>
    <w:sectPr w:rsidR="006A4104"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D2D71"/>
    <w:rsid w:val="001F6E54"/>
    <w:rsid w:val="00280BCD"/>
    <w:rsid w:val="003A707F"/>
    <w:rsid w:val="003B0EC1"/>
    <w:rsid w:val="003B573B"/>
    <w:rsid w:val="003F2CBD"/>
    <w:rsid w:val="00424B97"/>
    <w:rsid w:val="004B2753"/>
    <w:rsid w:val="00520873"/>
    <w:rsid w:val="00573D44"/>
    <w:rsid w:val="0067714C"/>
    <w:rsid w:val="006A410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4CE1-9319-4250-8CE9-A6DD4902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5D1E791E</Template>
  <TotalTime>2</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smithn</cp:lastModifiedBy>
  <cp:revision>4</cp:revision>
  <cp:lastPrinted>2013-06-24T01:35:00Z</cp:lastPrinted>
  <dcterms:created xsi:type="dcterms:W3CDTF">2015-05-28T23:20:00Z</dcterms:created>
  <dcterms:modified xsi:type="dcterms:W3CDTF">2015-05-28T23:54:00Z</dcterms:modified>
</cp:coreProperties>
</file>