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E43A51" w:rsidRPr="00F36380" w:rsidRDefault="00E43A51" w:rsidP="00E43A51">
      <w:pPr>
        <w:jc w:val="center"/>
        <w:rPr>
          <w:b/>
        </w:rPr>
      </w:pPr>
      <w:r w:rsidRPr="00F36380">
        <w:rPr>
          <w:b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F36380">
            <w:rPr>
              <w:b/>
            </w:rPr>
            <w:t>Australia</w:t>
          </w:r>
        </w:smartTag>
      </w:smartTag>
    </w:p>
    <w:p w:rsidR="00E43A51" w:rsidRPr="00F36380" w:rsidRDefault="00E43A51" w:rsidP="00E43A51">
      <w:pPr>
        <w:jc w:val="center"/>
        <w:rPr>
          <w:b/>
        </w:rPr>
      </w:pPr>
    </w:p>
    <w:p w:rsidR="00E43A51" w:rsidRPr="00F36380" w:rsidRDefault="00E43A51" w:rsidP="00E43A51">
      <w:pPr>
        <w:jc w:val="center"/>
        <w:rPr>
          <w:i/>
        </w:rPr>
      </w:pPr>
      <w:r w:rsidRPr="00F36380">
        <w:rPr>
          <w:i/>
        </w:rPr>
        <w:t>Industry Research and Development Act 1986</w:t>
      </w:r>
    </w:p>
    <w:p w:rsidR="00E43A51" w:rsidRPr="00F36380" w:rsidRDefault="00E43A51" w:rsidP="00E43A51">
      <w:pPr>
        <w:jc w:val="center"/>
        <w:rPr>
          <w:i/>
        </w:rPr>
      </w:pPr>
    </w:p>
    <w:p w:rsidR="00E43A51" w:rsidRDefault="00E43A51" w:rsidP="00E43A51">
      <w:pPr>
        <w:jc w:val="center"/>
        <w:rPr>
          <w:b/>
        </w:rPr>
      </w:pPr>
      <w:r>
        <w:rPr>
          <w:b/>
        </w:rPr>
        <w:t>Entrepreneurs’ Programme - Accelerating Commercialisation</w:t>
      </w:r>
    </w:p>
    <w:p w:rsidR="00E43A51" w:rsidRPr="00F36380" w:rsidRDefault="00E43A51" w:rsidP="00E43A51">
      <w:pPr>
        <w:jc w:val="center"/>
        <w:rPr>
          <w:b/>
        </w:rPr>
      </w:pPr>
      <w:r w:rsidRPr="00F36380">
        <w:rPr>
          <w:b/>
        </w:rPr>
        <w:t>Direction No. 1 of 20</w:t>
      </w:r>
      <w:r>
        <w:rPr>
          <w:b/>
        </w:rPr>
        <w:t>15</w:t>
      </w:r>
    </w:p>
    <w:p w:rsidR="00E43A51" w:rsidRPr="00F36380" w:rsidRDefault="00E43A51" w:rsidP="00E43A51">
      <w:pPr>
        <w:jc w:val="center"/>
        <w:rPr>
          <w:b/>
        </w:rPr>
      </w:pPr>
    </w:p>
    <w:p w:rsidR="00E43A51" w:rsidRPr="00F36380" w:rsidRDefault="00E43A51" w:rsidP="00E43A51">
      <w:pPr>
        <w:jc w:val="center"/>
        <w:rPr>
          <w:b/>
        </w:rPr>
      </w:pPr>
    </w:p>
    <w:p w:rsidR="00E43A51" w:rsidRPr="00F36380" w:rsidRDefault="00E43A51" w:rsidP="00E43A51">
      <w:r w:rsidRPr="00F36380">
        <w:t>I,</w:t>
      </w:r>
      <w:r>
        <w:rPr>
          <w:b/>
        </w:rPr>
        <w:t xml:space="preserve"> IAN ELGIN MACFARLANE</w:t>
      </w:r>
      <w:r w:rsidRPr="00F36380">
        <w:rPr>
          <w:b/>
        </w:rPr>
        <w:t xml:space="preserve">, </w:t>
      </w:r>
      <w:r w:rsidRPr="00F36380">
        <w:t>Minister for Industry</w:t>
      </w:r>
      <w:r>
        <w:t xml:space="preserve"> and</w:t>
      </w:r>
      <w:r w:rsidRPr="00F36380">
        <w:t xml:space="preserve"> Science, acting under sections </w:t>
      </w:r>
      <w:r w:rsidRPr="008B3B7E">
        <w:t>18A, 19 and 20(1)</w:t>
      </w:r>
      <w:r w:rsidRPr="00F36380">
        <w:t xml:space="preserve"> of the </w:t>
      </w:r>
      <w:r w:rsidRPr="00F36380">
        <w:rPr>
          <w:i/>
        </w:rPr>
        <w:t xml:space="preserve">Industry Research and Development Act 1986, </w:t>
      </w:r>
      <w:r w:rsidRPr="00F36380">
        <w:t xml:space="preserve">give the following direction to Innovation Australia </w:t>
      </w:r>
      <w:bookmarkStart w:id="0" w:name="OLE_LINK3"/>
      <w:bookmarkStart w:id="1" w:name="OLE_LINK4"/>
      <w:r w:rsidRPr="00F36380">
        <w:t>(</w:t>
      </w:r>
      <w:r w:rsidRPr="00F36380">
        <w:rPr>
          <w:b/>
        </w:rPr>
        <w:t>the Board</w:t>
      </w:r>
      <w:r w:rsidRPr="00F36380">
        <w:t>)</w:t>
      </w:r>
      <w:bookmarkEnd w:id="0"/>
      <w:bookmarkEnd w:id="1"/>
    </w:p>
    <w:p w:rsidR="00E43A51" w:rsidRPr="00F36380" w:rsidRDefault="00E43A51" w:rsidP="00E43A51"/>
    <w:p w:rsidR="00E43A51" w:rsidRDefault="00E43A51" w:rsidP="00E43A51">
      <w:r w:rsidRPr="00F36380">
        <w:t>Dated</w:t>
      </w:r>
      <w:r>
        <w:t xml:space="preserve"> 25 June 2015</w:t>
      </w:r>
    </w:p>
    <w:p w:rsidR="00E43A51" w:rsidRDefault="00E43A51" w:rsidP="00E43A51"/>
    <w:p w:rsidR="00E43A51" w:rsidRDefault="00E43A51" w:rsidP="00E43A51">
      <w:pPr>
        <w:tabs>
          <w:tab w:val="left" w:pos="5925"/>
        </w:tabs>
      </w:pPr>
      <w:r>
        <w:tab/>
      </w:r>
    </w:p>
    <w:p w:rsidR="00251B9D" w:rsidRDefault="00251B9D" w:rsidP="00E43A51">
      <w:pPr>
        <w:tabs>
          <w:tab w:val="left" w:pos="5925"/>
        </w:tabs>
      </w:pPr>
      <w:bookmarkStart w:id="2" w:name="_GoBack"/>
      <w:bookmarkEnd w:id="2"/>
    </w:p>
    <w:p w:rsidR="00E43A51" w:rsidRPr="00F36380" w:rsidRDefault="00E43A51" w:rsidP="00E43A51">
      <w:r>
        <w:tab/>
      </w:r>
      <w:r>
        <w:tab/>
      </w:r>
      <w:r>
        <w:tab/>
      </w:r>
      <w:r>
        <w:tab/>
        <w:t xml:space="preserve">      IAN ELGIN MACFARLANE</w:t>
      </w:r>
    </w:p>
    <w:p w:rsidR="00E43A51" w:rsidRPr="00F36380" w:rsidRDefault="00E43A51" w:rsidP="00E43A51">
      <w:pPr>
        <w:jc w:val="center"/>
      </w:pPr>
      <w:r w:rsidRPr="00F36380">
        <w:t>Minister for Industry</w:t>
      </w:r>
      <w:r>
        <w:t xml:space="preserve"> and</w:t>
      </w:r>
      <w:r w:rsidRPr="00F36380">
        <w:t xml:space="preserve"> Science</w:t>
      </w:r>
    </w:p>
    <w:p w:rsidR="00E43A51" w:rsidRPr="00F36380" w:rsidRDefault="00E43A51" w:rsidP="00E43A51">
      <w:pPr>
        <w:jc w:val="center"/>
      </w:pPr>
    </w:p>
    <w:p w:rsidR="00E43A51" w:rsidRPr="00F36380" w:rsidRDefault="00E43A51" w:rsidP="00E43A51">
      <w:pPr>
        <w:jc w:val="center"/>
      </w:pPr>
    </w:p>
    <w:p w:rsidR="00E43A51" w:rsidRPr="00F36380" w:rsidRDefault="00E43A51" w:rsidP="00E43A51">
      <w:r w:rsidRPr="00F36380">
        <w:rPr>
          <w:b/>
        </w:rPr>
        <w:t>PART 1 - PRELIMINARY</w:t>
      </w:r>
    </w:p>
    <w:p w:rsidR="00E43A51" w:rsidRPr="00F36380" w:rsidRDefault="00E43A51" w:rsidP="00E43A51"/>
    <w:p w:rsidR="00E43A51" w:rsidRPr="00F36380" w:rsidRDefault="00E43A51" w:rsidP="00E43A51">
      <w:pPr>
        <w:rPr>
          <w:b/>
          <w:lang w:eastAsia="ja-JP"/>
        </w:rPr>
      </w:pPr>
      <w:r w:rsidRPr="00F36380">
        <w:rPr>
          <w:b/>
        </w:rPr>
        <w:t>Name of direction</w:t>
      </w:r>
    </w:p>
    <w:p w:rsidR="00E43A51" w:rsidRPr="00F36380" w:rsidRDefault="00E43A51" w:rsidP="00E43A51"/>
    <w:p w:rsidR="00E43A51" w:rsidRPr="004747E6" w:rsidRDefault="00E43A51" w:rsidP="00E43A5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TimesNewRoman" w:hAnsi="TimesNewRoman"/>
        </w:rPr>
      </w:pPr>
      <w:r w:rsidRPr="004747E6">
        <w:rPr>
          <w:rFonts w:ascii="TimesNewRoman" w:hAnsi="TimesNewRoman" w:hint="eastAsia"/>
        </w:rPr>
        <w:t>This direction is</w:t>
      </w:r>
      <w:r w:rsidRPr="004747E6">
        <w:rPr>
          <w:rFonts w:ascii="TimesNewRoman" w:hAnsi="TimesNewRoman"/>
        </w:rPr>
        <w:t xml:space="preserve"> the </w:t>
      </w:r>
      <w:r w:rsidRPr="00B24580">
        <w:rPr>
          <w:rStyle w:val="Emphasis"/>
        </w:rPr>
        <w:t>Entrepreneurs’ Programme - Accelerating Commercialisation</w:t>
      </w:r>
      <w:r w:rsidRPr="004747E6">
        <w:rPr>
          <w:rFonts w:ascii="TimesNewRoman" w:hAnsi="TimesNewRoman"/>
        </w:rPr>
        <w:t xml:space="preserve"> Direction No. 1 of 20</w:t>
      </w:r>
      <w:r>
        <w:rPr>
          <w:rFonts w:ascii="TimesNewRoman" w:hAnsi="TimesNewRoman"/>
        </w:rPr>
        <w:t>15</w:t>
      </w:r>
      <w:r w:rsidRPr="004747E6">
        <w:rPr>
          <w:rFonts w:ascii="TimesNewRoman" w:hAnsi="TimesNewRoman"/>
        </w:rPr>
        <w:t>.</w:t>
      </w:r>
    </w:p>
    <w:p w:rsidR="00E43A51" w:rsidRPr="00F36380" w:rsidRDefault="00E43A51" w:rsidP="00E43A51">
      <w:pPr>
        <w:ind w:left="720" w:hanging="720"/>
      </w:pPr>
    </w:p>
    <w:p w:rsidR="00E43A51" w:rsidRPr="00F36380" w:rsidRDefault="00E43A51" w:rsidP="00E43A51">
      <w:pPr>
        <w:ind w:left="840" w:hanging="840"/>
        <w:rPr>
          <w:b/>
        </w:rPr>
      </w:pPr>
      <w:r w:rsidRPr="00F36380">
        <w:rPr>
          <w:b/>
        </w:rPr>
        <w:t>Commencement</w:t>
      </w:r>
    </w:p>
    <w:p w:rsidR="00E43A51" w:rsidRPr="00F36380" w:rsidRDefault="00E43A51" w:rsidP="00E43A51">
      <w:pPr>
        <w:ind w:left="840" w:hanging="840"/>
        <w:rPr>
          <w:b/>
        </w:rPr>
      </w:pPr>
    </w:p>
    <w:p w:rsidR="00E43A51" w:rsidRPr="004747E6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 w:rsidRPr="004747E6">
        <w:rPr>
          <w:rFonts w:ascii="TimesNewRoman" w:hAnsi="TimesNewRoman" w:hint="eastAsia"/>
        </w:rPr>
        <w:t>This</w:t>
      </w:r>
      <w:r w:rsidRPr="004747E6">
        <w:rPr>
          <w:rFonts w:ascii="TimesNewRoman" w:hAnsi="TimesNewRoman"/>
        </w:rPr>
        <w:t xml:space="preserve"> direction commence</w:t>
      </w:r>
      <w:r w:rsidRPr="004747E6">
        <w:rPr>
          <w:rFonts w:ascii="TimesNewRoman" w:hAnsi="TimesNewRoman" w:hint="eastAsia"/>
        </w:rPr>
        <w:t>s</w:t>
      </w:r>
      <w:r w:rsidRPr="004747E6">
        <w:rPr>
          <w:rFonts w:ascii="TimesNewRoman" w:hAnsi="TimesNewRoman"/>
        </w:rPr>
        <w:t xml:space="preserve"> on </w:t>
      </w:r>
      <w:r>
        <w:rPr>
          <w:rFonts w:ascii="TimesNewRoman" w:hAnsi="TimesNewRoman"/>
        </w:rPr>
        <w:t xml:space="preserve">1 July 2015 and </w:t>
      </w:r>
      <w:r w:rsidRPr="004747E6">
        <w:rPr>
          <w:rFonts w:ascii="TimesNewRoman" w:hAnsi="TimesNewRoman"/>
        </w:rPr>
        <w:t xml:space="preserve">particulars of the direction </w:t>
      </w:r>
      <w:r>
        <w:rPr>
          <w:rFonts w:ascii="TimesNewRoman" w:hAnsi="TimesNewRoman"/>
        </w:rPr>
        <w:t>will be</w:t>
      </w:r>
      <w:r w:rsidRPr="004747E6">
        <w:rPr>
          <w:rFonts w:ascii="TimesNewRoman" w:hAnsi="TimesNewRoman"/>
        </w:rPr>
        <w:t xml:space="preserve"> published in the Gazette and </w:t>
      </w:r>
      <w:r w:rsidRPr="004747E6">
        <w:rPr>
          <w:rFonts w:ascii="TimesNewRoman" w:hAnsi="TimesNewRoman" w:hint="eastAsia"/>
        </w:rPr>
        <w:t>r</w:t>
      </w:r>
      <w:r w:rsidRPr="004747E6">
        <w:rPr>
          <w:rFonts w:ascii="TimesNewRoman" w:hAnsi="TimesNewRoman"/>
        </w:rPr>
        <w:t>egistered in the Federal Register of Legislative Instruments</w:t>
      </w:r>
      <w:r>
        <w:rPr>
          <w:rFonts w:ascii="TimesNewRoman" w:hAnsi="TimesNewRoman"/>
        </w:rPr>
        <w:t xml:space="preserve"> as soon as practicable thereafter</w:t>
      </w:r>
      <w:r w:rsidRPr="004747E6">
        <w:rPr>
          <w:rFonts w:ascii="TimesNewRoman" w:hAnsi="TimesNewRoman"/>
        </w:rPr>
        <w:t>.</w:t>
      </w:r>
    </w:p>
    <w:p w:rsidR="00E43A51" w:rsidRPr="00F36380" w:rsidRDefault="00E43A51" w:rsidP="00E43A51">
      <w:pPr>
        <w:ind w:left="840" w:hanging="840"/>
        <w:rPr>
          <w:b/>
        </w:rPr>
      </w:pPr>
      <w:r w:rsidRPr="00F36380">
        <w:rPr>
          <w:b/>
        </w:rPr>
        <w:t>Object of this direction</w:t>
      </w:r>
    </w:p>
    <w:p w:rsidR="00E43A51" w:rsidRPr="00F36380" w:rsidRDefault="00E43A51" w:rsidP="00E43A51"/>
    <w:p w:rsidR="00E43A51" w:rsidRPr="004747E6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120"/>
        <w:ind w:left="567" w:hanging="567"/>
        <w:rPr>
          <w:rFonts w:ascii="TimesNewRoman" w:hAnsi="TimesNewRoman"/>
        </w:rPr>
      </w:pPr>
      <w:r w:rsidRPr="004747E6">
        <w:rPr>
          <w:rFonts w:ascii="TimesNewRoman" w:hAnsi="TimesNewRoman"/>
        </w:rPr>
        <w:t xml:space="preserve">The object of this instrument is to give direction to the </w:t>
      </w:r>
      <w:r w:rsidRPr="00517B0F">
        <w:rPr>
          <w:rFonts w:ascii="TimesNewRoman" w:hAnsi="TimesNewRoman"/>
        </w:rPr>
        <w:t>Board</w:t>
      </w:r>
      <w:r w:rsidRPr="004747E6">
        <w:rPr>
          <w:rFonts w:ascii="TimesNewRoman" w:hAnsi="TimesNewRoman"/>
        </w:rPr>
        <w:t xml:space="preserve"> in relation to:</w:t>
      </w:r>
    </w:p>
    <w:p w:rsidR="00E43A51" w:rsidRPr="000D5686" w:rsidRDefault="00E43A51" w:rsidP="00E43A51">
      <w:pPr>
        <w:numPr>
          <w:ilvl w:val="0"/>
          <w:numId w:val="2"/>
        </w:numPr>
        <w:tabs>
          <w:tab w:val="clear" w:pos="2160"/>
        </w:tabs>
        <w:spacing w:after="120"/>
        <w:ind w:left="1440" w:hanging="840"/>
        <w:rPr>
          <w:i/>
        </w:rPr>
      </w:pPr>
      <w:r w:rsidRPr="007E4B65">
        <w:t xml:space="preserve">providing </w:t>
      </w:r>
      <w:r w:rsidRPr="008B3B7E">
        <w:t>merit assessments</w:t>
      </w:r>
      <w:r>
        <w:rPr>
          <w:i/>
        </w:rPr>
        <w:t xml:space="preserve"> </w:t>
      </w:r>
      <w:r w:rsidRPr="003F01A1">
        <w:t>to the</w:t>
      </w:r>
      <w:r>
        <w:rPr>
          <w:i/>
        </w:rPr>
        <w:t xml:space="preserve"> Programme Delegate </w:t>
      </w:r>
      <w:r>
        <w:t xml:space="preserve">in relation to </w:t>
      </w:r>
      <w:r w:rsidRPr="00D35A02">
        <w:t xml:space="preserve">the </w:t>
      </w:r>
      <w:r w:rsidRPr="008B3B7E">
        <w:rPr>
          <w:rStyle w:val="Emphasis"/>
        </w:rPr>
        <w:t>Entrepreneurs’ Programme - Accelerating Commercialisation Grants</w:t>
      </w:r>
      <w:r w:rsidRPr="00D35A02">
        <w:t xml:space="preserve">, including, but not limited to, the merit ranking of </w:t>
      </w:r>
      <w:r w:rsidRPr="002128CA">
        <w:rPr>
          <w:i/>
        </w:rPr>
        <w:t>eligible applications</w:t>
      </w:r>
      <w:r w:rsidRPr="00D35A02">
        <w:t xml:space="preserve"> under the program</w:t>
      </w:r>
      <w:r>
        <w:t>me; and</w:t>
      </w:r>
    </w:p>
    <w:p w:rsidR="00E43A51" w:rsidRPr="00F36380" w:rsidRDefault="00E43A51" w:rsidP="00E43A51">
      <w:pPr>
        <w:numPr>
          <w:ilvl w:val="0"/>
          <w:numId w:val="1"/>
        </w:numPr>
        <w:tabs>
          <w:tab w:val="clear" w:pos="2160"/>
        </w:tabs>
        <w:ind w:left="1440" w:hanging="840"/>
      </w:pPr>
      <w:proofErr w:type="gramStart"/>
      <w:r w:rsidRPr="00F36380">
        <w:t>the</w:t>
      </w:r>
      <w:proofErr w:type="gramEnd"/>
      <w:r w:rsidRPr="00F36380">
        <w:t xml:space="preserve"> policies and practices to be followed by the </w:t>
      </w:r>
      <w:r w:rsidRPr="00517B0F">
        <w:t>Board</w:t>
      </w:r>
      <w:r w:rsidRPr="00F36380">
        <w:t xml:space="preserve"> in the performance of the function</w:t>
      </w:r>
      <w:r>
        <w:t>s</w:t>
      </w:r>
      <w:r w:rsidRPr="00F36380">
        <w:t>.</w:t>
      </w:r>
    </w:p>
    <w:p w:rsidR="00E43A51" w:rsidRDefault="00E43A51" w:rsidP="00E43A51">
      <w:pPr>
        <w:rPr>
          <w:b/>
        </w:rPr>
      </w:pPr>
    </w:p>
    <w:p w:rsidR="00E43A51" w:rsidRPr="00F36380" w:rsidRDefault="00E43A51" w:rsidP="00E43A51">
      <w:pPr>
        <w:rPr>
          <w:b/>
        </w:rPr>
      </w:pPr>
      <w:r>
        <w:rPr>
          <w:b/>
        </w:rPr>
        <w:br w:type="page"/>
      </w:r>
      <w:r w:rsidRPr="00F36380">
        <w:rPr>
          <w:b/>
        </w:rPr>
        <w:lastRenderedPageBreak/>
        <w:t>Introduction</w:t>
      </w:r>
    </w:p>
    <w:p w:rsidR="00E43A51" w:rsidRPr="00F36380" w:rsidRDefault="00E43A51" w:rsidP="00E43A51">
      <w:pPr>
        <w:rPr>
          <w:b/>
        </w:rPr>
      </w:pPr>
    </w:p>
    <w:p w:rsidR="00E43A51" w:rsidRDefault="00E43A51" w:rsidP="00E43A51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567"/>
        <w:rPr>
          <w:rFonts w:ascii="TimesNewRoman" w:hAnsi="TimesNewRoman"/>
        </w:rPr>
      </w:pPr>
      <w:bookmarkStart w:id="3" w:name="_DV_C7"/>
      <w:r>
        <w:t xml:space="preserve">The Board has responsibility for the </w:t>
      </w:r>
      <w:r w:rsidRPr="002E067E">
        <w:t xml:space="preserve">strategic </w:t>
      </w:r>
      <w:r w:rsidRPr="0096682E">
        <w:t>oversight of the Entrepreneurs’</w:t>
      </w:r>
      <w:r w:rsidRPr="002F1397">
        <w:t xml:space="preserve"> </w:t>
      </w:r>
      <w:r w:rsidRPr="005000B5">
        <w:rPr>
          <w:rFonts w:ascii="TimesNewRoman" w:hAnsi="TimesNewRoman"/>
        </w:rPr>
        <w:t>Programme.</w:t>
      </w:r>
    </w:p>
    <w:p w:rsidR="00E43A51" w:rsidRDefault="00E43A51" w:rsidP="00E43A51">
      <w:pPr>
        <w:spacing w:after="120"/>
        <w:ind w:left="567"/>
        <w:rPr>
          <w:rFonts w:ascii="TimesNewRoman" w:hAnsi="TimesNewRoman"/>
        </w:rPr>
      </w:pPr>
      <w:r w:rsidRPr="00B24580">
        <w:rPr>
          <w:rStyle w:val="Emphasis"/>
        </w:rPr>
        <w:t xml:space="preserve">Entrepreneurs’ Programme - Accelerating Commercialisation </w:t>
      </w:r>
      <w:r>
        <w:rPr>
          <w:rStyle w:val="Emphasis"/>
        </w:rPr>
        <w:t>(</w:t>
      </w:r>
      <w:r w:rsidRPr="00B24580">
        <w:rPr>
          <w:rStyle w:val="Emphasis"/>
        </w:rPr>
        <w:t>Accelerating Commercialisation</w:t>
      </w:r>
      <w:r>
        <w:rPr>
          <w:rStyle w:val="Emphasis"/>
        </w:rPr>
        <w:t>)</w:t>
      </w:r>
      <w:r>
        <w:t xml:space="preserve"> </w:t>
      </w:r>
      <w:r w:rsidRPr="00CA474D">
        <w:t>provides expert guidance, connections and financial support to assist small and medium businesses, entrepreneurs and researchers to find the right commercialisation solutions for their novel product, process or service.</w:t>
      </w:r>
    </w:p>
    <w:p w:rsidR="00E43A51" w:rsidRPr="005B45B8" w:rsidRDefault="00E43A51" w:rsidP="00E43A51">
      <w:pPr>
        <w:spacing w:after="120"/>
        <w:ind w:left="567"/>
        <w:rPr>
          <w:rFonts w:ascii="TimesNewRoman" w:hAnsi="TimesNewRoman"/>
        </w:rPr>
      </w:pPr>
      <w:r w:rsidRPr="00D07740">
        <w:rPr>
          <w:rFonts w:ascii="TimesNewRoman" w:hAnsi="TimesNewRoman"/>
        </w:rPr>
        <w:t xml:space="preserve">The Board will advise the </w:t>
      </w:r>
      <w:r w:rsidRPr="005B45B8">
        <w:rPr>
          <w:rFonts w:ascii="TimesNewRoman" w:hAnsi="TimesNewRoman"/>
          <w:i/>
        </w:rPr>
        <w:t>Programme Delegate</w:t>
      </w:r>
      <w:r w:rsidRPr="00B24580">
        <w:rPr>
          <w:rFonts w:ascii="TimesNewRoman" w:hAnsi="TimesNewRoman"/>
        </w:rPr>
        <w:t xml:space="preserve"> on </w:t>
      </w:r>
      <w:r w:rsidRPr="005B45B8">
        <w:rPr>
          <w:rFonts w:ascii="TimesNewRoman" w:hAnsi="TimesNewRoman"/>
        </w:rPr>
        <w:t>merit assessments</w:t>
      </w:r>
      <w:r w:rsidRPr="00B24580">
        <w:rPr>
          <w:rFonts w:ascii="TimesNewRoman" w:hAnsi="TimesNewRoman"/>
        </w:rPr>
        <w:t xml:space="preserve"> in relation to </w:t>
      </w:r>
      <w:r w:rsidRPr="005B45B8">
        <w:rPr>
          <w:rFonts w:ascii="TimesNewRoman" w:hAnsi="TimesNewRoman"/>
        </w:rPr>
        <w:t>Accelerating Commercialisation Grants</w:t>
      </w:r>
      <w:r w:rsidRPr="00B24580">
        <w:rPr>
          <w:rFonts w:ascii="TimesNewRoman" w:hAnsi="TimesNewRoman"/>
        </w:rPr>
        <w:t xml:space="preserve">. </w:t>
      </w:r>
      <w:r w:rsidRPr="005B45B8">
        <w:rPr>
          <w:rFonts w:ascii="TimesNewRoman" w:hAnsi="TimesNewRoman"/>
        </w:rPr>
        <w:t>Accelerating Commercialisation</w:t>
      </w:r>
      <w:r w:rsidRPr="00B24580" w:rsidDel="00EE3CD4">
        <w:rPr>
          <w:rFonts w:ascii="TimesNewRoman" w:hAnsi="TimesNewRoman"/>
        </w:rPr>
        <w:t xml:space="preserve"> </w:t>
      </w:r>
      <w:r w:rsidRPr="005B45B8">
        <w:rPr>
          <w:rFonts w:ascii="TimesNewRoman" w:hAnsi="TimesNewRoman"/>
        </w:rPr>
        <w:t>Grants</w:t>
      </w:r>
      <w:r w:rsidRPr="00B24580">
        <w:rPr>
          <w:rFonts w:ascii="TimesNewRoman" w:hAnsi="TimesNewRoman"/>
        </w:rPr>
        <w:t xml:space="preserve"> will </w:t>
      </w:r>
      <w:r>
        <w:rPr>
          <w:rFonts w:ascii="TimesNewRoman" w:hAnsi="TimesNewRoman"/>
        </w:rPr>
        <w:t>provide</w:t>
      </w:r>
      <w:r w:rsidRPr="005B45B8">
        <w:rPr>
          <w:rFonts w:ascii="TimesNewRoman" w:hAnsi="TimesNewRoman"/>
        </w:rPr>
        <w:t xml:space="preserve"> support </w:t>
      </w:r>
      <w:r>
        <w:rPr>
          <w:rFonts w:ascii="TimesNewRoman" w:hAnsi="TimesNewRoman"/>
        </w:rPr>
        <w:t xml:space="preserve">for </w:t>
      </w:r>
      <w:r w:rsidRPr="005B45B8">
        <w:rPr>
          <w:rFonts w:ascii="TimesNewRoman" w:hAnsi="TimesNewRoman"/>
        </w:rPr>
        <w:t xml:space="preserve">eligible commercialisation projects in accordance with the Entrepreneurs’ </w:t>
      </w:r>
      <w:r w:rsidRPr="0090440F">
        <w:rPr>
          <w:rFonts w:ascii="TimesNewRoman" w:hAnsi="TimesNewRoman"/>
          <w:i/>
        </w:rPr>
        <w:t>Programme</w:t>
      </w:r>
      <w:r w:rsidRPr="005B45B8">
        <w:rPr>
          <w:rFonts w:ascii="TimesNewRoman" w:hAnsi="TimesNewRoman"/>
          <w:i/>
        </w:rPr>
        <w:t xml:space="preserve"> </w:t>
      </w:r>
      <w:r w:rsidRPr="0090440F">
        <w:rPr>
          <w:rFonts w:ascii="TimesNewRoman" w:hAnsi="TimesNewRoman"/>
          <w:i/>
        </w:rPr>
        <w:t>Guidelines</w:t>
      </w:r>
      <w:r w:rsidRPr="005B45B8">
        <w:rPr>
          <w:rFonts w:ascii="TimesNewRoman" w:hAnsi="TimesNewRoman"/>
        </w:rPr>
        <w:t>.</w:t>
      </w:r>
    </w:p>
    <w:p w:rsidR="00E43A51" w:rsidRDefault="00E43A51" w:rsidP="00E43A51">
      <w:pPr>
        <w:spacing w:after="120"/>
        <w:ind w:left="567"/>
        <w:rPr>
          <w:rFonts w:ascii="TimesNewRoman" w:hAnsi="TimesNewRoman"/>
        </w:rPr>
      </w:pPr>
      <w:r>
        <w:rPr>
          <w:rFonts w:ascii="TimesNewRoman" w:hAnsi="TimesNewRoman"/>
        </w:rPr>
        <w:t>A</w:t>
      </w:r>
      <w:r w:rsidRPr="00B24580">
        <w:rPr>
          <w:rFonts w:ascii="TimesNewRoman" w:hAnsi="TimesNewRoman"/>
        </w:rPr>
        <w:t xml:space="preserve">ll assistance will be provided with a </w:t>
      </w:r>
      <w:r w:rsidRPr="00CA474D">
        <w:rPr>
          <w:rStyle w:val="Emphasis"/>
        </w:rPr>
        <w:t>Commercialisation Adviser</w:t>
      </w:r>
      <w:r w:rsidRPr="00B24580">
        <w:rPr>
          <w:rFonts w:ascii="TimesNewRoman" w:hAnsi="TimesNewRoman"/>
        </w:rPr>
        <w:t xml:space="preserve"> who will help develop the </w:t>
      </w:r>
      <w:r w:rsidRPr="00EB4147">
        <w:rPr>
          <w:rFonts w:ascii="TimesNewRoman" w:hAnsi="TimesNewRoman"/>
          <w:i/>
        </w:rPr>
        <w:t>recipient’s</w:t>
      </w:r>
      <w:r w:rsidRPr="00B24580">
        <w:rPr>
          <w:rFonts w:ascii="TimesNewRoman" w:hAnsi="TimesNewRoman"/>
        </w:rPr>
        <w:t xml:space="preserve"> skills and knowledge of the commercialisation process and facilitate access to experienced business</w:t>
      </w:r>
      <w:r>
        <w:rPr>
          <w:rFonts w:ascii="TimesNewRoman" w:hAnsi="TimesNewRoman"/>
        </w:rPr>
        <w:t xml:space="preserve"> mentors and specialist advice.</w:t>
      </w:r>
    </w:p>
    <w:p w:rsidR="00E43A51" w:rsidRDefault="00E43A51" w:rsidP="00E43A51">
      <w:pPr>
        <w:spacing w:after="120"/>
        <w:ind w:left="567"/>
        <w:rPr>
          <w:rFonts w:ascii="TimesNewRoman" w:hAnsi="TimesNewRoman"/>
        </w:rPr>
      </w:pPr>
      <w:r w:rsidRPr="00B24580">
        <w:rPr>
          <w:rFonts w:ascii="TimesNewRoman" w:hAnsi="TimesNewRoman"/>
        </w:rPr>
        <w:t>The application process will be competitive</w:t>
      </w:r>
      <w:r>
        <w:rPr>
          <w:rFonts w:ascii="TimesNewRoman" w:hAnsi="TimesNewRoman"/>
        </w:rPr>
        <w:t>,</w:t>
      </w:r>
      <w:r w:rsidRPr="00B24580">
        <w:rPr>
          <w:rFonts w:ascii="TimesNewRoman" w:hAnsi="TimesNewRoman"/>
        </w:rPr>
        <w:t xml:space="preserve"> based on merit criteria and other information as identified under these Directions. The Board will assess and prioritise applications against the merit criteria and provide </w:t>
      </w:r>
      <w:r w:rsidRPr="00EB4147">
        <w:rPr>
          <w:rFonts w:ascii="TimesNewRoman" w:hAnsi="TimesNewRoman"/>
        </w:rPr>
        <w:t>merit assessments</w:t>
      </w:r>
      <w:r w:rsidRPr="00B24580">
        <w:rPr>
          <w:rFonts w:ascii="TimesNewRoman" w:hAnsi="TimesNewRoman"/>
          <w:i/>
        </w:rPr>
        <w:t xml:space="preserve"> </w:t>
      </w:r>
      <w:r w:rsidRPr="00B24580">
        <w:rPr>
          <w:rFonts w:ascii="TimesNewRoman" w:hAnsi="TimesNewRoman"/>
        </w:rPr>
        <w:t xml:space="preserve">to the </w:t>
      </w:r>
      <w:r w:rsidRPr="00B24580">
        <w:rPr>
          <w:rFonts w:ascii="TimesNewRoman" w:hAnsi="TimesNewRoman"/>
          <w:i/>
        </w:rPr>
        <w:t>Program</w:t>
      </w:r>
      <w:r>
        <w:rPr>
          <w:rFonts w:ascii="TimesNewRoman" w:hAnsi="TimesNewRoman"/>
          <w:i/>
        </w:rPr>
        <w:t>me</w:t>
      </w:r>
      <w:r w:rsidRPr="00B24580">
        <w:rPr>
          <w:rFonts w:ascii="TimesNewRoman" w:hAnsi="TimesNewRoman"/>
          <w:i/>
        </w:rPr>
        <w:t xml:space="preserve"> Delegate</w:t>
      </w:r>
      <w:r>
        <w:rPr>
          <w:rFonts w:ascii="TimesNewRoman" w:hAnsi="TimesNewRoman"/>
        </w:rPr>
        <w:t>.</w:t>
      </w:r>
    </w:p>
    <w:p w:rsidR="00E43A51" w:rsidRDefault="00E43A51" w:rsidP="00E43A51">
      <w:pPr>
        <w:spacing w:after="120"/>
        <w:ind w:left="567"/>
        <w:rPr>
          <w:rFonts w:ascii="TimesNewRoman" w:hAnsi="TimesNewRoman"/>
        </w:rPr>
      </w:pPr>
      <w:r w:rsidRPr="00B24580">
        <w:rPr>
          <w:rFonts w:ascii="TimesNewRoman" w:hAnsi="TimesNewRoman"/>
        </w:rPr>
        <w:t xml:space="preserve">The </w:t>
      </w:r>
      <w:r w:rsidRPr="00B24580">
        <w:rPr>
          <w:rFonts w:ascii="TimesNewRoman" w:hAnsi="TimesNewRoman"/>
          <w:i/>
        </w:rPr>
        <w:t>Program</w:t>
      </w:r>
      <w:r>
        <w:rPr>
          <w:rFonts w:ascii="TimesNewRoman" w:hAnsi="TimesNewRoman"/>
          <w:i/>
        </w:rPr>
        <w:t>me</w:t>
      </w:r>
      <w:r w:rsidRPr="00B24580">
        <w:rPr>
          <w:rFonts w:ascii="TimesNewRoman" w:hAnsi="TimesNewRoman"/>
          <w:i/>
        </w:rPr>
        <w:t xml:space="preserve"> Delegate</w:t>
      </w:r>
      <w:r w:rsidRPr="00B24580">
        <w:rPr>
          <w:rFonts w:ascii="TimesNewRoman" w:hAnsi="TimesNewRoman"/>
        </w:rPr>
        <w:t xml:space="preserve"> will consider the advice of the Board and select applicants to </w:t>
      </w:r>
      <w:r>
        <w:rPr>
          <w:rFonts w:ascii="TimesNewRoman" w:hAnsi="TimesNewRoman"/>
        </w:rPr>
        <w:t>receive an</w:t>
      </w:r>
      <w:r w:rsidRPr="00B24580">
        <w:rPr>
          <w:rFonts w:ascii="TimesNewRoman" w:hAnsi="TimesNewRoman"/>
        </w:rPr>
        <w:t xml:space="preserve"> </w:t>
      </w:r>
      <w:r w:rsidRPr="00EB4147">
        <w:rPr>
          <w:rStyle w:val="Emphasis"/>
        </w:rPr>
        <w:t>Accelerating Commercialisation</w:t>
      </w:r>
      <w:r w:rsidRPr="00B24580" w:rsidDel="00EE3CD4">
        <w:rPr>
          <w:rFonts w:ascii="TimesNewRoman" w:hAnsi="TimesNewRoman"/>
        </w:rPr>
        <w:t xml:space="preserve"> </w:t>
      </w:r>
      <w:r>
        <w:rPr>
          <w:rStyle w:val="Emphasis"/>
        </w:rPr>
        <w:t>Grant</w:t>
      </w:r>
      <w:r w:rsidRPr="00B24580">
        <w:rPr>
          <w:rFonts w:ascii="TimesNewRoman" w:hAnsi="TimesNewRoman"/>
        </w:rPr>
        <w:t xml:space="preserve"> and access to specific types and levels of support</w:t>
      </w:r>
      <w:r>
        <w:rPr>
          <w:rFonts w:ascii="TimesNewRoman" w:hAnsi="TimesNewRoman"/>
        </w:rPr>
        <w:t>.</w:t>
      </w:r>
    </w:p>
    <w:p w:rsidR="00E43A51" w:rsidRDefault="00E43A51" w:rsidP="00E43A51">
      <w:pPr>
        <w:ind w:left="567"/>
        <w:rPr>
          <w:rFonts w:ascii="TimesNewRoman" w:hAnsi="TimesNewRoman"/>
        </w:rPr>
      </w:pPr>
      <w:r>
        <w:rPr>
          <w:rFonts w:ascii="TimesNewRoman" w:hAnsi="TimesNewRoman"/>
          <w:i/>
        </w:rPr>
        <w:t>Recipients</w:t>
      </w:r>
      <w:r w:rsidRPr="00B24580">
        <w:rPr>
          <w:rFonts w:ascii="TimesNewRoman" w:hAnsi="TimesNewRoman"/>
        </w:rPr>
        <w:t xml:space="preserve"> will be monitored closely and on-going support under </w:t>
      </w:r>
      <w:r w:rsidRPr="00EB4147">
        <w:rPr>
          <w:rStyle w:val="Emphasis"/>
        </w:rPr>
        <w:t>Accelerating Commercialisation</w:t>
      </w:r>
      <w:r w:rsidRPr="007E4B65">
        <w:rPr>
          <w:rFonts w:ascii="TimesNewRoman" w:hAnsi="TimesNewRoman"/>
        </w:rPr>
        <w:t xml:space="preserve"> </w:t>
      </w:r>
      <w:r w:rsidRPr="00B24580">
        <w:rPr>
          <w:rFonts w:ascii="TimesNewRoman" w:hAnsi="TimesNewRoman"/>
        </w:rPr>
        <w:t xml:space="preserve">will depend on </w:t>
      </w:r>
      <w:r>
        <w:rPr>
          <w:rFonts w:ascii="TimesNewRoman" w:hAnsi="TimesNewRoman"/>
        </w:rPr>
        <w:t>meeting funding agreement obligations</w:t>
      </w:r>
      <w:r w:rsidRPr="00B24580">
        <w:rPr>
          <w:rFonts w:ascii="TimesNewRoman" w:hAnsi="TimesNewRoman"/>
        </w:rPr>
        <w:t>.</w:t>
      </w:r>
    </w:p>
    <w:bookmarkEnd w:id="3"/>
    <w:p w:rsidR="00E43A51" w:rsidRDefault="00E43A51" w:rsidP="00E43A51">
      <w:pPr>
        <w:ind w:left="567"/>
        <w:rPr>
          <w:rFonts w:ascii="TimesNewRoman" w:hAnsi="TimesNewRoman"/>
        </w:rPr>
      </w:pPr>
    </w:p>
    <w:p w:rsidR="00E43A51" w:rsidRPr="00F36380" w:rsidRDefault="00E43A51" w:rsidP="00E43A51">
      <w:pPr>
        <w:rPr>
          <w:b/>
        </w:rPr>
      </w:pPr>
      <w:r w:rsidRPr="00D07740">
        <w:rPr>
          <w:b/>
        </w:rPr>
        <w:t>Board to have regard to policy objective</w:t>
      </w:r>
    </w:p>
    <w:p w:rsidR="00E43A51" w:rsidRPr="00F36380" w:rsidRDefault="00E43A51" w:rsidP="00E43A51"/>
    <w:p w:rsidR="00E43A51" w:rsidRDefault="00E43A51" w:rsidP="00E43A5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TimesNewRoman" w:hAnsi="TimesNewRoman"/>
        </w:rPr>
      </w:pPr>
      <w:r w:rsidRPr="00F36380">
        <w:t xml:space="preserve">The </w:t>
      </w:r>
      <w:r w:rsidRPr="00C8799A">
        <w:t>Board</w:t>
      </w:r>
      <w:r w:rsidRPr="00F36380">
        <w:t xml:space="preserve"> must have regard to the following policy objective in giving effect to </w:t>
      </w:r>
      <w:r w:rsidRPr="00F36380">
        <w:rPr>
          <w:rFonts w:hint="eastAsia"/>
          <w:lang w:eastAsia="ja-JP"/>
        </w:rPr>
        <w:t>th</w:t>
      </w:r>
      <w:r>
        <w:rPr>
          <w:lang w:eastAsia="ja-JP"/>
        </w:rPr>
        <w:t>ese</w:t>
      </w:r>
      <w:r w:rsidRPr="00F36380">
        <w:t xml:space="preserve"> </w:t>
      </w:r>
      <w:r>
        <w:t>D</w:t>
      </w:r>
      <w:r w:rsidRPr="00F36380">
        <w:t>irection</w:t>
      </w:r>
      <w:r>
        <w:t>s</w:t>
      </w:r>
      <w:r w:rsidRPr="00F36380">
        <w:t>:</w:t>
      </w:r>
    </w:p>
    <w:p w:rsidR="00E43A51" w:rsidRDefault="00E43A51" w:rsidP="00E43A51">
      <w:pPr>
        <w:ind w:left="567"/>
        <w:rPr>
          <w:rFonts w:ascii="TimesNewRoman" w:hAnsi="TimesNewRoman"/>
          <w:bCs/>
        </w:rPr>
      </w:pPr>
    </w:p>
    <w:p w:rsidR="00E43A51" w:rsidRDefault="00E43A51" w:rsidP="00E43A51">
      <w:pPr>
        <w:ind w:left="567"/>
        <w:rPr>
          <w:rFonts w:ascii="TimesNewRoman" w:hAnsi="TimesNewRoman"/>
        </w:rPr>
      </w:pPr>
      <w:r w:rsidRPr="00C8799A">
        <w:rPr>
          <w:rFonts w:ascii="TimesNewRoman" w:hAnsi="TimesNewRoman"/>
          <w:bCs/>
        </w:rPr>
        <w:t xml:space="preserve">The </w:t>
      </w:r>
      <w:bookmarkStart w:id="4" w:name="_DV_M21"/>
      <w:bookmarkEnd w:id="4"/>
      <w:r w:rsidRPr="00C8799A">
        <w:rPr>
          <w:rFonts w:ascii="TimesNewRoman" w:hAnsi="TimesNewRoman"/>
          <w:bCs/>
        </w:rPr>
        <w:t xml:space="preserve">policy </w:t>
      </w:r>
      <w:r w:rsidRPr="00CA474D">
        <w:t xml:space="preserve">objective of </w:t>
      </w:r>
      <w:r w:rsidRPr="00CA474D">
        <w:rPr>
          <w:rStyle w:val="Emphasis"/>
        </w:rPr>
        <w:t>Accelerating Commercialisation</w:t>
      </w:r>
      <w:r w:rsidRPr="00CA474D">
        <w:t xml:space="preserve"> is to encourage and assist small and medium businesses, entrepreneurs and researchers to commercialise novel products, processes and services.</w:t>
      </w:r>
      <w:r w:rsidRPr="00B24580">
        <w:rPr>
          <w:rFonts w:ascii="TimesNewRoman" w:hAnsi="TimesNewRoman"/>
        </w:rPr>
        <w:t xml:space="preserve"> </w:t>
      </w:r>
    </w:p>
    <w:p w:rsidR="00E43A51" w:rsidRPr="00C8799A" w:rsidRDefault="00E43A51" w:rsidP="00E43A51"/>
    <w:p w:rsidR="00E43A51" w:rsidRPr="007E4B65" w:rsidRDefault="00E43A51" w:rsidP="00E43A51">
      <w:pPr>
        <w:rPr>
          <w:b/>
        </w:rPr>
      </w:pPr>
      <w:bookmarkStart w:id="5" w:name="_DV_M23"/>
      <w:bookmarkStart w:id="6" w:name="_DV_M24"/>
      <w:bookmarkStart w:id="7" w:name="_DV_M25"/>
      <w:bookmarkStart w:id="8" w:name="_DV_M28"/>
      <w:bookmarkStart w:id="9" w:name="_DV_M31"/>
      <w:bookmarkStart w:id="10" w:name="_DV_M33"/>
      <w:bookmarkStart w:id="11" w:name="_DV_M38"/>
      <w:bookmarkEnd w:id="5"/>
      <w:bookmarkEnd w:id="6"/>
      <w:bookmarkEnd w:id="7"/>
      <w:bookmarkEnd w:id="8"/>
      <w:bookmarkEnd w:id="9"/>
      <w:bookmarkEnd w:id="10"/>
      <w:bookmarkEnd w:id="11"/>
      <w:r w:rsidRPr="007E4B65">
        <w:rPr>
          <w:b/>
        </w:rPr>
        <w:t>Interpretation</w:t>
      </w:r>
    </w:p>
    <w:p w:rsidR="00E43A51" w:rsidRPr="008B3B7E" w:rsidRDefault="00E43A51" w:rsidP="00E43A51">
      <w:pPr>
        <w:rPr>
          <w:b/>
        </w:rPr>
      </w:pPr>
    </w:p>
    <w:p w:rsidR="00E43A51" w:rsidRPr="008B3B7E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 w:rsidRPr="008B3B7E">
        <w:rPr>
          <w:rFonts w:ascii="TimesNewRoman" w:hAnsi="TimesNewRoman"/>
        </w:rPr>
        <w:t>In these Directions:</w:t>
      </w:r>
    </w:p>
    <w:p w:rsidR="00E43A51" w:rsidRPr="008B3B7E" w:rsidRDefault="00E43A51" w:rsidP="00E43A51">
      <w:pPr>
        <w:pStyle w:val="BodyText21"/>
        <w:spacing w:after="180"/>
        <w:ind w:left="567"/>
        <w:rPr>
          <w:color w:val="000000"/>
          <w:w w:val="0"/>
          <w:sz w:val="24"/>
          <w:szCs w:val="24"/>
        </w:rPr>
      </w:pPr>
      <w:r w:rsidRPr="008B3B7E">
        <w:rPr>
          <w:color w:val="000000"/>
          <w:w w:val="0"/>
          <w:sz w:val="24"/>
          <w:szCs w:val="24"/>
        </w:rPr>
        <w:t>“</w:t>
      </w:r>
      <w:r w:rsidRPr="008B3B7E">
        <w:rPr>
          <w:b/>
          <w:color w:val="000000"/>
          <w:w w:val="0"/>
          <w:sz w:val="24"/>
          <w:szCs w:val="24"/>
        </w:rPr>
        <w:t>Act</w:t>
      </w:r>
      <w:r w:rsidRPr="008B3B7E">
        <w:rPr>
          <w:color w:val="000000"/>
          <w:w w:val="0"/>
          <w:sz w:val="24"/>
          <w:szCs w:val="24"/>
        </w:rPr>
        <w:t xml:space="preserve">” means the </w:t>
      </w:r>
      <w:r w:rsidRPr="008B3B7E">
        <w:rPr>
          <w:i/>
          <w:color w:val="000000"/>
          <w:w w:val="0"/>
          <w:sz w:val="24"/>
          <w:szCs w:val="24"/>
        </w:rPr>
        <w:t>Industry Research and Development Act 1986</w:t>
      </w:r>
      <w:r w:rsidRPr="008B3B7E">
        <w:rPr>
          <w:color w:val="000000"/>
          <w:w w:val="0"/>
          <w:sz w:val="24"/>
          <w:szCs w:val="24"/>
        </w:rPr>
        <w:t>.</w:t>
      </w:r>
    </w:p>
    <w:p w:rsidR="00E43A51" w:rsidRPr="008B3B7E" w:rsidRDefault="00E43A51" w:rsidP="00E43A51">
      <w:pPr>
        <w:pStyle w:val="BodyText21"/>
        <w:spacing w:after="180"/>
        <w:ind w:left="567"/>
        <w:rPr>
          <w:color w:val="000000"/>
          <w:w w:val="0"/>
          <w:sz w:val="24"/>
          <w:szCs w:val="24"/>
          <w:highlight w:val="yellow"/>
        </w:rPr>
      </w:pPr>
      <w:bookmarkStart w:id="12" w:name="_DV_M44"/>
      <w:bookmarkStart w:id="13" w:name="_DV_M47"/>
      <w:bookmarkStart w:id="14" w:name="_DV_M51"/>
      <w:bookmarkStart w:id="15" w:name="_DV_M52"/>
      <w:bookmarkStart w:id="16" w:name="_DV_M53"/>
      <w:bookmarkEnd w:id="12"/>
      <w:bookmarkEnd w:id="13"/>
      <w:bookmarkEnd w:id="14"/>
      <w:bookmarkEnd w:id="15"/>
      <w:bookmarkEnd w:id="16"/>
      <w:r w:rsidRPr="007E4B65">
        <w:rPr>
          <w:rStyle w:val="Glossaryterm"/>
        </w:rPr>
        <w:t>“</w:t>
      </w:r>
      <w:r w:rsidRPr="008B3B7E">
        <w:rPr>
          <w:rStyle w:val="Glossaryterm"/>
        </w:rPr>
        <w:t>Commercialisation Adviser”</w:t>
      </w:r>
      <w:r>
        <w:rPr>
          <w:rStyle w:val="Glossaryterm"/>
        </w:rPr>
        <w:t xml:space="preserve"> </w:t>
      </w:r>
      <w:r w:rsidRPr="00A9217A">
        <w:rPr>
          <w:rStyle w:val="Glossaryterm"/>
        </w:rPr>
        <w:t>means a</w:t>
      </w:r>
      <w:r w:rsidRPr="00710C82">
        <w:t xml:space="preserve"> </w:t>
      </w:r>
      <w:r w:rsidRPr="00A9217A">
        <w:t>skilled adviser</w:t>
      </w:r>
      <w:r w:rsidRPr="0062150B">
        <w:t xml:space="preserve"> with private sector experience and access to an array of industry resources engaged by the </w:t>
      </w:r>
      <w:r w:rsidRPr="0062150B">
        <w:rPr>
          <w:rStyle w:val="Emphasis"/>
        </w:rPr>
        <w:t>Department</w:t>
      </w:r>
      <w:r w:rsidRPr="0062150B">
        <w:t xml:space="preserve"> to assist in the delivery of </w:t>
      </w:r>
      <w:r w:rsidRPr="0062150B">
        <w:rPr>
          <w:rStyle w:val="Emphasis"/>
        </w:rPr>
        <w:t xml:space="preserve">Accelerating Commercialisation </w:t>
      </w:r>
      <w:r w:rsidRPr="0062150B">
        <w:t xml:space="preserve">as described in the </w:t>
      </w:r>
      <w:r w:rsidRPr="0062150B">
        <w:rPr>
          <w:rStyle w:val="Emphasis"/>
        </w:rPr>
        <w:t>Programme Guidelines</w:t>
      </w:r>
      <w:r w:rsidRPr="0062150B">
        <w:t xml:space="preserve">. </w:t>
      </w:r>
      <w:r w:rsidRPr="0062150B">
        <w:rPr>
          <w:rStyle w:val="Emphasis"/>
        </w:rPr>
        <w:t>Commercialisation Advisers</w:t>
      </w:r>
      <w:r w:rsidRPr="0062150B">
        <w:t xml:space="preserve"> includes Business Development Commercialisation Advisers.</w:t>
      </w:r>
    </w:p>
    <w:p w:rsidR="00E43A51" w:rsidRDefault="00E43A51" w:rsidP="00E43A51">
      <w:pPr>
        <w:spacing w:after="180"/>
        <w:ind w:left="567"/>
      </w:pPr>
      <w:r w:rsidRPr="008B3B7E">
        <w:rPr>
          <w:b/>
          <w:color w:val="000000"/>
          <w:w w:val="0"/>
        </w:rPr>
        <w:t>“</w:t>
      </w:r>
      <w:r>
        <w:rPr>
          <w:b/>
          <w:color w:val="000000"/>
          <w:w w:val="0"/>
        </w:rPr>
        <w:t>C</w:t>
      </w:r>
      <w:r w:rsidRPr="008B3B7E">
        <w:rPr>
          <w:b/>
          <w:color w:val="000000"/>
          <w:w w:val="0"/>
        </w:rPr>
        <w:t xml:space="preserve">ommercialisation office” </w:t>
      </w:r>
      <w:r w:rsidRPr="00710C82">
        <w:rPr>
          <w:color w:val="000000"/>
          <w:w w:val="0"/>
        </w:rPr>
        <w:t>means a</w:t>
      </w:r>
      <w:r w:rsidRPr="00A9217A">
        <w:t>n entity</w:t>
      </w:r>
      <w:r w:rsidRPr="008B3B7E">
        <w:t xml:space="preserve"> of a </w:t>
      </w:r>
      <w:r w:rsidRPr="008B3B7E">
        <w:rPr>
          <w:rStyle w:val="Emphasis"/>
        </w:rPr>
        <w:t>Publicly Funded Research Organisation</w:t>
      </w:r>
      <w:r w:rsidRPr="008B3B7E">
        <w:t xml:space="preserve">, or an </w:t>
      </w:r>
      <w:r w:rsidRPr="008B3B7E">
        <w:rPr>
          <w:rStyle w:val="Emphasis"/>
        </w:rPr>
        <w:t>Eligible Corporation</w:t>
      </w:r>
      <w:r w:rsidRPr="008B3B7E">
        <w:t xml:space="preserve"> controlled by one or more </w:t>
      </w:r>
      <w:r w:rsidRPr="008B3B7E">
        <w:rPr>
          <w:rStyle w:val="Emphasis"/>
        </w:rPr>
        <w:t>Publicly Funded Research Organisations</w:t>
      </w:r>
      <w:r w:rsidRPr="008B3B7E">
        <w:t>, that assists researchers in commercialising their intellectual property.</w:t>
      </w:r>
    </w:p>
    <w:p w:rsidR="00E43A51" w:rsidRPr="008B3B7E" w:rsidRDefault="00E43A51" w:rsidP="00E43A51">
      <w:pPr>
        <w:spacing w:after="180"/>
        <w:ind w:left="567"/>
        <w:rPr>
          <w:color w:val="000000"/>
          <w:w w:val="0"/>
          <w:highlight w:val="yellow"/>
        </w:rPr>
      </w:pPr>
      <w:r>
        <w:rPr>
          <w:rStyle w:val="Glossaryterm"/>
        </w:rPr>
        <w:t>“</w:t>
      </w:r>
      <w:r w:rsidRPr="008B3B7E">
        <w:rPr>
          <w:rStyle w:val="Glossaryterm"/>
        </w:rPr>
        <w:t>Commercialisation Project</w:t>
      </w:r>
      <w:r>
        <w:rPr>
          <w:rStyle w:val="Glossaryterm"/>
        </w:rPr>
        <w:t>”</w:t>
      </w:r>
      <w:r w:rsidRPr="008B3B7E">
        <w:rPr>
          <w:i/>
        </w:rPr>
        <w:t xml:space="preserve"> </w:t>
      </w:r>
      <w:r w:rsidRPr="00710C82">
        <w:t>means</w:t>
      </w:r>
      <w:r w:rsidRPr="00A9217A">
        <w:t xml:space="preserve"> a project</w:t>
      </w:r>
      <w:r w:rsidRPr="0062150B">
        <w:t xml:space="preserve"> which aims to commercialise novel intellectual property in the form of new products, processes and/or </w:t>
      </w:r>
      <w:r w:rsidRPr="007E4B65">
        <w:t>services</w:t>
      </w:r>
      <w:r w:rsidRPr="008B3B7E" w:rsidDel="0080264B">
        <w:rPr>
          <w:color w:val="000000"/>
          <w:w w:val="0"/>
        </w:rPr>
        <w:t xml:space="preserve"> </w:t>
      </w:r>
      <w:r w:rsidRPr="008B3B7E">
        <w:rPr>
          <w:color w:val="000000"/>
          <w:w w:val="0"/>
        </w:rPr>
        <w:t>in accordance with the Programme Guidelines.</w:t>
      </w:r>
    </w:p>
    <w:p w:rsidR="00E43A51" w:rsidRPr="008B3B7E" w:rsidRDefault="00E43A51" w:rsidP="00E43A51">
      <w:pPr>
        <w:spacing w:after="180"/>
        <w:ind w:left="567"/>
        <w:rPr>
          <w:color w:val="000000"/>
          <w:w w:val="0"/>
          <w:highlight w:val="yellow"/>
        </w:rPr>
      </w:pPr>
      <w:r w:rsidRPr="007E4B65">
        <w:rPr>
          <w:b/>
          <w:color w:val="000000"/>
          <w:w w:val="0"/>
        </w:rPr>
        <w:lastRenderedPageBreak/>
        <w:t xml:space="preserve">“Department” </w:t>
      </w:r>
      <w:r w:rsidRPr="008B3B7E">
        <w:rPr>
          <w:color w:val="000000"/>
          <w:w w:val="0"/>
        </w:rPr>
        <w:t xml:space="preserve">means </w:t>
      </w:r>
      <w:r w:rsidRPr="008B3B7E">
        <w:t>the Commonwealth of Australia as represented by the Department of Industry and Science.</w:t>
      </w:r>
    </w:p>
    <w:p w:rsidR="00E43A51" w:rsidRDefault="00E43A51" w:rsidP="00E43A51">
      <w:pPr>
        <w:pStyle w:val="Interpretation"/>
        <w:spacing w:after="180" w:line="240" w:lineRule="auto"/>
      </w:pPr>
      <w:r w:rsidRPr="007E4B65">
        <w:rPr>
          <w:b/>
          <w:color w:val="000000"/>
          <w:w w:val="0"/>
        </w:rPr>
        <w:t>“</w:t>
      </w:r>
      <w:r>
        <w:rPr>
          <w:b/>
          <w:color w:val="000000"/>
          <w:w w:val="0"/>
        </w:rPr>
        <w:t>E</w:t>
      </w:r>
      <w:r w:rsidRPr="007E4B65">
        <w:rPr>
          <w:b/>
          <w:color w:val="000000"/>
          <w:w w:val="0"/>
        </w:rPr>
        <w:t xml:space="preserve">ligible application” </w:t>
      </w:r>
      <w:r w:rsidRPr="008B3B7E">
        <w:t>means an application for funding under</w:t>
      </w:r>
      <w:r>
        <w:t xml:space="preserve"> </w:t>
      </w:r>
      <w:r w:rsidRPr="008B3B7E">
        <w:rPr>
          <w:i/>
        </w:rPr>
        <w:t>Accelerating Commercialisation</w:t>
      </w:r>
      <w:r w:rsidRPr="007E4B65">
        <w:t>, that is an</w:t>
      </w:r>
      <w:r w:rsidRPr="0080264B">
        <w:t xml:space="preserve"> application that the </w:t>
      </w:r>
      <w:r w:rsidRPr="008B3B7E">
        <w:rPr>
          <w:i/>
        </w:rPr>
        <w:t>Programme Delegate</w:t>
      </w:r>
      <w:r w:rsidRPr="0080264B">
        <w:t xml:space="preserve"> </w:t>
      </w:r>
      <w:r w:rsidRPr="007E4B65">
        <w:t xml:space="preserve">has determined is eligible for </w:t>
      </w:r>
      <w:r w:rsidRPr="008B3B7E">
        <w:t>me</w:t>
      </w:r>
      <w:r>
        <w:t>r</w:t>
      </w:r>
      <w:r w:rsidRPr="008B3B7E">
        <w:t>it</w:t>
      </w:r>
      <w:r w:rsidRPr="0080264B">
        <w:t xml:space="preserve"> </w:t>
      </w:r>
      <w:r w:rsidRPr="007E4B65">
        <w:t xml:space="preserve">assessment and merit ranking by the Board in accordance with the </w:t>
      </w:r>
      <w:r w:rsidRPr="007E4B65">
        <w:rPr>
          <w:i/>
        </w:rPr>
        <w:t>Program</w:t>
      </w:r>
      <w:r w:rsidRPr="008B3B7E">
        <w:rPr>
          <w:i/>
        </w:rPr>
        <w:t>me</w:t>
      </w:r>
      <w:r w:rsidRPr="0080264B">
        <w:rPr>
          <w:i/>
        </w:rPr>
        <w:t xml:space="preserve"> Guidelines</w:t>
      </w:r>
      <w:r w:rsidRPr="007E4B65">
        <w:t>.</w:t>
      </w:r>
    </w:p>
    <w:p w:rsidR="00E43A51" w:rsidRPr="008B3B7E" w:rsidRDefault="00E43A51" w:rsidP="00E43A51">
      <w:pPr>
        <w:pStyle w:val="Interpretation"/>
        <w:spacing w:after="180" w:line="240" w:lineRule="auto"/>
        <w:rPr>
          <w:highlight w:val="yellow"/>
        </w:rPr>
      </w:pPr>
      <w:r w:rsidRPr="007E4B65">
        <w:rPr>
          <w:rStyle w:val="Glossaryterm"/>
        </w:rPr>
        <w:t>“Eligible Expenditure”</w:t>
      </w:r>
      <w:r>
        <w:rPr>
          <w:rStyle w:val="Glossaryterm"/>
        </w:rPr>
        <w:t xml:space="preserve"> </w:t>
      </w:r>
      <w:r w:rsidRPr="00A9217A">
        <w:rPr>
          <w:rStyle w:val="Glossaryterm"/>
        </w:rPr>
        <w:t>means e</w:t>
      </w:r>
      <w:r w:rsidRPr="00A9217A">
        <w:t>xpenditure</w:t>
      </w:r>
      <w:r w:rsidRPr="0062150B">
        <w:t xml:space="preserve"> incurred directly on the agreed </w:t>
      </w:r>
      <w:r>
        <w:rPr>
          <w:rStyle w:val="Emphasis"/>
        </w:rPr>
        <w:t>c</w:t>
      </w:r>
      <w:r w:rsidRPr="0062150B">
        <w:rPr>
          <w:rStyle w:val="Emphasis"/>
        </w:rPr>
        <w:t xml:space="preserve">ommercialisation </w:t>
      </w:r>
      <w:r>
        <w:rPr>
          <w:rStyle w:val="Emphasis"/>
        </w:rPr>
        <w:t>p</w:t>
      </w:r>
      <w:r w:rsidRPr="0062150B">
        <w:rPr>
          <w:rStyle w:val="Emphasis"/>
        </w:rPr>
        <w:t>roject</w:t>
      </w:r>
      <w:r w:rsidRPr="0062150B">
        <w:t xml:space="preserve"> or on agreed activities as detailed in the relevant </w:t>
      </w:r>
      <w:r w:rsidRPr="0062150B">
        <w:rPr>
          <w:rStyle w:val="Emphasis"/>
        </w:rPr>
        <w:t>Funding Agreement</w:t>
      </w:r>
      <w:r w:rsidRPr="0062150B">
        <w:t>.</w:t>
      </w:r>
    </w:p>
    <w:p w:rsidR="00E43A51" w:rsidRDefault="00E43A51" w:rsidP="00E43A51">
      <w:pPr>
        <w:pStyle w:val="BodyText21"/>
        <w:spacing w:after="180"/>
        <w:ind w:left="567"/>
      </w:pPr>
      <w:bookmarkStart w:id="17" w:name="_DV_M54"/>
      <w:bookmarkStart w:id="18" w:name="_DV_M55"/>
      <w:bookmarkStart w:id="19" w:name="_DV_M57"/>
      <w:bookmarkEnd w:id="17"/>
      <w:bookmarkEnd w:id="18"/>
      <w:bookmarkEnd w:id="19"/>
      <w:r w:rsidRPr="007E4B65">
        <w:rPr>
          <w:b/>
          <w:color w:val="000000"/>
          <w:w w:val="0"/>
          <w:sz w:val="24"/>
          <w:szCs w:val="24"/>
        </w:rPr>
        <w:t>“</w:t>
      </w:r>
      <w:r>
        <w:rPr>
          <w:b/>
          <w:color w:val="000000"/>
          <w:w w:val="0"/>
          <w:sz w:val="24"/>
          <w:szCs w:val="24"/>
        </w:rPr>
        <w:t>E</w:t>
      </w:r>
      <w:r w:rsidRPr="007E4B65">
        <w:rPr>
          <w:b/>
          <w:color w:val="000000"/>
          <w:w w:val="0"/>
          <w:sz w:val="24"/>
          <w:szCs w:val="24"/>
        </w:rPr>
        <w:t>ligible partner entity”</w:t>
      </w:r>
      <w:r w:rsidRPr="008B3B7E">
        <w:rPr>
          <w:color w:val="000000"/>
          <w:w w:val="0"/>
          <w:sz w:val="24"/>
          <w:szCs w:val="24"/>
        </w:rPr>
        <w:t xml:space="preserve"> means </w:t>
      </w:r>
      <w:r>
        <w:rPr>
          <w:color w:val="000000"/>
          <w:w w:val="0"/>
          <w:sz w:val="24"/>
          <w:szCs w:val="24"/>
        </w:rPr>
        <w:t>a</w:t>
      </w:r>
      <w:r w:rsidRPr="008B3B7E">
        <w:t xml:space="preserve">n </w:t>
      </w:r>
      <w:r w:rsidRPr="008B3B7E">
        <w:rPr>
          <w:rStyle w:val="Emphasis"/>
        </w:rPr>
        <w:t>Eligible Corporation</w:t>
      </w:r>
      <w:r w:rsidRPr="008B3B7E">
        <w:t xml:space="preserve"> whose primary purpose is research but also looks to commercialise the resultant intellectual property, and whose application for registration as an </w:t>
      </w:r>
      <w:r w:rsidRPr="008B3B7E">
        <w:rPr>
          <w:rStyle w:val="Emphasis"/>
        </w:rPr>
        <w:t>Eligible Partner Entity</w:t>
      </w:r>
      <w:r w:rsidRPr="008B3B7E">
        <w:t xml:space="preserve"> has been approved by the </w:t>
      </w:r>
      <w:r w:rsidRPr="008B3B7E">
        <w:rPr>
          <w:rStyle w:val="Emphasis"/>
        </w:rPr>
        <w:t>Programme Delegate</w:t>
      </w:r>
      <w:r w:rsidRPr="008B3B7E">
        <w:t>.</w:t>
      </w:r>
    </w:p>
    <w:p w:rsidR="00E43A51" w:rsidRDefault="00E43A51" w:rsidP="00E43A51">
      <w:pPr>
        <w:pStyle w:val="BodyText21"/>
        <w:spacing w:after="180"/>
        <w:ind w:left="567"/>
      </w:pPr>
      <w:r>
        <w:rPr>
          <w:rStyle w:val="Emphasis"/>
          <w:b/>
        </w:rPr>
        <w:t>“</w:t>
      </w:r>
      <w:r w:rsidRPr="008B3B7E">
        <w:rPr>
          <w:rStyle w:val="Emphasis"/>
          <w:b/>
        </w:rPr>
        <w:t>Funding Agreement</w:t>
      </w:r>
      <w:r>
        <w:rPr>
          <w:rStyle w:val="Emphasis"/>
          <w:b/>
        </w:rPr>
        <w:t>”</w:t>
      </w:r>
      <w:r w:rsidRPr="008B3B7E" w:rsidDel="0080264B">
        <w:rPr>
          <w:b/>
          <w:color w:val="000000"/>
          <w:w w:val="0"/>
          <w:sz w:val="24"/>
          <w:szCs w:val="24"/>
        </w:rPr>
        <w:t xml:space="preserve"> </w:t>
      </w:r>
      <w:r w:rsidRPr="00710C82">
        <w:rPr>
          <w:color w:val="000000"/>
          <w:w w:val="0"/>
          <w:sz w:val="24"/>
          <w:szCs w:val="24"/>
        </w:rPr>
        <w:t>means a</w:t>
      </w:r>
      <w:r w:rsidRPr="00A9217A">
        <w:t xml:space="preserve"> legally</w:t>
      </w:r>
      <w:r w:rsidRPr="0062150B">
        <w:t xml:space="preserve"> binding agreement between the </w:t>
      </w:r>
      <w:r w:rsidRPr="0062150B">
        <w:rPr>
          <w:rStyle w:val="Emphasis"/>
        </w:rPr>
        <w:t>Department</w:t>
      </w:r>
      <w:r w:rsidRPr="0062150B">
        <w:t xml:space="preserve"> and a </w:t>
      </w:r>
      <w:r w:rsidRPr="0062150B">
        <w:rPr>
          <w:rStyle w:val="Emphasis"/>
        </w:rPr>
        <w:t>Recipient</w:t>
      </w:r>
      <w:r>
        <w:t>, which may include a Letter of Agreement.</w:t>
      </w:r>
    </w:p>
    <w:p w:rsidR="00E43A51" w:rsidRDefault="00E43A51" w:rsidP="00E43A51">
      <w:pPr>
        <w:pStyle w:val="BodyText21"/>
        <w:spacing w:after="180"/>
        <w:ind w:left="567"/>
      </w:pPr>
      <w:r>
        <w:rPr>
          <w:b/>
        </w:rPr>
        <w:t>“</w:t>
      </w:r>
      <w:r w:rsidRPr="008B3B7E">
        <w:rPr>
          <w:b/>
        </w:rPr>
        <w:t>Grant</w:t>
      </w:r>
      <w:r>
        <w:rPr>
          <w:b/>
        </w:rPr>
        <w:t>”</w:t>
      </w:r>
      <w:r w:rsidRPr="008B3B7E">
        <w:rPr>
          <w:b/>
        </w:rPr>
        <w:t xml:space="preserve"> </w:t>
      </w:r>
      <w:r w:rsidRPr="00710C82">
        <w:t>means t</w:t>
      </w:r>
      <w:r w:rsidRPr="00A9217A">
        <w:t>he</w:t>
      </w:r>
      <w:r w:rsidRPr="0062150B">
        <w:t xml:space="preserve"> funds provided by the </w:t>
      </w:r>
      <w:r w:rsidRPr="0062150B">
        <w:rPr>
          <w:rStyle w:val="Emphasis"/>
        </w:rPr>
        <w:t>Department</w:t>
      </w:r>
      <w:r w:rsidRPr="0062150B">
        <w:t xml:space="preserve"> to the </w:t>
      </w:r>
      <w:r w:rsidRPr="0062150B">
        <w:rPr>
          <w:rStyle w:val="Emphasis"/>
        </w:rPr>
        <w:t>Recipient</w:t>
      </w:r>
      <w:r w:rsidRPr="0062150B">
        <w:t xml:space="preserve"> as set out in a </w:t>
      </w:r>
      <w:r w:rsidRPr="0062150B">
        <w:rPr>
          <w:rStyle w:val="Emphasis"/>
        </w:rPr>
        <w:t>Funding Agreement</w:t>
      </w:r>
      <w:r w:rsidRPr="0062150B">
        <w:t xml:space="preserve"> under the </w:t>
      </w:r>
      <w:r w:rsidRPr="0062150B">
        <w:rPr>
          <w:rStyle w:val="Emphasis"/>
        </w:rPr>
        <w:t>Programme</w:t>
      </w:r>
      <w:r w:rsidRPr="0062150B">
        <w:t>.</w:t>
      </w:r>
    </w:p>
    <w:p w:rsidR="00E43A51" w:rsidRPr="008B3B7E" w:rsidRDefault="00E43A51" w:rsidP="00E43A51">
      <w:pPr>
        <w:pStyle w:val="BodyText21"/>
        <w:spacing w:after="180"/>
        <w:ind w:left="567"/>
        <w:rPr>
          <w:color w:val="000000"/>
          <w:w w:val="0"/>
          <w:sz w:val="24"/>
          <w:szCs w:val="24"/>
        </w:rPr>
      </w:pPr>
      <w:r>
        <w:rPr>
          <w:rStyle w:val="Glossaryterm"/>
        </w:rPr>
        <w:t>“</w:t>
      </w:r>
      <w:r w:rsidRPr="007E4B65">
        <w:rPr>
          <w:rStyle w:val="Glossaryterm"/>
        </w:rPr>
        <w:t>Growth Sectors</w:t>
      </w:r>
      <w:r>
        <w:rPr>
          <w:rStyle w:val="Glossaryterm"/>
        </w:rPr>
        <w:t>”</w:t>
      </w:r>
      <w:r w:rsidRPr="007E4B65" w:rsidDel="0080264B">
        <w:rPr>
          <w:color w:val="000000"/>
          <w:w w:val="0"/>
          <w:sz w:val="24"/>
          <w:szCs w:val="24"/>
        </w:rPr>
        <w:t xml:space="preserve"> </w:t>
      </w:r>
      <w:r>
        <w:rPr>
          <w:color w:val="000000"/>
          <w:w w:val="0"/>
          <w:sz w:val="24"/>
          <w:szCs w:val="24"/>
        </w:rPr>
        <w:t>means p</w:t>
      </w:r>
      <w:r w:rsidRPr="0062150B">
        <w:t>riority industry sectors: Advanced Manufacturing; Food and Agribusiness; Medical Technologies and Pharmaceuticals; Mining Equipment, Technology and Services; and Oil, Gas and Energy Resources.</w:t>
      </w:r>
    </w:p>
    <w:p w:rsidR="00E43A51" w:rsidRPr="008B3B7E" w:rsidRDefault="00E43A51" w:rsidP="00E43A51">
      <w:pPr>
        <w:pStyle w:val="BodyText21"/>
        <w:spacing w:after="180"/>
        <w:ind w:left="567"/>
        <w:rPr>
          <w:color w:val="000000"/>
          <w:w w:val="0"/>
          <w:sz w:val="24"/>
          <w:szCs w:val="24"/>
        </w:rPr>
      </w:pPr>
      <w:bookmarkStart w:id="20" w:name="_DV_M58"/>
      <w:bookmarkStart w:id="21" w:name="_DV_M62"/>
      <w:bookmarkEnd w:id="20"/>
      <w:bookmarkEnd w:id="21"/>
      <w:r w:rsidRPr="007E4B65">
        <w:rPr>
          <w:b/>
          <w:color w:val="000000"/>
          <w:w w:val="0"/>
          <w:sz w:val="24"/>
          <w:szCs w:val="24"/>
        </w:rPr>
        <w:t xml:space="preserve">“Minister” </w:t>
      </w:r>
      <w:r w:rsidRPr="007E4B65">
        <w:rPr>
          <w:color w:val="000000"/>
          <w:w w:val="0"/>
          <w:sz w:val="24"/>
          <w:szCs w:val="24"/>
        </w:rPr>
        <w:t xml:space="preserve">means the Minister administering the </w:t>
      </w:r>
      <w:r w:rsidRPr="008B3B7E">
        <w:rPr>
          <w:i/>
          <w:color w:val="000000"/>
          <w:w w:val="0"/>
          <w:sz w:val="24"/>
          <w:szCs w:val="24"/>
        </w:rPr>
        <w:t>Act</w:t>
      </w:r>
      <w:r w:rsidRPr="008B3B7E">
        <w:rPr>
          <w:color w:val="000000"/>
          <w:w w:val="0"/>
          <w:sz w:val="24"/>
          <w:szCs w:val="24"/>
        </w:rPr>
        <w:t>.</w:t>
      </w:r>
    </w:p>
    <w:p w:rsidR="00E43A51" w:rsidRPr="008B3B7E" w:rsidRDefault="00E43A51" w:rsidP="00E43A51">
      <w:pPr>
        <w:pStyle w:val="BodyText21"/>
        <w:spacing w:after="180"/>
        <w:ind w:left="567"/>
        <w:rPr>
          <w:color w:val="000000"/>
          <w:w w:val="0"/>
          <w:sz w:val="24"/>
          <w:szCs w:val="24"/>
          <w:highlight w:val="yellow"/>
        </w:rPr>
      </w:pPr>
      <w:bookmarkStart w:id="22" w:name="_DV_M63"/>
      <w:bookmarkStart w:id="23" w:name="_DV_M65"/>
      <w:bookmarkStart w:id="24" w:name="_DV_M73"/>
      <w:bookmarkStart w:id="25" w:name="_DV_M79"/>
      <w:bookmarkEnd w:id="22"/>
      <w:bookmarkEnd w:id="23"/>
      <w:bookmarkEnd w:id="24"/>
      <w:bookmarkEnd w:id="25"/>
      <w:r w:rsidRPr="007E4B65">
        <w:rPr>
          <w:color w:val="000000"/>
          <w:w w:val="0"/>
          <w:sz w:val="24"/>
          <w:szCs w:val="24"/>
        </w:rPr>
        <w:t>“</w:t>
      </w:r>
      <w:r w:rsidRPr="007E4B65">
        <w:rPr>
          <w:b/>
          <w:color w:val="000000"/>
          <w:w w:val="0"/>
          <w:sz w:val="24"/>
          <w:szCs w:val="24"/>
        </w:rPr>
        <w:t>Program</w:t>
      </w:r>
      <w:r>
        <w:rPr>
          <w:b/>
          <w:color w:val="000000"/>
          <w:w w:val="0"/>
          <w:sz w:val="24"/>
          <w:szCs w:val="24"/>
        </w:rPr>
        <w:t>me</w:t>
      </w:r>
      <w:r w:rsidRPr="007E4B65">
        <w:rPr>
          <w:b/>
          <w:color w:val="000000"/>
          <w:w w:val="0"/>
          <w:sz w:val="24"/>
          <w:szCs w:val="24"/>
        </w:rPr>
        <w:t xml:space="preserve"> Delegate</w:t>
      </w:r>
      <w:r w:rsidRPr="008B3B7E">
        <w:rPr>
          <w:color w:val="000000"/>
          <w:w w:val="0"/>
          <w:sz w:val="24"/>
          <w:szCs w:val="24"/>
        </w:rPr>
        <w:t>” means</w:t>
      </w:r>
      <w:r w:rsidRPr="0080264B">
        <w:rPr>
          <w:color w:val="000000"/>
          <w:w w:val="0"/>
          <w:sz w:val="24"/>
          <w:szCs w:val="24"/>
        </w:rPr>
        <w:t xml:space="preserve"> an employee of </w:t>
      </w:r>
      <w:r w:rsidRPr="007E4B65">
        <w:rPr>
          <w:color w:val="000000"/>
          <w:w w:val="0"/>
          <w:sz w:val="24"/>
          <w:szCs w:val="24"/>
        </w:rPr>
        <w:t xml:space="preserve">the </w:t>
      </w:r>
      <w:r w:rsidRPr="007E4B65">
        <w:rPr>
          <w:i/>
          <w:color w:val="000000"/>
          <w:w w:val="0"/>
          <w:sz w:val="24"/>
          <w:szCs w:val="24"/>
        </w:rPr>
        <w:t>Department</w:t>
      </w:r>
      <w:r w:rsidRPr="008B3B7E">
        <w:rPr>
          <w:color w:val="000000"/>
          <w:w w:val="0"/>
          <w:sz w:val="24"/>
          <w:szCs w:val="24"/>
        </w:rPr>
        <w:t xml:space="preserve"> who has been empowered by the </w:t>
      </w:r>
      <w:r w:rsidRPr="008B3B7E">
        <w:rPr>
          <w:i/>
          <w:color w:val="000000"/>
          <w:w w:val="0"/>
          <w:sz w:val="24"/>
          <w:szCs w:val="24"/>
        </w:rPr>
        <w:t>Minister</w:t>
      </w:r>
      <w:r w:rsidRPr="008B3B7E">
        <w:rPr>
          <w:color w:val="000000"/>
          <w:w w:val="0"/>
          <w:sz w:val="24"/>
          <w:szCs w:val="24"/>
        </w:rPr>
        <w:t xml:space="preserve">, or is otherwise duly authorised, to carry out the relevant function in accordance with the </w:t>
      </w:r>
      <w:r w:rsidRPr="008B3B7E">
        <w:rPr>
          <w:i/>
          <w:color w:val="000000"/>
          <w:w w:val="0"/>
          <w:sz w:val="24"/>
          <w:szCs w:val="24"/>
        </w:rPr>
        <w:t>Programme</w:t>
      </w:r>
      <w:r w:rsidRPr="0080264B">
        <w:rPr>
          <w:i/>
          <w:color w:val="000000"/>
          <w:w w:val="0"/>
          <w:sz w:val="24"/>
          <w:szCs w:val="24"/>
        </w:rPr>
        <w:t xml:space="preserve"> Guidelines</w:t>
      </w:r>
      <w:r w:rsidRPr="007E4B65">
        <w:rPr>
          <w:color w:val="000000"/>
          <w:w w:val="0"/>
          <w:sz w:val="24"/>
          <w:szCs w:val="24"/>
        </w:rPr>
        <w:t>.</w:t>
      </w:r>
    </w:p>
    <w:p w:rsidR="00E43A51" w:rsidRPr="007E4B65" w:rsidRDefault="00E43A51" w:rsidP="00E43A51">
      <w:pPr>
        <w:pStyle w:val="BodyText21"/>
        <w:spacing w:after="180"/>
        <w:ind w:left="567"/>
        <w:rPr>
          <w:color w:val="000000"/>
          <w:w w:val="0"/>
          <w:sz w:val="24"/>
          <w:szCs w:val="24"/>
        </w:rPr>
      </w:pPr>
      <w:bookmarkStart w:id="26" w:name="_DV_M81"/>
      <w:bookmarkStart w:id="27" w:name="_DV_M82"/>
      <w:bookmarkEnd w:id="26"/>
      <w:bookmarkEnd w:id="27"/>
      <w:r w:rsidRPr="007E4B65">
        <w:rPr>
          <w:color w:val="000000"/>
          <w:w w:val="0"/>
          <w:sz w:val="24"/>
          <w:szCs w:val="24"/>
        </w:rPr>
        <w:t>“</w:t>
      </w:r>
      <w:r w:rsidRPr="007E4B65">
        <w:rPr>
          <w:b/>
          <w:color w:val="000000"/>
          <w:w w:val="0"/>
          <w:sz w:val="24"/>
          <w:szCs w:val="24"/>
        </w:rPr>
        <w:t>Program</w:t>
      </w:r>
      <w:r>
        <w:rPr>
          <w:b/>
          <w:color w:val="000000"/>
          <w:w w:val="0"/>
          <w:sz w:val="24"/>
          <w:szCs w:val="24"/>
        </w:rPr>
        <w:t>me</w:t>
      </w:r>
      <w:r w:rsidRPr="007E4B65">
        <w:rPr>
          <w:b/>
          <w:color w:val="000000"/>
          <w:w w:val="0"/>
          <w:sz w:val="24"/>
          <w:szCs w:val="24"/>
        </w:rPr>
        <w:t xml:space="preserve"> Guidelines</w:t>
      </w:r>
      <w:r w:rsidRPr="008B3B7E">
        <w:rPr>
          <w:color w:val="000000"/>
          <w:w w:val="0"/>
          <w:sz w:val="24"/>
          <w:szCs w:val="24"/>
        </w:rPr>
        <w:t xml:space="preserve">” means the guidelines that are given by the </w:t>
      </w:r>
      <w:r w:rsidRPr="008B3B7E">
        <w:rPr>
          <w:i/>
          <w:color w:val="000000"/>
          <w:w w:val="0"/>
          <w:sz w:val="24"/>
          <w:szCs w:val="24"/>
        </w:rPr>
        <w:t>Minister</w:t>
      </w:r>
      <w:r w:rsidRPr="008B3B7E">
        <w:rPr>
          <w:color w:val="000000"/>
          <w:w w:val="0"/>
          <w:sz w:val="24"/>
          <w:szCs w:val="24"/>
        </w:rPr>
        <w:t xml:space="preserve"> to the </w:t>
      </w:r>
      <w:r w:rsidRPr="008B3B7E">
        <w:rPr>
          <w:i/>
          <w:color w:val="000000"/>
          <w:w w:val="0"/>
          <w:sz w:val="24"/>
          <w:szCs w:val="24"/>
        </w:rPr>
        <w:t>Department,</w:t>
      </w:r>
      <w:r w:rsidRPr="008B3B7E">
        <w:rPr>
          <w:color w:val="000000"/>
          <w:w w:val="0"/>
          <w:sz w:val="24"/>
          <w:szCs w:val="24"/>
        </w:rPr>
        <w:t xml:space="preserve"> </w:t>
      </w:r>
      <w:r w:rsidRPr="008B3B7E">
        <w:t xml:space="preserve">as in force from time to time, </w:t>
      </w:r>
      <w:r w:rsidRPr="008B3B7E">
        <w:rPr>
          <w:color w:val="000000"/>
          <w:w w:val="0"/>
          <w:sz w:val="24"/>
          <w:szCs w:val="24"/>
        </w:rPr>
        <w:t xml:space="preserve">to provide a framework for the operation and administration of the </w:t>
      </w:r>
      <w:r w:rsidRPr="008B3B7E">
        <w:rPr>
          <w:i/>
          <w:color w:val="000000"/>
          <w:w w:val="0"/>
          <w:sz w:val="24"/>
          <w:szCs w:val="24"/>
        </w:rPr>
        <w:t>Entrepreneurs’ Programme</w:t>
      </w:r>
      <w:r w:rsidRPr="007E4B65">
        <w:rPr>
          <w:color w:val="000000"/>
          <w:w w:val="0"/>
          <w:sz w:val="24"/>
          <w:szCs w:val="24"/>
        </w:rPr>
        <w:t>.</w:t>
      </w:r>
    </w:p>
    <w:p w:rsidR="00E43A51" w:rsidRDefault="00E43A51" w:rsidP="00E43A51">
      <w:pPr>
        <w:pStyle w:val="BodyText21"/>
        <w:spacing w:after="180"/>
        <w:ind w:left="567"/>
        <w:rPr>
          <w:i/>
          <w:color w:val="000000"/>
          <w:w w:val="0"/>
        </w:rPr>
      </w:pPr>
      <w:r w:rsidRPr="008B3B7E">
        <w:rPr>
          <w:b/>
          <w:color w:val="000000"/>
          <w:w w:val="0"/>
          <w:sz w:val="24"/>
          <w:szCs w:val="24"/>
        </w:rPr>
        <w:t>“</w:t>
      </w:r>
      <w:r>
        <w:rPr>
          <w:b/>
          <w:color w:val="000000"/>
          <w:w w:val="0"/>
          <w:sz w:val="24"/>
          <w:szCs w:val="24"/>
        </w:rPr>
        <w:t>P</w:t>
      </w:r>
      <w:r w:rsidRPr="007E4B65">
        <w:rPr>
          <w:b/>
          <w:color w:val="000000"/>
          <w:w w:val="0"/>
          <w:sz w:val="24"/>
          <w:szCs w:val="24"/>
        </w:rPr>
        <w:t xml:space="preserve">ublicly </w:t>
      </w:r>
      <w:r w:rsidRPr="008B3B7E">
        <w:rPr>
          <w:b/>
          <w:color w:val="000000"/>
          <w:w w:val="0"/>
          <w:sz w:val="24"/>
          <w:szCs w:val="24"/>
        </w:rPr>
        <w:t>funded research organisation</w:t>
      </w:r>
      <w:r w:rsidRPr="007E4B65">
        <w:rPr>
          <w:b/>
          <w:color w:val="000000"/>
          <w:w w:val="0"/>
          <w:sz w:val="24"/>
          <w:szCs w:val="24"/>
        </w:rPr>
        <w:t xml:space="preserve"> </w:t>
      </w:r>
      <w:r w:rsidRPr="008B3B7E">
        <w:rPr>
          <w:b/>
          <w:color w:val="000000"/>
          <w:w w:val="0"/>
          <w:sz w:val="24"/>
          <w:szCs w:val="24"/>
        </w:rPr>
        <w:t>(PFRO</w:t>
      </w:r>
      <w:r w:rsidRPr="007E4B65">
        <w:rPr>
          <w:b/>
          <w:color w:val="000000"/>
          <w:w w:val="0"/>
          <w:sz w:val="24"/>
          <w:szCs w:val="24"/>
        </w:rPr>
        <w:t>)”</w:t>
      </w:r>
      <w:r w:rsidRPr="008B3B7E">
        <w:rPr>
          <w:color w:val="000000"/>
          <w:w w:val="0"/>
          <w:sz w:val="24"/>
          <w:szCs w:val="24"/>
        </w:rPr>
        <w:t xml:space="preserve"> </w:t>
      </w:r>
      <w:r w:rsidRPr="008B3B7E">
        <w:rPr>
          <w:color w:val="000000"/>
          <w:w w:val="0"/>
        </w:rPr>
        <w:t xml:space="preserve">has the meaning given to it in the </w:t>
      </w:r>
      <w:r w:rsidRPr="008B3B7E">
        <w:rPr>
          <w:i/>
          <w:color w:val="000000"/>
          <w:w w:val="0"/>
        </w:rPr>
        <w:t>Programme</w:t>
      </w:r>
      <w:r w:rsidRPr="007E4B65">
        <w:rPr>
          <w:i/>
          <w:color w:val="000000"/>
          <w:w w:val="0"/>
        </w:rPr>
        <w:t xml:space="preserve"> Guidelines.</w:t>
      </w:r>
    </w:p>
    <w:p w:rsidR="00E43A51" w:rsidRPr="007E4B65" w:rsidRDefault="00E43A51" w:rsidP="00E43A51">
      <w:pPr>
        <w:pStyle w:val="BodyText21"/>
        <w:spacing w:after="200"/>
        <w:ind w:left="567"/>
        <w:rPr>
          <w:i/>
          <w:color w:val="000000"/>
          <w:w w:val="0"/>
        </w:rPr>
      </w:pPr>
      <w:r>
        <w:rPr>
          <w:rStyle w:val="Emphasis"/>
          <w:b/>
        </w:rPr>
        <w:t>“</w:t>
      </w:r>
      <w:r w:rsidRPr="008B3B7E">
        <w:rPr>
          <w:rStyle w:val="Emphasis"/>
          <w:b/>
        </w:rPr>
        <w:t>Recipient</w:t>
      </w:r>
      <w:r>
        <w:rPr>
          <w:rStyle w:val="Emphasis"/>
          <w:b/>
        </w:rPr>
        <w:t>”</w:t>
      </w:r>
      <w:r w:rsidRPr="008B3B7E">
        <w:rPr>
          <w:rStyle w:val="Emphasis"/>
          <w:b/>
        </w:rPr>
        <w:t xml:space="preserve"> </w:t>
      </w:r>
      <w:r w:rsidRPr="00710C82">
        <w:rPr>
          <w:rStyle w:val="Emphasis"/>
        </w:rPr>
        <w:t>means</w:t>
      </w:r>
      <w:r w:rsidRPr="00A9217A">
        <w:rPr>
          <w:rFonts w:cs="Arial"/>
          <w:color w:val="262626"/>
          <w:szCs w:val="24"/>
        </w:rPr>
        <w:t xml:space="preserve"> t</w:t>
      </w:r>
      <w:r>
        <w:rPr>
          <w:rFonts w:cs="Arial"/>
          <w:color w:val="262626"/>
          <w:szCs w:val="24"/>
        </w:rPr>
        <w:t>he</w:t>
      </w:r>
      <w:r w:rsidRPr="00690860">
        <w:rPr>
          <w:rFonts w:cs="Arial"/>
          <w:color w:val="262626"/>
          <w:szCs w:val="24"/>
        </w:rPr>
        <w:t xml:space="preserve"> entity which enters into a</w:t>
      </w:r>
      <w:r w:rsidRPr="00690860">
        <w:rPr>
          <w:rStyle w:val="Glossaryterm"/>
          <w:rFonts w:cs="Arial"/>
          <w:color w:val="262626"/>
          <w:szCs w:val="24"/>
        </w:rPr>
        <w:t xml:space="preserve"> </w:t>
      </w:r>
      <w:r w:rsidRPr="0062150B">
        <w:rPr>
          <w:rStyle w:val="Emphasis"/>
        </w:rPr>
        <w:t>Funding Agreement</w:t>
      </w:r>
      <w:r w:rsidRPr="00690860">
        <w:rPr>
          <w:rFonts w:cs="Arial"/>
          <w:color w:val="262626"/>
          <w:szCs w:val="24"/>
        </w:rPr>
        <w:t xml:space="preserve"> with the </w:t>
      </w:r>
      <w:r w:rsidRPr="0062150B">
        <w:rPr>
          <w:rStyle w:val="Emphasis"/>
        </w:rPr>
        <w:t>Department</w:t>
      </w:r>
      <w:r w:rsidRPr="00690860">
        <w:rPr>
          <w:rFonts w:cs="Arial"/>
          <w:color w:val="262626"/>
          <w:szCs w:val="24"/>
        </w:rPr>
        <w:t xml:space="preserve"> and receives payment of a </w:t>
      </w:r>
      <w:r w:rsidRPr="0062150B">
        <w:rPr>
          <w:rStyle w:val="Emphasis"/>
        </w:rPr>
        <w:t>Grant</w:t>
      </w:r>
      <w:r w:rsidRPr="00690860">
        <w:rPr>
          <w:rStyle w:val="Glossaryterm"/>
          <w:rFonts w:cs="Arial"/>
          <w:color w:val="262626"/>
          <w:szCs w:val="24"/>
        </w:rPr>
        <w:t xml:space="preserve"> </w:t>
      </w:r>
      <w:r w:rsidRPr="007E4B65">
        <w:rPr>
          <w:rStyle w:val="Glossaryterm"/>
          <w:rFonts w:cs="Arial"/>
          <w:color w:val="262626"/>
          <w:szCs w:val="24"/>
        </w:rPr>
        <w:t>under the</w:t>
      </w:r>
      <w:r w:rsidRPr="008B3B7E">
        <w:rPr>
          <w:rStyle w:val="Glossaryterm"/>
          <w:rFonts w:cs="Arial"/>
          <w:color w:val="262626"/>
          <w:szCs w:val="24"/>
        </w:rPr>
        <w:t xml:space="preserve"> </w:t>
      </w:r>
      <w:r w:rsidRPr="0062150B">
        <w:rPr>
          <w:rStyle w:val="Emphasis"/>
        </w:rPr>
        <w:t>Programme</w:t>
      </w:r>
      <w:r w:rsidRPr="00690860">
        <w:rPr>
          <w:rStyle w:val="Glossaryterm"/>
          <w:rFonts w:cs="Arial"/>
          <w:color w:val="262626"/>
          <w:szCs w:val="24"/>
        </w:rPr>
        <w:t>.</w:t>
      </w:r>
    </w:p>
    <w:p w:rsidR="00E43A51" w:rsidRPr="008B3B7E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bookmarkStart w:id="28" w:name="_DV_M83"/>
      <w:bookmarkEnd w:id="28"/>
      <w:r w:rsidRPr="007E4B65">
        <w:rPr>
          <w:w w:val="0"/>
        </w:rPr>
        <w:t xml:space="preserve">A reference to </w:t>
      </w:r>
      <w:r w:rsidRPr="008B3B7E">
        <w:rPr>
          <w:b/>
          <w:w w:val="0"/>
        </w:rPr>
        <w:t>Board may</w:t>
      </w:r>
      <w:r w:rsidRPr="008B3B7E">
        <w:rPr>
          <w:w w:val="0"/>
        </w:rPr>
        <w:t xml:space="preserve"> or </w:t>
      </w:r>
      <w:r w:rsidRPr="008B3B7E">
        <w:rPr>
          <w:b/>
          <w:i/>
          <w:w w:val="0"/>
        </w:rPr>
        <w:t>Program Delegate</w:t>
      </w:r>
      <w:r w:rsidRPr="008B3B7E">
        <w:rPr>
          <w:b/>
          <w:w w:val="0"/>
        </w:rPr>
        <w:t xml:space="preserve"> may</w:t>
      </w:r>
      <w:r w:rsidRPr="008B3B7E">
        <w:rPr>
          <w:w w:val="0"/>
        </w:rPr>
        <w:t xml:space="preserve"> is permissive and not mandatory.</w:t>
      </w:r>
    </w:p>
    <w:p w:rsidR="00E43A51" w:rsidRPr="000C16CC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outlineLvl w:val="0"/>
      </w:pPr>
      <w:r w:rsidRPr="000C16CC">
        <w:rPr>
          <w:w w:val="0"/>
        </w:rPr>
        <w:t xml:space="preserve">A reference to </w:t>
      </w:r>
      <w:r w:rsidRPr="000C16CC">
        <w:rPr>
          <w:b/>
          <w:w w:val="0"/>
        </w:rPr>
        <w:t>include</w:t>
      </w:r>
      <w:r w:rsidRPr="000C16CC">
        <w:rPr>
          <w:w w:val="0"/>
        </w:rPr>
        <w:t xml:space="preserve">, </w:t>
      </w:r>
      <w:r w:rsidRPr="000C16CC">
        <w:rPr>
          <w:b/>
          <w:w w:val="0"/>
        </w:rPr>
        <w:t>includes</w:t>
      </w:r>
      <w:r w:rsidRPr="000C16CC">
        <w:rPr>
          <w:w w:val="0"/>
        </w:rPr>
        <w:t xml:space="preserve">, </w:t>
      </w:r>
      <w:r w:rsidRPr="000C16CC">
        <w:rPr>
          <w:b/>
          <w:w w:val="0"/>
        </w:rPr>
        <w:t>including</w:t>
      </w:r>
      <w:r w:rsidRPr="000C16CC">
        <w:rPr>
          <w:w w:val="0"/>
        </w:rPr>
        <w:t xml:space="preserve">, </w:t>
      </w:r>
      <w:r w:rsidRPr="000C16CC">
        <w:rPr>
          <w:b/>
          <w:w w:val="0"/>
        </w:rPr>
        <w:t>in particular</w:t>
      </w:r>
      <w:r w:rsidRPr="000C16CC">
        <w:rPr>
          <w:w w:val="0"/>
        </w:rPr>
        <w:t xml:space="preserve"> and </w:t>
      </w:r>
      <w:r w:rsidRPr="000C16CC">
        <w:rPr>
          <w:b/>
          <w:w w:val="0"/>
        </w:rPr>
        <w:t>for example</w:t>
      </w:r>
      <w:r w:rsidRPr="000C16CC">
        <w:rPr>
          <w:w w:val="0"/>
        </w:rPr>
        <w:t xml:space="preserve"> does not limit the generality of the words to which they refer.</w:t>
      </w:r>
    </w:p>
    <w:p w:rsidR="00E43A51" w:rsidRPr="000C16CC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before="240" w:after="240"/>
        <w:ind w:left="567" w:hanging="567"/>
        <w:outlineLvl w:val="0"/>
        <w:rPr>
          <w:b/>
        </w:rPr>
      </w:pPr>
      <w:r w:rsidRPr="000C16CC">
        <w:rPr>
          <w:b/>
        </w:rPr>
        <w:br w:type="page"/>
      </w:r>
      <w:r w:rsidRPr="000C16CC">
        <w:rPr>
          <w:b/>
        </w:rPr>
        <w:lastRenderedPageBreak/>
        <w:t>PART 2 – ASSESSMENT AND MERIT RANKING OF APPLICATIONS</w:t>
      </w:r>
    </w:p>
    <w:p w:rsidR="00E43A51" w:rsidRPr="00846038" w:rsidRDefault="00E43A51" w:rsidP="00E43A51">
      <w:pPr>
        <w:spacing w:after="240"/>
        <w:outlineLvl w:val="0"/>
        <w:rPr>
          <w:b/>
        </w:rPr>
      </w:pPr>
      <w:r w:rsidRPr="00846038">
        <w:rPr>
          <w:b/>
        </w:rPr>
        <w:t xml:space="preserve">Procedure </w:t>
      </w:r>
    </w:p>
    <w:p w:rsidR="00E43A51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>
        <w:t>Subject to clauses 13 and 16, t</w:t>
      </w:r>
      <w:r w:rsidRPr="00846038">
        <w:rPr>
          <w:rFonts w:ascii="TimesNewRoman" w:hAnsi="TimesNewRoman"/>
        </w:rPr>
        <w:t xml:space="preserve">he Board must assess each </w:t>
      </w:r>
      <w:r w:rsidRPr="00A02F6D">
        <w:rPr>
          <w:rFonts w:ascii="TimesNewRoman" w:hAnsi="TimesNewRoman"/>
          <w:i/>
        </w:rPr>
        <w:t>eligible application</w:t>
      </w:r>
      <w:r w:rsidRPr="00846038">
        <w:rPr>
          <w:rFonts w:ascii="TimesNewRoman" w:hAnsi="TimesNewRoman"/>
        </w:rPr>
        <w:t xml:space="preserve"> on its merit according to the extent to w</w:t>
      </w:r>
      <w:r>
        <w:rPr>
          <w:rFonts w:ascii="TimesNewRoman" w:hAnsi="TimesNewRoman"/>
        </w:rPr>
        <w:t>hich the application meets the m</w:t>
      </w:r>
      <w:r w:rsidRPr="00846038">
        <w:rPr>
          <w:rFonts w:ascii="TimesNewRoman" w:hAnsi="TimesNewRoman"/>
        </w:rPr>
        <w:t xml:space="preserve">erit </w:t>
      </w:r>
      <w:r>
        <w:rPr>
          <w:rFonts w:ascii="TimesNewRoman" w:hAnsi="TimesNewRoman"/>
        </w:rPr>
        <w:t>c</w:t>
      </w:r>
      <w:r w:rsidRPr="00846038">
        <w:rPr>
          <w:rFonts w:ascii="TimesNewRoman" w:hAnsi="TimesNewRoman"/>
        </w:rPr>
        <w:t>riteria.</w:t>
      </w:r>
    </w:p>
    <w:p w:rsidR="00E43A51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>
        <w:rPr>
          <w:rFonts w:ascii="TimesNewRoman" w:hAnsi="TimesNewRoman"/>
        </w:rPr>
        <w:t xml:space="preserve">The Board will provide a merit ranking of those applications to the </w:t>
      </w:r>
      <w:r w:rsidRPr="00A02F6D">
        <w:rPr>
          <w:rFonts w:ascii="TimesNewRoman" w:hAnsi="TimesNewRoman"/>
          <w:i/>
        </w:rPr>
        <w:t>Program</w:t>
      </w:r>
      <w:r>
        <w:rPr>
          <w:rFonts w:ascii="TimesNewRoman" w:hAnsi="TimesNewRoman"/>
          <w:i/>
        </w:rPr>
        <w:t>me</w:t>
      </w:r>
      <w:r w:rsidRPr="00A02F6D">
        <w:rPr>
          <w:rFonts w:ascii="TimesNewRoman" w:hAnsi="TimesNewRoman"/>
          <w:i/>
        </w:rPr>
        <w:t xml:space="preserve"> Delegate</w:t>
      </w:r>
      <w:r>
        <w:rPr>
          <w:rFonts w:ascii="TimesNewRoman" w:hAnsi="TimesNewRoman"/>
        </w:rPr>
        <w:t>.</w:t>
      </w:r>
    </w:p>
    <w:p w:rsidR="00E43A51" w:rsidRPr="00517B0F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>
        <w:rPr>
          <w:rFonts w:ascii="TimesNewRoman" w:hAnsi="TimesNewRoman"/>
        </w:rPr>
        <w:t xml:space="preserve">The Board must consider </w:t>
      </w:r>
      <w:r w:rsidRPr="00517B0F">
        <w:rPr>
          <w:rFonts w:ascii="TimesNewRoman" w:hAnsi="TimesNewRoman"/>
          <w:i/>
        </w:rPr>
        <w:t>eligible applications</w:t>
      </w:r>
      <w:r>
        <w:rPr>
          <w:rFonts w:ascii="TimesNewRoman" w:hAnsi="TimesNewRoman"/>
        </w:rPr>
        <w:t xml:space="preserve"> as soon as practicable after those applications have been provided to the Board.</w:t>
      </w:r>
    </w:p>
    <w:p w:rsidR="00E43A51" w:rsidRPr="00741DE1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 w:rsidRPr="005F50B2">
        <w:rPr>
          <w:color w:val="000000"/>
          <w:w w:val="0"/>
        </w:rPr>
        <w:t xml:space="preserve">The </w:t>
      </w:r>
      <w:r w:rsidRPr="00EE1C3B">
        <w:rPr>
          <w:color w:val="000000"/>
          <w:w w:val="0"/>
        </w:rPr>
        <w:t>Board</w:t>
      </w:r>
      <w:r w:rsidRPr="005F50B2">
        <w:rPr>
          <w:color w:val="000000"/>
          <w:w w:val="0"/>
        </w:rPr>
        <w:t xml:space="preserve"> may request additional information from an applicant after the lodgement of an application.</w:t>
      </w:r>
    </w:p>
    <w:p w:rsidR="00E43A51" w:rsidRPr="00710C82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 w:rsidRPr="00710C82">
        <w:rPr>
          <w:rFonts w:ascii="TimesNewRoman" w:hAnsi="TimesNewRoman"/>
        </w:rPr>
        <w:t>The Board will assess all applications first against the ‘Need for funding’ merit criterion. Only applications that demonstrate a ‘Need for funding’ against this criterion may receive a merit ranking.</w:t>
      </w:r>
    </w:p>
    <w:p w:rsidR="00E43A51" w:rsidRPr="00741DE1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color w:val="000000"/>
          <w:w w:val="0"/>
        </w:rPr>
      </w:pPr>
      <w:r w:rsidRPr="00CA474D">
        <w:rPr>
          <w:rStyle w:val="Emphasis"/>
        </w:rPr>
        <w:t>Commercialisation Offices</w:t>
      </w:r>
      <w:r w:rsidRPr="00CA474D">
        <w:t xml:space="preserve"> and </w:t>
      </w:r>
      <w:r w:rsidRPr="00CA474D">
        <w:rPr>
          <w:rStyle w:val="Emphasis"/>
        </w:rPr>
        <w:t>Eligible Partner Entities</w:t>
      </w:r>
      <w:r w:rsidRPr="00CA474D">
        <w:t xml:space="preserve"> are not required to satisfy the ‘Need for funding’ merit criterion</w:t>
      </w:r>
      <w:r>
        <w:t xml:space="preserve"> in their applications for an </w:t>
      </w:r>
      <w:r w:rsidRPr="008B3B7E">
        <w:rPr>
          <w:rStyle w:val="Emphasis"/>
        </w:rPr>
        <w:t>Accelerating Commercialisation</w:t>
      </w:r>
      <w:r w:rsidRPr="00CA474D">
        <w:rPr>
          <w:rStyle w:val="Emphasis"/>
        </w:rPr>
        <w:t xml:space="preserve"> Grant</w:t>
      </w:r>
      <w:r>
        <w:t>, and will not be assessed against this merit criterion.</w:t>
      </w:r>
    </w:p>
    <w:p w:rsidR="00E43A51" w:rsidRPr="008B3B7E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 w:rsidRPr="00177D20">
        <w:rPr>
          <w:color w:val="000000"/>
          <w:w w:val="0"/>
        </w:rPr>
        <w:t xml:space="preserve">The Board </w:t>
      </w:r>
      <w:r>
        <w:rPr>
          <w:color w:val="000000"/>
          <w:w w:val="0"/>
        </w:rPr>
        <w:t>will</w:t>
      </w:r>
      <w:r w:rsidRPr="00177D20">
        <w:rPr>
          <w:color w:val="000000"/>
          <w:w w:val="0"/>
        </w:rPr>
        <w:t xml:space="preserve"> attribute a higher level of relative </w:t>
      </w:r>
      <w:r>
        <w:rPr>
          <w:color w:val="000000"/>
          <w:w w:val="0"/>
        </w:rPr>
        <w:t xml:space="preserve">merit to </w:t>
      </w:r>
      <w:r w:rsidRPr="00CA474D">
        <w:t xml:space="preserve">applications that have </w:t>
      </w:r>
      <w:r>
        <w:t>c</w:t>
      </w:r>
      <w:r w:rsidRPr="00CA474D">
        <w:rPr>
          <w:rStyle w:val="Emphasis"/>
        </w:rPr>
        <w:t xml:space="preserve">ommercialisation </w:t>
      </w:r>
      <w:r>
        <w:rPr>
          <w:rStyle w:val="Emphasis"/>
        </w:rPr>
        <w:t>p</w:t>
      </w:r>
      <w:r w:rsidRPr="00CA474D">
        <w:rPr>
          <w:rStyle w:val="Emphasis"/>
        </w:rPr>
        <w:t>rojects</w:t>
      </w:r>
      <w:r w:rsidRPr="00CA474D">
        <w:t xml:space="preserve"> within the </w:t>
      </w:r>
      <w:r w:rsidRPr="00CA474D">
        <w:rPr>
          <w:rStyle w:val="Emphasis"/>
        </w:rPr>
        <w:t>Growth Sectors</w:t>
      </w:r>
      <w:r w:rsidRPr="00CA474D">
        <w:t xml:space="preserve"> through additional credit against the ‘National benefits’ merit criterion</w:t>
      </w:r>
      <w:r>
        <w:rPr>
          <w:color w:val="000000"/>
          <w:w w:val="0"/>
        </w:rPr>
        <w:t xml:space="preserve"> </w:t>
      </w:r>
      <w:r w:rsidRPr="00177D20">
        <w:rPr>
          <w:color w:val="000000"/>
          <w:w w:val="0"/>
        </w:rPr>
        <w:t>when assessing applications.</w:t>
      </w:r>
    </w:p>
    <w:p w:rsidR="00E43A51" w:rsidRPr="00741DE1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120"/>
        <w:ind w:left="567" w:hanging="567"/>
        <w:rPr>
          <w:rFonts w:ascii="TimesNewRoman" w:hAnsi="TimesNewRoman"/>
        </w:rPr>
      </w:pPr>
      <w:r>
        <w:rPr>
          <w:color w:val="000000"/>
          <w:w w:val="0"/>
        </w:rPr>
        <w:t xml:space="preserve">In </w:t>
      </w:r>
      <w:r w:rsidRPr="00BE416C">
        <w:rPr>
          <w:color w:val="000000"/>
          <w:w w:val="0"/>
        </w:rPr>
        <w:t>provid</w:t>
      </w:r>
      <w:r>
        <w:rPr>
          <w:color w:val="000000"/>
          <w:w w:val="0"/>
        </w:rPr>
        <w:t>ing</w:t>
      </w:r>
      <w:r w:rsidRPr="00BE416C">
        <w:rPr>
          <w:color w:val="000000"/>
          <w:w w:val="0"/>
        </w:rPr>
        <w:t xml:space="preserve"> the </w:t>
      </w:r>
      <w:r w:rsidRPr="006F2F6C">
        <w:rPr>
          <w:i/>
          <w:color w:val="000000"/>
          <w:w w:val="0"/>
        </w:rPr>
        <w:t>Program</w:t>
      </w:r>
      <w:r>
        <w:rPr>
          <w:i/>
          <w:color w:val="000000"/>
          <w:w w:val="0"/>
        </w:rPr>
        <w:t>me</w:t>
      </w:r>
      <w:r w:rsidRPr="006F2F6C">
        <w:rPr>
          <w:i/>
          <w:color w:val="000000"/>
          <w:w w:val="0"/>
        </w:rPr>
        <w:t xml:space="preserve"> Delegate</w:t>
      </w:r>
      <w:r w:rsidRPr="00DD6062">
        <w:rPr>
          <w:color w:val="000000"/>
          <w:w w:val="0"/>
        </w:rPr>
        <w:t xml:space="preserve"> with</w:t>
      </w:r>
      <w:r w:rsidRPr="00BE416C">
        <w:rPr>
          <w:color w:val="000000"/>
          <w:w w:val="0"/>
        </w:rPr>
        <w:t xml:space="preserve"> a </w:t>
      </w:r>
      <w:r w:rsidRPr="008B3B7E">
        <w:rPr>
          <w:color w:val="000000"/>
          <w:w w:val="0"/>
        </w:rPr>
        <w:t>merit assessment</w:t>
      </w:r>
      <w:r w:rsidRPr="00A61F10">
        <w:rPr>
          <w:i/>
          <w:color w:val="000000"/>
          <w:w w:val="0"/>
        </w:rPr>
        <w:t xml:space="preserve"> </w:t>
      </w:r>
      <w:r w:rsidRPr="00BE416C">
        <w:rPr>
          <w:color w:val="000000"/>
          <w:w w:val="0"/>
        </w:rPr>
        <w:t>f</w:t>
      </w:r>
      <w:r>
        <w:rPr>
          <w:color w:val="000000"/>
          <w:w w:val="0"/>
        </w:rPr>
        <w:t>or</w:t>
      </w:r>
      <w:r w:rsidRPr="00BE416C">
        <w:rPr>
          <w:color w:val="000000"/>
          <w:w w:val="0"/>
        </w:rPr>
        <w:t xml:space="preserve"> an application </w:t>
      </w:r>
      <w:r>
        <w:rPr>
          <w:color w:val="000000"/>
          <w:w w:val="0"/>
        </w:rPr>
        <w:t>the Board may include advice as to whether the overseas expenditure proposed is appropriate.</w:t>
      </w:r>
    </w:p>
    <w:p w:rsidR="00E43A51" w:rsidRPr="00710C82" w:rsidRDefault="00E43A51" w:rsidP="00E43A51"/>
    <w:p w:rsidR="00E43A51" w:rsidRPr="00846038" w:rsidRDefault="00E43A51" w:rsidP="00E43A51">
      <w:pPr>
        <w:spacing w:after="240"/>
        <w:outlineLvl w:val="0"/>
        <w:rPr>
          <w:b/>
        </w:rPr>
      </w:pPr>
      <w:r>
        <w:rPr>
          <w:b/>
        </w:rPr>
        <w:t>Merit C</w:t>
      </w:r>
      <w:r w:rsidRPr="00846038">
        <w:rPr>
          <w:b/>
        </w:rPr>
        <w:t>riteria</w:t>
      </w:r>
    </w:p>
    <w:p w:rsidR="00E43A51" w:rsidRPr="00C70586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601" w:hanging="567"/>
        <w:rPr>
          <w:rFonts w:ascii="TimesNewRoman" w:hAnsi="TimesNewRoman"/>
        </w:rPr>
      </w:pPr>
      <w:r w:rsidRPr="00C70586">
        <w:rPr>
          <w:rFonts w:ascii="TimesNewRoman" w:hAnsi="TimesNewRoman"/>
        </w:rPr>
        <w:t xml:space="preserve">The merit of </w:t>
      </w:r>
      <w:r w:rsidRPr="00C70586">
        <w:rPr>
          <w:rFonts w:ascii="TimesNewRoman" w:hAnsi="TimesNewRoman"/>
          <w:i/>
        </w:rPr>
        <w:t>eligible application</w:t>
      </w:r>
      <w:r w:rsidRPr="00C70586">
        <w:rPr>
          <w:rFonts w:ascii="TimesNewRoman" w:hAnsi="TimesNewRoman"/>
        </w:rPr>
        <w:t>s must be assessed as described in the Entrepreneurs’ Programme – Programme Guidelines.</w:t>
      </w:r>
    </w:p>
    <w:p w:rsidR="00E43A51" w:rsidRPr="00840850" w:rsidRDefault="00E43A51" w:rsidP="00E43A51">
      <w:pPr>
        <w:spacing w:before="240" w:after="240" w:line="320" w:lineRule="atLeast"/>
        <w:rPr>
          <w:b/>
        </w:rPr>
      </w:pPr>
      <w:r w:rsidRPr="00840850">
        <w:rPr>
          <w:b/>
        </w:rPr>
        <w:t xml:space="preserve">PART 3 – ASSESSMENT OF PROPOSALS FOR VARIATION TO THE AGREED </w:t>
      </w:r>
      <w:r>
        <w:rPr>
          <w:b/>
        </w:rPr>
        <w:t xml:space="preserve">COMMERCIALISATION </w:t>
      </w:r>
      <w:r w:rsidRPr="00840850">
        <w:rPr>
          <w:b/>
        </w:rPr>
        <w:t xml:space="preserve">PROJECT </w:t>
      </w:r>
    </w:p>
    <w:p w:rsidR="00E43A51" w:rsidRPr="00D97B71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>
        <w:rPr>
          <w:rFonts w:ascii="TimesNewRoman" w:hAnsi="TimesNewRoman"/>
        </w:rPr>
        <w:t xml:space="preserve">If a </w:t>
      </w:r>
      <w:r>
        <w:rPr>
          <w:rFonts w:ascii="TimesNewRoman" w:hAnsi="TimesNewRoman"/>
          <w:i/>
        </w:rPr>
        <w:t>recipient</w:t>
      </w:r>
      <w:r>
        <w:rPr>
          <w:rFonts w:ascii="TimesNewRoman" w:hAnsi="TimesNewRoman"/>
        </w:rPr>
        <w:t xml:space="preserve"> has submitted a proposal to the </w:t>
      </w:r>
      <w:r w:rsidRPr="00A02F6D">
        <w:rPr>
          <w:rFonts w:ascii="TimesNewRoman" w:hAnsi="TimesNewRoman"/>
          <w:i/>
        </w:rPr>
        <w:t>Department</w:t>
      </w:r>
      <w:r>
        <w:rPr>
          <w:rFonts w:ascii="TimesNewRoman" w:hAnsi="TimesNewRoman"/>
        </w:rPr>
        <w:t xml:space="preserve"> for approval of changes to an </w:t>
      </w:r>
      <w:r w:rsidRPr="00535D9D">
        <w:rPr>
          <w:rFonts w:ascii="TimesNewRoman" w:hAnsi="TimesNewRoman"/>
        </w:rPr>
        <w:t>agreed</w:t>
      </w:r>
      <w:r>
        <w:rPr>
          <w:rFonts w:ascii="TimesNewRoman" w:hAnsi="TimesNewRoman"/>
        </w:rPr>
        <w:t xml:space="preserve"> </w:t>
      </w:r>
      <w:r w:rsidRPr="008B3B7E">
        <w:rPr>
          <w:rFonts w:ascii="TimesNewRoman" w:hAnsi="TimesNewRoman"/>
          <w:i/>
        </w:rPr>
        <w:t>commercialisation project</w:t>
      </w:r>
      <w:r>
        <w:rPr>
          <w:rFonts w:ascii="TimesNewRoman" w:hAnsi="TimesNewRoman"/>
        </w:rPr>
        <w:t xml:space="preserve">, including the addition of new activities, the discontinuance of activities, the substitution of new activities in the place of discontinued activities, a variation to milestones, a variation to funding, or a variation to the </w:t>
      </w:r>
      <w:r w:rsidRPr="008B3B7E">
        <w:rPr>
          <w:rFonts w:ascii="TimesNewRoman" w:hAnsi="TimesNewRoman"/>
          <w:i/>
        </w:rPr>
        <w:t>commercialisation project</w:t>
      </w:r>
      <w:r>
        <w:rPr>
          <w:rFonts w:ascii="TimesNewRoman" w:hAnsi="TimesNewRoman"/>
        </w:rPr>
        <w:t xml:space="preserve">’s timeframe, the </w:t>
      </w:r>
      <w:r w:rsidRPr="00A02F6D">
        <w:rPr>
          <w:rFonts w:ascii="TimesNewRoman" w:hAnsi="TimesNewRoman"/>
          <w:i/>
        </w:rPr>
        <w:t>Program</w:t>
      </w:r>
      <w:r>
        <w:rPr>
          <w:rFonts w:ascii="TimesNewRoman" w:hAnsi="TimesNewRoman"/>
          <w:i/>
        </w:rPr>
        <w:t>me</w:t>
      </w:r>
      <w:r w:rsidRPr="00A02F6D">
        <w:rPr>
          <w:rFonts w:ascii="TimesNewRoman" w:hAnsi="TimesNewRoman"/>
          <w:i/>
        </w:rPr>
        <w:t xml:space="preserve"> Delegate</w:t>
      </w:r>
      <w:r>
        <w:rPr>
          <w:rFonts w:ascii="TimesNewRoman" w:hAnsi="TimesNewRoman"/>
        </w:rPr>
        <w:t xml:space="preserve"> may request that the Board assess the proposal. </w:t>
      </w:r>
    </w:p>
    <w:p w:rsidR="00E43A51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  <w:rPr>
          <w:rFonts w:ascii="TimesNewRoman" w:hAnsi="TimesNewRoman"/>
        </w:rPr>
      </w:pPr>
      <w:r>
        <w:rPr>
          <w:rFonts w:ascii="TimesNewRoman" w:hAnsi="TimesNewRoman"/>
        </w:rPr>
        <w:t xml:space="preserve">If the Board receives a request under </w:t>
      </w:r>
      <w:r w:rsidRPr="0096682E">
        <w:rPr>
          <w:rFonts w:ascii="TimesNewRoman" w:hAnsi="TimesNewRoman"/>
        </w:rPr>
        <w:t>clause 19, it must</w:t>
      </w:r>
      <w:r>
        <w:rPr>
          <w:rFonts w:ascii="TimesNewRoman" w:hAnsi="TimesNewRoman"/>
        </w:rPr>
        <w:t xml:space="preserve"> assess the proposal as soon as is practicable and provide the assessment to the</w:t>
      </w:r>
      <w:r w:rsidRPr="00D97B71">
        <w:rPr>
          <w:rFonts w:ascii="TimesNewRoman" w:hAnsi="TimesNewRoman"/>
        </w:rPr>
        <w:t xml:space="preserve"> </w:t>
      </w:r>
      <w:r w:rsidRPr="00A02F6D">
        <w:rPr>
          <w:rFonts w:ascii="TimesNewRoman" w:hAnsi="TimesNewRoman"/>
          <w:i/>
        </w:rPr>
        <w:t>Program</w:t>
      </w:r>
      <w:r>
        <w:rPr>
          <w:rFonts w:ascii="TimesNewRoman" w:hAnsi="TimesNewRoman"/>
          <w:i/>
        </w:rPr>
        <w:t>me</w:t>
      </w:r>
      <w:r w:rsidRPr="00A02F6D">
        <w:rPr>
          <w:rFonts w:ascii="TimesNewRoman" w:hAnsi="TimesNewRoman"/>
          <w:i/>
        </w:rPr>
        <w:t xml:space="preserve"> Delegate</w:t>
      </w:r>
      <w:r>
        <w:rPr>
          <w:rFonts w:ascii="TimesNewRoman" w:hAnsi="TimesNewRoman"/>
        </w:rPr>
        <w:t xml:space="preserve">. </w:t>
      </w:r>
    </w:p>
    <w:p w:rsidR="00E43A51" w:rsidRDefault="00E43A51" w:rsidP="00E43A51">
      <w:pPr>
        <w:numPr>
          <w:ilvl w:val="0"/>
          <w:numId w:val="3"/>
        </w:numPr>
        <w:tabs>
          <w:tab w:val="clear" w:pos="720"/>
          <w:tab w:val="left" w:pos="600"/>
          <w:tab w:val="left" w:pos="1680"/>
        </w:tabs>
        <w:spacing w:before="120" w:after="120"/>
        <w:ind w:left="601" w:hanging="601"/>
        <w:rPr>
          <w:rFonts w:ascii="TimesNewRoman" w:hAnsi="TimesNewRoman"/>
        </w:rPr>
      </w:pPr>
      <w:r>
        <w:rPr>
          <w:rFonts w:ascii="TimesNewRoman" w:hAnsi="TimesNewRoman"/>
        </w:rPr>
        <w:t xml:space="preserve">In undertaking an assessment of a proposal to change a </w:t>
      </w:r>
      <w:r w:rsidRPr="008B3B7E">
        <w:rPr>
          <w:rFonts w:ascii="TimesNewRoman" w:hAnsi="TimesNewRoman"/>
          <w:i/>
        </w:rPr>
        <w:t>commercialisation project</w:t>
      </w:r>
      <w:r>
        <w:rPr>
          <w:rFonts w:ascii="TimesNewRoman" w:hAnsi="TimesNewRoman"/>
        </w:rPr>
        <w:t xml:space="preserve"> the Board will determine:</w:t>
      </w:r>
    </w:p>
    <w:p w:rsidR="00E43A51" w:rsidRDefault="00E43A51" w:rsidP="00E43A51">
      <w:pPr>
        <w:numPr>
          <w:ilvl w:val="1"/>
          <w:numId w:val="3"/>
        </w:numPr>
        <w:tabs>
          <w:tab w:val="clear" w:pos="1800"/>
          <w:tab w:val="left" w:pos="600"/>
          <w:tab w:val="num" w:pos="1440"/>
        </w:tabs>
        <w:spacing w:after="120"/>
        <w:ind w:left="1797" w:hanging="1197"/>
        <w:rPr>
          <w:rFonts w:ascii="TimesNewRoman" w:hAnsi="TimesNewRoman"/>
        </w:rPr>
      </w:pPr>
      <w:r>
        <w:rPr>
          <w:rFonts w:ascii="TimesNewRoman" w:hAnsi="TimesNewRoman"/>
        </w:rPr>
        <w:t xml:space="preserve">the extent to which the changed </w:t>
      </w:r>
      <w:r w:rsidRPr="008B3B7E">
        <w:rPr>
          <w:rFonts w:ascii="TimesNewRoman" w:hAnsi="TimesNewRoman"/>
          <w:i/>
        </w:rPr>
        <w:t>commercialisation project</w:t>
      </w:r>
      <w:r>
        <w:rPr>
          <w:rFonts w:ascii="TimesNewRoman" w:hAnsi="TimesNewRoman"/>
        </w:rPr>
        <w:t xml:space="preserve"> meets the merit criteria; and</w:t>
      </w:r>
    </w:p>
    <w:p w:rsidR="00E43A51" w:rsidRDefault="00E43A51" w:rsidP="00E43A51">
      <w:pPr>
        <w:numPr>
          <w:ilvl w:val="1"/>
          <w:numId w:val="3"/>
        </w:numPr>
        <w:tabs>
          <w:tab w:val="clear" w:pos="1800"/>
          <w:tab w:val="left" w:pos="600"/>
          <w:tab w:val="num" w:pos="1440"/>
        </w:tabs>
        <w:spacing w:before="120" w:after="120"/>
        <w:ind w:hanging="1197"/>
        <w:rPr>
          <w:rFonts w:ascii="TimesNewRoman" w:hAnsi="TimesNewRoman"/>
        </w:rPr>
      </w:pPr>
      <w:r>
        <w:rPr>
          <w:rFonts w:ascii="TimesNewRoman" w:hAnsi="TimesNewRoman"/>
        </w:rPr>
        <w:t xml:space="preserve">whether the change to the </w:t>
      </w:r>
      <w:r w:rsidRPr="008B3B7E">
        <w:rPr>
          <w:rFonts w:ascii="TimesNewRoman" w:hAnsi="TimesNewRoman"/>
          <w:i/>
        </w:rPr>
        <w:t>commercialisation project</w:t>
      </w:r>
      <w:r>
        <w:rPr>
          <w:rFonts w:ascii="TimesNewRoman" w:hAnsi="TimesNewRoman"/>
        </w:rPr>
        <w:t xml:space="preserve"> would:</w:t>
      </w:r>
    </w:p>
    <w:p w:rsidR="00E43A51" w:rsidRDefault="00E43A51" w:rsidP="00E43A51">
      <w:pPr>
        <w:numPr>
          <w:ilvl w:val="0"/>
          <w:numId w:val="4"/>
        </w:numPr>
        <w:tabs>
          <w:tab w:val="clear" w:pos="2160"/>
          <w:tab w:val="left" w:pos="600"/>
          <w:tab w:val="num" w:pos="1440"/>
          <w:tab w:val="left" w:pos="1985"/>
        </w:tabs>
        <w:spacing w:before="120" w:after="120"/>
        <w:ind w:left="1985" w:hanging="545"/>
        <w:rPr>
          <w:rFonts w:ascii="TimesNewRoman" w:hAnsi="TimesNewRoman"/>
        </w:rPr>
      </w:pPr>
      <w:r>
        <w:rPr>
          <w:rFonts w:ascii="TimesNewRoman" w:hAnsi="TimesNewRoman"/>
        </w:rPr>
        <w:lastRenderedPageBreak/>
        <w:t xml:space="preserve">significantly improve the outcomes of the </w:t>
      </w:r>
      <w:r w:rsidRPr="008B3B7E">
        <w:rPr>
          <w:rFonts w:ascii="TimesNewRoman" w:hAnsi="TimesNewRoman"/>
          <w:i/>
        </w:rPr>
        <w:t>commercialisation project</w:t>
      </w:r>
    </w:p>
    <w:p w:rsidR="00E43A51" w:rsidRDefault="00E43A51" w:rsidP="00E43A51">
      <w:pPr>
        <w:tabs>
          <w:tab w:val="left" w:pos="600"/>
          <w:tab w:val="num" w:pos="1440"/>
          <w:tab w:val="left" w:pos="2040"/>
        </w:tabs>
        <w:spacing w:before="120" w:after="120"/>
        <w:ind w:left="2040" w:hanging="600"/>
        <w:rPr>
          <w:rFonts w:ascii="TimesNewRoman" w:hAnsi="TimesNewRoman"/>
          <w:i/>
        </w:rPr>
      </w:pPr>
      <w:r>
        <w:rPr>
          <w:rFonts w:ascii="TimesNewRoman" w:hAnsi="TimesNewRoman"/>
        </w:rPr>
        <w:t>(ii)</w:t>
      </w:r>
      <w:r>
        <w:rPr>
          <w:rFonts w:ascii="TimesNewRoman" w:hAnsi="TimesNewRoman"/>
        </w:rPr>
        <w:tab/>
      </w:r>
      <w:proofErr w:type="gramStart"/>
      <w:r>
        <w:rPr>
          <w:rFonts w:ascii="TimesNewRoman" w:hAnsi="TimesNewRoman"/>
        </w:rPr>
        <w:t>be</w:t>
      </w:r>
      <w:proofErr w:type="gramEnd"/>
      <w:r>
        <w:rPr>
          <w:rFonts w:ascii="TimesNewRoman" w:hAnsi="TimesNewRoman"/>
        </w:rPr>
        <w:t xml:space="preserve"> consistent with the policy objective set out in the </w:t>
      </w:r>
      <w:r w:rsidRPr="00417210">
        <w:rPr>
          <w:rFonts w:ascii="TimesNewRoman" w:hAnsi="TimesNewRoman"/>
          <w:i/>
        </w:rPr>
        <w:t>Program</w:t>
      </w:r>
      <w:r>
        <w:rPr>
          <w:rFonts w:ascii="TimesNewRoman" w:hAnsi="TimesNewRoman"/>
          <w:i/>
        </w:rPr>
        <w:t>me</w:t>
      </w:r>
      <w:r w:rsidRPr="00417210">
        <w:rPr>
          <w:rFonts w:ascii="TimesNewRoman" w:hAnsi="TimesNewRoman"/>
          <w:i/>
        </w:rPr>
        <w:t xml:space="preserve"> Guidelines</w:t>
      </w:r>
    </w:p>
    <w:p w:rsidR="00E43A51" w:rsidRPr="00D97B71" w:rsidRDefault="00E43A51" w:rsidP="00E43A51">
      <w:pPr>
        <w:tabs>
          <w:tab w:val="left" w:pos="600"/>
          <w:tab w:val="num" w:pos="1440"/>
          <w:tab w:val="left" w:pos="2040"/>
        </w:tabs>
        <w:spacing w:before="120" w:after="240"/>
        <w:ind w:left="2517" w:hanging="1077"/>
        <w:rPr>
          <w:rFonts w:ascii="TimesNewRoman" w:hAnsi="TimesNewRoman"/>
        </w:rPr>
      </w:pPr>
      <w:r>
        <w:rPr>
          <w:rFonts w:ascii="TimesNewRoman" w:hAnsi="TimesNewRoman"/>
        </w:rPr>
        <w:t>(iii)</w:t>
      </w:r>
      <w:r>
        <w:rPr>
          <w:rFonts w:ascii="TimesNewRoman" w:hAnsi="TimesNewRoman"/>
        </w:rPr>
        <w:tab/>
      </w:r>
      <w:proofErr w:type="gramStart"/>
      <w:r>
        <w:rPr>
          <w:rFonts w:ascii="TimesNewRoman" w:hAnsi="TimesNewRoman"/>
        </w:rPr>
        <w:t>otherwise</w:t>
      </w:r>
      <w:proofErr w:type="gramEnd"/>
      <w:r>
        <w:rPr>
          <w:rFonts w:ascii="TimesNewRoman" w:hAnsi="TimesNewRoman"/>
        </w:rPr>
        <w:t xml:space="preserve"> be appropriate in all the circumstances.</w:t>
      </w:r>
    </w:p>
    <w:p w:rsidR="00E43A51" w:rsidRPr="00F82989" w:rsidRDefault="00E43A51" w:rsidP="00E43A51">
      <w:pPr>
        <w:spacing w:before="360" w:after="240"/>
        <w:rPr>
          <w:b/>
        </w:rPr>
      </w:pPr>
      <w:r w:rsidRPr="00F82989">
        <w:rPr>
          <w:b/>
        </w:rPr>
        <w:t xml:space="preserve">PART </w:t>
      </w:r>
      <w:r>
        <w:rPr>
          <w:b/>
        </w:rPr>
        <w:t>4</w:t>
      </w:r>
      <w:r w:rsidRPr="00F82989">
        <w:rPr>
          <w:b/>
        </w:rPr>
        <w:t xml:space="preserve"> – BOARD TO PROVIDE ADVICE ON POLICIES AND OPERATIONS OF THE PROGRAM</w:t>
      </w:r>
      <w:r>
        <w:rPr>
          <w:b/>
        </w:rPr>
        <w:t>ME</w:t>
      </w:r>
      <w:r w:rsidRPr="00F82989">
        <w:rPr>
          <w:b/>
        </w:rPr>
        <w:t xml:space="preserve"> </w:t>
      </w:r>
    </w:p>
    <w:p w:rsidR="00E43A51" w:rsidRDefault="00E43A51" w:rsidP="00E43A51">
      <w:pPr>
        <w:numPr>
          <w:ilvl w:val="0"/>
          <w:numId w:val="3"/>
        </w:numPr>
        <w:tabs>
          <w:tab w:val="clear" w:pos="720"/>
          <w:tab w:val="num" w:pos="567"/>
        </w:tabs>
        <w:spacing w:after="240"/>
        <w:ind w:left="567" w:hanging="567"/>
        <w:rPr>
          <w:rFonts w:ascii="TimesNewRoman" w:hAnsi="TimesNewRoman"/>
        </w:rPr>
      </w:pPr>
      <w:r>
        <w:rPr>
          <w:rFonts w:ascii="TimesNewRoman" w:hAnsi="TimesNewRoman"/>
        </w:rPr>
        <w:t xml:space="preserve">The </w:t>
      </w:r>
      <w:r w:rsidRPr="00A02F6D">
        <w:rPr>
          <w:rFonts w:ascii="TimesNewRoman" w:hAnsi="TimesNewRoman"/>
          <w:i/>
        </w:rPr>
        <w:t>Minister</w:t>
      </w:r>
      <w:r>
        <w:rPr>
          <w:rFonts w:ascii="TimesNewRoman" w:hAnsi="TimesNewRoman"/>
        </w:rPr>
        <w:t xml:space="preserve"> may request advice, on non-financial administration matters relating to </w:t>
      </w:r>
      <w:r w:rsidRPr="008B3B7E">
        <w:rPr>
          <w:i/>
        </w:rPr>
        <w:t>Accelerating Commercialisation</w:t>
      </w:r>
      <w:r>
        <w:rPr>
          <w:i/>
        </w:rPr>
        <w:t>.</w:t>
      </w:r>
    </w:p>
    <w:p w:rsidR="00E43A51" w:rsidRPr="00F36380" w:rsidRDefault="00E43A51" w:rsidP="00E43A51">
      <w:pPr>
        <w:numPr>
          <w:ilvl w:val="0"/>
          <w:numId w:val="3"/>
        </w:numPr>
        <w:tabs>
          <w:tab w:val="clear" w:pos="720"/>
          <w:tab w:val="left" w:pos="567"/>
        </w:tabs>
        <w:spacing w:after="240"/>
        <w:ind w:left="567" w:hanging="567"/>
      </w:pPr>
      <w:r>
        <w:rPr>
          <w:rFonts w:ascii="TimesNewRoman" w:hAnsi="TimesNewRoman"/>
        </w:rPr>
        <w:t xml:space="preserve">The </w:t>
      </w:r>
      <w:r w:rsidRPr="00DE2729">
        <w:rPr>
          <w:rFonts w:ascii="TimesNewRoman" w:hAnsi="TimesNewRoman"/>
          <w:i/>
        </w:rPr>
        <w:t>Minister</w:t>
      </w:r>
      <w:r>
        <w:rPr>
          <w:rFonts w:ascii="TimesNewRoman" w:hAnsi="TimesNewRoman"/>
        </w:rPr>
        <w:t xml:space="preserve"> may request advice on the performance of </w:t>
      </w:r>
      <w:r>
        <w:rPr>
          <w:i/>
        </w:rPr>
        <w:t>Accelerating Commercialisation</w:t>
      </w:r>
      <w:r>
        <w:rPr>
          <w:rFonts w:ascii="TimesNewRoman" w:hAnsi="TimesNewRoman"/>
        </w:rPr>
        <w:t xml:space="preserve">, and the Board will cooperate with any independent evaluation of the </w:t>
      </w:r>
      <w:r w:rsidRPr="002128CA">
        <w:rPr>
          <w:rFonts w:ascii="TimesNewRoman" w:hAnsi="TimesNewRoman"/>
        </w:rPr>
        <w:t>program</w:t>
      </w:r>
      <w:r>
        <w:rPr>
          <w:rFonts w:ascii="TimesNewRoman" w:hAnsi="TimesNewRoman"/>
        </w:rPr>
        <w:t>me.</w:t>
      </w:r>
    </w:p>
    <w:p w:rsidR="00E43A51" w:rsidRPr="00424B97" w:rsidRDefault="00E43A51" w:rsidP="00424B97"/>
    <w:sectPr w:rsidR="00E43A51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AD" w:rsidRDefault="00E872AD" w:rsidP="003A707F">
      <w:r>
        <w:separator/>
      </w:r>
    </w:p>
  </w:endnote>
  <w:endnote w:type="continuationSeparator" w:id="0">
    <w:p w:rsidR="00E872AD" w:rsidRDefault="00E872AD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AD" w:rsidRDefault="00E872AD" w:rsidP="003A707F">
      <w:r>
        <w:separator/>
      </w:r>
    </w:p>
  </w:footnote>
  <w:footnote w:type="continuationSeparator" w:id="0">
    <w:p w:rsidR="00E872AD" w:rsidRDefault="00E872AD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9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0" w:name="GazNo"/>
          <w:bookmarkEnd w:id="30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29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342"/>
    <w:multiLevelType w:val="hybridMultilevel"/>
    <w:tmpl w:val="9F400CB0"/>
    <w:lvl w:ilvl="0" w:tplc="FFFFFFFF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08138C9"/>
    <w:multiLevelType w:val="hybridMultilevel"/>
    <w:tmpl w:val="C712A148"/>
    <w:lvl w:ilvl="0" w:tplc="44A26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3643E"/>
    <w:multiLevelType w:val="hybridMultilevel"/>
    <w:tmpl w:val="4D68DEEE"/>
    <w:lvl w:ilvl="0" w:tplc="C1A8CEE8">
      <w:start w:val="9"/>
      <w:numFmt w:val="lowerLetter"/>
      <w:lvlText w:val="(%1)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">
    <w:nsid w:val="6CC04ECE"/>
    <w:multiLevelType w:val="hybridMultilevel"/>
    <w:tmpl w:val="BC94EC0E"/>
    <w:lvl w:ilvl="0" w:tplc="0C09000F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51B9D"/>
    <w:rsid w:val="00280BCD"/>
    <w:rsid w:val="003A707F"/>
    <w:rsid w:val="003B0EC1"/>
    <w:rsid w:val="003B573B"/>
    <w:rsid w:val="003F2CBD"/>
    <w:rsid w:val="00424B97"/>
    <w:rsid w:val="00442128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E43A51"/>
    <w:rsid w:val="00E872A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BodyText21">
    <w:name w:val="Body Text 21"/>
    <w:basedOn w:val="Normal"/>
    <w:rsid w:val="00E43A51"/>
    <w:pPr>
      <w:widowControl w:val="0"/>
      <w:tabs>
        <w:tab w:val="left" w:pos="2694"/>
      </w:tabs>
      <w:spacing w:after="240"/>
      <w:ind w:left="709"/>
    </w:pPr>
    <w:rPr>
      <w:sz w:val="23"/>
      <w:szCs w:val="23"/>
    </w:rPr>
  </w:style>
  <w:style w:type="paragraph" w:customStyle="1" w:styleId="Interpretation">
    <w:name w:val="Interpretation"/>
    <w:basedOn w:val="Normal"/>
    <w:rsid w:val="00E43A51"/>
    <w:pPr>
      <w:spacing w:after="240" w:line="320" w:lineRule="atLeast"/>
      <w:ind w:left="567"/>
    </w:pPr>
    <w:rPr>
      <w:rFonts w:eastAsia="Times New Roman"/>
      <w:szCs w:val="20"/>
    </w:rPr>
  </w:style>
  <w:style w:type="character" w:styleId="Emphasis">
    <w:name w:val="Emphasis"/>
    <w:uiPriority w:val="20"/>
    <w:qFormat/>
    <w:rsid w:val="00E43A51"/>
    <w:rPr>
      <w:i/>
    </w:rPr>
  </w:style>
  <w:style w:type="character" w:customStyle="1" w:styleId="Glossaryterm">
    <w:name w:val="Glossary: term"/>
    <w:uiPriority w:val="1"/>
    <w:qFormat/>
    <w:rsid w:val="00E43A51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BodyText21">
    <w:name w:val="Body Text 21"/>
    <w:basedOn w:val="Normal"/>
    <w:rsid w:val="00E43A51"/>
    <w:pPr>
      <w:widowControl w:val="0"/>
      <w:tabs>
        <w:tab w:val="left" w:pos="2694"/>
      </w:tabs>
      <w:spacing w:after="240"/>
      <w:ind w:left="709"/>
    </w:pPr>
    <w:rPr>
      <w:sz w:val="23"/>
      <w:szCs w:val="23"/>
    </w:rPr>
  </w:style>
  <w:style w:type="paragraph" w:customStyle="1" w:styleId="Interpretation">
    <w:name w:val="Interpretation"/>
    <w:basedOn w:val="Normal"/>
    <w:rsid w:val="00E43A51"/>
    <w:pPr>
      <w:spacing w:after="240" w:line="320" w:lineRule="atLeast"/>
      <w:ind w:left="567"/>
    </w:pPr>
    <w:rPr>
      <w:rFonts w:eastAsia="Times New Roman"/>
      <w:szCs w:val="20"/>
    </w:rPr>
  </w:style>
  <w:style w:type="character" w:styleId="Emphasis">
    <w:name w:val="Emphasis"/>
    <w:uiPriority w:val="20"/>
    <w:qFormat/>
    <w:rsid w:val="00E43A51"/>
    <w:rPr>
      <w:i/>
    </w:rPr>
  </w:style>
  <w:style w:type="character" w:customStyle="1" w:styleId="Glossaryterm">
    <w:name w:val="Glossary: term"/>
    <w:uiPriority w:val="1"/>
    <w:qFormat/>
    <w:rsid w:val="00E43A5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4DEE-7DE6-4479-92DA-EA3A6C90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Smith, Wendy</cp:lastModifiedBy>
  <cp:revision>3</cp:revision>
  <cp:lastPrinted>2013-06-24T01:35:00Z</cp:lastPrinted>
  <dcterms:created xsi:type="dcterms:W3CDTF">2015-06-25T09:55:00Z</dcterms:created>
  <dcterms:modified xsi:type="dcterms:W3CDTF">2015-06-30T01:21:00Z</dcterms:modified>
</cp:coreProperties>
</file>