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CE" w:rsidRDefault="00A677CE" w:rsidP="00A677C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677CE" w:rsidRPr="00A677CE" w:rsidRDefault="00A677CE" w:rsidP="00A677C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677CE">
        <w:rPr>
          <w:rFonts w:ascii="Arial" w:eastAsia="Times New Roman" w:hAnsi="Arial" w:cs="Arial"/>
          <w:b/>
          <w:sz w:val="28"/>
          <w:szCs w:val="28"/>
        </w:rPr>
        <w:t>PARTICULARS OF PERMISSIONS GRANTED, REFUSED, SUSPENDED, REINSTATED, REVOKED OR RECONSIDERED FOR THE PERIOD 1.0</w:t>
      </w:r>
      <w:r w:rsidR="001A4676">
        <w:rPr>
          <w:rFonts w:ascii="Arial" w:eastAsia="Times New Roman" w:hAnsi="Arial" w:cs="Arial"/>
          <w:b/>
          <w:sz w:val="28"/>
          <w:szCs w:val="28"/>
        </w:rPr>
        <w:t>6</w:t>
      </w:r>
      <w:r w:rsidRPr="00A677CE">
        <w:rPr>
          <w:rFonts w:ascii="Arial" w:eastAsia="Times New Roman" w:hAnsi="Arial" w:cs="Arial"/>
          <w:b/>
          <w:sz w:val="28"/>
          <w:szCs w:val="28"/>
        </w:rPr>
        <w:t>.1</w:t>
      </w:r>
      <w:r w:rsidR="001A4676">
        <w:rPr>
          <w:rFonts w:ascii="Arial" w:eastAsia="Times New Roman" w:hAnsi="Arial" w:cs="Arial"/>
          <w:b/>
          <w:sz w:val="28"/>
          <w:szCs w:val="28"/>
        </w:rPr>
        <w:t>5</w:t>
      </w:r>
      <w:r w:rsidRPr="00A677CE">
        <w:rPr>
          <w:rFonts w:ascii="Arial" w:eastAsia="Times New Roman" w:hAnsi="Arial" w:cs="Arial"/>
          <w:b/>
          <w:sz w:val="28"/>
          <w:szCs w:val="28"/>
        </w:rPr>
        <w:t xml:space="preserve"> TO </w:t>
      </w:r>
      <w:r w:rsidR="001A4676">
        <w:rPr>
          <w:rFonts w:ascii="Arial" w:eastAsia="Times New Roman" w:hAnsi="Arial" w:cs="Arial"/>
          <w:b/>
          <w:sz w:val="28"/>
          <w:szCs w:val="28"/>
        </w:rPr>
        <w:t>30</w:t>
      </w:r>
      <w:r w:rsidRPr="00A677CE">
        <w:rPr>
          <w:rFonts w:ascii="Arial" w:eastAsia="Times New Roman" w:hAnsi="Arial" w:cs="Arial"/>
          <w:b/>
          <w:sz w:val="28"/>
          <w:szCs w:val="28"/>
        </w:rPr>
        <w:t>.0</w:t>
      </w:r>
      <w:r w:rsidR="001A4676">
        <w:rPr>
          <w:rFonts w:ascii="Arial" w:eastAsia="Times New Roman" w:hAnsi="Arial" w:cs="Arial"/>
          <w:b/>
          <w:sz w:val="28"/>
          <w:szCs w:val="28"/>
        </w:rPr>
        <w:t>6</w:t>
      </w:r>
      <w:r w:rsidRPr="00A677CE">
        <w:rPr>
          <w:rFonts w:ascii="Arial" w:eastAsia="Times New Roman" w:hAnsi="Arial" w:cs="Arial"/>
          <w:b/>
          <w:sz w:val="28"/>
          <w:szCs w:val="28"/>
        </w:rPr>
        <w:t>.1</w:t>
      </w:r>
      <w:r w:rsidR="001A4676">
        <w:rPr>
          <w:rFonts w:ascii="Arial" w:eastAsia="Times New Roman" w:hAnsi="Arial" w:cs="Arial"/>
          <w:b/>
          <w:sz w:val="28"/>
          <w:szCs w:val="28"/>
        </w:rPr>
        <w:t>5</w:t>
      </w:r>
      <w:r w:rsidRPr="00A677CE">
        <w:rPr>
          <w:rFonts w:ascii="Arial" w:eastAsia="Times New Roman" w:hAnsi="Arial" w:cs="Arial"/>
          <w:b/>
          <w:sz w:val="28"/>
          <w:szCs w:val="28"/>
        </w:rPr>
        <w:t xml:space="preserve"> AND NOT PREVIOUSLY PUBLISHED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:rsidR="00A677CE" w:rsidRDefault="00A677CE" w:rsidP="00A677C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:rsidR="00A677CE" w:rsidRDefault="00A677CE" w:rsidP="00A677C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:rsidR="00A677CE" w:rsidRPr="00A677CE" w:rsidRDefault="00A677CE" w:rsidP="00A677C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4"/>
        </w:rPr>
      </w:pPr>
      <w:r w:rsidRPr="00A677CE">
        <w:rPr>
          <w:rFonts w:ascii="Arial" w:eastAsia="Times New Roman" w:hAnsi="Arial" w:cs="Arial"/>
          <w:sz w:val="18"/>
          <w:szCs w:val="24"/>
        </w:rPr>
        <w:t>Great Barrier Reef Marine Park Act 1975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:rsidR="00A677CE" w:rsidRPr="00A677CE" w:rsidRDefault="00A677CE" w:rsidP="00A677CE">
      <w:pPr>
        <w:autoSpaceDE w:val="0"/>
        <w:autoSpaceDN w:val="0"/>
        <w:spacing w:after="0" w:line="240" w:lineRule="exact"/>
        <w:rPr>
          <w:rFonts w:ascii="Arial" w:eastAsia="Times New Roman" w:hAnsi="Arial" w:cs="Arial"/>
          <w:sz w:val="18"/>
          <w:szCs w:val="24"/>
        </w:rPr>
      </w:pPr>
      <w:r w:rsidRPr="00A677CE">
        <w:rPr>
          <w:rFonts w:ascii="Arial" w:eastAsia="Times New Roman" w:hAnsi="Arial" w:cs="Arial"/>
          <w:b/>
          <w:sz w:val="18"/>
          <w:szCs w:val="24"/>
          <w:u w:val="single"/>
        </w:rPr>
        <w:t>DETAILS OF PERMITS</w:t>
      </w:r>
    </w:p>
    <w:p w:rsidR="00A677CE" w:rsidRPr="00A677CE" w:rsidRDefault="00A677CE" w:rsidP="00A677CE">
      <w:pPr>
        <w:autoSpaceDE w:val="0"/>
        <w:autoSpaceDN w:val="0"/>
        <w:spacing w:after="0" w:line="240" w:lineRule="exact"/>
        <w:rPr>
          <w:rFonts w:ascii="Arial" w:eastAsia="Times New Roman" w:hAnsi="Arial" w:cs="Arial"/>
          <w:sz w:val="18"/>
          <w:szCs w:val="24"/>
        </w:rPr>
      </w:pPr>
      <w:r w:rsidRPr="00A677CE">
        <w:rPr>
          <w:rFonts w:ascii="Arial" w:eastAsia="Times New Roman" w:hAnsi="Arial" w:cs="Arial"/>
          <w:sz w:val="18"/>
          <w:szCs w:val="24"/>
        </w:rPr>
        <w:t>The following decisions have been assessed according to the relevant Acts, Regulatio</w:t>
      </w:r>
      <w:r w:rsidR="001A4676">
        <w:rPr>
          <w:rFonts w:ascii="Arial" w:eastAsia="Times New Roman" w:hAnsi="Arial" w:cs="Arial"/>
          <w:sz w:val="18"/>
          <w:szCs w:val="24"/>
        </w:rPr>
        <w:t>ns and Zoning Plans with permissions</w:t>
      </w:r>
      <w:r w:rsidRPr="00A677CE">
        <w:rPr>
          <w:rFonts w:ascii="Arial" w:eastAsia="Times New Roman" w:hAnsi="Arial" w:cs="Arial"/>
          <w:sz w:val="18"/>
          <w:szCs w:val="24"/>
        </w:rPr>
        <w:t xml:space="preserve"> and applications being granted, refused, or revoked.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:rsidR="00A677CE" w:rsidRPr="00A677CE" w:rsidRDefault="00A677CE" w:rsidP="00A677CE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A677CE">
        <w:rPr>
          <w:rFonts w:ascii="Arial" w:eastAsia="Times New Roman" w:hAnsi="Arial" w:cs="Arial"/>
          <w:sz w:val="18"/>
          <w:szCs w:val="20"/>
        </w:rPr>
        <w:t>PARTICULARS OF PERMISSIONS GRANTED, REFUSED, SUSPENDED, REINSTATED, REVOKED OR R</w:t>
      </w:r>
      <w:r w:rsidR="001A4676">
        <w:rPr>
          <w:rFonts w:ascii="Arial" w:eastAsia="Times New Roman" w:hAnsi="Arial" w:cs="Arial"/>
          <w:sz w:val="18"/>
          <w:szCs w:val="20"/>
        </w:rPr>
        <w:t>ECONSIDERED FOR THE PERIOD 1-JUN</w:t>
      </w:r>
      <w:r w:rsidRPr="00A677CE">
        <w:rPr>
          <w:rFonts w:ascii="Arial" w:eastAsia="Times New Roman" w:hAnsi="Arial" w:cs="Arial"/>
          <w:sz w:val="18"/>
          <w:szCs w:val="20"/>
        </w:rPr>
        <w:t>-1</w:t>
      </w:r>
      <w:r w:rsidR="001A4676">
        <w:rPr>
          <w:rFonts w:ascii="Arial" w:eastAsia="Times New Roman" w:hAnsi="Arial" w:cs="Arial"/>
          <w:sz w:val="18"/>
          <w:szCs w:val="20"/>
        </w:rPr>
        <w:t>5</w:t>
      </w:r>
      <w:r w:rsidRPr="00A677CE">
        <w:rPr>
          <w:rFonts w:ascii="Arial" w:eastAsia="Times New Roman" w:hAnsi="Arial" w:cs="Arial"/>
          <w:sz w:val="18"/>
          <w:szCs w:val="20"/>
        </w:rPr>
        <w:t xml:space="preserve"> TO 3</w:t>
      </w:r>
      <w:r w:rsidR="001A4676">
        <w:rPr>
          <w:rFonts w:ascii="Arial" w:eastAsia="Times New Roman" w:hAnsi="Arial" w:cs="Arial"/>
          <w:sz w:val="18"/>
          <w:szCs w:val="20"/>
        </w:rPr>
        <w:t>0</w:t>
      </w:r>
      <w:r w:rsidRPr="00A677CE">
        <w:rPr>
          <w:rFonts w:ascii="Arial" w:eastAsia="Times New Roman" w:hAnsi="Arial" w:cs="Arial"/>
          <w:sz w:val="18"/>
          <w:szCs w:val="20"/>
        </w:rPr>
        <w:t>-J</w:t>
      </w:r>
      <w:r w:rsidR="001A4676">
        <w:rPr>
          <w:rFonts w:ascii="Arial" w:eastAsia="Times New Roman" w:hAnsi="Arial" w:cs="Arial"/>
          <w:sz w:val="18"/>
          <w:szCs w:val="20"/>
        </w:rPr>
        <w:t>UN</w:t>
      </w:r>
      <w:r w:rsidRPr="00A677CE">
        <w:rPr>
          <w:rFonts w:ascii="Arial" w:eastAsia="Times New Roman" w:hAnsi="Arial" w:cs="Arial"/>
          <w:sz w:val="18"/>
          <w:szCs w:val="20"/>
        </w:rPr>
        <w:t>-1</w:t>
      </w:r>
      <w:r w:rsidR="001A4676">
        <w:rPr>
          <w:rFonts w:ascii="Arial" w:eastAsia="Times New Roman" w:hAnsi="Arial" w:cs="Arial"/>
          <w:sz w:val="18"/>
          <w:szCs w:val="20"/>
        </w:rPr>
        <w:t>5</w:t>
      </w:r>
      <w:r w:rsidRPr="00A677CE">
        <w:rPr>
          <w:rFonts w:ascii="Arial" w:eastAsia="Times New Roman" w:hAnsi="Arial" w:cs="Arial"/>
          <w:sz w:val="18"/>
          <w:szCs w:val="20"/>
        </w:rPr>
        <w:t xml:space="preserve"> AND NOT PREVIOUSLY PUBLISHED.  I, RUSSELL REICHELT, delegate of the Great Barrier Reef Marine Park Authority pursuant to </w:t>
      </w:r>
      <w:proofErr w:type="spellStart"/>
      <w:r w:rsidRPr="00A677CE">
        <w:rPr>
          <w:rFonts w:ascii="Arial" w:eastAsia="Times New Roman" w:hAnsi="Arial" w:cs="Arial"/>
          <w:sz w:val="18"/>
          <w:szCs w:val="20"/>
        </w:rPr>
        <w:t>Subregulation</w:t>
      </w:r>
      <w:proofErr w:type="spellEnd"/>
      <w:r w:rsidRPr="00A677CE">
        <w:rPr>
          <w:rFonts w:ascii="Arial" w:eastAsia="Times New Roman" w:hAnsi="Arial" w:cs="Arial"/>
          <w:sz w:val="18"/>
          <w:szCs w:val="20"/>
        </w:rPr>
        <w:t xml:space="preserve"> 183(1) of the Great Barrier Reef Marine Park Regulations, provide the </w:t>
      </w:r>
      <w:r w:rsidR="001A4676">
        <w:rPr>
          <w:rFonts w:ascii="Arial" w:eastAsia="Times New Roman" w:hAnsi="Arial" w:cs="Arial"/>
          <w:sz w:val="18"/>
          <w:szCs w:val="20"/>
        </w:rPr>
        <w:t>following particulars of permissions</w:t>
      </w:r>
      <w:r w:rsidRPr="00A677CE">
        <w:rPr>
          <w:rFonts w:ascii="Arial" w:eastAsia="Times New Roman" w:hAnsi="Arial" w:cs="Arial"/>
          <w:sz w:val="18"/>
          <w:szCs w:val="20"/>
        </w:rPr>
        <w:t xml:space="preserve"> granted, suspended, reinstated or revoked and of applications refused during the period specified above.</w:t>
      </w:r>
    </w:p>
    <w:p w:rsidR="00A677CE" w:rsidRPr="00A677CE" w:rsidRDefault="00A677CE" w:rsidP="00A677CE">
      <w:pPr>
        <w:keepNext/>
        <w:spacing w:after="0" w:line="240" w:lineRule="auto"/>
        <w:outlineLvl w:val="1"/>
        <w:rPr>
          <w:rFonts w:ascii="Arial" w:eastAsia="MS Mincho" w:hAnsi="Arial" w:cs="Arial"/>
          <w:b/>
          <w:bCs/>
          <w:sz w:val="18"/>
          <w:szCs w:val="20"/>
        </w:rPr>
      </w:pPr>
    </w:p>
    <w:p w:rsidR="00A677CE" w:rsidRPr="00A677CE" w:rsidRDefault="001A4676" w:rsidP="00A677CE">
      <w:pPr>
        <w:autoSpaceDE w:val="0"/>
        <w:autoSpaceDN w:val="0"/>
        <w:spacing w:after="0" w:line="240" w:lineRule="exact"/>
        <w:rPr>
          <w:rFonts w:ascii="Arial" w:eastAsia="Times New Roman" w:hAnsi="Arial" w:cs="Arial"/>
          <w:b/>
          <w:sz w:val="18"/>
          <w:szCs w:val="24"/>
        </w:rPr>
      </w:pPr>
      <w:r>
        <w:rPr>
          <w:rFonts w:ascii="Arial" w:eastAsia="Times New Roman" w:hAnsi="Arial" w:cs="Arial"/>
          <w:b/>
          <w:sz w:val="18"/>
          <w:szCs w:val="24"/>
        </w:rPr>
        <w:t>DETAILS OF PERMISSIONS</w:t>
      </w:r>
      <w:r w:rsidR="00910E3C">
        <w:rPr>
          <w:rFonts w:ascii="Arial" w:eastAsia="Times New Roman" w:hAnsi="Arial" w:cs="Arial"/>
          <w:b/>
          <w:sz w:val="18"/>
          <w:szCs w:val="24"/>
        </w:rPr>
        <w:t xml:space="preserve"> GRANTED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9515" w:type="dxa"/>
        <w:jc w:val="center"/>
        <w:tblInd w:w="21" w:type="dxa"/>
        <w:tblLayout w:type="fixed"/>
        <w:tblLook w:val="04A0" w:firstRow="1" w:lastRow="0" w:firstColumn="1" w:lastColumn="0" w:noHBand="0" w:noVBand="1"/>
      </w:tblPr>
      <w:tblGrid>
        <w:gridCol w:w="1860"/>
        <w:gridCol w:w="1134"/>
        <w:gridCol w:w="1134"/>
        <w:gridCol w:w="1134"/>
        <w:gridCol w:w="1380"/>
        <w:gridCol w:w="2873"/>
      </w:tblGrid>
      <w:tr w:rsidR="00910E3C" w:rsidRPr="00A677CE" w:rsidTr="001A4676">
        <w:trPr>
          <w:trHeight w:val="300"/>
          <w:jc w:val="center"/>
        </w:trPr>
        <w:tc>
          <w:tcPr>
            <w:tcW w:w="186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0E3C" w:rsidRPr="00A677CE" w:rsidRDefault="00910E3C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67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Name/Organisation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0E3C" w:rsidRPr="00A677CE" w:rsidRDefault="00910E3C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Permit</w:t>
            </w:r>
            <w:r w:rsidRPr="00A67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Number</w:t>
            </w:r>
          </w:p>
        </w:tc>
        <w:tc>
          <w:tcPr>
            <w:tcW w:w="1134" w:type="dxa"/>
          </w:tcPr>
          <w:p w:rsidR="00910E3C" w:rsidRPr="00A677CE" w:rsidRDefault="00910E3C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Valid From</w:t>
            </w:r>
          </w:p>
        </w:tc>
        <w:tc>
          <w:tcPr>
            <w:tcW w:w="1134" w:type="dxa"/>
          </w:tcPr>
          <w:p w:rsidR="00910E3C" w:rsidRPr="00A677CE" w:rsidRDefault="00910E3C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Valid To</w:t>
            </w:r>
          </w:p>
        </w:tc>
        <w:tc>
          <w:tcPr>
            <w:tcW w:w="1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0E3C" w:rsidRPr="00A677CE" w:rsidRDefault="00910E3C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67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Section</w:t>
            </w:r>
          </w:p>
        </w:tc>
        <w:tc>
          <w:tcPr>
            <w:tcW w:w="287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0E3C" w:rsidRPr="00A677CE" w:rsidRDefault="001A4676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Permission</w:t>
            </w:r>
            <w:r w:rsidR="00910E3C" w:rsidRPr="00A677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Type</w:t>
            </w:r>
          </w:p>
        </w:tc>
      </w:tr>
      <w:tr w:rsidR="00910E3C" w:rsidRPr="00A677CE" w:rsidTr="001A4676">
        <w:trPr>
          <w:trHeight w:val="953"/>
          <w:jc w:val="center"/>
        </w:trPr>
        <w:tc>
          <w:tcPr>
            <w:tcW w:w="186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3C" w:rsidRPr="00910E3C" w:rsidRDefault="001A4676" w:rsidP="00910E3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1B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THE UNIVERSITY OF QUEENSLAND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3C" w:rsidRPr="00910E3C" w:rsidRDefault="001A4676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7641B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G15/33290.1</w:t>
            </w:r>
          </w:p>
        </w:tc>
        <w:tc>
          <w:tcPr>
            <w:tcW w:w="1134" w:type="dxa"/>
          </w:tcPr>
          <w:p w:rsidR="00910E3C" w:rsidRPr="00910E3C" w:rsidRDefault="001A4676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41B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24-Jun-15</w:t>
            </w:r>
          </w:p>
        </w:tc>
        <w:tc>
          <w:tcPr>
            <w:tcW w:w="1134" w:type="dxa"/>
          </w:tcPr>
          <w:p w:rsidR="00910E3C" w:rsidRPr="00910E3C" w:rsidRDefault="001A4676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41B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30-Jun-30</w:t>
            </w:r>
          </w:p>
        </w:tc>
        <w:tc>
          <w:tcPr>
            <w:tcW w:w="1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3C" w:rsidRPr="00910E3C" w:rsidRDefault="00910E3C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910E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Amalgamated Great Barrier Reef</w:t>
            </w:r>
          </w:p>
        </w:tc>
        <w:tc>
          <w:tcPr>
            <w:tcW w:w="287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3C" w:rsidRPr="00910E3C" w:rsidRDefault="001A4676" w:rsidP="001C33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7641B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Conducting a research station vessel operation                                                          Conducting a vessel charter operation                        Conducting an educational program                                       Conducting an educational program for less than six persons                                                                                  Operating a facility                                                          Operating a mooring facility</w:t>
            </w:r>
          </w:p>
        </w:tc>
      </w:tr>
    </w:tbl>
    <w:p w:rsidR="00A677CE" w:rsidRPr="00A677CE" w:rsidRDefault="00A677CE" w:rsidP="00A677CE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A677CE" w:rsidRDefault="00A677CE" w:rsidP="00A677C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A4676" w:rsidRPr="00A677CE" w:rsidRDefault="001A4676" w:rsidP="00A677C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677CE" w:rsidRPr="00A677CE" w:rsidRDefault="00A677CE" w:rsidP="00A677C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677CE">
        <w:rPr>
          <w:rFonts w:ascii="Arial" w:eastAsia="Times New Roman" w:hAnsi="Arial" w:cs="Arial"/>
          <w:b/>
          <w:sz w:val="28"/>
          <w:szCs w:val="28"/>
        </w:rPr>
        <w:t>REVIEW PROCEDURES &amp; RIGHTS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677CE">
        <w:rPr>
          <w:rFonts w:ascii="Arial" w:eastAsia="Times New Roman" w:hAnsi="Arial" w:cs="Arial"/>
          <w:sz w:val="24"/>
          <w:szCs w:val="24"/>
        </w:rPr>
        <w:t>IF YOU ARE A PERSON AFFECTED BY A DECISION NOTIFIED HEREIN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A677CE">
        <w:rPr>
          <w:rFonts w:ascii="Arial" w:eastAsia="Times New Roman" w:hAnsi="Arial" w:cs="Arial"/>
          <w:sz w:val="20"/>
          <w:szCs w:val="24"/>
        </w:rPr>
        <w:t>YOUR ATTENTION IS DRAWN TO THE FOLLOWING REVIEW PROCEDURES &amp; RIGHTS AVAILABLE TO YOU IN RESPECT OF THESE DECISIONS OF THE AUTHORITY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A677CE" w:rsidRPr="00A677CE" w:rsidRDefault="00A677CE" w:rsidP="00A677CE">
      <w:pPr>
        <w:autoSpaceDE w:val="0"/>
        <w:autoSpaceDN w:val="0"/>
        <w:spacing w:after="0" w:line="240" w:lineRule="auto"/>
        <w:ind w:left="500" w:hanging="500"/>
        <w:rPr>
          <w:rFonts w:ascii="Arial" w:eastAsia="Times New Roman" w:hAnsi="Arial" w:cs="Arial"/>
          <w:sz w:val="20"/>
          <w:szCs w:val="24"/>
        </w:rPr>
      </w:pPr>
      <w:r w:rsidRPr="00A677CE">
        <w:rPr>
          <w:rFonts w:ascii="Arial" w:eastAsia="Times New Roman" w:hAnsi="Arial" w:cs="Arial"/>
          <w:sz w:val="20"/>
          <w:szCs w:val="24"/>
        </w:rPr>
        <w:t>1.</w:t>
      </w:r>
      <w:r w:rsidRPr="00A677CE">
        <w:rPr>
          <w:rFonts w:ascii="Arial" w:eastAsia="Times New Roman" w:hAnsi="Arial" w:cs="Arial"/>
          <w:sz w:val="20"/>
          <w:szCs w:val="24"/>
        </w:rPr>
        <w:tab/>
        <w:t>You have a statutory right to obtain a written statement setting out the reasons for the Authority's decision (if one has not already been supplied).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ind w:left="500" w:hanging="500"/>
        <w:rPr>
          <w:rFonts w:ascii="Arial" w:eastAsia="Times New Roman" w:hAnsi="Arial" w:cs="Arial"/>
          <w:sz w:val="20"/>
          <w:szCs w:val="24"/>
        </w:rPr>
      </w:pPr>
    </w:p>
    <w:p w:rsidR="00A677CE" w:rsidRPr="00A677CE" w:rsidRDefault="00A677CE" w:rsidP="00A677CE">
      <w:pPr>
        <w:autoSpaceDE w:val="0"/>
        <w:autoSpaceDN w:val="0"/>
        <w:spacing w:after="0" w:line="240" w:lineRule="auto"/>
        <w:ind w:left="500" w:hanging="500"/>
        <w:rPr>
          <w:rFonts w:ascii="Arial" w:eastAsia="Times New Roman" w:hAnsi="Arial" w:cs="Arial"/>
          <w:sz w:val="20"/>
          <w:szCs w:val="24"/>
        </w:rPr>
      </w:pPr>
      <w:r w:rsidRPr="00A677CE">
        <w:rPr>
          <w:rFonts w:ascii="Arial" w:eastAsia="Times New Roman" w:hAnsi="Arial" w:cs="Arial"/>
          <w:sz w:val="20"/>
          <w:szCs w:val="24"/>
        </w:rPr>
        <w:t>2.</w:t>
      </w:r>
      <w:r w:rsidRPr="00A677CE">
        <w:rPr>
          <w:rFonts w:ascii="Arial" w:eastAsia="Times New Roman" w:hAnsi="Arial" w:cs="Arial"/>
          <w:sz w:val="20"/>
          <w:szCs w:val="24"/>
        </w:rPr>
        <w:tab/>
        <w:t>The Authority will undertake an internal revi</w:t>
      </w:r>
      <w:bookmarkStart w:id="0" w:name="_GoBack"/>
      <w:bookmarkEnd w:id="0"/>
      <w:r w:rsidRPr="00A677CE">
        <w:rPr>
          <w:rFonts w:ascii="Arial" w:eastAsia="Times New Roman" w:hAnsi="Arial" w:cs="Arial"/>
          <w:sz w:val="20"/>
          <w:szCs w:val="24"/>
        </w:rPr>
        <w:t>ew of the decision only where you have made an application in accordance with point 4 below.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ind w:left="500" w:hanging="500"/>
        <w:rPr>
          <w:rFonts w:ascii="Arial" w:eastAsia="Times New Roman" w:hAnsi="Arial" w:cs="Arial"/>
          <w:sz w:val="20"/>
          <w:szCs w:val="24"/>
        </w:rPr>
      </w:pPr>
    </w:p>
    <w:p w:rsidR="00A677CE" w:rsidRPr="00A677CE" w:rsidRDefault="00A677CE" w:rsidP="00A677CE">
      <w:pPr>
        <w:autoSpaceDE w:val="0"/>
        <w:autoSpaceDN w:val="0"/>
        <w:spacing w:after="0" w:line="240" w:lineRule="auto"/>
        <w:ind w:left="500" w:hanging="500"/>
        <w:rPr>
          <w:rFonts w:ascii="Arial" w:eastAsia="Times New Roman" w:hAnsi="Arial" w:cs="Arial"/>
          <w:sz w:val="20"/>
          <w:szCs w:val="24"/>
        </w:rPr>
      </w:pPr>
      <w:r w:rsidRPr="00A677CE">
        <w:rPr>
          <w:rFonts w:ascii="Arial" w:eastAsia="Times New Roman" w:hAnsi="Arial" w:cs="Arial"/>
          <w:sz w:val="20"/>
          <w:szCs w:val="24"/>
        </w:rPr>
        <w:t>3.</w:t>
      </w:r>
      <w:r w:rsidRPr="00A677CE">
        <w:rPr>
          <w:rFonts w:ascii="Arial" w:eastAsia="Times New Roman" w:hAnsi="Arial" w:cs="Arial"/>
          <w:sz w:val="20"/>
          <w:szCs w:val="24"/>
        </w:rPr>
        <w:tab/>
        <w:t>The person who reviews this decision may uphold or change the initial decision and that initial decision is taken for all purposes not to have been made.</w:t>
      </w:r>
    </w:p>
    <w:p w:rsidR="00A677CE" w:rsidRPr="00A677CE" w:rsidRDefault="00A677CE" w:rsidP="00A677CE">
      <w:pPr>
        <w:autoSpaceDE w:val="0"/>
        <w:autoSpaceDN w:val="0"/>
        <w:spacing w:after="0" w:line="240" w:lineRule="auto"/>
        <w:ind w:left="500" w:hanging="500"/>
        <w:rPr>
          <w:rFonts w:ascii="Arial" w:eastAsia="Times New Roman" w:hAnsi="Arial" w:cs="Arial"/>
          <w:sz w:val="20"/>
          <w:szCs w:val="24"/>
        </w:rPr>
      </w:pPr>
    </w:p>
    <w:p w:rsidR="00A677CE" w:rsidRPr="00A677CE" w:rsidRDefault="00A677CE" w:rsidP="00A677CE">
      <w:pPr>
        <w:autoSpaceDE w:val="0"/>
        <w:autoSpaceDN w:val="0"/>
        <w:spacing w:after="0" w:line="240" w:lineRule="auto"/>
        <w:ind w:left="500" w:hanging="500"/>
        <w:rPr>
          <w:rFonts w:ascii="Arial" w:eastAsia="Times New Roman" w:hAnsi="Arial" w:cs="Arial"/>
          <w:sz w:val="20"/>
          <w:szCs w:val="24"/>
        </w:rPr>
      </w:pPr>
      <w:r w:rsidRPr="00A677CE">
        <w:rPr>
          <w:rFonts w:ascii="Arial" w:eastAsia="Times New Roman" w:hAnsi="Arial" w:cs="Arial"/>
          <w:sz w:val="20"/>
          <w:szCs w:val="24"/>
        </w:rPr>
        <w:t>4.</w:t>
      </w:r>
      <w:r w:rsidRPr="00A677CE">
        <w:rPr>
          <w:rFonts w:ascii="Arial" w:eastAsia="Times New Roman" w:hAnsi="Arial" w:cs="Arial"/>
          <w:sz w:val="20"/>
          <w:szCs w:val="24"/>
        </w:rPr>
        <w:tab/>
        <w:t>An application for review must be made in writing and must comply with the following:</w:t>
      </w:r>
    </w:p>
    <w:p w:rsidR="00A677CE" w:rsidRDefault="00A677CE" w:rsidP="00A677C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A677CE">
        <w:rPr>
          <w:rFonts w:ascii="Arial" w:eastAsia="Times New Roman" w:hAnsi="Arial" w:cs="Arial"/>
          <w:sz w:val="20"/>
          <w:szCs w:val="24"/>
        </w:rPr>
        <w:t xml:space="preserve">Applications must be made within 21 days of the date of publication of details of the decision on the Authority's website; </w:t>
      </w:r>
    </w:p>
    <w:p w:rsidR="00856875" w:rsidRPr="00A677CE" w:rsidRDefault="00A677CE" w:rsidP="00A677C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A677CE">
        <w:rPr>
          <w:rFonts w:ascii="Arial" w:eastAsia="Times New Roman" w:hAnsi="Arial" w:cs="Arial"/>
          <w:sz w:val="20"/>
          <w:szCs w:val="24"/>
        </w:rPr>
        <w:t>Application must be accompanied by a written statement of your reasons for making the request for review (including information concerning why you are a person affected by the decision).</w:t>
      </w:r>
    </w:p>
    <w:p w:rsidR="004B2753" w:rsidRPr="00424B97" w:rsidRDefault="004B2753" w:rsidP="00424B97"/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85687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noProof/>
              <w:lang w:eastAsia="en-AU"/>
            </w:rPr>
            <w:drawing>
              <wp:inline distT="0" distB="0" distL="0" distR="0" wp14:anchorId="173BA73D" wp14:editId="668B9511">
                <wp:extent cx="819150" cy="552450"/>
                <wp:effectExtent l="0" t="0" r="0" b="0"/>
                <wp:docPr id="3" name="Picture 3" descr="PM&amp;C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M&amp;C_inl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17" r="66008" b="21951"/>
                        <a:stretch/>
                      </pic:blipFill>
                      <pic:spPr bwMode="auto">
                        <a:xfrm>
                          <a:off x="0" y="0"/>
                          <a:ext cx="823146" cy="55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D4F5E"/>
    <w:multiLevelType w:val="hybridMultilevel"/>
    <w:tmpl w:val="26D2C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A4676"/>
    <w:rsid w:val="001C2AAD"/>
    <w:rsid w:val="001C3345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26AE8"/>
    <w:rsid w:val="00573D44"/>
    <w:rsid w:val="00840A06"/>
    <w:rsid w:val="008439B7"/>
    <w:rsid w:val="00856875"/>
    <w:rsid w:val="0087253F"/>
    <w:rsid w:val="008E4F6C"/>
    <w:rsid w:val="00910E3C"/>
    <w:rsid w:val="009539C7"/>
    <w:rsid w:val="009E7C1A"/>
    <w:rsid w:val="00A00F21"/>
    <w:rsid w:val="00A2722B"/>
    <w:rsid w:val="00A677CE"/>
    <w:rsid w:val="00B84226"/>
    <w:rsid w:val="00C63C4E"/>
    <w:rsid w:val="00D229E5"/>
    <w:rsid w:val="00D77A88"/>
    <w:rsid w:val="00F40885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67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67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7B9C-5594-4E2F-854E-B2B1FEB2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Holly Cantin</cp:lastModifiedBy>
  <cp:revision>8</cp:revision>
  <cp:lastPrinted>2013-06-24T01:35:00Z</cp:lastPrinted>
  <dcterms:created xsi:type="dcterms:W3CDTF">2013-08-15T03:17:00Z</dcterms:created>
  <dcterms:modified xsi:type="dcterms:W3CDTF">2015-07-14T00:43:00Z</dcterms:modified>
</cp:coreProperties>
</file>