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82A9A" w14:textId="77777777" w:rsidR="001C5292" w:rsidRPr="00A225EC" w:rsidRDefault="001C5292" w:rsidP="001C5292">
      <w:pPr>
        <w:pStyle w:val="Title"/>
        <w:rPr>
          <w:color w:val="000000"/>
        </w:rPr>
      </w:pPr>
      <w:r w:rsidRPr="00A225EC">
        <w:rPr>
          <w:color w:val="000000"/>
        </w:rPr>
        <w:t>COMMONWEALTH OF AUSTRALIA</w:t>
      </w:r>
    </w:p>
    <w:p w14:paraId="3A674A29" w14:textId="77777777" w:rsidR="001C5292" w:rsidRPr="00A225EC" w:rsidRDefault="001C5292" w:rsidP="001C5292">
      <w:pPr>
        <w:jc w:val="center"/>
        <w:rPr>
          <w:b/>
          <w:i/>
          <w:color w:val="000000"/>
        </w:rPr>
      </w:pPr>
      <w:r w:rsidRPr="00A225EC">
        <w:rPr>
          <w:b/>
          <w:i/>
          <w:color w:val="000000"/>
        </w:rPr>
        <w:t>Foreign Acquisitions and Takeovers Act 1975</w:t>
      </w:r>
    </w:p>
    <w:p w14:paraId="2794D63F" w14:textId="77777777" w:rsidR="001C5292" w:rsidRPr="00A225EC" w:rsidRDefault="001C5292" w:rsidP="001C5292">
      <w:pPr>
        <w:jc w:val="center"/>
        <w:rPr>
          <w:b/>
          <w:color w:val="000000"/>
        </w:rPr>
      </w:pPr>
      <w:r w:rsidRPr="00A225EC">
        <w:rPr>
          <w:b/>
          <w:color w:val="000000"/>
        </w:rPr>
        <w:t>ORDER UNDER SUBSECTION 22(1)</w:t>
      </w:r>
    </w:p>
    <w:p w14:paraId="13EBF014" w14:textId="77777777" w:rsidR="001C5292" w:rsidRPr="00A225EC" w:rsidRDefault="001C5292" w:rsidP="001C5292">
      <w:pPr>
        <w:rPr>
          <w:color w:val="000000"/>
        </w:rPr>
      </w:pPr>
    </w:p>
    <w:p w14:paraId="5D65E3CA" w14:textId="77777777" w:rsidR="001C5292" w:rsidRPr="00A225EC" w:rsidRDefault="001C5292" w:rsidP="001C5292">
      <w:pPr>
        <w:rPr>
          <w:color w:val="000000"/>
        </w:rPr>
      </w:pPr>
      <w:r w:rsidRPr="00A225EC">
        <w:rPr>
          <w:color w:val="000000"/>
        </w:rPr>
        <w:t>WHEREAS -</w:t>
      </w:r>
    </w:p>
    <w:p w14:paraId="28E0A2E3" w14:textId="77777777" w:rsidR="001C5292" w:rsidRPr="00A225EC" w:rsidRDefault="001C5292" w:rsidP="001C5292">
      <w:pPr>
        <w:rPr>
          <w:color w:val="000000"/>
        </w:rPr>
      </w:pPr>
    </w:p>
    <w:p w14:paraId="4CD5A486" w14:textId="77777777" w:rsidR="001C5292" w:rsidRPr="00A225EC" w:rsidRDefault="001C5292" w:rsidP="001C5292">
      <w:pPr>
        <w:ind w:left="820" w:hanging="820"/>
        <w:rPr>
          <w:color w:val="000000"/>
        </w:rPr>
      </w:pPr>
      <w:r w:rsidRPr="00A225EC">
        <w:rPr>
          <w:color w:val="000000"/>
        </w:rPr>
        <w:t>(A)</w:t>
      </w:r>
      <w:r w:rsidRPr="00A225EC">
        <w:rPr>
          <w:color w:val="000000"/>
        </w:rPr>
        <w:tab/>
      </w:r>
      <w:r w:rsidRPr="00A225EC">
        <w:rPr>
          <w:color w:val="000000"/>
        </w:rPr>
        <w:tab/>
      </w:r>
      <w:r w:rsidRPr="00EE1BC8">
        <w:rPr>
          <w:rFonts w:ascii="Times New Roman" w:hAnsi="Times New Roman"/>
          <w:bCs/>
          <w:szCs w:val="24"/>
        </w:rPr>
        <w:t>Guiquan Zhang</w:t>
      </w:r>
      <w:r>
        <w:rPr>
          <w:rFonts w:ascii="Times New Roman" w:hAnsi="Times New Roman"/>
          <w:szCs w:val="24"/>
        </w:rPr>
        <w:t xml:space="preserve"> </w:t>
      </w:r>
      <w:r>
        <w:rPr>
          <w:color w:val="000000"/>
        </w:rPr>
        <w:t>is a</w:t>
      </w:r>
      <w:r w:rsidRPr="00A225EC">
        <w:rPr>
          <w:snapToGrid w:val="0"/>
          <w:color w:val="000000"/>
          <w:lang w:eastAsia="en-US"/>
        </w:rPr>
        <w:t xml:space="preserve"> foreign person for the purposes of section 21A of the </w:t>
      </w:r>
      <w:r w:rsidRPr="00A225EC">
        <w:rPr>
          <w:i/>
          <w:snapToGrid w:val="0"/>
          <w:color w:val="000000"/>
          <w:lang w:eastAsia="en-US"/>
        </w:rPr>
        <w:t>Foreign Acquisitions and Takeovers Act 1975</w:t>
      </w:r>
      <w:r w:rsidRPr="00A225EC">
        <w:rPr>
          <w:snapToGrid w:val="0"/>
          <w:color w:val="000000"/>
          <w:lang w:eastAsia="en-US"/>
        </w:rPr>
        <w:t xml:space="preserve"> (‘the Act’)</w:t>
      </w:r>
      <w:r w:rsidRPr="00A225EC">
        <w:rPr>
          <w:color w:val="000000"/>
        </w:rPr>
        <w:t>;</w:t>
      </w:r>
    </w:p>
    <w:p w14:paraId="3B157C27" w14:textId="77777777" w:rsidR="001C5292" w:rsidRPr="00A225EC" w:rsidRDefault="001C5292" w:rsidP="001C5292">
      <w:pPr>
        <w:ind w:left="820" w:hanging="820"/>
        <w:rPr>
          <w:color w:val="000000"/>
        </w:rPr>
      </w:pPr>
    </w:p>
    <w:p w14:paraId="4248A4FB" w14:textId="77777777" w:rsidR="001C5292" w:rsidRPr="00A225EC" w:rsidRDefault="001C5292" w:rsidP="001C5292">
      <w:pPr>
        <w:ind w:left="820" w:hanging="820"/>
        <w:rPr>
          <w:color w:val="000000"/>
        </w:rPr>
      </w:pPr>
      <w:r w:rsidRPr="00A225EC">
        <w:rPr>
          <w:color w:val="000000"/>
        </w:rPr>
        <w:t>(B)</w:t>
      </w:r>
      <w:r w:rsidRPr="00A225EC">
        <w:rPr>
          <w:color w:val="000000"/>
        </w:rPr>
        <w:tab/>
      </w:r>
      <w:r w:rsidRPr="00A225EC">
        <w:rPr>
          <w:color w:val="000000"/>
        </w:rPr>
        <w:tab/>
      </w:r>
      <w:r w:rsidRPr="00EE1BC8">
        <w:rPr>
          <w:rFonts w:ascii="Times New Roman" w:hAnsi="Times New Roman"/>
          <w:bCs/>
          <w:szCs w:val="24"/>
        </w:rPr>
        <w:t>Guiquan Zhang</w:t>
      </w:r>
      <w:r>
        <w:rPr>
          <w:rFonts w:ascii="Times New Roman" w:hAnsi="Times New Roman"/>
          <w:szCs w:val="24"/>
        </w:rPr>
        <w:t xml:space="preserve"> </w:t>
      </w:r>
      <w:r w:rsidRPr="00A225EC">
        <w:rPr>
          <w:snapToGrid w:val="0"/>
          <w:color w:val="000000"/>
          <w:lang w:eastAsia="en-US"/>
        </w:rPr>
        <w:t>propose</w:t>
      </w:r>
      <w:r>
        <w:rPr>
          <w:snapToGrid w:val="0"/>
          <w:color w:val="000000"/>
          <w:lang w:eastAsia="en-US"/>
        </w:rPr>
        <w:t>s</w:t>
      </w:r>
      <w:r w:rsidRPr="00A225EC">
        <w:rPr>
          <w:snapToGrid w:val="0"/>
          <w:color w:val="000000"/>
          <w:lang w:eastAsia="en-US"/>
        </w:rPr>
        <w:t xml:space="preserve"> to acquire an interes</w:t>
      </w:r>
      <w:r>
        <w:rPr>
          <w:snapToGrid w:val="0"/>
          <w:color w:val="000000"/>
          <w:lang w:eastAsia="en-US"/>
        </w:rPr>
        <w:t>t in Australian Residential Real Estate known</w:t>
      </w:r>
      <w:r w:rsidRPr="00A225EC">
        <w:rPr>
          <w:snapToGrid w:val="0"/>
          <w:color w:val="000000"/>
          <w:lang w:eastAsia="en-US"/>
        </w:rPr>
        <w:t xml:space="preserve"> as</w:t>
      </w:r>
      <w:r>
        <w:rPr>
          <w:snapToGrid w:val="0"/>
          <w:color w:val="000000"/>
          <w:lang w:eastAsia="en-US"/>
        </w:rPr>
        <w:t xml:space="preserve"> </w:t>
      </w:r>
      <w:r w:rsidRPr="00EE1BC8">
        <w:rPr>
          <w:b/>
          <w:snapToGrid w:val="0"/>
          <w:color w:val="000000"/>
          <w:lang w:eastAsia="en-US"/>
        </w:rPr>
        <w:t>4C Wentworth Street, Point Piper, New South Wales, 2027</w:t>
      </w:r>
      <w:r>
        <w:rPr>
          <w:snapToGrid w:val="0"/>
          <w:color w:val="000000"/>
          <w:lang w:eastAsia="en-US"/>
        </w:rPr>
        <w:t xml:space="preserve"> </w:t>
      </w:r>
      <w:r w:rsidRPr="00A225EC">
        <w:rPr>
          <w:snapToGrid w:val="0"/>
          <w:color w:val="000000"/>
          <w:lang w:eastAsia="en-US"/>
        </w:rPr>
        <w:t>as specifi</w:t>
      </w:r>
      <w:r>
        <w:rPr>
          <w:snapToGrid w:val="0"/>
          <w:color w:val="000000"/>
          <w:lang w:eastAsia="en-US"/>
        </w:rPr>
        <w:t>ed in the notice furnished on 16</w:t>
      </w:r>
      <w:r w:rsidRPr="00A225EC">
        <w:rPr>
          <w:snapToGrid w:val="0"/>
          <w:color w:val="000000"/>
          <w:lang w:eastAsia="en-US"/>
        </w:rPr>
        <w:t xml:space="preserve"> </w:t>
      </w:r>
      <w:r>
        <w:rPr>
          <w:snapToGrid w:val="0"/>
          <w:color w:val="000000"/>
          <w:lang w:eastAsia="en-US"/>
        </w:rPr>
        <w:t>July 2015</w:t>
      </w:r>
      <w:r w:rsidRPr="00A225EC">
        <w:rPr>
          <w:snapToGrid w:val="0"/>
          <w:color w:val="000000"/>
          <w:lang w:eastAsia="en-US"/>
        </w:rPr>
        <w:t xml:space="preserve"> under section 26A of the Act</w:t>
      </w:r>
      <w:r w:rsidRPr="00A225EC">
        <w:rPr>
          <w:color w:val="000000"/>
        </w:rPr>
        <w:t>;</w:t>
      </w:r>
    </w:p>
    <w:p w14:paraId="77EE0F97" w14:textId="77777777" w:rsidR="001C5292" w:rsidRPr="00A225EC" w:rsidRDefault="001C5292" w:rsidP="001C5292">
      <w:pPr>
        <w:rPr>
          <w:color w:val="000000"/>
        </w:rPr>
      </w:pPr>
    </w:p>
    <w:p w14:paraId="02D90EF7" w14:textId="77777777" w:rsidR="001C5292" w:rsidRPr="00A225EC" w:rsidRDefault="001C5292" w:rsidP="001C5292">
      <w:pPr>
        <w:pStyle w:val="BodyText"/>
        <w:rPr>
          <w:color w:val="000000"/>
        </w:rPr>
      </w:pPr>
      <w:r w:rsidRPr="00A225EC">
        <w:rPr>
          <w:color w:val="000000"/>
        </w:rPr>
        <w:t xml:space="preserve">NOW THEREFORE I, </w:t>
      </w:r>
      <w:r>
        <w:rPr>
          <w:color w:val="000000"/>
        </w:rPr>
        <w:t>Trevor Thomas, Principal Adviser</w:t>
      </w:r>
      <w:r w:rsidRPr="00A225EC">
        <w:rPr>
          <w:color w:val="000000"/>
        </w:rPr>
        <w:t>, Foreign Investment and Trade Policy Division of the Treasury and authorised to make this order for and on behalf of the Treasurer pursuant to subsection 22(1) of the Act, for the purpose of enabling consideration to be given as to whether an order should be made under subsection 21A(2) of the Act in respect of the proposed acquisition, PROHIBIT the proposed acquisition for a period not exceeding ninety days after this order comes into operation.</w:t>
      </w:r>
    </w:p>
    <w:p w14:paraId="5C1FDDFD" w14:textId="77777777" w:rsidR="001C5292" w:rsidRPr="00A225EC" w:rsidRDefault="001C5292" w:rsidP="001C5292">
      <w:pPr>
        <w:rPr>
          <w:color w:val="000000"/>
        </w:rPr>
      </w:pPr>
    </w:p>
    <w:p w14:paraId="4D941EF5" w14:textId="77777777" w:rsidR="001C5292" w:rsidRDefault="001C5292" w:rsidP="001C5292">
      <w:pPr>
        <w:rPr>
          <w:color w:val="000000"/>
        </w:rPr>
      </w:pPr>
      <w:r w:rsidRPr="00A225EC">
        <w:rPr>
          <w:color w:val="000000"/>
        </w:rPr>
        <w:t>Dated this</w:t>
      </w:r>
      <w:r>
        <w:rPr>
          <w:color w:val="000000"/>
        </w:rPr>
        <w:t xml:space="preserve"> 17</w:t>
      </w:r>
      <w:r w:rsidRPr="009E7369">
        <w:rPr>
          <w:color w:val="000000"/>
          <w:vertAlign w:val="superscript"/>
        </w:rPr>
        <w:t>th</w:t>
      </w:r>
      <w:r>
        <w:rPr>
          <w:color w:val="000000"/>
        </w:rPr>
        <w:t xml:space="preserve"> </w:t>
      </w:r>
      <w:r w:rsidRPr="00A225EC">
        <w:rPr>
          <w:color w:val="000000"/>
        </w:rPr>
        <w:t>day of</w:t>
      </w:r>
      <w:r>
        <w:rPr>
          <w:color w:val="000000"/>
        </w:rPr>
        <w:t xml:space="preserve"> August</w:t>
      </w:r>
      <w:r w:rsidRPr="00A225EC">
        <w:rPr>
          <w:color w:val="000000"/>
        </w:rPr>
        <w:t xml:space="preserve"> </w:t>
      </w:r>
      <w:r>
        <w:rPr>
          <w:color w:val="000000"/>
        </w:rPr>
        <w:t>2015</w:t>
      </w:r>
      <w:r w:rsidRPr="00A225EC">
        <w:rPr>
          <w:color w:val="000000"/>
        </w:rPr>
        <w:t>.</w:t>
      </w:r>
    </w:p>
    <w:p w14:paraId="46748B00" w14:textId="77777777" w:rsidR="001C5292" w:rsidRDefault="001C5292" w:rsidP="001C5292">
      <w:pPr>
        <w:rPr>
          <w:color w:val="000000"/>
        </w:rPr>
      </w:pPr>
    </w:p>
    <w:p w14:paraId="00054B5B" w14:textId="77777777" w:rsidR="001C5292" w:rsidRDefault="001C5292" w:rsidP="001C5292">
      <w:pPr>
        <w:rPr>
          <w:color w:val="000000"/>
        </w:rPr>
      </w:pPr>
    </w:p>
    <w:p w14:paraId="6628990E" w14:textId="77777777" w:rsidR="001C5292" w:rsidRDefault="001C5292" w:rsidP="001C5292">
      <w:pPr>
        <w:rPr>
          <w:color w:val="000000"/>
        </w:rPr>
      </w:pPr>
    </w:p>
    <w:p w14:paraId="3E84945D" w14:textId="77777777" w:rsidR="001C5292" w:rsidRPr="00A225EC" w:rsidRDefault="001C5292" w:rsidP="001C5292">
      <w:pPr>
        <w:rPr>
          <w:color w:val="000000"/>
        </w:rPr>
      </w:pPr>
      <w:r>
        <w:rPr>
          <w:color w:val="000000"/>
        </w:rPr>
        <w:t>Trevor Thomas</w:t>
      </w:r>
      <w:r>
        <w:rPr>
          <w:color w:val="000000"/>
        </w:rPr>
        <w:br/>
        <w:t>Principal Adviser, Foreign Investment and Trade Policy Division</w:t>
      </w:r>
      <w:r>
        <w:rPr>
          <w:color w:val="000000"/>
        </w:rPr>
        <w:br/>
      </w:r>
    </w:p>
    <w:p w14:paraId="299F9063" w14:textId="77777777" w:rsidR="00D61B80" w:rsidRDefault="00D61B80" w:rsidP="00424B97">
      <w:bookmarkStart w:id="0" w:name="_GoBack"/>
      <w:bookmarkEnd w:id="0"/>
    </w:p>
    <w:sectPr w:rsidR="00D61B80"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7FC4C" w14:textId="77777777" w:rsidR="008E4F6C" w:rsidRDefault="008E4F6C" w:rsidP="003A707F">
      <w:pPr>
        <w:spacing w:after="0"/>
      </w:pPr>
      <w:r>
        <w:separator/>
      </w:r>
    </w:p>
  </w:endnote>
  <w:endnote w:type="continuationSeparator" w:id="0">
    <w:p w14:paraId="20F1A157" w14:textId="77777777" w:rsidR="008E4F6C" w:rsidRDefault="008E4F6C"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56264" w14:textId="77777777" w:rsidR="008E4F6C" w:rsidRDefault="008E4F6C" w:rsidP="003A707F">
      <w:pPr>
        <w:spacing w:after="0"/>
      </w:pPr>
      <w:r>
        <w:separator/>
      </w:r>
    </w:p>
  </w:footnote>
  <w:footnote w:type="continuationSeparator" w:id="0">
    <w:p w14:paraId="4D8ECCE6" w14:textId="77777777" w:rsidR="008E4F6C" w:rsidRDefault="008E4F6C" w:rsidP="003A707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76574641"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2902E729"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rPr>
            <w:drawing>
              <wp:inline distT="0" distB="0" distL="0" distR="0" wp14:anchorId="6502FADB" wp14:editId="3E5E87F7">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F6ADB7F"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71737B8A"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53280997"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D2F25D3"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4CACD04" w14:textId="77777777" w:rsidR="00F40885" w:rsidRPr="00840A06" w:rsidRDefault="00F40885" w:rsidP="00840A06">
          <w:pPr>
            <w:spacing w:after="0"/>
            <w:jc w:val="right"/>
            <w:rPr>
              <w:rFonts w:ascii="Arial" w:hAnsi="Arial" w:cs="Arial"/>
              <w:b/>
              <w:szCs w:val="24"/>
            </w:rPr>
          </w:pPr>
          <w:r w:rsidRPr="00840A06">
            <w:rPr>
              <w:rFonts w:ascii="Arial" w:hAnsi="Arial" w:cs="Arial"/>
              <w:b/>
              <w:szCs w:val="24"/>
            </w:rPr>
            <w:t>GOVERNMENT NOTICES</w:t>
          </w:r>
        </w:p>
      </w:tc>
    </w:tr>
    <w:bookmarkEnd w:id="1"/>
  </w:tbl>
  <w:p w14:paraId="4204B85A" w14:textId="77777777" w:rsidR="00F40885" w:rsidRPr="003A707F" w:rsidRDefault="00F40885" w:rsidP="00F40885">
    <w:pPr>
      <w:pStyle w:val="Header"/>
      <w:rPr>
        <w:sz w:val="2"/>
        <w:szCs w:val="2"/>
      </w:rPr>
    </w:pPr>
  </w:p>
  <w:p w14:paraId="4A212E02"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62F86"/>
    <w:multiLevelType w:val="multilevel"/>
    <w:tmpl w:val="4A760AC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419EB"/>
    <w:rsid w:val="001C2AAD"/>
    <w:rsid w:val="001C5292"/>
    <w:rsid w:val="001F6E54"/>
    <w:rsid w:val="002632A7"/>
    <w:rsid w:val="00280BCD"/>
    <w:rsid w:val="002A09D4"/>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C63C4E"/>
    <w:rsid w:val="00D61B80"/>
    <w:rsid w:val="00D77A88"/>
    <w:rsid w:val="00F17E72"/>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6385"/>
    <o:shapelayout v:ext="edit">
      <o:idmap v:ext="edit" data="1"/>
    </o:shapelayout>
  </w:shapeDefaults>
  <w:decimalSymbol w:val="."/>
  <w:listSeparator w:val=","/>
  <w14:docId w14:val="5A7B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72"/>
    <w:pPr>
      <w:spacing w:after="240" w:line="240" w:lineRule="auto"/>
    </w:pPr>
    <w:rPr>
      <w:rFonts w:ascii="Palatino" w:eastAsia="Times New Roman" w:hAnsi="Palatino" w:cs="Times New Roman"/>
      <w:sz w:val="24"/>
      <w:szCs w:val="20"/>
      <w:lang w:eastAsia="en-AU"/>
    </w:rPr>
  </w:style>
  <w:style w:type="paragraph" w:styleId="Heading2">
    <w:name w:val="heading 2"/>
    <w:basedOn w:val="Normal"/>
    <w:next w:val="Normal"/>
    <w:link w:val="Heading2Char"/>
    <w:qFormat/>
    <w:rsid w:val="00F17E72"/>
    <w:pPr>
      <w:keepNext/>
      <w:spacing w:before="120"/>
      <w:outlineLvl w:val="1"/>
    </w:pPr>
    <w:rPr>
      <w:b/>
      <w:caps/>
    </w:rPr>
  </w:style>
  <w:style w:type="paragraph" w:styleId="Heading5">
    <w:name w:val="heading 5"/>
    <w:basedOn w:val="Normal"/>
    <w:next w:val="Normal"/>
    <w:link w:val="Heading5Char"/>
    <w:qFormat/>
    <w:rsid w:val="00F17E72"/>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pPr>
  </w:style>
  <w:style w:type="character" w:customStyle="1" w:styleId="FooterChar">
    <w:name w:val="Footer Char"/>
    <w:basedOn w:val="DefaultParagraphFont"/>
    <w:link w:val="Footer"/>
    <w:uiPriority w:val="99"/>
    <w:rsid w:val="003A707F"/>
  </w:style>
  <w:style w:type="character" w:customStyle="1" w:styleId="Heading2Char">
    <w:name w:val="Heading 2 Char"/>
    <w:basedOn w:val="DefaultParagraphFont"/>
    <w:link w:val="Heading2"/>
    <w:rsid w:val="00F17E72"/>
    <w:rPr>
      <w:rFonts w:ascii="Palatino" w:eastAsia="Times New Roman" w:hAnsi="Palatino" w:cs="Times New Roman"/>
      <w:b/>
      <w:caps/>
      <w:sz w:val="24"/>
      <w:szCs w:val="20"/>
      <w:lang w:eastAsia="en-AU"/>
    </w:rPr>
  </w:style>
  <w:style w:type="character" w:customStyle="1" w:styleId="Heading5Char">
    <w:name w:val="Heading 5 Char"/>
    <w:basedOn w:val="DefaultParagraphFont"/>
    <w:link w:val="Heading5"/>
    <w:rsid w:val="00F17E72"/>
    <w:rPr>
      <w:rFonts w:ascii="Palatino" w:eastAsia="Times New Roman" w:hAnsi="Palatino" w:cs="Times New Roman"/>
      <w:sz w:val="24"/>
      <w:szCs w:val="20"/>
      <w:u w:val="single"/>
      <w:lang w:eastAsia="en-AU"/>
    </w:rPr>
  </w:style>
  <w:style w:type="paragraph" w:customStyle="1" w:styleId="SinglePara">
    <w:name w:val="Single Para"/>
    <w:basedOn w:val="Normal"/>
    <w:rsid w:val="00F17E72"/>
    <w:pPr>
      <w:spacing w:after="0"/>
    </w:pPr>
  </w:style>
  <w:style w:type="paragraph" w:customStyle="1" w:styleId="Bullet">
    <w:name w:val="Bullet"/>
    <w:basedOn w:val="Normal"/>
    <w:link w:val="BulletChar"/>
    <w:rsid w:val="00F17E72"/>
    <w:pPr>
      <w:numPr>
        <w:numId w:val="1"/>
      </w:numPr>
    </w:pPr>
    <w:rPr>
      <w:rFonts w:ascii="Times New Roman" w:hAnsi="Times New Roman"/>
    </w:rPr>
  </w:style>
  <w:style w:type="character" w:customStyle="1" w:styleId="BulletChar">
    <w:name w:val="Bullet Char"/>
    <w:basedOn w:val="DefaultParagraphFont"/>
    <w:link w:val="Bullet"/>
    <w:rsid w:val="00F17E72"/>
    <w:rPr>
      <w:rFonts w:ascii="Times New Roman" w:eastAsia="Times New Roman" w:hAnsi="Times New Roman" w:cs="Times New Roman"/>
      <w:sz w:val="24"/>
      <w:szCs w:val="20"/>
      <w:lang w:eastAsia="en-AU"/>
    </w:rPr>
  </w:style>
  <w:style w:type="paragraph" w:customStyle="1" w:styleId="Dash">
    <w:name w:val="Dash"/>
    <w:basedOn w:val="Normal"/>
    <w:rsid w:val="00F17E72"/>
    <w:pPr>
      <w:numPr>
        <w:ilvl w:val="1"/>
        <w:numId w:val="1"/>
      </w:numPr>
    </w:pPr>
    <w:rPr>
      <w:rFonts w:ascii="Times New Roman" w:hAnsi="Times New Roman"/>
    </w:rPr>
  </w:style>
  <w:style w:type="paragraph" w:customStyle="1" w:styleId="DoubleDot">
    <w:name w:val="Double Dot"/>
    <w:basedOn w:val="Normal"/>
    <w:rsid w:val="00F17E72"/>
    <w:pPr>
      <w:numPr>
        <w:ilvl w:val="2"/>
        <w:numId w:val="1"/>
      </w:numPr>
    </w:pPr>
    <w:rPr>
      <w:rFonts w:ascii="Times New Roman" w:hAnsi="Times New Roman"/>
    </w:rPr>
  </w:style>
  <w:style w:type="paragraph" w:customStyle="1" w:styleId="Levelafo">
    <w:name w:val="Level (a)fo"/>
    <w:basedOn w:val="Normal"/>
    <w:uiPriority w:val="6"/>
    <w:rsid w:val="00F17E72"/>
    <w:pPr>
      <w:spacing w:after="220" w:line="220" w:lineRule="atLeast"/>
      <w:ind w:left="1406"/>
      <w:jc w:val="both"/>
    </w:pPr>
    <w:rPr>
      <w:rFonts w:ascii="Verdana" w:eastAsiaTheme="minorHAnsi" w:hAnsi="Verdana" w:cstheme="minorBidi"/>
      <w:sz w:val="18"/>
      <w:szCs w:val="18"/>
      <w:lang w:eastAsia="en-US"/>
    </w:rPr>
  </w:style>
  <w:style w:type="table" w:styleId="TableGrid">
    <w:name w:val="Table Grid"/>
    <w:basedOn w:val="TableNormal"/>
    <w:uiPriority w:val="59"/>
    <w:rsid w:val="00F17E72"/>
    <w:pPr>
      <w:spacing w:before="110" w:after="110" w:line="220" w:lineRule="atLeast"/>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C5292"/>
    <w:pPr>
      <w:widowControl w:val="0"/>
      <w:tabs>
        <w:tab w:val="left" w:pos="567"/>
      </w:tabs>
      <w:spacing w:before="120" w:after="120" w:line="300" w:lineRule="atLeast"/>
      <w:jc w:val="center"/>
    </w:pPr>
    <w:rPr>
      <w:rFonts w:ascii="Times" w:hAnsi="Times"/>
      <w:b/>
    </w:rPr>
  </w:style>
  <w:style w:type="character" w:customStyle="1" w:styleId="TitleChar">
    <w:name w:val="Title Char"/>
    <w:basedOn w:val="DefaultParagraphFont"/>
    <w:link w:val="Title"/>
    <w:rsid w:val="001C5292"/>
    <w:rPr>
      <w:rFonts w:ascii="Times" w:eastAsia="Times New Roman" w:hAnsi="Times" w:cs="Times New Roman"/>
      <w:b/>
      <w:sz w:val="24"/>
      <w:szCs w:val="20"/>
      <w:lang w:eastAsia="en-AU"/>
    </w:rPr>
  </w:style>
  <w:style w:type="paragraph" w:styleId="BodyText">
    <w:name w:val="Body Text"/>
    <w:basedOn w:val="Normal"/>
    <w:link w:val="BodyTextChar"/>
    <w:rsid w:val="001C5292"/>
    <w:pPr>
      <w:widowControl w:val="0"/>
      <w:tabs>
        <w:tab w:val="left" w:pos="567"/>
      </w:tabs>
      <w:spacing w:before="120" w:after="120" w:line="300" w:lineRule="atLeast"/>
    </w:pPr>
    <w:rPr>
      <w:rFonts w:ascii="Times" w:hAnsi="Times"/>
    </w:rPr>
  </w:style>
  <w:style w:type="character" w:customStyle="1" w:styleId="BodyTextChar">
    <w:name w:val="Body Text Char"/>
    <w:basedOn w:val="DefaultParagraphFont"/>
    <w:link w:val="BodyText"/>
    <w:rsid w:val="001C5292"/>
    <w:rPr>
      <w:rFonts w:ascii="Times" w:eastAsia="Times New Roman" w:hAnsi="Times"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72"/>
    <w:pPr>
      <w:spacing w:after="240" w:line="240" w:lineRule="auto"/>
    </w:pPr>
    <w:rPr>
      <w:rFonts w:ascii="Palatino" w:eastAsia="Times New Roman" w:hAnsi="Palatino" w:cs="Times New Roman"/>
      <w:sz w:val="24"/>
      <w:szCs w:val="20"/>
      <w:lang w:eastAsia="en-AU"/>
    </w:rPr>
  </w:style>
  <w:style w:type="paragraph" w:styleId="Heading2">
    <w:name w:val="heading 2"/>
    <w:basedOn w:val="Normal"/>
    <w:next w:val="Normal"/>
    <w:link w:val="Heading2Char"/>
    <w:qFormat/>
    <w:rsid w:val="00F17E72"/>
    <w:pPr>
      <w:keepNext/>
      <w:spacing w:before="120"/>
      <w:outlineLvl w:val="1"/>
    </w:pPr>
    <w:rPr>
      <w:b/>
      <w:caps/>
    </w:rPr>
  </w:style>
  <w:style w:type="paragraph" w:styleId="Heading5">
    <w:name w:val="heading 5"/>
    <w:basedOn w:val="Normal"/>
    <w:next w:val="Normal"/>
    <w:link w:val="Heading5Char"/>
    <w:qFormat/>
    <w:rsid w:val="00F17E72"/>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pPr>
  </w:style>
  <w:style w:type="character" w:customStyle="1" w:styleId="FooterChar">
    <w:name w:val="Footer Char"/>
    <w:basedOn w:val="DefaultParagraphFont"/>
    <w:link w:val="Footer"/>
    <w:uiPriority w:val="99"/>
    <w:rsid w:val="003A707F"/>
  </w:style>
  <w:style w:type="character" w:customStyle="1" w:styleId="Heading2Char">
    <w:name w:val="Heading 2 Char"/>
    <w:basedOn w:val="DefaultParagraphFont"/>
    <w:link w:val="Heading2"/>
    <w:rsid w:val="00F17E72"/>
    <w:rPr>
      <w:rFonts w:ascii="Palatino" w:eastAsia="Times New Roman" w:hAnsi="Palatino" w:cs="Times New Roman"/>
      <w:b/>
      <w:caps/>
      <w:sz w:val="24"/>
      <w:szCs w:val="20"/>
      <w:lang w:eastAsia="en-AU"/>
    </w:rPr>
  </w:style>
  <w:style w:type="character" w:customStyle="1" w:styleId="Heading5Char">
    <w:name w:val="Heading 5 Char"/>
    <w:basedOn w:val="DefaultParagraphFont"/>
    <w:link w:val="Heading5"/>
    <w:rsid w:val="00F17E72"/>
    <w:rPr>
      <w:rFonts w:ascii="Palatino" w:eastAsia="Times New Roman" w:hAnsi="Palatino" w:cs="Times New Roman"/>
      <w:sz w:val="24"/>
      <w:szCs w:val="20"/>
      <w:u w:val="single"/>
      <w:lang w:eastAsia="en-AU"/>
    </w:rPr>
  </w:style>
  <w:style w:type="paragraph" w:customStyle="1" w:styleId="SinglePara">
    <w:name w:val="Single Para"/>
    <w:basedOn w:val="Normal"/>
    <w:rsid w:val="00F17E72"/>
    <w:pPr>
      <w:spacing w:after="0"/>
    </w:pPr>
  </w:style>
  <w:style w:type="paragraph" w:customStyle="1" w:styleId="Bullet">
    <w:name w:val="Bullet"/>
    <w:basedOn w:val="Normal"/>
    <w:link w:val="BulletChar"/>
    <w:rsid w:val="00F17E72"/>
    <w:pPr>
      <w:numPr>
        <w:numId w:val="1"/>
      </w:numPr>
    </w:pPr>
    <w:rPr>
      <w:rFonts w:ascii="Times New Roman" w:hAnsi="Times New Roman"/>
    </w:rPr>
  </w:style>
  <w:style w:type="character" w:customStyle="1" w:styleId="BulletChar">
    <w:name w:val="Bullet Char"/>
    <w:basedOn w:val="DefaultParagraphFont"/>
    <w:link w:val="Bullet"/>
    <w:rsid w:val="00F17E72"/>
    <w:rPr>
      <w:rFonts w:ascii="Times New Roman" w:eastAsia="Times New Roman" w:hAnsi="Times New Roman" w:cs="Times New Roman"/>
      <w:sz w:val="24"/>
      <w:szCs w:val="20"/>
      <w:lang w:eastAsia="en-AU"/>
    </w:rPr>
  </w:style>
  <w:style w:type="paragraph" w:customStyle="1" w:styleId="Dash">
    <w:name w:val="Dash"/>
    <w:basedOn w:val="Normal"/>
    <w:rsid w:val="00F17E72"/>
    <w:pPr>
      <w:numPr>
        <w:ilvl w:val="1"/>
        <w:numId w:val="1"/>
      </w:numPr>
    </w:pPr>
    <w:rPr>
      <w:rFonts w:ascii="Times New Roman" w:hAnsi="Times New Roman"/>
    </w:rPr>
  </w:style>
  <w:style w:type="paragraph" w:customStyle="1" w:styleId="DoubleDot">
    <w:name w:val="Double Dot"/>
    <w:basedOn w:val="Normal"/>
    <w:rsid w:val="00F17E72"/>
    <w:pPr>
      <w:numPr>
        <w:ilvl w:val="2"/>
        <w:numId w:val="1"/>
      </w:numPr>
    </w:pPr>
    <w:rPr>
      <w:rFonts w:ascii="Times New Roman" w:hAnsi="Times New Roman"/>
    </w:rPr>
  </w:style>
  <w:style w:type="paragraph" w:customStyle="1" w:styleId="Levelafo">
    <w:name w:val="Level (a)fo"/>
    <w:basedOn w:val="Normal"/>
    <w:uiPriority w:val="6"/>
    <w:rsid w:val="00F17E72"/>
    <w:pPr>
      <w:spacing w:after="220" w:line="220" w:lineRule="atLeast"/>
      <w:ind w:left="1406"/>
      <w:jc w:val="both"/>
    </w:pPr>
    <w:rPr>
      <w:rFonts w:ascii="Verdana" w:eastAsiaTheme="minorHAnsi" w:hAnsi="Verdana" w:cstheme="minorBidi"/>
      <w:sz w:val="18"/>
      <w:szCs w:val="18"/>
      <w:lang w:eastAsia="en-US"/>
    </w:rPr>
  </w:style>
  <w:style w:type="table" w:styleId="TableGrid">
    <w:name w:val="Table Grid"/>
    <w:basedOn w:val="TableNormal"/>
    <w:uiPriority w:val="59"/>
    <w:rsid w:val="00F17E72"/>
    <w:pPr>
      <w:spacing w:before="110" w:after="110" w:line="220" w:lineRule="atLeast"/>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C5292"/>
    <w:pPr>
      <w:widowControl w:val="0"/>
      <w:tabs>
        <w:tab w:val="left" w:pos="567"/>
      </w:tabs>
      <w:spacing w:before="120" w:after="120" w:line="300" w:lineRule="atLeast"/>
      <w:jc w:val="center"/>
    </w:pPr>
    <w:rPr>
      <w:rFonts w:ascii="Times" w:hAnsi="Times"/>
      <w:b/>
    </w:rPr>
  </w:style>
  <w:style w:type="character" w:customStyle="1" w:styleId="TitleChar">
    <w:name w:val="Title Char"/>
    <w:basedOn w:val="DefaultParagraphFont"/>
    <w:link w:val="Title"/>
    <w:rsid w:val="001C5292"/>
    <w:rPr>
      <w:rFonts w:ascii="Times" w:eastAsia="Times New Roman" w:hAnsi="Times" w:cs="Times New Roman"/>
      <w:b/>
      <w:sz w:val="24"/>
      <w:szCs w:val="20"/>
      <w:lang w:eastAsia="en-AU"/>
    </w:rPr>
  </w:style>
  <w:style w:type="paragraph" w:styleId="BodyText">
    <w:name w:val="Body Text"/>
    <w:basedOn w:val="Normal"/>
    <w:link w:val="BodyTextChar"/>
    <w:rsid w:val="001C5292"/>
    <w:pPr>
      <w:widowControl w:val="0"/>
      <w:tabs>
        <w:tab w:val="left" w:pos="567"/>
      </w:tabs>
      <w:spacing w:before="120" w:after="120" w:line="300" w:lineRule="atLeast"/>
    </w:pPr>
    <w:rPr>
      <w:rFonts w:ascii="Times" w:hAnsi="Times"/>
    </w:rPr>
  </w:style>
  <w:style w:type="character" w:customStyle="1" w:styleId="BodyTextChar">
    <w:name w:val="Body Text Char"/>
    <w:basedOn w:val="DefaultParagraphFont"/>
    <w:link w:val="BodyText"/>
    <w:rsid w:val="001C5292"/>
    <w:rPr>
      <w:rFonts w:ascii="Times" w:eastAsia="Times New Roman" w:hAnsi="Times"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f7bc583-7cbe-45b9-a2bd-8bbb6543b37e">2014RG-86-16273</_dlc_DocId>
    <_dlc_DocIdUrl xmlns="9f7bc583-7cbe-45b9-a2bd-8bbb6543b37e">
      <Url>http://tweb/sites/rg/ldp/lmu/_layouts/15/DocIdRedir.aspx?ID=2014RG-86-16273</Url>
      <Description>2014RG-86-16273</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11</Value>
    </TaxCatchAll>
    <_dlc_Exempt xmlns="http://schemas.microsoft.com/sharepoint/v3" xsi:nil="true"/>
    <_dlc_DocIdPersistId xmlns="9f7bc583-7cbe-45b9-a2bd-8bbb6543b37e" xsi:nil="true"/>
    <IconOverlay xmlns="http://schemas.microsoft.com/sharepoint/v4" xsi:nil="true"/>
  </documentManagement>
</p:properti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9" ma:contentTypeDescription=" " ma:contentTypeScope="" ma:versionID="a682023c0372fd80f246bc2ddd41ab6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ba0810852fcff98aaa9c19b15de1cedb"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3C71-23BA-48DC-A04C-E32DD02C533B}"/>
</file>

<file path=customXml/itemProps2.xml><?xml version="1.0" encoding="utf-8"?>
<ds:datastoreItem xmlns:ds="http://schemas.openxmlformats.org/officeDocument/2006/customXml" ds:itemID="{350F4738-9FBE-494C-A347-3287E363A4ED}"/>
</file>

<file path=customXml/itemProps3.xml><?xml version="1.0" encoding="utf-8"?>
<ds:datastoreItem xmlns:ds="http://schemas.openxmlformats.org/officeDocument/2006/customXml" ds:itemID="{AB0B451E-6366-49FC-A261-EFAA97AD999B}"/>
</file>

<file path=customXml/itemProps4.xml><?xml version="1.0" encoding="utf-8"?>
<ds:datastoreItem xmlns:ds="http://schemas.openxmlformats.org/officeDocument/2006/customXml" ds:itemID="{F8FFB0D1-C679-479E-A521-85EBCF130F02}"/>
</file>

<file path=customXml/itemProps5.xml><?xml version="1.0" encoding="utf-8"?>
<ds:datastoreItem xmlns:ds="http://schemas.openxmlformats.org/officeDocument/2006/customXml" ds:itemID="{DD0C1838-B6E7-4BE0-A772-583D4ED01C45}"/>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Weiss, Warren</cp:lastModifiedBy>
  <cp:revision>2</cp:revision>
  <cp:lastPrinted>2013-06-24T01:35:00Z</cp:lastPrinted>
  <dcterms:created xsi:type="dcterms:W3CDTF">2015-08-18T05:57:00Z</dcterms:created>
  <dcterms:modified xsi:type="dcterms:W3CDTF">2015-08-18T05:57:00Z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0x01010036BB8DE7EC542E42A8B2E98CC20CB69700A0A840AFAB52624689FA9AA81E9EF0D1</vt:lpwstr>
  </property>
  <property fmtid="{D5CDD505-2E9C-101B-9397-08002B2CF9AE}" pid="3" name="_dlc_DocIdItemGuid">
    <vt:lpwstr>173cb39f-4897-4b2c-ad6a-36723e1a7b06</vt:lpwstr>
  </property>
  <property fmtid="{D5CDD505-2E9C-101B-9397-08002B2CF9AE}" pid="4" name="AlternateThumbnailUrl">
    <vt:lpwstr/>
  </property>
  <property fmtid="{D5CDD505-2E9C-101B-9397-08002B2CF9AE}" pid="5" name="Comments">
    <vt:lpwstr/>
  </property>
  <property fmtid="{D5CDD505-2E9C-101B-9397-08002B2CF9AE}" pid="6" name="Order">
    <vt:r8>384200</vt:r8>
  </property>
  <property fmtid="{D5CDD505-2E9C-101B-9397-08002B2CF9AE}" pid="7" name="xd_ProgID">
    <vt:lpwstr/>
  </property>
  <property fmtid="{D5CDD505-2E9C-101B-9397-08002B2CF9AE}" pid="8" name="TSYRecordClass">
    <vt:lpwstr>11;#TSY RA-9237 - Destroy 5 years after action completed|9f1a030e-81bf-44c5-98eb-4d5d869a40d5</vt:lpwstr>
  </property>
  <property fmtid="{D5CDD505-2E9C-101B-9397-08002B2CF9AE}" pid="9" name="TemplateUrl">
    <vt:lpwstr/>
  </property>
  <property fmtid="{D5CDD505-2E9C-101B-9397-08002B2CF9AE}" pid="10" name="RecordPoint_WorkflowType">
    <vt:lpwstr>ActiveSubmitStub</vt:lpwstr>
  </property>
  <property fmtid="{D5CDD505-2E9C-101B-9397-08002B2CF9AE}" pid="11" name="RecordPoint_ActiveItemWebId">
    <vt:lpwstr>{2602612e-a30f-4de0-b9eb-e01e73dc8005}</vt:lpwstr>
  </property>
  <property fmtid="{D5CDD505-2E9C-101B-9397-08002B2CF9AE}" pid="12" name="RecordPoint_ActiveItemSiteId">
    <vt:lpwstr>{5b52b9a5-e5b2-4521-8814-a1e24ca2869d}</vt:lpwstr>
  </property>
  <property fmtid="{D5CDD505-2E9C-101B-9397-08002B2CF9AE}" pid="13" name="RecordPoint_ActiveItemListId">
    <vt:lpwstr>{cd34d4d3-dcb3-4c0b-b1b4-693fd717d2a8}</vt:lpwstr>
  </property>
  <property fmtid="{D5CDD505-2E9C-101B-9397-08002B2CF9AE}" pid="14" name="RecordPoint_ActiveItemUniqueId">
    <vt:lpwstr>{4a40eb31-7506-4884-81b8-631a84a6d562}</vt:lpwstr>
  </property>
  <property fmtid="{D5CDD505-2E9C-101B-9397-08002B2CF9AE}" pid="15" name="RecordPoint_RecordNumberSubmitted">
    <vt:lpwstr>R0000047266</vt:lpwstr>
  </property>
  <property fmtid="{D5CDD505-2E9C-101B-9397-08002B2CF9AE}" pid="16" name="RecordPoint_SubmissionCompleted">
    <vt:lpwstr>2015-06-15T19:03:48.2000261+10:00</vt:lpwstr>
  </property>
</Properties>
</file>