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2D" w:rsidRPr="009B1DA6" w:rsidRDefault="00C0462D" w:rsidP="00C0462D">
      <w:pPr>
        <w:pStyle w:val="Footer"/>
        <w:spacing w:after="200" w:line="276" w:lineRule="auto"/>
        <w:jc w:val="center"/>
        <w:rPr>
          <w:rFonts w:ascii="Arial" w:hAnsi="Arial" w:cs="Arial"/>
        </w:rPr>
      </w:pPr>
      <w:r>
        <w:rPr>
          <w:rFonts w:ascii="Arial" w:hAnsi="Arial" w:cs="Arial"/>
          <w:noProof/>
          <w:lang w:eastAsia="en-AU"/>
        </w:rPr>
        <w:drawing>
          <wp:inline distT="0" distB="0" distL="0" distR="0">
            <wp:extent cx="790575" cy="609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90575" cy="609600"/>
                    </a:xfrm>
                    <a:prstGeom prst="rect">
                      <a:avLst/>
                    </a:prstGeom>
                    <a:noFill/>
                    <a:ln w="9525">
                      <a:noFill/>
                      <a:miter lim="800000"/>
                      <a:headEnd/>
                      <a:tailEnd/>
                    </a:ln>
                  </pic:spPr>
                </pic:pic>
              </a:graphicData>
            </a:graphic>
          </wp:inline>
        </w:drawing>
      </w:r>
    </w:p>
    <w:p w:rsidR="00C0462D" w:rsidRPr="00EA1803" w:rsidRDefault="00C0462D" w:rsidP="00C0462D">
      <w:pPr>
        <w:jc w:val="center"/>
        <w:rPr>
          <w:rFonts w:ascii="Arial" w:hAnsi="Arial" w:cs="Arial"/>
          <w:b/>
          <w:bCs/>
        </w:rPr>
      </w:pPr>
      <w:r w:rsidRPr="00EA1803">
        <w:rPr>
          <w:rFonts w:ascii="Arial" w:hAnsi="Arial" w:cs="Arial"/>
          <w:b/>
          <w:bCs/>
        </w:rPr>
        <w:t xml:space="preserve">ASSISTANT SECRETARY, ENVIRONMENT PROTECTION BRANCH, </w:t>
      </w:r>
    </w:p>
    <w:p w:rsidR="00C0462D" w:rsidRPr="00EA1803" w:rsidRDefault="00C0462D" w:rsidP="00C0462D">
      <w:pPr>
        <w:jc w:val="center"/>
        <w:rPr>
          <w:rFonts w:ascii="Arial" w:hAnsi="Arial" w:cs="Arial"/>
          <w:b/>
          <w:bCs/>
        </w:rPr>
      </w:pPr>
      <w:r w:rsidRPr="00EA1803">
        <w:rPr>
          <w:rFonts w:ascii="Arial" w:hAnsi="Arial" w:cs="Arial"/>
          <w:b/>
          <w:bCs/>
        </w:rPr>
        <w:t>DEPARTMENT OF THE ENVIRONMENT</w:t>
      </w:r>
    </w:p>
    <w:p w:rsidR="00C0462D" w:rsidRPr="00EA1803" w:rsidRDefault="00C0462D" w:rsidP="00C0462D">
      <w:pPr>
        <w:rPr>
          <w:rFonts w:ascii="Arial" w:hAnsi="Arial" w:cs="Arial"/>
          <w:b/>
          <w:bCs/>
          <w:iCs/>
        </w:rPr>
      </w:pPr>
      <w:r w:rsidRPr="00EA1803">
        <w:rPr>
          <w:rFonts w:ascii="Arial" w:hAnsi="Arial" w:cs="Arial"/>
          <w:b/>
          <w:bCs/>
        </w:rPr>
        <w:t xml:space="preserve">NOTICE UNDER SECTION 17A OF THE </w:t>
      </w:r>
      <w:r w:rsidRPr="00EA1803">
        <w:rPr>
          <w:rFonts w:ascii="Arial" w:hAnsi="Arial" w:cs="Arial"/>
          <w:b/>
          <w:bCs/>
          <w:i/>
        </w:rPr>
        <w:t>FUEL QUALITY STANDARDS ACT 2000</w:t>
      </w:r>
      <w:r w:rsidRPr="00EA1803">
        <w:rPr>
          <w:rFonts w:ascii="Arial" w:hAnsi="Arial" w:cs="Arial"/>
          <w:b/>
          <w:bCs/>
        </w:rPr>
        <w:t xml:space="preserve"> CONCERNING A DECISION UNDER SECTION 13 OF THAT ACT FOR AN APPROVAL FOR A VARIATION OF THE FUEL STANDARD (PETROL) DETERMINATION 2001</w:t>
      </w:r>
    </w:p>
    <w:p w:rsidR="00C0462D" w:rsidRPr="00EA1803" w:rsidRDefault="00C0462D" w:rsidP="00C0462D">
      <w:pPr>
        <w:spacing w:after="120"/>
        <w:rPr>
          <w:rFonts w:ascii="Arial" w:hAnsi="Arial" w:cs="Arial"/>
        </w:rPr>
      </w:pPr>
      <w:r w:rsidRPr="00EA1803">
        <w:rPr>
          <w:rFonts w:ascii="Arial" w:hAnsi="Arial" w:cs="Arial"/>
          <w:bCs/>
        </w:rPr>
        <w:t xml:space="preserve">I, </w:t>
      </w:r>
      <w:r w:rsidR="00EA1803" w:rsidRPr="00EA1803">
        <w:rPr>
          <w:rFonts w:ascii="Arial" w:hAnsi="Arial" w:cs="Arial"/>
          <w:bCs/>
        </w:rPr>
        <w:t>Simon Banks</w:t>
      </w:r>
      <w:r w:rsidRPr="00EA1803">
        <w:rPr>
          <w:rFonts w:ascii="Arial" w:hAnsi="Arial" w:cs="Arial"/>
          <w:bCs/>
        </w:rPr>
        <w:t xml:space="preserve">, Assistant Secretary, </w:t>
      </w:r>
      <w:r w:rsidR="00EA1803" w:rsidRPr="00EA1803">
        <w:rPr>
          <w:rFonts w:ascii="Arial" w:hAnsi="Arial" w:cs="Arial"/>
          <w:bCs/>
        </w:rPr>
        <w:t>NSW and ACT Assessments and Fuel</w:t>
      </w:r>
      <w:r w:rsidRPr="00EA1803">
        <w:rPr>
          <w:rFonts w:ascii="Arial" w:hAnsi="Arial" w:cs="Arial"/>
          <w:bCs/>
        </w:rPr>
        <w:t xml:space="preserve"> Branch, delegate of the Minister for the Environment, p</w:t>
      </w:r>
      <w:r w:rsidRPr="00EA1803">
        <w:rPr>
          <w:rFonts w:ascii="Arial" w:hAnsi="Arial" w:cs="Arial"/>
        </w:rPr>
        <w:t>rovide the following information concerning my decision to grant an approval under section 13 of the</w:t>
      </w:r>
      <w:r w:rsidRPr="00EA1803">
        <w:rPr>
          <w:rFonts w:ascii="Arial" w:hAnsi="Arial" w:cs="Arial"/>
          <w:i/>
        </w:rPr>
        <w:t xml:space="preserve"> Fuel Quality Standards Act 2000</w:t>
      </w:r>
      <w:r w:rsidR="00EA1803" w:rsidRPr="00EA1803">
        <w:rPr>
          <w:rFonts w:ascii="Arial" w:hAnsi="Arial" w:cs="Arial"/>
          <w:i/>
        </w:rPr>
        <w:t xml:space="preserve">. </w:t>
      </w:r>
    </w:p>
    <w:p w:rsidR="00C0462D" w:rsidRPr="00EA1803" w:rsidRDefault="00C0462D" w:rsidP="00C0462D">
      <w:pPr>
        <w:spacing w:after="120"/>
        <w:rPr>
          <w:rFonts w:ascii="Arial" w:hAnsi="Arial" w:cs="Arial"/>
          <w:b/>
        </w:rPr>
      </w:pPr>
      <w:r w:rsidRPr="00EA1803">
        <w:rPr>
          <w:rFonts w:ascii="Arial" w:hAnsi="Arial" w:cs="Arial"/>
          <w:b/>
        </w:rPr>
        <w:t>Name of approval holder</w:t>
      </w:r>
    </w:p>
    <w:p w:rsidR="00C0462D" w:rsidRPr="00EA1803" w:rsidRDefault="00EA1803" w:rsidP="00C0462D">
      <w:pPr>
        <w:spacing w:after="120"/>
        <w:ind w:right="85"/>
        <w:rPr>
          <w:rFonts w:ascii="Arial" w:hAnsi="Arial" w:cs="Arial"/>
        </w:rPr>
      </w:pPr>
      <w:proofErr w:type="spellStart"/>
      <w:r w:rsidRPr="00EA1803">
        <w:rPr>
          <w:rFonts w:ascii="Arial" w:hAnsi="Arial" w:cs="Arial"/>
        </w:rPr>
        <w:t>Haltermann</w:t>
      </w:r>
      <w:proofErr w:type="spellEnd"/>
      <w:r w:rsidRPr="00EA1803">
        <w:rPr>
          <w:rFonts w:ascii="Arial" w:hAnsi="Arial" w:cs="Arial"/>
        </w:rPr>
        <w:t xml:space="preserve"> Carless UK Ltd</w:t>
      </w:r>
    </w:p>
    <w:p w:rsidR="00C0462D" w:rsidRPr="00EA1803" w:rsidRDefault="00C0462D" w:rsidP="00C0462D">
      <w:pPr>
        <w:spacing w:after="120"/>
        <w:rPr>
          <w:rFonts w:ascii="Arial" w:hAnsi="Arial" w:cs="Arial"/>
          <w:b/>
        </w:rPr>
      </w:pPr>
      <w:r w:rsidRPr="00EA1803">
        <w:rPr>
          <w:rFonts w:ascii="Arial" w:hAnsi="Arial" w:cs="Arial"/>
          <w:b/>
        </w:rPr>
        <w:t>Period of operation</w:t>
      </w:r>
    </w:p>
    <w:p w:rsidR="00C0462D" w:rsidRPr="00EA1803" w:rsidRDefault="00C0462D" w:rsidP="00C0462D">
      <w:pPr>
        <w:spacing w:after="120"/>
        <w:rPr>
          <w:rFonts w:ascii="Arial" w:hAnsi="Arial" w:cs="Arial"/>
        </w:rPr>
      </w:pPr>
      <w:r w:rsidRPr="00EA1803">
        <w:rPr>
          <w:rFonts w:ascii="Arial" w:hAnsi="Arial" w:cs="Arial"/>
        </w:rPr>
        <w:t>The period of operation is from the date of the</w:t>
      </w:r>
      <w:r w:rsidR="001D4B66">
        <w:rPr>
          <w:rFonts w:ascii="Arial" w:hAnsi="Arial" w:cs="Arial"/>
        </w:rPr>
        <w:t xml:space="preserve"> approval until 31 October</w:t>
      </w:r>
      <w:r w:rsidR="00EA1803" w:rsidRPr="00EA1803">
        <w:rPr>
          <w:rFonts w:ascii="Arial" w:hAnsi="Arial" w:cs="Arial"/>
        </w:rPr>
        <w:t> 2015</w:t>
      </w:r>
      <w:r w:rsidRPr="00EA1803">
        <w:rPr>
          <w:rFonts w:ascii="Arial" w:hAnsi="Arial" w:cs="Arial"/>
        </w:rPr>
        <w:t>.</w:t>
      </w:r>
    </w:p>
    <w:p w:rsidR="00C0462D" w:rsidRPr="002711AD" w:rsidRDefault="00C0462D" w:rsidP="00C0462D">
      <w:pPr>
        <w:spacing w:after="120"/>
        <w:rPr>
          <w:rFonts w:ascii="Arial" w:hAnsi="Arial" w:cs="Arial"/>
          <w:b/>
        </w:rPr>
      </w:pPr>
      <w:r w:rsidRPr="002711AD">
        <w:rPr>
          <w:rFonts w:ascii="Arial" w:hAnsi="Arial" w:cs="Arial"/>
          <w:b/>
        </w:rPr>
        <w:t>Details of the approval</w:t>
      </w:r>
    </w:p>
    <w:p w:rsidR="002711AD" w:rsidRPr="006764C2" w:rsidRDefault="002711AD" w:rsidP="002711AD">
      <w:pPr>
        <w:ind w:right="84"/>
        <w:rPr>
          <w:rFonts w:ascii="Arial" w:hAnsi="Arial" w:cs="Arial"/>
        </w:rPr>
      </w:pPr>
      <w:r w:rsidRPr="006764C2">
        <w:rPr>
          <w:rFonts w:ascii="Arial" w:hAnsi="Arial" w:cs="Arial"/>
        </w:rPr>
        <w:t xml:space="preserve">This approval varies the fuel standard for petrol set out in the </w:t>
      </w:r>
      <w:r w:rsidRPr="006764C2">
        <w:rPr>
          <w:rFonts w:ascii="Arial" w:hAnsi="Arial" w:cs="Arial"/>
          <w:iCs/>
        </w:rPr>
        <w:t xml:space="preserve">Fuel Standard (Petrol) Determination 2001 (the Petrol Determination) so that </w:t>
      </w:r>
      <w:r w:rsidRPr="006764C2">
        <w:rPr>
          <w:rFonts w:ascii="Arial" w:hAnsi="Arial" w:cs="Arial"/>
        </w:rPr>
        <w:t>specialist unleaded racing fuel containing either or both of the following parameters:</w:t>
      </w:r>
    </w:p>
    <w:p w:rsidR="002711AD" w:rsidRPr="006764C2" w:rsidRDefault="002711AD" w:rsidP="002711AD">
      <w:pPr>
        <w:numPr>
          <w:ilvl w:val="0"/>
          <w:numId w:val="4"/>
        </w:numPr>
        <w:tabs>
          <w:tab w:val="clear" w:pos="2865"/>
        </w:tabs>
        <w:ind w:left="1560" w:hanging="425"/>
        <w:rPr>
          <w:rFonts w:ascii="Arial" w:hAnsi="Arial" w:cs="Arial"/>
        </w:rPr>
      </w:pPr>
      <w:r w:rsidRPr="006764C2">
        <w:rPr>
          <w:rFonts w:ascii="Arial" w:hAnsi="Arial" w:cs="Arial"/>
        </w:rPr>
        <w:t>methyl tertiary-butyl ether (MTBE) up to 14.1 percent v/v; and</w:t>
      </w:r>
    </w:p>
    <w:p w:rsidR="002711AD" w:rsidRPr="006764C2" w:rsidRDefault="002711AD" w:rsidP="002711AD">
      <w:pPr>
        <w:numPr>
          <w:ilvl w:val="0"/>
          <w:numId w:val="4"/>
        </w:numPr>
        <w:tabs>
          <w:tab w:val="clear" w:pos="2865"/>
        </w:tabs>
        <w:ind w:left="1560" w:hanging="425"/>
        <w:rPr>
          <w:rFonts w:ascii="Arial" w:hAnsi="Arial" w:cs="Arial"/>
        </w:rPr>
      </w:pPr>
      <w:r w:rsidRPr="006764C2">
        <w:rPr>
          <w:rFonts w:ascii="Arial" w:hAnsi="Arial" w:cs="Arial"/>
        </w:rPr>
        <w:t>phosphorus up to 0.026 g/L,</w:t>
      </w:r>
    </w:p>
    <w:p w:rsidR="002711AD" w:rsidRPr="006764C2" w:rsidRDefault="002711AD" w:rsidP="002711AD">
      <w:pPr>
        <w:ind w:right="84"/>
        <w:rPr>
          <w:rFonts w:ascii="Arial" w:hAnsi="Arial" w:cs="Arial"/>
          <w:iCs/>
        </w:rPr>
      </w:pPr>
      <w:proofErr w:type="gramStart"/>
      <w:r w:rsidRPr="006764C2">
        <w:rPr>
          <w:rFonts w:ascii="Arial" w:hAnsi="Arial" w:cs="Arial"/>
          <w:iCs/>
        </w:rPr>
        <w:t>will</w:t>
      </w:r>
      <w:proofErr w:type="gramEnd"/>
      <w:r w:rsidRPr="006764C2">
        <w:rPr>
          <w:rFonts w:ascii="Arial" w:hAnsi="Arial" w:cs="Arial"/>
          <w:iCs/>
        </w:rPr>
        <w:t xml:space="preserve"> be taken to comply with the MTBE and phosphorus parameters specified in the Petrol Determination in respect of the supply of the fuel for use in legitimate motor sport activities.</w:t>
      </w:r>
    </w:p>
    <w:p w:rsidR="002711AD" w:rsidRPr="006764C2" w:rsidRDefault="002711AD" w:rsidP="002711AD">
      <w:pPr>
        <w:ind w:right="84"/>
        <w:rPr>
          <w:rFonts w:ascii="Arial" w:hAnsi="Arial" w:cs="Arial"/>
        </w:rPr>
      </w:pPr>
      <w:r w:rsidRPr="006764C2">
        <w:rPr>
          <w:rFonts w:ascii="Arial" w:hAnsi="Arial" w:cs="Arial"/>
        </w:rPr>
        <w:t>This approval applies to petrol supplied by the approval holder and the regulated persons specified in Annexure 1.</w:t>
      </w:r>
    </w:p>
    <w:p w:rsidR="002711AD" w:rsidRPr="006764C2" w:rsidRDefault="002711AD" w:rsidP="002711AD">
      <w:pPr>
        <w:ind w:right="84"/>
        <w:rPr>
          <w:rFonts w:ascii="Arial" w:hAnsi="Arial" w:cs="Arial"/>
        </w:rPr>
      </w:pPr>
      <w:r w:rsidRPr="006764C2">
        <w:rPr>
          <w:rFonts w:ascii="Arial" w:hAnsi="Arial" w:cs="Arial"/>
        </w:rPr>
        <w:t>This approval is granted subject to the conditions specified in section 17 of the Act and the conditions</w:t>
      </w:r>
      <w:r>
        <w:rPr>
          <w:rFonts w:ascii="Arial" w:hAnsi="Arial" w:cs="Arial"/>
        </w:rPr>
        <w:t xml:space="preserve"> specified in Annexure 2 of the</w:t>
      </w:r>
      <w:r w:rsidRPr="006764C2">
        <w:rPr>
          <w:rFonts w:ascii="Arial" w:hAnsi="Arial" w:cs="Arial"/>
        </w:rPr>
        <w:t xml:space="preserve"> approval</w:t>
      </w:r>
      <w:r>
        <w:rPr>
          <w:rFonts w:ascii="Arial" w:hAnsi="Arial" w:cs="Arial"/>
        </w:rPr>
        <w:t xml:space="preserve"> instrument</w:t>
      </w:r>
      <w:r w:rsidRPr="006764C2">
        <w:rPr>
          <w:rFonts w:ascii="Arial" w:hAnsi="Arial" w:cs="Arial"/>
        </w:rPr>
        <w:t>.</w:t>
      </w:r>
    </w:p>
    <w:p w:rsidR="00C0462D" w:rsidRPr="000763FC" w:rsidRDefault="00C0462D" w:rsidP="00BD27E8">
      <w:pPr>
        <w:spacing w:after="120"/>
        <w:rPr>
          <w:rFonts w:ascii="Arial" w:hAnsi="Arial" w:cs="Arial"/>
          <w:b/>
        </w:rPr>
      </w:pPr>
      <w:r w:rsidRPr="000763FC">
        <w:rPr>
          <w:rFonts w:ascii="Arial" w:hAnsi="Arial" w:cs="Arial"/>
          <w:b/>
        </w:rPr>
        <w:t>Summary of reasons for the approval</w:t>
      </w:r>
    </w:p>
    <w:p w:rsidR="00C0462D" w:rsidRPr="000D6830" w:rsidRDefault="00C0462D" w:rsidP="00BD27E8">
      <w:pPr>
        <w:tabs>
          <w:tab w:val="left" w:pos="8703"/>
        </w:tabs>
        <w:spacing w:after="120"/>
        <w:rPr>
          <w:rFonts w:ascii="Arial" w:hAnsi="Arial" w:cs="Arial"/>
        </w:rPr>
      </w:pPr>
      <w:r w:rsidRPr="000D6830">
        <w:rPr>
          <w:rFonts w:ascii="Arial" w:hAnsi="Arial" w:cs="Arial"/>
        </w:rPr>
        <w:t>I grant the approval as provided for in section 15 of the Act for the following reasons:</w:t>
      </w:r>
      <w:r w:rsidRPr="000D6830">
        <w:rPr>
          <w:rFonts w:ascii="Arial" w:hAnsi="Arial" w:cs="Arial"/>
        </w:rPr>
        <w:tab/>
      </w:r>
    </w:p>
    <w:p w:rsidR="00C0462D" w:rsidRPr="005766ED" w:rsidRDefault="00C0462D" w:rsidP="00BD27E8">
      <w:pPr>
        <w:pStyle w:val="Heading2"/>
        <w:numPr>
          <w:ilvl w:val="0"/>
          <w:numId w:val="0"/>
        </w:numPr>
        <w:spacing w:before="120" w:after="120" w:line="276" w:lineRule="auto"/>
        <w:ind w:left="578" w:hanging="578"/>
        <w:jc w:val="left"/>
        <w:rPr>
          <w:rFonts w:ascii="Arial" w:hAnsi="Arial"/>
          <w:b w:val="0"/>
          <w:color w:val="548DD4" w:themeColor="text2" w:themeTint="99"/>
          <w:sz w:val="22"/>
          <w:szCs w:val="22"/>
        </w:rPr>
      </w:pPr>
      <w:r w:rsidRPr="000D6830">
        <w:rPr>
          <w:rFonts w:ascii="Arial" w:hAnsi="Arial"/>
          <w:b w:val="0"/>
          <w:sz w:val="22"/>
          <w:szCs w:val="22"/>
        </w:rPr>
        <w:t>(a)</w:t>
      </w:r>
      <w:r w:rsidRPr="000D6830">
        <w:rPr>
          <w:rFonts w:ascii="Arial" w:hAnsi="Arial"/>
          <w:b w:val="0"/>
          <w:sz w:val="22"/>
          <w:szCs w:val="22"/>
        </w:rPr>
        <w:tab/>
      </w:r>
      <w:r w:rsidRPr="009A7CD5">
        <w:rPr>
          <w:rFonts w:ascii="Arial" w:hAnsi="Arial"/>
          <w:b w:val="0"/>
          <w:sz w:val="22"/>
          <w:szCs w:val="22"/>
        </w:rPr>
        <w:t>The protection of the environment</w:t>
      </w:r>
    </w:p>
    <w:p w:rsidR="009A7CD5" w:rsidRPr="00A55229" w:rsidRDefault="009A7CD5" w:rsidP="009A7CD5">
      <w:pPr>
        <w:pStyle w:val="bodytext"/>
        <w:spacing w:before="0"/>
        <w:rPr>
          <w:rFonts w:ascii="Arial" w:hAnsi="Arial" w:cs="Arial"/>
          <w:sz w:val="22"/>
        </w:rPr>
      </w:pPr>
      <w:r w:rsidRPr="00A55229">
        <w:rPr>
          <w:rFonts w:ascii="Arial" w:hAnsi="Arial" w:cs="Arial"/>
          <w:sz w:val="22"/>
        </w:rPr>
        <w:t>The fuel subject to this recommendation is used in small quantities for motor sport activities. In this context, it is not expected to impact significantly on ambient air quality.</w:t>
      </w:r>
    </w:p>
    <w:p w:rsidR="009A7CD5" w:rsidRDefault="009A7CD5" w:rsidP="009A7CD5">
      <w:pPr>
        <w:pStyle w:val="bodytext"/>
        <w:spacing w:before="0"/>
        <w:rPr>
          <w:rFonts w:ascii="Arial" w:hAnsi="Arial" w:cs="Arial"/>
          <w:sz w:val="22"/>
        </w:rPr>
      </w:pPr>
      <w:r w:rsidRPr="00A55229">
        <w:rPr>
          <w:rFonts w:ascii="Arial" w:hAnsi="Arial" w:cs="Arial"/>
          <w:sz w:val="22"/>
        </w:rPr>
        <w:t xml:space="preserve">The consequences of even a small amount of MTBE contaminating water sources can be significant. It is a standard condition of section 13 approvals for fuel containing MTBE above the </w:t>
      </w:r>
      <w:r w:rsidRPr="00A55229">
        <w:rPr>
          <w:rFonts w:ascii="Arial" w:hAnsi="Arial" w:cs="Arial"/>
          <w:sz w:val="22"/>
        </w:rPr>
        <w:lastRenderedPageBreak/>
        <w:t xml:space="preserve">limit specified in </w:t>
      </w:r>
      <w:r>
        <w:rPr>
          <w:rFonts w:ascii="Arial" w:hAnsi="Arial" w:cs="Arial"/>
          <w:sz w:val="22"/>
        </w:rPr>
        <w:t>petrol standard</w:t>
      </w:r>
      <w:r w:rsidRPr="00A55229">
        <w:rPr>
          <w:rFonts w:ascii="Arial" w:hAnsi="Arial" w:cs="Arial"/>
          <w:sz w:val="22"/>
        </w:rPr>
        <w:t xml:space="preserve"> that the fuel not be permitted in activities occurring on fresh water lakes and waterways.</w:t>
      </w:r>
    </w:p>
    <w:p w:rsidR="009A7CD5" w:rsidRPr="009A7CD5" w:rsidRDefault="009A7CD5" w:rsidP="009A7CD5">
      <w:pPr>
        <w:pStyle w:val="bodytext"/>
        <w:spacing w:before="0"/>
        <w:rPr>
          <w:rFonts w:ascii="Arial" w:hAnsi="Arial" w:cs="Arial"/>
          <w:color w:val="0070C0"/>
          <w:sz w:val="22"/>
        </w:rPr>
      </w:pPr>
      <w:r w:rsidRPr="007B2D9A">
        <w:rPr>
          <w:rFonts w:ascii="Arial" w:hAnsi="Arial" w:cs="Arial"/>
          <w:sz w:val="22"/>
        </w:rPr>
        <w:t xml:space="preserve">The fuel will be dispensed on a </w:t>
      </w:r>
      <w:r w:rsidRPr="007B2D9A">
        <w:rPr>
          <w:rFonts w:ascii="Arial" w:hAnsi="Arial" w:cs="Arial"/>
          <w:sz w:val="22"/>
          <w:lang w:val="en-US"/>
        </w:rPr>
        <w:t>self-</w:t>
      </w:r>
      <w:proofErr w:type="spellStart"/>
      <w:r w:rsidRPr="007B2D9A">
        <w:rPr>
          <w:rFonts w:ascii="Arial" w:hAnsi="Arial" w:cs="Arial"/>
          <w:sz w:val="22"/>
          <w:lang w:val="en-US"/>
        </w:rPr>
        <w:t>bunded</w:t>
      </w:r>
      <w:proofErr w:type="spellEnd"/>
      <w:r w:rsidRPr="007B2D9A">
        <w:rPr>
          <w:rFonts w:ascii="Arial" w:hAnsi="Arial" w:cs="Arial"/>
          <w:sz w:val="22"/>
          <w:lang w:val="en-US"/>
        </w:rPr>
        <w:t xml:space="preserve"> flooring system </w:t>
      </w:r>
      <w:r w:rsidRPr="007B2D9A">
        <w:rPr>
          <w:rFonts w:ascii="Arial" w:hAnsi="Arial" w:cs="Arial"/>
          <w:sz w:val="22"/>
        </w:rPr>
        <w:t>and fuel drums will be stored onsite within a transport container that meets international requirements for t</w:t>
      </w:r>
      <w:r>
        <w:rPr>
          <w:rFonts w:ascii="Arial" w:hAnsi="Arial" w:cs="Arial"/>
          <w:sz w:val="22"/>
        </w:rPr>
        <w:t>he transport of dangerous goods</w:t>
      </w:r>
      <w:r w:rsidRPr="007B2D9A">
        <w:rPr>
          <w:rFonts w:ascii="Arial" w:hAnsi="Arial" w:cs="Arial"/>
          <w:sz w:val="22"/>
        </w:rPr>
        <w:t>.</w:t>
      </w:r>
      <w:r>
        <w:rPr>
          <w:rFonts w:ascii="Arial" w:hAnsi="Arial" w:cs="Arial"/>
          <w:sz w:val="22"/>
        </w:rPr>
        <w:t xml:space="preserve"> Response procedures are in place for any spills on the course.</w:t>
      </w:r>
      <w:r w:rsidRPr="007B2D9A">
        <w:rPr>
          <w:rFonts w:ascii="Arial" w:hAnsi="Arial" w:cs="Arial"/>
          <w:sz w:val="22"/>
        </w:rPr>
        <w:t xml:space="preserve"> It is not expected that permitting the supply of the fuels covered by this approval for motor sport activities will have an adverse effect on the environment.</w:t>
      </w:r>
      <w:r w:rsidRPr="007B2D9A">
        <w:rPr>
          <w:rFonts w:ascii="Arial" w:hAnsi="Arial" w:cs="Arial"/>
          <w:color w:val="0070C0"/>
          <w:sz w:val="22"/>
        </w:rPr>
        <w:t xml:space="preserve"> </w:t>
      </w:r>
    </w:p>
    <w:p w:rsidR="00C0462D" w:rsidRPr="009A7CD5" w:rsidRDefault="009A7CD5" w:rsidP="00BD27E8">
      <w:pPr>
        <w:pStyle w:val="Heading2"/>
        <w:numPr>
          <w:ilvl w:val="0"/>
          <w:numId w:val="0"/>
        </w:numPr>
        <w:spacing w:before="120" w:after="120" w:line="276" w:lineRule="auto"/>
        <w:ind w:left="578" w:hanging="578"/>
        <w:jc w:val="left"/>
        <w:rPr>
          <w:rFonts w:ascii="Arial" w:hAnsi="Arial"/>
          <w:b w:val="0"/>
          <w:sz w:val="22"/>
          <w:szCs w:val="22"/>
        </w:rPr>
      </w:pPr>
      <w:r w:rsidRPr="005766ED">
        <w:rPr>
          <w:rFonts w:ascii="Arial" w:hAnsi="Arial"/>
          <w:b w:val="0"/>
          <w:color w:val="548DD4" w:themeColor="text2" w:themeTint="99"/>
          <w:sz w:val="22"/>
          <w:szCs w:val="22"/>
        </w:rPr>
        <w:t xml:space="preserve"> </w:t>
      </w:r>
      <w:r w:rsidR="00C0462D" w:rsidRPr="009A7CD5">
        <w:rPr>
          <w:rFonts w:ascii="Arial" w:hAnsi="Arial"/>
          <w:b w:val="0"/>
          <w:sz w:val="22"/>
          <w:szCs w:val="22"/>
        </w:rPr>
        <w:t>(b)</w:t>
      </w:r>
      <w:r w:rsidR="00C0462D" w:rsidRPr="009A7CD5">
        <w:rPr>
          <w:rFonts w:ascii="Arial" w:hAnsi="Arial"/>
          <w:b w:val="0"/>
          <w:sz w:val="22"/>
          <w:szCs w:val="22"/>
        </w:rPr>
        <w:tab/>
        <w:t>The protection of occupational and public health and safety</w:t>
      </w:r>
    </w:p>
    <w:p w:rsidR="009A7CD5" w:rsidRPr="009A7CD5" w:rsidRDefault="009A7CD5" w:rsidP="009A7CD5">
      <w:pPr>
        <w:rPr>
          <w:rFonts w:ascii="Arial" w:hAnsi="Arial" w:cs="Arial"/>
        </w:rPr>
      </w:pPr>
      <w:r w:rsidRPr="009A7CD5">
        <w:rPr>
          <w:rFonts w:ascii="Arial" w:hAnsi="Arial" w:cs="Arial"/>
        </w:rPr>
        <w:t xml:space="preserve">The fuel is not likely to have any impact on the health and safety of users as the volume used is minimal and for specific events. The fuel will be used by a small number of competitors and no contact with the general public is expected. Specialist racing fuels are supplied in sealed containers of up to 205 litres capacity and are used in small quantities, primarily in off-road activities, and in widely dispersed locations. Safe handling information will be provided with the fuel. Consequently, the committee does not expect any significant occupational and public health and safety risks to result from use of these fuels. </w:t>
      </w:r>
    </w:p>
    <w:p w:rsidR="00C0462D" w:rsidRPr="009A7CD5" w:rsidRDefault="009A7CD5" w:rsidP="00BD27E8">
      <w:pPr>
        <w:pStyle w:val="Heading2"/>
        <w:numPr>
          <w:ilvl w:val="0"/>
          <w:numId w:val="0"/>
        </w:numPr>
        <w:spacing w:before="120" w:after="120" w:line="276" w:lineRule="auto"/>
        <w:ind w:left="578" w:hanging="578"/>
        <w:jc w:val="left"/>
        <w:rPr>
          <w:rFonts w:ascii="Arial" w:hAnsi="Arial" w:cs="Arial"/>
          <w:b w:val="0"/>
          <w:sz w:val="22"/>
          <w:szCs w:val="22"/>
        </w:rPr>
      </w:pPr>
      <w:r w:rsidRPr="009A7CD5">
        <w:rPr>
          <w:rFonts w:ascii="Arial" w:hAnsi="Arial" w:cs="Arial"/>
          <w:b w:val="0"/>
          <w:sz w:val="22"/>
          <w:szCs w:val="22"/>
        </w:rPr>
        <w:t xml:space="preserve"> </w:t>
      </w:r>
      <w:r w:rsidR="00C0462D" w:rsidRPr="009A7CD5">
        <w:rPr>
          <w:rFonts w:ascii="Arial" w:hAnsi="Arial" w:cs="Arial"/>
          <w:b w:val="0"/>
          <w:sz w:val="22"/>
          <w:szCs w:val="22"/>
        </w:rPr>
        <w:t>(c)</w:t>
      </w:r>
      <w:r w:rsidR="00C0462D" w:rsidRPr="009A7CD5">
        <w:rPr>
          <w:rFonts w:ascii="Arial" w:hAnsi="Arial" w:cs="Arial"/>
          <w:b w:val="0"/>
          <w:sz w:val="22"/>
          <w:szCs w:val="22"/>
        </w:rPr>
        <w:tab/>
        <w:t>The interests of consumers</w:t>
      </w:r>
    </w:p>
    <w:p w:rsidR="009A7CD5" w:rsidRPr="009A7CD5" w:rsidRDefault="009A7CD5" w:rsidP="009A7CD5">
      <w:pPr>
        <w:rPr>
          <w:rFonts w:ascii="Arial" w:hAnsi="Arial" w:cs="Arial"/>
        </w:rPr>
      </w:pPr>
      <w:r w:rsidRPr="009A7CD5">
        <w:rPr>
          <w:rFonts w:ascii="Arial" w:hAnsi="Arial" w:cs="Arial"/>
        </w:rPr>
        <w:t>A single batch of specialist fuel is produced each year for the World Rally Championship organisers to supply all cars in all events in all countries. This single batch standardises the fuel for all competitors and avoids cars needing to be retuned for local fuel in each different country. International rally cars would not function properly on standard petrol, and the event may not go ahead in Australia if approval is not granted.</w:t>
      </w:r>
    </w:p>
    <w:p w:rsidR="00C0462D" w:rsidRPr="009A7CD5" w:rsidRDefault="009A7CD5" w:rsidP="00BD27E8">
      <w:pPr>
        <w:pStyle w:val="Heading2"/>
        <w:numPr>
          <w:ilvl w:val="0"/>
          <w:numId w:val="0"/>
        </w:numPr>
        <w:spacing w:before="120" w:after="120" w:line="276" w:lineRule="auto"/>
        <w:ind w:left="578" w:hanging="578"/>
        <w:jc w:val="left"/>
        <w:rPr>
          <w:rFonts w:ascii="Arial" w:hAnsi="Arial" w:cs="Arial"/>
          <w:b w:val="0"/>
          <w:sz w:val="22"/>
          <w:szCs w:val="22"/>
        </w:rPr>
      </w:pPr>
      <w:r w:rsidRPr="009A7CD5">
        <w:rPr>
          <w:rFonts w:ascii="Arial" w:hAnsi="Arial" w:cs="Arial"/>
          <w:b w:val="0"/>
          <w:sz w:val="22"/>
          <w:szCs w:val="22"/>
        </w:rPr>
        <w:t xml:space="preserve"> </w:t>
      </w:r>
      <w:r w:rsidR="00C0462D" w:rsidRPr="009A7CD5">
        <w:rPr>
          <w:rFonts w:ascii="Arial" w:hAnsi="Arial" w:cs="Arial"/>
          <w:b w:val="0"/>
          <w:sz w:val="22"/>
          <w:szCs w:val="22"/>
        </w:rPr>
        <w:t>(d)</w:t>
      </w:r>
      <w:r w:rsidR="00C0462D" w:rsidRPr="009A7CD5">
        <w:rPr>
          <w:rFonts w:ascii="Arial" w:hAnsi="Arial" w:cs="Arial"/>
          <w:b w:val="0"/>
          <w:sz w:val="22"/>
          <w:szCs w:val="22"/>
        </w:rPr>
        <w:tab/>
        <w:t>The impact on economic and regional development</w:t>
      </w:r>
    </w:p>
    <w:p w:rsidR="00C0462D" w:rsidRDefault="009A7CD5" w:rsidP="009A7CD5">
      <w:pPr>
        <w:pStyle w:val="BodyText3"/>
        <w:rPr>
          <w:rFonts w:ascii="Arial" w:hAnsi="Arial" w:cs="Arial"/>
          <w:b w:val="0"/>
          <w:sz w:val="22"/>
          <w:szCs w:val="22"/>
          <w:lang w:val="en-US"/>
        </w:rPr>
      </w:pPr>
      <w:r w:rsidRPr="009A7CD5">
        <w:rPr>
          <w:rFonts w:ascii="Arial" w:hAnsi="Arial" w:cs="Arial"/>
          <w:b w:val="0"/>
          <w:sz w:val="22"/>
          <w:szCs w:val="22"/>
          <w:lang w:val="en-US"/>
        </w:rPr>
        <w:t xml:space="preserve">As this is an international event, it will attract tourism to the area (Coffs </w:t>
      </w:r>
      <w:proofErr w:type="spellStart"/>
      <w:r w:rsidRPr="009A7CD5">
        <w:rPr>
          <w:rFonts w:ascii="Arial" w:hAnsi="Arial" w:cs="Arial"/>
          <w:b w:val="0"/>
          <w:sz w:val="22"/>
          <w:szCs w:val="22"/>
          <w:lang w:val="en-US"/>
        </w:rPr>
        <w:t>Harbour</w:t>
      </w:r>
      <w:proofErr w:type="spellEnd"/>
      <w:r w:rsidRPr="009A7CD5">
        <w:rPr>
          <w:rFonts w:ascii="Arial" w:hAnsi="Arial" w:cs="Arial"/>
          <w:b w:val="0"/>
          <w:sz w:val="22"/>
          <w:szCs w:val="22"/>
          <w:lang w:val="en-US"/>
        </w:rPr>
        <w:t xml:space="preserve">) for the duration of the event, and like other motor sport events, will provide a financial benefit to the (non-metropolitan) host community. </w:t>
      </w:r>
    </w:p>
    <w:p w:rsidR="009A7CD5" w:rsidRDefault="009A7CD5" w:rsidP="009A7CD5">
      <w:pPr>
        <w:pStyle w:val="BodyText3"/>
        <w:rPr>
          <w:rFonts w:ascii="Arial" w:hAnsi="Arial" w:cs="Arial"/>
          <w:b w:val="0"/>
          <w:sz w:val="22"/>
          <w:szCs w:val="22"/>
          <w:lang w:val="en-US"/>
        </w:rPr>
      </w:pPr>
    </w:p>
    <w:p w:rsidR="009A7CD5" w:rsidRDefault="009A7CD5" w:rsidP="009A7CD5">
      <w:pPr>
        <w:pStyle w:val="BodyText3"/>
        <w:rPr>
          <w:rFonts w:ascii="Arial" w:hAnsi="Arial" w:cs="Arial"/>
          <w:b w:val="0"/>
          <w:sz w:val="22"/>
          <w:szCs w:val="22"/>
          <w:lang w:val="en-US"/>
        </w:rPr>
      </w:pPr>
    </w:p>
    <w:p w:rsidR="009A7CD5" w:rsidRDefault="009A7CD5" w:rsidP="009A7CD5">
      <w:pPr>
        <w:pStyle w:val="BodyText3"/>
        <w:rPr>
          <w:rFonts w:ascii="Arial" w:hAnsi="Arial" w:cs="Arial"/>
          <w:b w:val="0"/>
          <w:sz w:val="22"/>
          <w:szCs w:val="22"/>
          <w:lang w:val="en-US"/>
        </w:rPr>
      </w:pPr>
    </w:p>
    <w:p w:rsidR="009A7CD5" w:rsidRDefault="009A7CD5" w:rsidP="009A7CD5">
      <w:pPr>
        <w:pStyle w:val="BodyText3"/>
        <w:rPr>
          <w:rFonts w:ascii="Arial" w:hAnsi="Arial" w:cs="Arial"/>
          <w:b w:val="0"/>
          <w:sz w:val="22"/>
          <w:szCs w:val="22"/>
          <w:lang w:val="en-US"/>
        </w:rPr>
      </w:pPr>
    </w:p>
    <w:p w:rsidR="009A7CD5" w:rsidRPr="009A7CD5" w:rsidRDefault="009A7CD5" w:rsidP="009A7CD5">
      <w:pPr>
        <w:pStyle w:val="BodyText3"/>
        <w:rPr>
          <w:rFonts w:ascii="Arial" w:hAnsi="Arial" w:cs="Arial"/>
          <w:b w:val="0"/>
          <w:sz w:val="22"/>
          <w:szCs w:val="22"/>
          <w:lang w:val="en-US"/>
        </w:rPr>
      </w:pPr>
    </w:p>
    <w:p w:rsidR="00BD27E8" w:rsidRDefault="00BD27E8" w:rsidP="00C0462D">
      <w:pPr>
        <w:pStyle w:val="ListParagraph"/>
        <w:spacing w:after="200" w:line="276" w:lineRule="auto"/>
        <w:ind w:left="0"/>
        <w:rPr>
          <w:rFonts w:ascii="Arial" w:hAnsi="Arial" w:cs="Arial"/>
          <w:bCs/>
          <w:color w:val="548DD4" w:themeColor="text2" w:themeTint="99"/>
          <w:sz w:val="22"/>
          <w:szCs w:val="22"/>
        </w:rPr>
      </w:pPr>
    </w:p>
    <w:p w:rsidR="007C510B" w:rsidRPr="00EA1803" w:rsidRDefault="007C510B" w:rsidP="00C0462D">
      <w:pPr>
        <w:pStyle w:val="ListParagraph"/>
        <w:spacing w:after="200" w:line="276" w:lineRule="auto"/>
        <w:ind w:left="0"/>
        <w:rPr>
          <w:rFonts w:ascii="Arial" w:hAnsi="Arial" w:cs="Arial"/>
          <w:bCs/>
          <w:color w:val="548DD4" w:themeColor="text2" w:themeTint="99"/>
          <w:sz w:val="22"/>
          <w:szCs w:val="22"/>
        </w:rPr>
      </w:pPr>
    </w:p>
    <w:p w:rsidR="00BD27E8" w:rsidRPr="007C510B" w:rsidRDefault="007C510B" w:rsidP="00C0462D">
      <w:pPr>
        <w:pStyle w:val="ListParagraph"/>
        <w:spacing w:after="200" w:line="276" w:lineRule="auto"/>
        <w:ind w:left="0"/>
        <w:rPr>
          <w:rFonts w:ascii="Arial" w:hAnsi="Arial" w:cs="Arial"/>
          <w:bCs/>
          <w:sz w:val="22"/>
          <w:szCs w:val="22"/>
        </w:rPr>
      </w:pPr>
      <w:r w:rsidRPr="007C510B">
        <w:rPr>
          <w:rFonts w:ascii="Arial" w:hAnsi="Arial" w:cs="Arial"/>
          <w:bCs/>
          <w:sz w:val="22"/>
          <w:szCs w:val="22"/>
        </w:rPr>
        <w:t>.............................................................</w:t>
      </w:r>
    </w:p>
    <w:p w:rsidR="00C0462D" w:rsidRPr="007C510B" w:rsidRDefault="007C510B" w:rsidP="003473D6">
      <w:pPr>
        <w:spacing w:after="120"/>
        <w:rPr>
          <w:rFonts w:ascii="Arial" w:hAnsi="Arial" w:cs="Arial"/>
          <w:b/>
        </w:rPr>
      </w:pPr>
      <w:r w:rsidRPr="007C510B">
        <w:rPr>
          <w:rFonts w:ascii="Arial" w:hAnsi="Arial" w:cs="Arial"/>
          <w:b/>
        </w:rPr>
        <w:t xml:space="preserve">Simon Banks </w:t>
      </w:r>
    </w:p>
    <w:p w:rsidR="00A32336" w:rsidRDefault="00C0462D" w:rsidP="00C0462D">
      <w:pPr>
        <w:rPr>
          <w:rFonts w:ascii="Arial" w:hAnsi="Arial" w:cs="Arial"/>
          <w:b/>
          <w:bCs/>
        </w:rPr>
      </w:pPr>
      <w:r w:rsidRPr="007C510B">
        <w:rPr>
          <w:rFonts w:ascii="Arial" w:hAnsi="Arial" w:cs="Arial"/>
          <w:b/>
          <w:bCs/>
        </w:rPr>
        <w:t>Assistant Secretary</w:t>
      </w:r>
    </w:p>
    <w:p w:rsidR="00C0462D" w:rsidRPr="007C510B" w:rsidRDefault="00A32336" w:rsidP="00C0462D">
      <w:pPr>
        <w:rPr>
          <w:rFonts w:ascii="Arial" w:hAnsi="Arial" w:cs="Arial"/>
          <w:b/>
          <w:bCs/>
        </w:rPr>
      </w:pPr>
      <w:r>
        <w:rPr>
          <w:rFonts w:ascii="Arial" w:hAnsi="Arial" w:cs="Arial"/>
          <w:b/>
          <w:bCs/>
          <w:noProof/>
          <w:lang w:eastAsia="en-AU"/>
        </w:rPr>
        <w:t xml:space="preserve">13 </w:t>
      </w:r>
      <w:r w:rsidR="007C510B" w:rsidRPr="007C510B">
        <w:rPr>
          <w:rFonts w:ascii="Arial" w:hAnsi="Arial" w:cs="Arial"/>
          <w:b/>
          <w:bCs/>
        </w:rPr>
        <w:t>August 2015</w:t>
      </w:r>
    </w:p>
    <w:sectPr w:rsidR="00C0462D" w:rsidRPr="007C510B"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4F" w:rsidRDefault="00AC3C4F" w:rsidP="003A707F">
      <w:pPr>
        <w:spacing w:after="0" w:line="240" w:lineRule="auto"/>
      </w:pPr>
      <w:r>
        <w:separator/>
      </w:r>
    </w:p>
  </w:endnote>
  <w:endnote w:type="continuationSeparator" w:id="0">
    <w:p w:rsidR="00AC3C4F" w:rsidRDefault="00AC3C4F"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4F" w:rsidRDefault="00AC3C4F" w:rsidP="003A707F">
      <w:pPr>
        <w:spacing w:after="0" w:line="240" w:lineRule="auto"/>
      </w:pPr>
      <w:r>
        <w:separator/>
      </w:r>
    </w:p>
  </w:footnote>
  <w:footnote w:type="continuationSeparator" w:id="0">
    <w:p w:rsidR="00AC3C4F" w:rsidRDefault="00AC3C4F"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AC3C4F" w:rsidRPr="00CE796A" w:rsidTr="00C0462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C3C4F" w:rsidRPr="00CE796A" w:rsidRDefault="00AC3C4F"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C3C4F" w:rsidRPr="00CE796A" w:rsidRDefault="00AC3C4F"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AC3C4F" w:rsidRPr="00CE796A" w:rsidRDefault="00AC3C4F"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C3C4F"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C3C4F" w:rsidRPr="00CE796A" w:rsidRDefault="00AC3C4F"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C3C4F" w:rsidRPr="00840A06" w:rsidRDefault="00AC3C4F"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AC3C4F" w:rsidRPr="003A707F" w:rsidRDefault="00AC3C4F" w:rsidP="00F40885">
    <w:pPr>
      <w:pStyle w:val="Header"/>
      <w:rPr>
        <w:sz w:val="2"/>
        <w:szCs w:val="2"/>
      </w:rPr>
    </w:pPr>
  </w:p>
  <w:p w:rsidR="00AC3C4F" w:rsidRPr="00F40885" w:rsidRDefault="00AC3C4F">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3A8F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C8B2EAC"/>
    <w:multiLevelType w:val="hybridMultilevel"/>
    <w:tmpl w:val="7848D6DA"/>
    <w:lvl w:ilvl="0" w:tplc="0C090001">
      <w:start w:val="1"/>
      <w:numFmt w:val="bullet"/>
      <w:lvlText w:val=""/>
      <w:lvlJc w:val="left"/>
      <w:pPr>
        <w:tabs>
          <w:tab w:val="num" w:pos="2865"/>
        </w:tabs>
        <w:ind w:left="2865" w:hanging="360"/>
      </w:pPr>
      <w:rPr>
        <w:rFonts w:ascii="Symbol" w:hAnsi="Symbol" w:hint="default"/>
      </w:rPr>
    </w:lvl>
    <w:lvl w:ilvl="1" w:tplc="0C09000F">
      <w:start w:val="1"/>
      <w:numFmt w:val="decimal"/>
      <w:lvlText w:val="%2."/>
      <w:lvlJc w:val="left"/>
      <w:pPr>
        <w:tabs>
          <w:tab w:val="num" w:pos="3585"/>
        </w:tabs>
        <w:ind w:left="3585" w:hanging="360"/>
      </w:pPr>
      <w:rPr>
        <w:rFonts w:hint="default"/>
      </w:rPr>
    </w:lvl>
    <w:lvl w:ilvl="2" w:tplc="0C090005" w:tentative="1">
      <w:start w:val="1"/>
      <w:numFmt w:val="bullet"/>
      <w:lvlText w:val=""/>
      <w:lvlJc w:val="left"/>
      <w:pPr>
        <w:tabs>
          <w:tab w:val="num" w:pos="4305"/>
        </w:tabs>
        <w:ind w:left="4305" w:hanging="360"/>
      </w:pPr>
      <w:rPr>
        <w:rFonts w:ascii="Wingdings" w:hAnsi="Wingdings" w:hint="default"/>
      </w:rPr>
    </w:lvl>
    <w:lvl w:ilvl="3" w:tplc="0C090001" w:tentative="1">
      <w:start w:val="1"/>
      <w:numFmt w:val="bullet"/>
      <w:lvlText w:val=""/>
      <w:lvlJc w:val="left"/>
      <w:pPr>
        <w:tabs>
          <w:tab w:val="num" w:pos="5025"/>
        </w:tabs>
        <w:ind w:left="5025" w:hanging="360"/>
      </w:pPr>
      <w:rPr>
        <w:rFonts w:ascii="Symbol" w:hAnsi="Symbol" w:hint="default"/>
      </w:rPr>
    </w:lvl>
    <w:lvl w:ilvl="4" w:tplc="0C090003" w:tentative="1">
      <w:start w:val="1"/>
      <w:numFmt w:val="bullet"/>
      <w:lvlText w:val="o"/>
      <w:lvlJc w:val="left"/>
      <w:pPr>
        <w:tabs>
          <w:tab w:val="num" w:pos="5745"/>
        </w:tabs>
        <w:ind w:left="5745" w:hanging="360"/>
      </w:pPr>
      <w:rPr>
        <w:rFonts w:ascii="Courier New" w:hAnsi="Courier New" w:cs="Courier New" w:hint="default"/>
      </w:rPr>
    </w:lvl>
    <w:lvl w:ilvl="5" w:tplc="0C090005" w:tentative="1">
      <w:start w:val="1"/>
      <w:numFmt w:val="bullet"/>
      <w:lvlText w:val=""/>
      <w:lvlJc w:val="left"/>
      <w:pPr>
        <w:tabs>
          <w:tab w:val="num" w:pos="6465"/>
        </w:tabs>
        <w:ind w:left="6465" w:hanging="360"/>
      </w:pPr>
      <w:rPr>
        <w:rFonts w:ascii="Wingdings" w:hAnsi="Wingdings" w:hint="default"/>
      </w:rPr>
    </w:lvl>
    <w:lvl w:ilvl="6" w:tplc="0C090001" w:tentative="1">
      <w:start w:val="1"/>
      <w:numFmt w:val="bullet"/>
      <w:lvlText w:val=""/>
      <w:lvlJc w:val="left"/>
      <w:pPr>
        <w:tabs>
          <w:tab w:val="num" w:pos="7185"/>
        </w:tabs>
        <w:ind w:left="7185" w:hanging="360"/>
      </w:pPr>
      <w:rPr>
        <w:rFonts w:ascii="Symbol" w:hAnsi="Symbol" w:hint="default"/>
      </w:rPr>
    </w:lvl>
    <w:lvl w:ilvl="7" w:tplc="0C090003" w:tentative="1">
      <w:start w:val="1"/>
      <w:numFmt w:val="bullet"/>
      <w:lvlText w:val="o"/>
      <w:lvlJc w:val="left"/>
      <w:pPr>
        <w:tabs>
          <w:tab w:val="num" w:pos="7905"/>
        </w:tabs>
        <w:ind w:left="7905" w:hanging="360"/>
      </w:pPr>
      <w:rPr>
        <w:rFonts w:ascii="Courier New" w:hAnsi="Courier New" w:cs="Courier New" w:hint="default"/>
      </w:rPr>
    </w:lvl>
    <w:lvl w:ilvl="8" w:tplc="0C090005" w:tentative="1">
      <w:start w:val="1"/>
      <w:numFmt w:val="bullet"/>
      <w:lvlText w:val=""/>
      <w:lvlJc w:val="left"/>
      <w:pPr>
        <w:tabs>
          <w:tab w:val="num" w:pos="8625"/>
        </w:tabs>
        <w:ind w:left="8625" w:hanging="360"/>
      </w:pPr>
      <w:rPr>
        <w:rFonts w:ascii="Wingdings" w:hAnsi="Wingdings" w:hint="default"/>
      </w:rPr>
    </w:lvl>
  </w:abstractNum>
  <w:abstractNum w:abstractNumId="2">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707E5561"/>
    <w:multiLevelType w:val="hybridMultilevel"/>
    <w:tmpl w:val="83582C1A"/>
    <w:lvl w:ilvl="0" w:tplc="AB3EFF46">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4323A"/>
    <w:rsid w:val="000540DC"/>
    <w:rsid w:val="000763FC"/>
    <w:rsid w:val="000D6830"/>
    <w:rsid w:val="000E1F2B"/>
    <w:rsid w:val="001C2AAD"/>
    <w:rsid w:val="001D4B66"/>
    <w:rsid w:val="001F6E54"/>
    <w:rsid w:val="002711AD"/>
    <w:rsid w:val="00280BCD"/>
    <w:rsid w:val="003473D6"/>
    <w:rsid w:val="003A707F"/>
    <w:rsid w:val="003B0EC1"/>
    <w:rsid w:val="003B573B"/>
    <w:rsid w:val="003E5161"/>
    <w:rsid w:val="003F2CBD"/>
    <w:rsid w:val="00424B97"/>
    <w:rsid w:val="00440B6F"/>
    <w:rsid w:val="00457E12"/>
    <w:rsid w:val="004B2753"/>
    <w:rsid w:val="00504504"/>
    <w:rsid w:val="00520873"/>
    <w:rsid w:val="00520904"/>
    <w:rsid w:val="00533FD3"/>
    <w:rsid w:val="00573D44"/>
    <w:rsid w:val="005766ED"/>
    <w:rsid w:val="005E1C9A"/>
    <w:rsid w:val="00632217"/>
    <w:rsid w:val="006E3419"/>
    <w:rsid w:val="00753735"/>
    <w:rsid w:val="007715D3"/>
    <w:rsid w:val="007C510B"/>
    <w:rsid w:val="0080435E"/>
    <w:rsid w:val="00840A06"/>
    <w:rsid w:val="008439B7"/>
    <w:rsid w:val="00844E43"/>
    <w:rsid w:val="0087253F"/>
    <w:rsid w:val="0089485F"/>
    <w:rsid w:val="008E4F6C"/>
    <w:rsid w:val="009539C7"/>
    <w:rsid w:val="009A7CD5"/>
    <w:rsid w:val="009B43FA"/>
    <w:rsid w:val="00A00F21"/>
    <w:rsid w:val="00A32336"/>
    <w:rsid w:val="00AC3C4F"/>
    <w:rsid w:val="00AD07EC"/>
    <w:rsid w:val="00AD39FF"/>
    <w:rsid w:val="00B13A93"/>
    <w:rsid w:val="00B84226"/>
    <w:rsid w:val="00BD27E8"/>
    <w:rsid w:val="00C01AC2"/>
    <w:rsid w:val="00C0462D"/>
    <w:rsid w:val="00C63C4E"/>
    <w:rsid w:val="00CE6588"/>
    <w:rsid w:val="00D276CA"/>
    <w:rsid w:val="00D77A88"/>
    <w:rsid w:val="00DF000D"/>
    <w:rsid w:val="00E969B9"/>
    <w:rsid w:val="00EA1803"/>
    <w:rsid w:val="00EC3564"/>
    <w:rsid w:val="00F25B47"/>
    <w:rsid w:val="00F40885"/>
    <w:rsid w:val="00F825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04"/>
  </w:style>
  <w:style w:type="paragraph" w:styleId="Heading1">
    <w:name w:val="heading 1"/>
    <w:aliases w:val="H-1"/>
    <w:basedOn w:val="Heading2"/>
    <w:next w:val="Normal"/>
    <w:link w:val="Heading1Char"/>
    <w:qFormat/>
    <w:rsid w:val="00C0462D"/>
    <w:pPr>
      <w:numPr>
        <w:ilvl w:val="0"/>
      </w:numPr>
      <w:outlineLvl w:val="0"/>
    </w:pPr>
    <w:rPr>
      <w:sz w:val="32"/>
    </w:rPr>
  </w:style>
  <w:style w:type="paragraph" w:styleId="Heading2">
    <w:name w:val="heading 2"/>
    <w:aliases w:val="H-2"/>
    <w:basedOn w:val="Normal"/>
    <w:next w:val="Normal"/>
    <w:link w:val="Heading2Char"/>
    <w:qFormat/>
    <w:rsid w:val="00C0462D"/>
    <w:pPr>
      <w:keepNext/>
      <w:numPr>
        <w:ilvl w:val="1"/>
        <w:numId w:val="1"/>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C0462D"/>
    <w:pPr>
      <w:keepNext/>
      <w:numPr>
        <w:ilvl w:val="2"/>
        <w:numId w:val="1"/>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C0462D"/>
    <w:pPr>
      <w:keepNext/>
      <w:numPr>
        <w:ilvl w:val="3"/>
        <w:numId w:val="1"/>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C0462D"/>
    <w:pPr>
      <w:keepNext/>
      <w:numPr>
        <w:ilvl w:val="4"/>
        <w:numId w:val="1"/>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C0462D"/>
    <w:pPr>
      <w:keepNext/>
      <w:numPr>
        <w:ilvl w:val="5"/>
        <w:numId w:val="1"/>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C0462D"/>
    <w:pPr>
      <w:keepNext/>
      <w:numPr>
        <w:ilvl w:val="6"/>
        <w:numId w:val="1"/>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C0462D"/>
    <w:pPr>
      <w:keepNext/>
      <w:numPr>
        <w:ilvl w:val="7"/>
        <w:numId w:val="1"/>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C0462D"/>
    <w:pPr>
      <w:keepNext/>
      <w:numPr>
        <w:ilvl w:val="8"/>
        <w:numId w:val="1"/>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aliases w:val="H-1 Char"/>
    <w:basedOn w:val="DefaultParagraphFont"/>
    <w:link w:val="Heading1"/>
    <w:rsid w:val="00C0462D"/>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C0462D"/>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C0462D"/>
    <w:rPr>
      <w:rFonts w:ascii="Palatino" w:eastAsia="Times New Roman" w:hAnsi="Palatino" w:cs="Times New Roman"/>
      <w:b/>
      <w:sz w:val="24"/>
      <w:szCs w:val="20"/>
    </w:rPr>
  </w:style>
  <w:style w:type="character" w:customStyle="1" w:styleId="Heading4Char">
    <w:name w:val="Heading 4 Char"/>
    <w:basedOn w:val="DefaultParagraphFont"/>
    <w:link w:val="Heading4"/>
    <w:rsid w:val="00C0462D"/>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C0462D"/>
    <w:rPr>
      <w:rFonts w:ascii="Palatino" w:eastAsia="Times New Roman" w:hAnsi="Palatino" w:cs="Times New Roman"/>
      <w:b/>
      <w:sz w:val="24"/>
      <w:szCs w:val="20"/>
    </w:rPr>
  </w:style>
  <w:style w:type="character" w:customStyle="1" w:styleId="Heading6Char">
    <w:name w:val="Heading 6 Char"/>
    <w:basedOn w:val="DefaultParagraphFont"/>
    <w:link w:val="Heading6"/>
    <w:rsid w:val="00C0462D"/>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C0462D"/>
    <w:rPr>
      <w:rFonts w:ascii="Palatino" w:eastAsia="Times New Roman" w:hAnsi="Palatino" w:cs="Times New Roman"/>
      <w:i/>
      <w:sz w:val="24"/>
      <w:szCs w:val="20"/>
    </w:rPr>
  </w:style>
  <w:style w:type="character" w:customStyle="1" w:styleId="Heading8Char">
    <w:name w:val="Heading 8 Char"/>
    <w:basedOn w:val="DefaultParagraphFont"/>
    <w:link w:val="Heading8"/>
    <w:rsid w:val="00C0462D"/>
    <w:rPr>
      <w:rFonts w:ascii="Palatino" w:eastAsia="Times New Roman" w:hAnsi="Palatino" w:cs="Times New Roman"/>
      <w:b/>
      <w:i/>
      <w:sz w:val="24"/>
      <w:szCs w:val="20"/>
    </w:rPr>
  </w:style>
  <w:style w:type="character" w:customStyle="1" w:styleId="Heading9Char">
    <w:name w:val="Heading 9 Char"/>
    <w:basedOn w:val="DefaultParagraphFont"/>
    <w:link w:val="Heading9"/>
    <w:rsid w:val="00C0462D"/>
    <w:rPr>
      <w:rFonts w:ascii="Palatino" w:eastAsia="Times New Roman" w:hAnsi="Palatino" w:cs="Times New Roman"/>
      <w:sz w:val="24"/>
      <w:szCs w:val="20"/>
    </w:rPr>
  </w:style>
  <w:style w:type="paragraph" w:styleId="BodyText3">
    <w:name w:val="Body Text 3"/>
    <w:basedOn w:val="Normal"/>
    <w:link w:val="BodyText3Char"/>
    <w:rsid w:val="00C0462D"/>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C0462D"/>
    <w:rPr>
      <w:rFonts w:ascii="Palatino" w:eastAsia="Times New Roman" w:hAnsi="Palatino" w:cs="Times New Roman"/>
      <w:b/>
      <w:sz w:val="23"/>
      <w:szCs w:val="20"/>
    </w:rPr>
  </w:style>
  <w:style w:type="paragraph" w:styleId="ListParagraph">
    <w:name w:val="List Paragraph"/>
    <w:basedOn w:val="Normal"/>
    <w:uiPriority w:val="34"/>
    <w:qFormat/>
    <w:rsid w:val="00C0462D"/>
    <w:pPr>
      <w:spacing w:after="0" w:line="240" w:lineRule="auto"/>
      <w:ind w:left="720"/>
      <w:contextualSpacing/>
    </w:pPr>
    <w:rPr>
      <w:rFonts w:ascii="Times New Roman" w:eastAsia="Times New Roman" w:hAnsi="Times New Roman" w:cs="Times New Roman"/>
      <w:sz w:val="24"/>
      <w:szCs w:val="24"/>
    </w:rPr>
  </w:style>
  <w:style w:type="paragraph" w:customStyle="1" w:styleId="BodyText1">
    <w:name w:val="Body Text1"/>
    <w:basedOn w:val="Normal"/>
    <w:rsid w:val="00C0462D"/>
    <w:pPr>
      <w:spacing w:before="120" w:after="0" w:line="240" w:lineRule="auto"/>
    </w:pPr>
    <w:rPr>
      <w:rFonts w:ascii="Palatino" w:eastAsia="Times New Roman" w:hAnsi="Palatino" w:cs="Times New Roman"/>
      <w:sz w:val="24"/>
      <w:szCs w:val="20"/>
    </w:rPr>
  </w:style>
  <w:style w:type="paragraph" w:styleId="ListBullet">
    <w:name w:val="List Bullet"/>
    <w:basedOn w:val="Normal"/>
    <w:rsid w:val="00C0462D"/>
    <w:pPr>
      <w:numPr>
        <w:numId w:val="2"/>
      </w:numPr>
      <w:spacing w:after="0" w:line="240" w:lineRule="auto"/>
      <w:contextualSpacing/>
    </w:pPr>
    <w:rPr>
      <w:rFonts w:ascii="Times New Roman" w:eastAsia="Times New Roman" w:hAnsi="Times New Roman" w:cs="Times New Roman"/>
      <w:sz w:val="24"/>
      <w:szCs w:val="24"/>
    </w:rPr>
  </w:style>
  <w:style w:type="paragraph" w:customStyle="1" w:styleId="bodytext">
    <w:name w:val="body text"/>
    <w:basedOn w:val="Normal"/>
    <w:rsid w:val="009A7CD5"/>
    <w:pPr>
      <w:spacing w:before="120"/>
    </w:pPr>
    <w:rPr>
      <w:rFonts w:ascii="Palatino" w:eastAsia="Calibri" w:hAnsi="Palatino"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cordNumber xmlns="1201fbac-4e05-4e09-943f-b1daffa0ea6b">000667451</RecordNumber>
    <DocumentDescription xmlns="1201fbac-4e05-4e09-943f-b1daffa0ea6b">Draft notice for new approval </DocumentDescription>
    <Approval xmlns="1201fbac-4e05-4e09-943f-b1daffa0ea6b" xsi:nil="true"/>
    <Function xmlns="1201fbac-4e05-4e09-943f-b1daffa0ea6b">Regulation</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19064686A10B5045A148514C3D8B2EC2" ma:contentTypeVersion="6" ma:contentTypeDescription="Create a new Word Document" ma:contentTypeScope="" ma:versionID="0de7882aef6708b79537fc1309e043f8">
  <xsd:schema xmlns:xsd="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D494-053E-42A9-AF1A-7A5639B509EB}">
  <ds:schemaRefs>
    <ds:schemaRef ds:uri="http://schemas.microsoft.com/sharepoint/events"/>
  </ds:schemaRefs>
</ds:datastoreItem>
</file>

<file path=customXml/itemProps2.xml><?xml version="1.0" encoding="utf-8"?>
<ds:datastoreItem xmlns:ds="http://schemas.openxmlformats.org/officeDocument/2006/customXml" ds:itemID="{E2FFEC58-A518-43EB-926B-03B4B96B759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openxmlformats.org/package/2006/metadata/core-properties"/>
  </ds:schemaRefs>
</ds:datastoreItem>
</file>

<file path=customXml/itemProps3.xml><?xml version="1.0" encoding="utf-8"?>
<ds:datastoreItem xmlns:ds="http://schemas.openxmlformats.org/officeDocument/2006/customXml" ds:itemID="{C717063E-9FF5-402B-BA7D-7B32B2ED7AC7}">
  <ds:schemaRefs>
    <ds:schemaRef ds:uri="http://schemas.microsoft.com/sharepoint/v3/contenttype/forms"/>
  </ds:schemaRefs>
</ds:datastoreItem>
</file>

<file path=customXml/itemProps4.xml><?xml version="1.0" encoding="utf-8"?>
<ds:datastoreItem xmlns:ds="http://schemas.openxmlformats.org/officeDocument/2006/customXml" ds:itemID="{D166BDEF-9101-4DF2-80CC-F8AEE384FEF8}">
  <ds:schemaRefs>
    <ds:schemaRef ds:uri="http://schemas.microsoft.com/office/2006/metadata/customXsn"/>
  </ds:schemaRefs>
</ds:datastoreItem>
</file>

<file path=customXml/itemProps5.xml><?xml version="1.0" encoding="utf-8"?>
<ds:datastoreItem xmlns:ds="http://schemas.openxmlformats.org/officeDocument/2006/customXml" ds:itemID="{2C356263-12F7-4191-83B5-44DCFF5D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A1DE95D6-4402-46BF-885D-723A2555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Gazette Notice Haltermann Carless </vt:lpstr>
    </vt:vector>
  </TitlesOfParts>
  <Company>Office of Parliamentary Counsel</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approval Haltermann Carless - 2015</dc:title>
  <dc:creator>Miller, Kelli</dc:creator>
  <cp:lastModifiedBy>A20310</cp:lastModifiedBy>
  <cp:revision>30</cp:revision>
  <cp:lastPrinted>2013-10-23T23:11:00Z</cp:lastPrinted>
  <dcterms:created xsi:type="dcterms:W3CDTF">2015-08-10T06:24:00Z</dcterms:created>
  <dcterms:modified xsi:type="dcterms:W3CDTF">2015-08-31T03:09:00Z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0x01010087E80B6A94CF17418D78389AE32387B5010019064686A10B5045A148514C3D8B2EC2</vt:lpwstr>
  </property>
  <property fmtid="{D5CDD505-2E9C-101B-9397-08002B2CF9AE}" pid="3" name="RecordPoint_SubmissionDate">
    <vt:lpwstr/>
  </property>
  <property fmtid="{D5CDD505-2E9C-101B-9397-08002B2CF9AE}" pid="4" name="RecordPoint_ActiveItemSiteId">
    <vt:lpwstr>{1385f4fc-5717-4abf-b566-e69ec52ac4b2}</vt:lpwstr>
  </property>
  <property fmtid="{D5CDD505-2E9C-101B-9397-08002B2CF9AE}" pid="5" name="RecordPoint_ActiveItemListId">
    <vt:lpwstr>{46256027-1457-4824-841a-1e2669a35ff5}</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SubmissionCompleted">
    <vt:lpwstr>2015-08-25T00:23:12.6233307+10:00</vt:lpwstr>
  </property>
  <property fmtid="{D5CDD505-2E9C-101B-9397-08002B2CF9AE}" pid="9" name="RecordPoint_ActiveItemUniqueId">
    <vt:lpwstr>{2b0ddb58-93d6-4725-b44b-2ae718e9fdf8}</vt:lpwstr>
  </property>
  <property fmtid="{D5CDD505-2E9C-101B-9397-08002B2CF9AE}" pid="10" name="RecordPoint_ActiveItemWebId">
    <vt:lpwstr>{89914817-ee47-4868-ab72-54fc7a805407}</vt:lpwstr>
  </property>
  <property fmtid="{D5CDD505-2E9C-101B-9397-08002B2CF9AE}" pid="11" name="RecordPoint_WorkflowType">
    <vt:lpwstr>ActiveSubmitStub</vt:lpwstr>
  </property>
  <property fmtid="{D5CDD505-2E9C-101B-9397-08002B2CF9AE}" pid="12" name="RecordPoint_RecordNumberSubmitted">
    <vt:lpwstr>000667451</vt:lpwstr>
  </property>
  <property fmtid="{D5CDD505-2E9C-101B-9397-08002B2CF9AE}" pid="13" name="IconOverlay">
    <vt:lpwstr/>
  </property>
</Properties>
</file>