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53" w:rsidRDefault="004B2753" w:rsidP="00424B97"/>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E219D4" w:rsidTr="00BD3932">
        <w:trPr>
          <w:cantSplit/>
          <w:trHeight w:hRule="exact" w:val="2400"/>
        </w:trPr>
        <w:tc>
          <w:tcPr>
            <w:tcW w:w="2552" w:type="dxa"/>
            <w:vAlign w:val="center"/>
          </w:tcPr>
          <w:p w:rsidR="00E219D4" w:rsidRDefault="00E219D4" w:rsidP="00BD3932">
            <w:pPr>
              <w:pStyle w:val="DraftText"/>
            </w:pPr>
            <w:r>
              <w:br w:type="page"/>
            </w:r>
          </w:p>
        </w:tc>
        <w:tc>
          <w:tcPr>
            <w:tcW w:w="283" w:type="dxa"/>
          </w:tcPr>
          <w:p w:rsidR="00E219D4" w:rsidRDefault="00E219D4" w:rsidP="00BD3932"/>
        </w:tc>
        <w:tc>
          <w:tcPr>
            <w:tcW w:w="6521" w:type="dxa"/>
            <w:vAlign w:val="center"/>
          </w:tcPr>
          <w:p w:rsidR="00E219D4" w:rsidRDefault="00E219D4" w:rsidP="00BD3932"/>
          <w:p w:rsidR="00E219D4" w:rsidRDefault="00E219D4" w:rsidP="00BD3932"/>
          <w:p w:rsidR="00E219D4" w:rsidRDefault="00E219D4" w:rsidP="00BD3932"/>
          <w:p w:rsidR="00E219D4" w:rsidRDefault="00E219D4" w:rsidP="00BD3932"/>
          <w:p w:rsidR="00E219D4" w:rsidRDefault="00E219D4" w:rsidP="00BD3932"/>
        </w:tc>
      </w:tr>
      <w:tr w:rsidR="00E219D4" w:rsidTr="00BD3932">
        <w:trPr>
          <w:cantSplit/>
        </w:trPr>
        <w:tc>
          <w:tcPr>
            <w:tcW w:w="2552" w:type="dxa"/>
            <w:tcBorders>
              <w:right w:val="single" w:sz="18" w:space="0" w:color="auto"/>
            </w:tcBorders>
          </w:tcPr>
          <w:p w:rsidR="00E219D4" w:rsidRDefault="00E219D4" w:rsidP="00BD3932">
            <w:pPr>
              <w:rPr>
                <w:rFonts w:ascii="Arial" w:hAnsi="Arial"/>
              </w:rPr>
            </w:pPr>
          </w:p>
        </w:tc>
        <w:tc>
          <w:tcPr>
            <w:tcW w:w="283" w:type="dxa"/>
            <w:tcBorders>
              <w:left w:val="nil"/>
            </w:tcBorders>
          </w:tcPr>
          <w:p w:rsidR="00E219D4" w:rsidRDefault="00E219D4" w:rsidP="00BD3932"/>
        </w:tc>
        <w:tc>
          <w:tcPr>
            <w:tcW w:w="6521" w:type="dxa"/>
          </w:tcPr>
          <w:p w:rsidR="00E219D4" w:rsidRDefault="00E219D4" w:rsidP="00BD3932">
            <w:pPr>
              <w:pStyle w:val="CoverPageDetails"/>
            </w:pPr>
            <w:r>
              <w:t>Department of Agriculture and Water Resources</w:t>
            </w:r>
          </w:p>
        </w:tc>
      </w:tr>
      <w:tr w:rsidR="00E219D4" w:rsidTr="00BD3932">
        <w:trPr>
          <w:cantSplit/>
        </w:trPr>
        <w:tc>
          <w:tcPr>
            <w:tcW w:w="2552" w:type="dxa"/>
            <w:tcBorders>
              <w:right w:val="single" w:sz="18" w:space="0" w:color="auto"/>
            </w:tcBorders>
          </w:tcPr>
          <w:p w:rsidR="00E219D4" w:rsidRDefault="00E219D4" w:rsidP="00BD3932"/>
        </w:tc>
        <w:tc>
          <w:tcPr>
            <w:tcW w:w="283" w:type="dxa"/>
            <w:tcBorders>
              <w:left w:val="nil"/>
            </w:tcBorders>
          </w:tcPr>
          <w:p w:rsidR="00E219D4" w:rsidRDefault="00E219D4" w:rsidP="00BD3932"/>
        </w:tc>
        <w:tc>
          <w:tcPr>
            <w:tcW w:w="6521" w:type="dxa"/>
          </w:tcPr>
          <w:p w:rsidR="00E219D4" w:rsidRDefault="00E219D4" w:rsidP="00BD3932">
            <w:pPr>
              <w:pStyle w:val="CoverPageDetails"/>
              <w:rPr>
                <w:i/>
                <w:iCs/>
                <w:sz w:val="28"/>
                <w:szCs w:val="28"/>
              </w:rPr>
            </w:pPr>
            <w:r>
              <w:rPr>
                <w:sz w:val="28"/>
                <w:szCs w:val="28"/>
              </w:rPr>
              <w:t>Collection Agreement</w:t>
            </w:r>
          </w:p>
        </w:tc>
      </w:tr>
      <w:tr w:rsidR="00E219D4" w:rsidTr="00BD3932">
        <w:trPr>
          <w:cantSplit/>
          <w:trHeight w:hRule="exact" w:val="240"/>
        </w:trPr>
        <w:tc>
          <w:tcPr>
            <w:tcW w:w="2552" w:type="dxa"/>
            <w:tcBorders>
              <w:right w:val="single" w:sz="18" w:space="0" w:color="auto"/>
            </w:tcBorders>
          </w:tcPr>
          <w:p w:rsidR="00E219D4" w:rsidRDefault="00E219D4" w:rsidP="00BD3932"/>
        </w:tc>
        <w:tc>
          <w:tcPr>
            <w:tcW w:w="283" w:type="dxa"/>
            <w:tcBorders>
              <w:left w:val="nil"/>
            </w:tcBorders>
          </w:tcPr>
          <w:p w:rsidR="00E219D4" w:rsidRDefault="00E219D4" w:rsidP="00BD3932"/>
        </w:tc>
        <w:tc>
          <w:tcPr>
            <w:tcW w:w="6521" w:type="dxa"/>
            <w:tcBorders>
              <w:top w:val="single" w:sz="4" w:space="0" w:color="auto"/>
            </w:tcBorders>
          </w:tcPr>
          <w:p w:rsidR="00E219D4" w:rsidRDefault="00E219D4" w:rsidP="00BD3932"/>
        </w:tc>
      </w:tr>
      <w:tr w:rsidR="00E219D4" w:rsidTr="00BD3932">
        <w:trPr>
          <w:cantSplit/>
        </w:trPr>
        <w:tc>
          <w:tcPr>
            <w:tcW w:w="2552" w:type="dxa"/>
            <w:tcBorders>
              <w:right w:val="single" w:sz="18" w:space="0" w:color="auto"/>
            </w:tcBorders>
          </w:tcPr>
          <w:p w:rsidR="00E219D4" w:rsidRDefault="00E219D4" w:rsidP="00BD3932"/>
        </w:tc>
        <w:tc>
          <w:tcPr>
            <w:tcW w:w="283" w:type="dxa"/>
            <w:tcBorders>
              <w:left w:val="nil"/>
            </w:tcBorders>
          </w:tcPr>
          <w:p w:rsidR="00E219D4" w:rsidRDefault="00E219D4" w:rsidP="00BD3932"/>
        </w:tc>
        <w:tc>
          <w:tcPr>
            <w:tcW w:w="6521" w:type="dxa"/>
          </w:tcPr>
          <w:p w:rsidR="00E219D4" w:rsidRDefault="00E219D4" w:rsidP="00BD3932">
            <w:pPr>
              <w:pStyle w:val="CoverPageNames"/>
            </w:pPr>
            <w:bookmarkStart w:id="0" w:name="bkName1Lge"/>
            <w:r>
              <w:rPr>
                <w:iCs/>
              </w:rPr>
              <w:t xml:space="preserve">Commonwealth of </w:t>
            </w:r>
            <w:smartTag w:uri="urn:schemas-microsoft-com:office:smarttags" w:element="place">
              <w:smartTag w:uri="urn:schemas-microsoft-com:office:smarttags" w:element="address">
                <w:smartTag w:uri="urn:schemas-microsoft-com:office:smarttags" w:element="country-region">
                  <w:r>
                    <w:rPr>
                      <w:iCs/>
                    </w:rPr>
                    <w:t>Australia</w:t>
                  </w:r>
                </w:smartTag>
              </w:smartTag>
            </w:smartTag>
            <w:bookmarkEnd w:id="0"/>
            <w:r>
              <w:t xml:space="preserve"> (</w:t>
            </w:r>
            <w:r>
              <w:rPr>
                <w:b/>
              </w:rPr>
              <w:t>Commonwealth</w:t>
            </w:r>
            <w:r>
              <w:t>)</w:t>
            </w:r>
          </w:p>
          <w:p w:rsidR="00E219D4" w:rsidRDefault="00E219D4" w:rsidP="00BD3932">
            <w:pPr>
              <w:pStyle w:val="CoverPageNames"/>
            </w:pPr>
            <w:r>
              <w:rPr>
                <w:iCs/>
              </w:rPr>
              <w:t>Australian Grape and Wine Authority</w:t>
            </w:r>
            <w:r>
              <w:t xml:space="preserve"> (</w:t>
            </w:r>
            <w:r>
              <w:rPr>
                <w:b/>
              </w:rPr>
              <w:t>AGWA</w:t>
            </w:r>
            <w:r>
              <w:t>)</w:t>
            </w:r>
            <w:bookmarkStart w:id="1" w:name="bkName3Lge"/>
            <w:bookmarkEnd w:id="1"/>
            <w:r>
              <w:t xml:space="preserve"> </w:t>
            </w:r>
            <w:bookmarkStart w:id="2" w:name="bkSFName3Cov"/>
            <w:bookmarkStart w:id="3" w:name="bkName4Lge"/>
            <w:bookmarkEnd w:id="2"/>
            <w:bookmarkEnd w:id="3"/>
            <w:r>
              <w:t xml:space="preserve"> </w:t>
            </w:r>
            <w:bookmarkStart w:id="4" w:name="bkSFName4Cov"/>
            <w:bookmarkEnd w:id="4"/>
          </w:p>
        </w:tc>
      </w:tr>
    </w:tbl>
    <w:p w:rsidR="00E219D4" w:rsidRDefault="00E219D4" w:rsidP="00E219D4"/>
    <w:p w:rsidR="00E219D4" w:rsidRDefault="00E219D4" w:rsidP="00E219D4"/>
    <w:p w:rsidR="00E219D4" w:rsidRDefault="00E219D4" w:rsidP="00E219D4">
      <w:pPr>
        <w:sectPr w:rsidR="00E219D4" w:rsidSect="00E219D4">
          <w:headerReference w:type="default" r:id="rId8"/>
          <w:footerReference w:type="even" r:id="rId9"/>
          <w:footerReference w:type="default" r:id="rId10"/>
          <w:footerReference w:type="first" r:id="rId11"/>
          <w:type w:val="continuous"/>
          <w:pgSz w:w="11907" w:h="16840" w:code="9"/>
          <w:pgMar w:top="1134" w:right="1134" w:bottom="1134" w:left="1418" w:header="567" w:footer="567" w:gutter="0"/>
          <w:cols w:space="720"/>
          <w:docGrid w:linePitch="299"/>
        </w:sectPr>
      </w:pPr>
    </w:p>
    <w:p w:rsidR="00E219D4" w:rsidRDefault="00E219D4" w:rsidP="00E219D4">
      <w:pPr>
        <w:pStyle w:val="MEChapterheading"/>
      </w:pPr>
      <w:bookmarkStart w:id="7" w:name="_Toc430700755"/>
      <w:r>
        <w:t>Agreement Information</w:t>
      </w:r>
      <w:bookmarkEnd w:id="7"/>
    </w:p>
    <w:p w:rsidR="00E219D4" w:rsidRDefault="00E219D4" w:rsidP="00E219D4">
      <w:pPr>
        <w:pStyle w:val="MESubheading"/>
      </w:pPr>
      <w: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E219D4" w:rsidTr="00BD3932">
        <w:tc>
          <w:tcPr>
            <w:tcW w:w="2268" w:type="dxa"/>
          </w:tcPr>
          <w:p w:rsidR="00E219D4" w:rsidRDefault="00E219D4" w:rsidP="00BD3932">
            <w:pPr>
              <w:pStyle w:val="PartiesDetails"/>
              <w:rPr>
                <w:rFonts w:ascii="Arial" w:hAnsi="Arial"/>
                <w:sz w:val="20"/>
              </w:rPr>
            </w:pPr>
          </w:p>
          <w:p w:rsidR="00E219D4" w:rsidRDefault="00E219D4" w:rsidP="00BD3932">
            <w:pPr>
              <w:pStyle w:val="PartiesDetails"/>
              <w:rPr>
                <w:rFonts w:ascii="Arial" w:hAnsi="Arial"/>
                <w:sz w:val="20"/>
              </w:rPr>
            </w:pPr>
            <w:r>
              <w:rPr>
                <w:rFonts w:ascii="Arial" w:hAnsi="Arial"/>
                <w:sz w:val="20"/>
              </w:rPr>
              <w:t>Name</w:t>
            </w:r>
          </w:p>
        </w:tc>
        <w:tc>
          <w:tcPr>
            <w:tcW w:w="7088" w:type="dxa"/>
          </w:tcPr>
          <w:p w:rsidR="00E219D4" w:rsidRDefault="00E219D4" w:rsidP="00BD3932">
            <w:pPr>
              <w:pStyle w:val="PartiesDetails"/>
              <w:rPr>
                <w:bCs/>
                <w:iCs/>
              </w:rPr>
            </w:pPr>
            <w:bookmarkStart w:id="8" w:name="bkName1"/>
          </w:p>
          <w:p w:rsidR="00E219D4" w:rsidRDefault="00E219D4" w:rsidP="00BD3932">
            <w:pPr>
              <w:pStyle w:val="PartiesDetails"/>
              <w:rPr>
                <w:b/>
                <w:i/>
              </w:rPr>
            </w:pPr>
            <w:r>
              <w:rPr>
                <w:bCs/>
                <w:iCs/>
              </w:rPr>
              <w:t xml:space="preserve">The Commonwealth of Australia as represented by the Department of </w:t>
            </w:r>
            <w:bookmarkStart w:id="9" w:name="bkACN1"/>
            <w:bookmarkEnd w:id="8"/>
            <w:bookmarkEnd w:id="9"/>
            <w:r>
              <w:rPr>
                <w:bCs/>
                <w:iCs/>
              </w:rPr>
              <w:t>Agriculture and Water Resources [ABN 24 113 085 695]</w:t>
            </w:r>
          </w:p>
        </w:tc>
      </w:tr>
      <w:tr w:rsidR="00E219D4" w:rsidTr="00BD3932">
        <w:tc>
          <w:tcPr>
            <w:tcW w:w="2268" w:type="dxa"/>
          </w:tcPr>
          <w:p w:rsidR="00E219D4" w:rsidRDefault="00E219D4" w:rsidP="00BD3932">
            <w:pPr>
              <w:pStyle w:val="PartiesDetails"/>
              <w:rPr>
                <w:rFonts w:ascii="Arial" w:hAnsi="Arial"/>
                <w:sz w:val="20"/>
              </w:rPr>
            </w:pPr>
          </w:p>
          <w:p w:rsidR="00E219D4" w:rsidRDefault="00E219D4" w:rsidP="00BD3932">
            <w:pPr>
              <w:pStyle w:val="PartiesDetails"/>
              <w:rPr>
                <w:rFonts w:ascii="Arial" w:hAnsi="Arial"/>
                <w:sz w:val="20"/>
              </w:rPr>
            </w:pPr>
            <w:r>
              <w:rPr>
                <w:rFonts w:ascii="Arial" w:hAnsi="Arial"/>
                <w:sz w:val="20"/>
              </w:rPr>
              <w:t>Short form name</w:t>
            </w:r>
          </w:p>
        </w:tc>
        <w:tc>
          <w:tcPr>
            <w:tcW w:w="7088" w:type="dxa"/>
          </w:tcPr>
          <w:p w:rsidR="00E219D4" w:rsidRDefault="00E219D4" w:rsidP="00BD3932">
            <w:pPr>
              <w:pStyle w:val="PartiesDetails"/>
              <w:rPr>
                <w:b/>
              </w:rPr>
            </w:pPr>
          </w:p>
          <w:p w:rsidR="00E219D4" w:rsidRDefault="00E219D4" w:rsidP="00BD3932">
            <w:pPr>
              <w:pStyle w:val="PartiesDetails"/>
              <w:rPr>
                <w:b/>
              </w:rPr>
            </w:pPr>
            <w:r>
              <w:rPr>
                <w:b/>
              </w:rPr>
              <w:t>Commonwealth</w:t>
            </w:r>
          </w:p>
        </w:tc>
      </w:tr>
      <w:tr w:rsidR="00E219D4" w:rsidTr="00BD3932">
        <w:trPr>
          <w:trHeight w:val="118"/>
        </w:trPr>
        <w:tc>
          <w:tcPr>
            <w:tcW w:w="2268" w:type="dxa"/>
          </w:tcPr>
          <w:p w:rsidR="00E219D4" w:rsidRDefault="00E219D4" w:rsidP="00BD3932">
            <w:pPr>
              <w:pStyle w:val="PartiesDetails"/>
              <w:rPr>
                <w:rFonts w:ascii="Arial" w:hAnsi="Arial"/>
                <w:sz w:val="20"/>
              </w:rPr>
            </w:pPr>
          </w:p>
        </w:tc>
        <w:tc>
          <w:tcPr>
            <w:tcW w:w="7088" w:type="dxa"/>
          </w:tcPr>
          <w:p w:rsidR="00E219D4" w:rsidRDefault="00E219D4" w:rsidP="00BD3932"/>
        </w:tc>
      </w:tr>
      <w:tr w:rsidR="00E219D4" w:rsidTr="00BD3932">
        <w:tc>
          <w:tcPr>
            <w:tcW w:w="2268" w:type="dxa"/>
          </w:tcPr>
          <w:p w:rsidR="00E219D4" w:rsidRDefault="00E219D4" w:rsidP="00BD3932">
            <w:pPr>
              <w:pStyle w:val="PartiesDetails"/>
              <w:rPr>
                <w:rFonts w:ascii="Arial" w:hAnsi="Arial"/>
                <w:sz w:val="20"/>
              </w:rPr>
            </w:pPr>
            <w:r>
              <w:rPr>
                <w:rFonts w:ascii="Arial" w:hAnsi="Arial"/>
                <w:sz w:val="20"/>
              </w:rPr>
              <w:t>Name</w:t>
            </w:r>
          </w:p>
        </w:tc>
        <w:tc>
          <w:tcPr>
            <w:tcW w:w="7088" w:type="dxa"/>
          </w:tcPr>
          <w:p w:rsidR="00E219D4" w:rsidRDefault="00E219D4" w:rsidP="00BD3932">
            <w:pPr>
              <w:pStyle w:val="PartiesDetails"/>
              <w:rPr>
                <w:bCs/>
                <w:iCs/>
              </w:rPr>
            </w:pPr>
            <w:r>
              <w:rPr>
                <w:bCs/>
                <w:iCs/>
              </w:rPr>
              <w:t xml:space="preserve">Australian Grape and Wine Authority </w:t>
            </w:r>
            <w:bookmarkStart w:id="10" w:name="bkACN2"/>
            <w:bookmarkEnd w:id="10"/>
            <w:r>
              <w:rPr>
                <w:bCs/>
                <w:iCs/>
              </w:rPr>
              <w:t>[ABN 89 636 749 924]</w:t>
            </w:r>
          </w:p>
        </w:tc>
      </w:tr>
      <w:tr w:rsidR="00E219D4" w:rsidTr="00BD3932">
        <w:tc>
          <w:tcPr>
            <w:tcW w:w="2268" w:type="dxa"/>
          </w:tcPr>
          <w:p w:rsidR="00E219D4" w:rsidRDefault="00E219D4" w:rsidP="00BD3932">
            <w:pPr>
              <w:pStyle w:val="PartiesDetails"/>
              <w:rPr>
                <w:rFonts w:ascii="Arial" w:hAnsi="Arial"/>
                <w:sz w:val="20"/>
              </w:rPr>
            </w:pPr>
          </w:p>
          <w:p w:rsidR="00E219D4" w:rsidRDefault="00E219D4" w:rsidP="00BD3932">
            <w:pPr>
              <w:pStyle w:val="PartiesDetails"/>
              <w:rPr>
                <w:rFonts w:ascii="Arial" w:hAnsi="Arial"/>
                <w:sz w:val="20"/>
              </w:rPr>
            </w:pPr>
            <w:r>
              <w:rPr>
                <w:rFonts w:ascii="Arial" w:hAnsi="Arial"/>
                <w:sz w:val="20"/>
              </w:rPr>
              <w:t>Short form name</w:t>
            </w:r>
          </w:p>
        </w:tc>
        <w:tc>
          <w:tcPr>
            <w:tcW w:w="7088" w:type="dxa"/>
          </w:tcPr>
          <w:p w:rsidR="00E219D4" w:rsidRDefault="00E219D4" w:rsidP="00BD3932">
            <w:pPr>
              <w:pStyle w:val="PartiesDetails"/>
              <w:rPr>
                <w:b/>
              </w:rPr>
            </w:pPr>
          </w:p>
          <w:p w:rsidR="00E219D4" w:rsidRDefault="00E219D4" w:rsidP="00BD3932">
            <w:pPr>
              <w:pStyle w:val="PartiesDetails"/>
              <w:rPr>
                <w:b/>
              </w:rPr>
            </w:pPr>
            <w:r>
              <w:rPr>
                <w:b/>
              </w:rPr>
              <w:t>AGWA</w:t>
            </w:r>
          </w:p>
        </w:tc>
      </w:tr>
      <w:tr w:rsidR="00E219D4" w:rsidTr="00BD3932">
        <w:tc>
          <w:tcPr>
            <w:tcW w:w="2268" w:type="dxa"/>
          </w:tcPr>
          <w:p w:rsidR="00E219D4" w:rsidRDefault="00E219D4" w:rsidP="00BD3932">
            <w:pPr>
              <w:pStyle w:val="PartiesDetails"/>
              <w:rPr>
                <w:rFonts w:ascii="Arial" w:hAnsi="Arial"/>
                <w:sz w:val="20"/>
              </w:rPr>
            </w:pPr>
          </w:p>
        </w:tc>
        <w:tc>
          <w:tcPr>
            <w:tcW w:w="7088" w:type="dxa"/>
          </w:tcPr>
          <w:p w:rsidR="00E219D4" w:rsidRDefault="00E219D4" w:rsidP="00BD3932"/>
        </w:tc>
      </w:tr>
    </w:tbl>
    <w:p w:rsidR="00E219D4" w:rsidRDefault="00E219D4" w:rsidP="00E219D4"/>
    <w:p w:rsidR="00E219D4" w:rsidRDefault="00E219D4" w:rsidP="00E219D4">
      <w:pPr>
        <w:pStyle w:val="MESubheading"/>
      </w:pPr>
      <w:r>
        <w:t>Overview</w:t>
      </w:r>
    </w:p>
    <w:p w:rsidR="00E219D4" w:rsidRDefault="00E219D4" w:rsidP="00E219D4">
      <w:pPr>
        <w:pStyle w:val="Level1"/>
      </w:pPr>
      <w:bookmarkStart w:id="11" w:name="bkInsertText"/>
      <w:bookmarkEnd w:id="11"/>
      <w:r>
        <w:t xml:space="preserve">A charge is imposed on Australian produced wine that is exported in accordance with Schedule 13 of the </w:t>
      </w:r>
      <w:r>
        <w:rPr>
          <w:i/>
        </w:rPr>
        <w:t xml:space="preserve">Primary Industries (Customs) Charges Act 1999 </w:t>
      </w:r>
      <w:r>
        <w:t>(</w:t>
      </w:r>
      <w:r>
        <w:rPr>
          <w:b/>
        </w:rPr>
        <w:t>Wine Export Charge</w:t>
      </w:r>
      <w:r>
        <w:t xml:space="preserve">). </w:t>
      </w:r>
    </w:p>
    <w:p w:rsidR="00E219D4" w:rsidRDefault="00E219D4" w:rsidP="00E219D4">
      <w:pPr>
        <w:pStyle w:val="Level1"/>
      </w:pPr>
      <w:r>
        <w:t xml:space="preserve">Section 11 of the </w:t>
      </w:r>
      <w:r>
        <w:rPr>
          <w:i/>
        </w:rPr>
        <w:t xml:space="preserve">Primary Industries Levies Charges and Collections Act 1991 </w:t>
      </w:r>
      <w:r>
        <w:t>(</w:t>
      </w:r>
      <w:r>
        <w:rPr>
          <w:b/>
        </w:rPr>
        <w:t>Collection Act</w:t>
      </w:r>
      <w:r>
        <w:t>) allows the Secretary of the Department of Agriculture and Water Resources, on behalf of the Commonwealth, to enter into an agreement for the collection of certain levies and charges. This includes the collection of the Wine Export Charge.</w:t>
      </w:r>
    </w:p>
    <w:p w:rsidR="00E219D4" w:rsidRDefault="00E219D4" w:rsidP="00E219D4">
      <w:pPr>
        <w:pStyle w:val="Level1"/>
      </w:pPr>
      <w:r>
        <w:t xml:space="preserve">The Secretary of the Department of Agriculture and Water Resources, on behalf of the Commonwealth, and AGWA have agreed to enter into this Agreement for the collection of the Wine Export Charge by AGWA, on behalf of the Commonwealth.  </w:t>
      </w:r>
    </w:p>
    <w:p w:rsidR="00E219D4" w:rsidRDefault="00E219D4" w:rsidP="00E219D4">
      <w:pPr>
        <w:pStyle w:val="Level1"/>
        <w:numPr>
          <w:ilvl w:val="0"/>
          <w:numId w:val="0"/>
        </w:numPr>
        <w:ind w:left="680"/>
      </w:pPr>
      <w:r>
        <w:br w:type="page"/>
      </w:r>
    </w:p>
    <w:tbl>
      <w:tblPr>
        <w:tblW w:w="0" w:type="auto"/>
        <w:tblLayout w:type="fixed"/>
        <w:tblCellMar>
          <w:left w:w="0" w:type="dxa"/>
          <w:right w:w="0" w:type="dxa"/>
        </w:tblCellMar>
        <w:tblLook w:val="0000" w:firstRow="0" w:lastRow="0" w:firstColumn="0" w:lastColumn="0" w:noHBand="0" w:noVBand="0"/>
      </w:tblPr>
      <w:tblGrid>
        <w:gridCol w:w="9356"/>
      </w:tblGrid>
      <w:tr w:rsidR="00E219D4" w:rsidTr="00BD3932">
        <w:trPr>
          <w:cantSplit/>
          <w:trHeight w:hRule="exact" w:val="20"/>
        </w:trPr>
        <w:tc>
          <w:tcPr>
            <w:tcW w:w="9356" w:type="dxa"/>
            <w:tcBorders>
              <w:bottom w:val="single" w:sz="4" w:space="0" w:color="auto"/>
            </w:tcBorders>
          </w:tcPr>
          <w:p w:rsidR="00E219D4" w:rsidRDefault="00E219D4" w:rsidP="00BD3932">
            <w:r>
              <w:t>~*~</w:t>
            </w:r>
          </w:p>
        </w:tc>
      </w:tr>
    </w:tbl>
    <w:p w:rsidR="00E219D4" w:rsidRDefault="00E219D4" w:rsidP="00E219D4">
      <w:pPr>
        <w:pStyle w:val="TOC1"/>
        <w:rPr>
          <w:rFonts w:asciiTheme="minorHAnsi" w:eastAsiaTheme="minorEastAsia" w:hAnsiTheme="minorHAnsi" w:cstheme="minorBidi"/>
          <w:b w:val="0"/>
          <w:bCs w:val="0"/>
          <w:noProof/>
          <w:w w:val="100"/>
          <w:sz w:val="22"/>
          <w:szCs w:val="22"/>
          <w:lang w:eastAsia="en-AU" w:bidi="ar-SA"/>
        </w:rPr>
      </w:pPr>
      <w:r>
        <w:fldChar w:fldCharType="begin"/>
      </w:r>
      <w:r>
        <w:instrText xml:space="preserve"> TOC \f \t "ME Chapter heading,1,Part L1,1,ME Legal 1,2,Schedule L1,2,ME Heading,2,Annexure L1,2" </w:instrText>
      </w:r>
      <w:r>
        <w:fldChar w:fldCharType="separate"/>
      </w:r>
      <w:r>
        <w:rPr>
          <w:noProof/>
        </w:rPr>
        <w:t>Agreement Information</w:t>
      </w:r>
      <w:r>
        <w:rPr>
          <w:noProof/>
        </w:rPr>
        <w:tab/>
      </w:r>
      <w:r>
        <w:rPr>
          <w:noProof/>
        </w:rPr>
        <w:fldChar w:fldCharType="begin"/>
      </w:r>
      <w:r>
        <w:rPr>
          <w:noProof/>
        </w:rPr>
        <w:instrText xml:space="preserve"> PAGEREF _Toc430700755 \h </w:instrText>
      </w:r>
      <w:r>
        <w:rPr>
          <w:noProof/>
        </w:rPr>
      </w:r>
      <w:r>
        <w:rPr>
          <w:noProof/>
        </w:rPr>
        <w:fldChar w:fldCharType="separate"/>
      </w:r>
      <w:r>
        <w:rPr>
          <w:noProof/>
        </w:rPr>
        <w:t>2</w:t>
      </w:r>
      <w:r>
        <w:rPr>
          <w:noProof/>
        </w:rPr>
        <w:fldChar w:fldCharType="end"/>
      </w:r>
    </w:p>
    <w:p w:rsidR="00E219D4" w:rsidRDefault="00E219D4" w:rsidP="00E219D4">
      <w:pPr>
        <w:pStyle w:val="TOC1"/>
        <w:rPr>
          <w:rFonts w:asciiTheme="minorHAnsi" w:eastAsiaTheme="minorEastAsia" w:hAnsiTheme="minorHAnsi" w:cstheme="minorBidi"/>
          <w:b w:val="0"/>
          <w:bCs w:val="0"/>
          <w:noProof/>
          <w:w w:val="100"/>
          <w:sz w:val="22"/>
          <w:szCs w:val="22"/>
          <w:lang w:eastAsia="en-AU" w:bidi="ar-SA"/>
        </w:rPr>
      </w:pPr>
      <w:r>
        <w:rPr>
          <w:noProof/>
        </w:rPr>
        <w:t>Agreed Terms</w:t>
      </w:r>
      <w:r>
        <w:rPr>
          <w:noProof/>
        </w:rPr>
        <w:tab/>
      </w:r>
      <w:r>
        <w:rPr>
          <w:noProof/>
        </w:rPr>
        <w:fldChar w:fldCharType="begin"/>
      </w:r>
      <w:r>
        <w:rPr>
          <w:noProof/>
        </w:rPr>
        <w:instrText xml:space="preserve"> PAGEREF _Toc430700756 \h </w:instrText>
      </w:r>
      <w:r>
        <w:rPr>
          <w:noProof/>
        </w:rPr>
      </w:r>
      <w:r>
        <w:rPr>
          <w:noProof/>
        </w:rPr>
        <w:fldChar w:fldCharType="separate"/>
      </w:r>
      <w:r>
        <w:rPr>
          <w:noProof/>
        </w:rPr>
        <w:t>4</w:t>
      </w:r>
      <w:r>
        <w:rPr>
          <w:noProof/>
        </w:rPr>
        <w:fldChar w:fldCharType="end"/>
      </w:r>
    </w:p>
    <w:p w:rsidR="00E219D4" w:rsidRDefault="00E219D4" w:rsidP="00E219D4">
      <w:pPr>
        <w:pStyle w:val="TOC1"/>
        <w:rPr>
          <w:rFonts w:asciiTheme="minorHAnsi" w:eastAsiaTheme="minorEastAsia" w:hAnsiTheme="minorHAnsi" w:cstheme="minorBidi"/>
          <w:b w:val="0"/>
          <w:bCs w:val="0"/>
          <w:noProof/>
          <w:w w:val="100"/>
          <w:sz w:val="22"/>
          <w:szCs w:val="22"/>
          <w:lang w:eastAsia="en-AU" w:bidi="ar-SA"/>
        </w:rPr>
      </w:pPr>
      <w:r>
        <w:rPr>
          <w:noProof/>
        </w:rPr>
        <w:t>Part 1 – Collection</w:t>
      </w:r>
      <w:r>
        <w:rPr>
          <w:noProof/>
        </w:rPr>
        <w:tab/>
      </w:r>
      <w:r>
        <w:rPr>
          <w:noProof/>
        </w:rPr>
        <w:fldChar w:fldCharType="begin"/>
      </w:r>
      <w:r>
        <w:rPr>
          <w:noProof/>
        </w:rPr>
        <w:instrText xml:space="preserve"> PAGEREF _Toc430700757 \h </w:instrText>
      </w:r>
      <w:r>
        <w:rPr>
          <w:noProof/>
        </w:rPr>
      </w:r>
      <w:r>
        <w:rPr>
          <w:noProof/>
        </w:rPr>
        <w:fldChar w:fldCharType="separate"/>
      </w:r>
      <w:r>
        <w:rPr>
          <w:noProof/>
        </w:rPr>
        <w:t>4</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1.</w:t>
      </w:r>
      <w:r>
        <w:rPr>
          <w:rFonts w:asciiTheme="minorHAnsi" w:eastAsiaTheme="minorEastAsia" w:hAnsiTheme="minorHAnsi" w:cstheme="minorBidi"/>
          <w:b w:val="0"/>
          <w:bCs w:val="0"/>
          <w:noProof/>
          <w:w w:val="100"/>
          <w:sz w:val="22"/>
          <w:szCs w:val="22"/>
          <w:lang w:eastAsia="en-AU" w:bidi="ar-SA"/>
        </w:rPr>
        <w:tab/>
      </w:r>
      <w:r>
        <w:rPr>
          <w:noProof/>
        </w:rPr>
        <w:t>Definitions and interpretation</w:t>
      </w:r>
      <w:r>
        <w:rPr>
          <w:noProof/>
        </w:rPr>
        <w:tab/>
      </w:r>
      <w:r>
        <w:rPr>
          <w:noProof/>
        </w:rPr>
        <w:fldChar w:fldCharType="begin"/>
      </w:r>
      <w:r>
        <w:rPr>
          <w:noProof/>
        </w:rPr>
        <w:instrText xml:space="preserve"> PAGEREF _Toc430700758 \h </w:instrText>
      </w:r>
      <w:r>
        <w:rPr>
          <w:noProof/>
        </w:rPr>
      </w:r>
      <w:r>
        <w:rPr>
          <w:noProof/>
        </w:rPr>
        <w:fldChar w:fldCharType="separate"/>
      </w:r>
      <w:r>
        <w:rPr>
          <w:noProof/>
        </w:rPr>
        <w:t>4</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2.</w:t>
      </w:r>
      <w:r>
        <w:rPr>
          <w:rFonts w:asciiTheme="minorHAnsi" w:eastAsiaTheme="minorEastAsia" w:hAnsiTheme="minorHAnsi" w:cstheme="minorBidi"/>
          <w:b w:val="0"/>
          <w:bCs w:val="0"/>
          <w:noProof/>
          <w:w w:val="100"/>
          <w:sz w:val="22"/>
          <w:szCs w:val="22"/>
          <w:lang w:eastAsia="en-AU" w:bidi="ar-SA"/>
        </w:rPr>
        <w:tab/>
      </w:r>
      <w:r>
        <w:rPr>
          <w:noProof/>
        </w:rPr>
        <w:t>Duration of Agreement</w:t>
      </w:r>
      <w:r>
        <w:rPr>
          <w:noProof/>
        </w:rPr>
        <w:tab/>
      </w:r>
      <w:r>
        <w:rPr>
          <w:noProof/>
        </w:rPr>
        <w:fldChar w:fldCharType="begin"/>
      </w:r>
      <w:r>
        <w:rPr>
          <w:noProof/>
        </w:rPr>
        <w:instrText xml:space="preserve"> PAGEREF _Toc430700759 \h </w:instrText>
      </w:r>
      <w:r>
        <w:rPr>
          <w:noProof/>
        </w:rPr>
      </w:r>
      <w:r>
        <w:rPr>
          <w:noProof/>
        </w:rPr>
        <w:fldChar w:fldCharType="separate"/>
      </w:r>
      <w:r>
        <w:rPr>
          <w:noProof/>
        </w:rPr>
        <w:t>5</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3.</w:t>
      </w:r>
      <w:r>
        <w:rPr>
          <w:rFonts w:asciiTheme="minorHAnsi" w:eastAsiaTheme="minorEastAsia" w:hAnsiTheme="minorHAnsi" w:cstheme="minorBidi"/>
          <w:b w:val="0"/>
          <w:bCs w:val="0"/>
          <w:noProof/>
          <w:w w:val="100"/>
          <w:sz w:val="22"/>
          <w:szCs w:val="22"/>
          <w:lang w:eastAsia="en-AU" w:bidi="ar-SA"/>
        </w:rPr>
        <w:tab/>
      </w:r>
      <w:r>
        <w:rPr>
          <w:noProof/>
        </w:rPr>
        <w:t>Collection of Wine Export Charge</w:t>
      </w:r>
      <w:r>
        <w:rPr>
          <w:noProof/>
        </w:rPr>
        <w:tab/>
      </w:r>
      <w:r>
        <w:rPr>
          <w:noProof/>
        </w:rPr>
        <w:fldChar w:fldCharType="begin"/>
      </w:r>
      <w:r>
        <w:rPr>
          <w:noProof/>
        </w:rPr>
        <w:instrText xml:space="preserve"> PAGEREF _Toc430700760 \h </w:instrText>
      </w:r>
      <w:r>
        <w:rPr>
          <w:noProof/>
        </w:rPr>
      </w:r>
      <w:r>
        <w:rPr>
          <w:noProof/>
        </w:rPr>
        <w:fldChar w:fldCharType="separate"/>
      </w:r>
      <w:r>
        <w:rPr>
          <w:noProof/>
        </w:rPr>
        <w:t>5</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4.</w:t>
      </w:r>
      <w:r>
        <w:rPr>
          <w:rFonts w:asciiTheme="minorHAnsi" w:eastAsiaTheme="minorEastAsia" w:hAnsiTheme="minorHAnsi" w:cstheme="minorBidi"/>
          <w:b w:val="0"/>
          <w:bCs w:val="0"/>
          <w:noProof/>
          <w:w w:val="100"/>
          <w:sz w:val="22"/>
          <w:szCs w:val="22"/>
          <w:lang w:eastAsia="en-AU" w:bidi="ar-SA"/>
        </w:rPr>
        <w:tab/>
      </w:r>
      <w:r>
        <w:rPr>
          <w:noProof/>
        </w:rPr>
        <w:t>Payment</w:t>
      </w:r>
      <w:r>
        <w:rPr>
          <w:noProof/>
        </w:rPr>
        <w:tab/>
      </w:r>
      <w:r>
        <w:rPr>
          <w:noProof/>
        </w:rPr>
        <w:fldChar w:fldCharType="begin"/>
      </w:r>
      <w:r>
        <w:rPr>
          <w:noProof/>
        </w:rPr>
        <w:instrText xml:space="preserve"> PAGEREF _Toc430700761 \h </w:instrText>
      </w:r>
      <w:r>
        <w:rPr>
          <w:noProof/>
        </w:rPr>
      </w:r>
      <w:r>
        <w:rPr>
          <w:noProof/>
        </w:rPr>
        <w:fldChar w:fldCharType="separate"/>
      </w:r>
      <w:r>
        <w:rPr>
          <w:noProof/>
        </w:rPr>
        <w:t>8</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5.</w:t>
      </w:r>
      <w:r>
        <w:rPr>
          <w:rFonts w:asciiTheme="minorHAnsi" w:eastAsiaTheme="minorEastAsia" w:hAnsiTheme="minorHAnsi" w:cstheme="minorBidi"/>
          <w:b w:val="0"/>
          <w:bCs w:val="0"/>
          <w:noProof/>
          <w:w w:val="100"/>
          <w:sz w:val="22"/>
          <w:szCs w:val="22"/>
          <w:lang w:eastAsia="en-AU" w:bidi="ar-SA"/>
        </w:rPr>
        <w:tab/>
      </w:r>
      <w:r>
        <w:rPr>
          <w:noProof/>
        </w:rPr>
        <w:t>Confidentiality and privacy</w:t>
      </w:r>
      <w:r>
        <w:rPr>
          <w:noProof/>
        </w:rPr>
        <w:tab/>
      </w:r>
      <w:r>
        <w:rPr>
          <w:noProof/>
        </w:rPr>
        <w:fldChar w:fldCharType="begin"/>
      </w:r>
      <w:r>
        <w:rPr>
          <w:noProof/>
        </w:rPr>
        <w:instrText xml:space="preserve"> PAGEREF _Toc430700762 \h </w:instrText>
      </w:r>
      <w:r>
        <w:rPr>
          <w:noProof/>
        </w:rPr>
      </w:r>
      <w:r>
        <w:rPr>
          <w:noProof/>
        </w:rPr>
        <w:fldChar w:fldCharType="separate"/>
      </w:r>
      <w:r>
        <w:rPr>
          <w:noProof/>
        </w:rPr>
        <w:t>9</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6.</w:t>
      </w:r>
      <w:r>
        <w:rPr>
          <w:rFonts w:asciiTheme="minorHAnsi" w:eastAsiaTheme="minorEastAsia" w:hAnsiTheme="minorHAnsi" w:cstheme="minorBidi"/>
          <w:b w:val="0"/>
          <w:bCs w:val="0"/>
          <w:noProof/>
          <w:w w:val="100"/>
          <w:sz w:val="22"/>
          <w:szCs w:val="22"/>
          <w:lang w:eastAsia="en-AU" w:bidi="ar-SA"/>
        </w:rPr>
        <w:tab/>
      </w:r>
      <w:r>
        <w:rPr>
          <w:noProof/>
        </w:rPr>
        <w:t>Books and records</w:t>
      </w:r>
      <w:r>
        <w:rPr>
          <w:noProof/>
        </w:rPr>
        <w:tab/>
      </w:r>
      <w:r>
        <w:rPr>
          <w:noProof/>
        </w:rPr>
        <w:fldChar w:fldCharType="begin"/>
      </w:r>
      <w:r>
        <w:rPr>
          <w:noProof/>
        </w:rPr>
        <w:instrText xml:space="preserve"> PAGEREF _Toc430700763 \h </w:instrText>
      </w:r>
      <w:r>
        <w:rPr>
          <w:noProof/>
        </w:rPr>
      </w:r>
      <w:r>
        <w:rPr>
          <w:noProof/>
        </w:rPr>
        <w:fldChar w:fldCharType="separate"/>
      </w:r>
      <w:r>
        <w:rPr>
          <w:noProof/>
        </w:rPr>
        <w:t>9</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7.</w:t>
      </w:r>
      <w:r>
        <w:rPr>
          <w:rFonts w:asciiTheme="minorHAnsi" w:eastAsiaTheme="minorEastAsia" w:hAnsiTheme="minorHAnsi" w:cstheme="minorBidi"/>
          <w:b w:val="0"/>
          <w:bCs w:val="0"/>
          <w:noProof/>
          <w:w w:val="100"/>
          <w:sz w:val="22"/>
          <w:szCs w:val="22"/>
          <w:lang w:eastAsia="en-AU" w:bidi="ar-SA"/>
        </w:rPr>
        <w:tab/>
      </w:r>
      <w:r>
        <w:rPr>
          <w:noProof/>
        </w:rPr>
        <w:t>Audit and access</w:t>
      </w:r>
      <w:r>
        <w:rPr>
          <w:noProof/>
        </w:rPr>
        <w:tab/>
      </w:r>
      <w:r>
        <w:rPr>
          <w:noProof/>
        </w:rPr>
        <w:fldChar w:fldCharType="begin"/>
      </w:r>
      <w:r>
        <w:rPr>
          <w:noProof/>
        </w:rPr>
        <w:instrText xml:space="preserve"> PAGEREF _Toc430700764 \h </w:instrText>
      </w:r>
      <w:r>
        <w:rPr>
          <w:noProof/>
        </w:rPr>
      </w:r>
      <w:r>
        <w:rPr>
          <w:noProof/>
        </w:rPr>
        <w:fldChar w:fldCharType="separate"/>
      </w:r>
      <w:r>
        <w:rPr>
          <w:noProof/>
        </w:rPr>
        <w:t>9</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8.</w:t>
      </w:r>
      <w:r>
        <w:rPr>
          <w:rFonts w:asciiTheme="minorHAnsi" w:eastAsiaTheme="minorEastAsia" w:hAnsiTheme="minorHAnsi" w:cstheme="minorBidi"/>
          <w:b w:val="0"/>
          <w:bCs w:val="0"/>
          <w:noProof/>
          <w:w w:val="100"/>
          <w:sz w:val="22"/>
          <w:szCs w:val="22"/>
          <w:lang w:eastAsia="en-AU" w:bidi="ar-SA"/>
        </w:rPr>
        <w:tab/>
      </w:r>
      <w:r>
        <w:rPr>
          <w:noProof/>
        </w:rPr>
        <w:t>Dispute resolution</w:t>
      </w:r>
      <w:r>
        <w:rPr>
          <w:noProof/>
        </w:rPr>
        <w:tab/>
      </w:r>
      <w:r>
        <w:rPr>
          <w:noProof/>
        </w:rPr>
        <w:fldChar w:fldCharType="begin"/>
      </w:r>
      <w:r>
        <w:rPr>
          <w:noProof/>
        </w:rPr>
        <w:instrText xml:space="preserve"> PAGEREF _Toc430700765 \h </w:instrText>
      </w:r>
      <w:r>
        <w:rPr>
          <w:noProof/>
        </w:rPr>
      </w:r>
      <w:r>
        <w:rPr>
          <w:noProof/>
        </w:rPr>
        <w:fldChar w:fldCharType="separate"/>
      </w:r>
      <w:r>
        <w:rPr>
          <w:noProof/>
        </w:rPr>
        <w:t>10</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9.</w:t>
      </w:r>
      <w:r>
        <w:rPr>
          <w:rFonts w:asciiTheme="minorHAnsi" w:eastAsiaTheme="minorEastAsia" w:hAnsiTheme="minorHAnsi" w:cstheme="minorBidi"/>
          <w:b w:val="0"/>
          <w:bCs w:val="0"/>
          <w:noProof/>
          <w:w w:val="100"/>
          <w:sz w:val="22"/>
          <w:szCs w:val="22"/>
          <w:lang w:eastAsia="en-AU" w:bidi="ar-SA"/>
        </w:rPr>
        <w:tab/>
      </w:r>
      <w:r>
        <w:rPr>
          <w:noProof/>
        </w:rPr>
        <w:t>Termination</w:t>
      </w:r>
      <w:r>
        <w:rPr>
          <w:noProof/>
        </w:rPr>
        <w:tab/>
      </w:r>
      <w:r>
        <w:rPr>
          <w:noProof/>
        </w:rPr>
        <w:fldChar w:fldCharType="begin"/>
      </w:r>
      <w:r>
        <w:rPr>
          <w:noProof/>
        </w:rPr>
        <w:instrText xml:space="preserve"> PAGEREF _Toc430700766 \h </w:instrText>
      </w:r>
      <w:r>
        <w:rPr>
          <w:noProof/>
        </w:rPr>
      </w:r>
      <w:r>
        <w:rPr>
          <w:noProof/>
        </w:rPr>
        <w:fldChar w:fldCharType="separate"/>
      </w:r>
      <w:r>
        <w:rPr>
          <w:noProof/>
        </w:rPr>
        <w:t>11</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10.</w:t>
      </w:r>
      <w:r>
        <w:rPr>
          <w:rFonts w:asciiTheme="minorHAnsi" w:eastAsiaTheme="minorEastAsia" w:hAnsiTheme="minorHAnsi" w:cstheme="minorBidi"/>
          <w:b w:val="0"/>
          <w:bCs w:val="0"/>
          <w:noProof/>
          <w:w w:val="100"/>
          <w:sz w:val="22"/>
          <w:szCs w:val="22"/>
          <w:lang w:eastAsia="en-AU" w:bidi="ar-SA"/>
        </w:rPr>
        <w:tab/>
      </w:r>
      <w:r>
        <w:rPr>
          <w:noProof/>
        </w:rPr>
        <w:t>Survival</w:t>
      </w:r>
      <w:r>
        <w:rPr>
          <w:noProof/>
        </w:rPr>
        <w:tab/>
      </w:r>
      <w:r>
        <w:rPr>
          <w:noProof/>
        </w:rPr>
        <w:fldChar w:fldCharType="begin"/>
      </w:r>
      <w:r>
        <w:rPr>
          <w:noProof/>
        </w:rPr>
        <w:instrText xml:space="preserve"> PAGEREF _Toc430700767 \h </w:instrText>
      </w:r>
      <w:r>
        <w:rPr>
          <w:noProof/>
        </w:rPr>
      </w:r>
      <w:r>
        <w:rPr>
          <w:noProof/>
        </w:rPr>
        <w:fldChar w:fldCharType="separate"/>
      </w:r>
      <w:r>
        <w:rPr>
          <w:noProof/>
        </w:rPr>
        <w:t>12</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11.</w:t>
      </w:r>
      <w:r>
        <w:rPr>
          <w:rFonts w:asciiTheme="minorHAnsi" w:eastAsiaTheme="minorEastAsia" w:hAnsiTheme="minorHAnsi" w:cstheme="minorBidi"/>
          <w:b w:val="0"/>
          <w:bCs w:val="0"/>
          <w:noProof/>
          <w:w w:val="100"/>
          <w:sz w:val="22"/>
          <w:szCs w:val="22"/>
          <w:lang w:eastAsia="en-AU" w:bidi="ar-SA"/>
        </w:rPr>
        <w:tab/>
      </w:r>
      <w:r>
        <w:rPr>
          <w:noProof/>
        </w:rPr>
        <w:t>Miscellaneous</w:t>
      </w:r>
      <w:r>
        <w:rPr>
          <w:noProof/>
        </w:rPr>
        <w:tab/>
      </w:r>
      <w:r>
        <w:rPr>
          <w:noProof/>
        </w:rPr>
        <w:fldChar w:fldCharType="begin"/>
      </w:r>
      <w:r>
        <w:rPr>
          <w:noProof/>
        </w:rPr>
        <w:instrText xml:space="preserve"> PAGEREF _Toc430700768 \h </w:instrText>
      </w:r>
      <w:r>
        <w:rPr>
          <w:noProof/>
        </w:rPr>
      </w:r>
      <w:r>
        <w:rPr>
          <w:noProof/>
        </w:rPr>
        <w:fldChar w:fldCharType="separate"/>
      </w:r>
      <w:r>
        <w:rPr>
          <w:noProof/>
        </w:rPr>
        <w:t>12</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12.</w:t>
      </w:r>
      <w:r>
        <w:rPr>
          <w:rFonts w:asciiTheme="minorHAnsi" w:eastAsiaTheme="minorEastAsia" w:hAnsiTheme="minorHAnsi" w:cstheme="minorBidi"/>
          <w:b w:val="0"/>
          <w:bCs w:val="0"/>
          <w:noProof/>
          <w:w w:val="100"/>
          <w:sz w:val="22"/>
          <w:szCs w:val="22"/>
          <w:lang w:eastAsia="en-AU" w:bidi="ar-SA"/>
        </w:rPr>
        <w:tab/>
      </w:r>
      <w:r>
        <w:rPr>
          <w:noProof/>
        </w:rPr>
        <w:t>Transition Out</w:t>
      </w:r>
      <w:r>
        <w:rPr>
          <w:noProof/>
        </w:rPr>
        <w:tab/>
      </w:r>
      <w:r>
        <w:rPr>
          <w:noProof/>
        </w:rPr>
        <w:fldChar w:fldCharType="begin"/>
      </w:r>
      <w:r>
        <w:rPr>
          <w:noProof/>
        </w:rPr>
        <w:instrText xml:space="preserve"> PAGEREF _Toc430700769 \h </w:instrText>
      </w:r>
      <w:r>
        <w:rPr>
          <w:noProof/>
        </w:rPr>
      </w:r>
      <w:r>
        <w:rPr>
          <w:noProof/>
        </w:rPr>
        <w:fldChar w:fldCharType="separate"/>
      </w:r>
      <w:r>
        <w:rPr>
          <w:noProof/>
        </w:rPr>
        <w:t>13</w:t>
      </w:r>
      <w:r>
        <w:rPr>
          <w:noProof/>
        </w:rPr>
        <w:fldChar w:fldCharType="end"/>
      </w:r>
    </w:p>
    <w:p w:rsidR="00E219D4" w:rsidRDefault="00E219D4" w:rsidP="00E219D4">
      <w:pPr>
        <w:pStyle w:val="TOC2"/>
        <w:rPr>
          <w:rFonts w:asciiTheme="minorHAnsi" w:eastAsiaTheme="minorEastAsia" w:hAnsiTheme="minorHAnsi" w:cstheme="minorBidi"/>
          <w:b w:val="0"/>
          <w:bCs w:val="0"/>
          <w:noProof/>
          <w:w w:val="100"/>
          <w:sz w:val="22"/>
          <w:szCs w:val="22"/>
          <w:lang w:eastAsia="en-AU" w:bidi="ar-SA"/>
        </w:rPr>
      </w:pPr>
      <w:r>
        <w:rPr>
          <w:noProof/>
        </w:rPr>
        <w:t>13.</w:t>
      </w:r>
      <w:r>
        <w:rPr>
          <w:rFonts w:asciiTheme="minorHAnsi" w:eastAsiaTheme="minorEastAsia" w:hAnsiTheme="minorHAnsi" w:cstheme="minorBidi"/>
          <w:b w:val="0"/>
          <w:bCs w:val="0"/>
          <w:noProof/>
          <w:w w:val="100"/>
          <w:sz w:val="22"/>
          <w:szCs w:val="22"/>
          <w:lang w:eastAsia="en-AU" w:bidi="ar-SA"/>
        </w:rPr>
        <w:tab/>
      </w:r>
      <w:r>
        <w:rPr>
          <w:noProof/>
        </w:rPr>
        <w:t>Parties representatives</w:t>
      </w:r>
      <w:r>
        <w:rPr>
          <w:noProof/>
        </w:rPr>
        <w:tab/>
      </w:r>
      <w:r>
        <w:rPr>
          <w:noProof/>
        </w:rPr>
        <w:fldChar w:fldCharType="begin"/>
      </w:r>
      <w:r>
        <w:rPr>
          <w:noProof/>
        </w:rPr>
        <w:instrText xml:space="preserve"> PAGEREF _Toc430700770 \h </w:instrText>
      </w:r>
      <w:r>
        <w:rPr>
          <w:noProof/>
        </w:rPr>
      </w:r>
      <w:r>
        <w:rPr>
          <w:noProof/>
        </w:rPr>
        <w:fldChar w:fldCharType="separate"/>
      </w:r>
      <w:r>
        <w:rPr>
          <w:noProof/>
        </w:rPr>
        <w:t>14</w:t>
      </w:r>
      <w:r>
        <w:rPr>
          <w:noProof/>
        </w:rPr>
        <w:fldChar w:fldCharType="end"/>
      </w:r>
    </w:p>
    <w:p w:rsidR="00E219D4" w:rsidRDefault="00E219D4" w:rsidP="00E219D4">
      <w:pPr>
        <w:pStyle w:val="TOC1"/>
        <w:rPr>
          <w:rFonts w:asciiTheme="minorHAnsi" w:eastAsiaTheme="minorEastAsia" w:hAnsiTheme="minorHAnsi" w:cstheme="minorBidi"/>
          <w:b w:val="0"/>
          <w:bCs w:val="0"/>
          <w:noProof/>
          <w:w w:val="100"/>
          <w:sz w:val="22"/>
          <w:szCs w:val="22"/>
          <w:lang w:eastAsia="en-AU" w:bidi="ar-SA"/>
        </w:rPr>
      </w:pPr>
      <w:r>
        <w:rPr>
          <w:noProof/>
        </w:rPr>
        <w:t>Signing page</w:t>
      </w:r>
      <w:r>
        <w:rPr>
          <w:noProof/>
        </w:rPr>
        <w:tab/>
      </w:r>
      <w:r>
        <w:rPr>
          <w:noProof/>
        </w:rPr>
        <w:fldChar w:fldCharType="begin"/>
      </w:r>
      <w:r>
        <w:rPr>
          <w:noProof/>
        </w:rPr>
        <w:instrText xml:space="preserve"> PAGEREF _Toc430700771 \h </w:instrText>
      </w:r>
      <w:r>
        <w:rPr>
          <w:noProof/>
        </w:rPr>
      </w:r>
      <w:r>
        <w:rPr>
          <w:noProof/>
        </w:rPr>
        <w:fldChar w:fldCharType="separate"/>
      </w:r>
      <w:r>
        <w:rPr>
          <w:noProof/>
        </w:rPr>
        <w:t>15</w:t>
      </w:r>
      <w:r>
        <w:rPr>
          <w:noProof/>
        </w:rPr>
        <w:fldChar w:fldCharType="end"/>
      </w:r>
    </w:p>
    <w:p w:rsidR="00E219D4" w:rsidRDefault="00E219D4" w:rsidP="00E219D4">
      <w:r>
        <w:fldChar w:fldCharType="end"/>
      </w:r>
    </w:p>
    <w:tbl>
      <w:tblPr>
        <w:tblW w:w="9356" w:type="dxa"/>
        <w:tblLayout w:type="fixed"/>
        <w:tblCellMar>
          <w:left w:w="0" w:type="dxa"/>
          <w:right w:w="0" w:type="dxa"/>
        </w:tblCellMar>
        <w:tblLook w:val="0000" w:firstRow="0" w:lastRow="0" w:firstColumn="0" w:lastColumn="0" w:noHBand="0" w:noVBand="0"/>
      </w:tblPr>
      <w:tblGrid>
        <w:gridCol w:w="9356"/>
      </w:tblGrid>
      <w:tr w:rsidR="00E219D4" w:rsidTr="00BD3932">
        <w:trPr>
          <w:cantSplit/>
          <w:trHeight w:hRule="exact" w:val="20"/>
        </w:trPr>
        <w:tc>
          <w:tcPr>
            <w:tcW w:w="9356" w:type="dxa"/>
            <w:tcBorders>
              <w:bottom w:val="single" w:sz="4" w:space="0" w:color="auto"/>
            </w:tcBorders>
          </w:tcPr>
          <w:p w:rsidR="00E219D4" w:rsidRDefault="00E219D4" w:rsidP="00BD3932"/>
        </w:tc>
      </w:tr>
    </w:tbl>
    <w:p w:rsidR="00E219D4" w:rsidRDefault="00E219D4" w:rsidP="00E219D4">
      <w:pPr>
        <w:rPr>
          <w:rFonts w:ascii="Arial" w:hAnsi="Arial"/>
          <w:vanish/>
          <w:color w:val="008000"/>
          <w:sz w:val="17"/>
          <w:szCs w:val="17"/>
        </w:rPr>
      </w:pPr>
    </w:p>
    <w:p w:rsidR="00E219D4" w:rsidRDefault="00E219D4" w:rsidP="00E219D4">
      <w:pPr>
        <w:rPr>
          <w:rFonts w:ascii="Arial" w:hAnsi="Arial"/>
          <w:vanish/>
          <w:color w:val="008000"/>
          <w:sz w:val="20"/>
        </w:rPr>
      </w:pPr>
      <w:r>
        <w:rPr>
          <w:rFonts w:ascii="Arial" w:hAnsi="Arial"/>
          <w:vanish/>
          <w:color w:val="008000"/>
          <w:sz w:val="17"/>
          <w:szCs w:val="17"/>
        </w:rPr>
        <w:t xml:space="preserve">To </w:t>
      </w:r>
      <w:r>
        <w:rPr>
          <w:rFonts w:ascii="Arial" w:hAnsi="Arial"/>
          <w:b/>
          <w:i/>
          <w:vanish/>
          <w:color w:val="008000"/>
          <w:sz w:val="17"/>
          <w:szCs w:val="17"/>
        </w:rPr>
        <w:t>UPDATE</w:t>
      </w:r>
      <w:r>
        <w:rPr>
          <w:rFonts w:ascii="Arial" w:hAnsi="Arial"/>
          <w:vanish/>
          <w:color w:val="008000"/>
          <w:sz w:val="17"/>
          <w:szCs w:val="17"/>
        </w:rPr>
        <w:t xml:space="preserve">  the table of contents - position your cursor in the TOC and </w:t>
      </w:r>
      <w:r>
        <w:rPr>
          <w:rFonts w:ascii="Arial" w:hAnsi="Arial"/>
          <w:b/>
          <w:i/>
          <w:vanish/>
          <w:color w:val="008000"/>
          <w:sz w:val="17"/>
          <w:szCs w:val="17"/>
        </w:rPr>
        <w:t>press the F9</w:t>
      </w:r>
      <w:r>
        <w:rPr>
          <w:rFonts w:ascii="Arial" w:hAnsi="Arial"/>
          <w:vanish/>
          <w:color w:val="008000"/>
          <w:sz w:val="17"/>
          <w:szCs w:val="17"/>
        </w:rPr>
        <w:t xml:space="preserve"> function key</w:t>
      </w:r>
    </w:p>
    <w:p w:rsidR="00E219D4" w:rsidRDefault="00E219D4" w:rsidP="00E219D4"/>
    <w:p w:rsidR="00E219D4" w:rsidRDefault="00E219D4" w:rsidP="00E219D4">
      <w:pPr>
        <w:pStyle w:val="MEChapterheading"/>
      </w:pPr>
      <w:r>
        <w:br w:type="page"/>
      </w:r>
      <w:bookmarkStart w:id="12" w:name="_Toc430700756"/>
      <w:r>
        <w:t>Agreed Terms</w:t>
      </w:r>
      <w:bookmarkEnd w:id="12"/>
    </w:p>
    <w:p w:rsidR="00E219D4" w:rsidRDefault="00E219D4" w:rsidP="00E219D4">
      <w:pPr>
        <w:pStyle w:val="PartL1"/>
        <w:numPr>
          <w:ilvl w:val="0"/>
          <w:numId w:val="0"/>
        </w:numPr>
      </w:pPr>
      <w:bookmarkStart w:id="13" w:name="_Toc134875265"/>
      <w:bookmarkStart w:id="14" w:name="_Toc430700757"/>
      <w:r>
        <w:t xml:space="preserve">Part 1 – </w:t>
      </w:r>
      <w:bookmarkEnd w:id="13"/>
      <w:r>
        <w:t>Collection</w:t>
      </w:r>
      <w:bookmarkEnd w:id="14"/>
      <w:r>
        <w:t xml:space="preserve"> </w:t>
      </w:r>
    </w:p>
    <w:p w:rsidR="00E219D4" w:rsidRDefault="00E219D4" w:rsidP="00E219D4">
      <w:pPr>
        <w:pStyle w:val="MELegal1"/>
        <w:numPr>
          <w:ilvl w:val="0"/>
          <w:numId w:val="8"/>
        </w:numPr>
      </w:pPr>
      <w:bookmarkStart w:id="15" w:name="_Ref135890856"/>
      <w:bookmarkStart w:id="16" w:name="_Toc430700758"/>
      <w:r>
        <w:t>Definitions and interpretation</w:t>
      </w:r>
      <w:bookmarkEnd w:id="15"/>
      <w:bookmarkEnd w:id="16"/>
    </w:p>
    <w:p w:rsidR="00E219D4" w:rsidRDefault="00E219D4" w:rsidP="00E219D4">
      <w:pPr>
        <w:pStyle w:val="MELegal2"/>
        <w:numPr>
          <w:ilvl w:val="1"/>
          <w:numId w:val="8"/>
        </w:numPr>
      </w:pPr>
      <w:bookmarkStart w:id="17" w:name="_Ref135891475"/>
      <w:r>
        <w:t>Definitions</w:t>
      </w:r>
      <w:bookmarkEnd w:id="17"/>
    </w:p>
    <w:p w:rsidR="00E219D4" w:rsidRDefault="00E219D4" w:rsidP="00E219D4">
      <w:pPr>
        <w:ind w:left="680"/>
      </w:pPr>
      <w:bookmarkStart w:id="18" w:name="_bkAgreedCorp"/>
      <w:bookmarkEnd w:id="18"/>
      <w:r>
        <w:t>In this Agreement, except where the contrary intention is expressed, the following definitions are used:</w:t>
      </w:r>
    </w:p>
    <w:tbl>
      <w:tblPr>
        <w:tblW w:w="0" w:type="auto"/>
        <w:tblInd w:w="675" w:type="dxa"/>
        <w:tblLook w:val="0000" w:firstRow="0" w:lastRow="0" w:firstColumn="0" w:lastColumn="0" w:noHBand="0" w:noVBand="0"/>
      </w:tblPr>
      <w:tblGrid>
        <w:gridCol w:w="2563"/>
        <w:gridCol w:w="6117"/>
      </w:tblGrid>
      <w:tr w:rsidR="00E219D4" w:rsidTr="00BD3932">
        <w:tc>
          <w:tcPr>
            <w:tcW w:w="2563" w:type="dxa"/>
            <w:tcBorders>
              <w:top w:val="single" w:sz="4" w:space="0" w:color="auto"/>
              <w:bottom w:val="single" w:sz="4" w:space="0" w:color="auto"/>
            </w:tcBorders>
          </w:tcPr>
          <w:p w:rsidR="00E219D4" w:rsidRDefault="00E219D4" w:rsidP="00BD3932">
            <w:pPr>
              <w:rPr>
                <w:b/>
              </w:rPr>
            </w:pPr>
            <w:r>
              <w:rPr>
                <w:b/>
              </w:rPr>
              <w:t>Agreement</w:t>
            </w:r>
          </w:p>
        </w:tc>
        <w:tc>
          <w:tcPr>
            <w:tcW w:w="6117" w:type="dxa"/>
            <w:tcBorders>
              <w:top w:val="single" w:sz="4" w:space="0" w:color="auto"/>
              <w:bottom w:val="single" w:sz="4" w:space="0" w:color="auto"/>
            </w:tcBorders>
          </w:tcPr>
          <w:p w:rsidR="00E219D4" w:rsidRDefault="00E219D4" w:rsidP="00BD3932">
            <w:pPr>
              <w:pStyle w:val="DefinitionL2"/>
              <w:numPr>
                <w:ilvl w:val="0"/>
                <w:numId w:val="0"/>
              </w:numPr>
            </w:pPr>
            <w:proofErr w:type="gramStart"/>
            <w:r>
              <w:t>this</w:t>
            </w:r>
            <w:proofErr w:type="gramEnd"/>
            <w:r>
              <w:t xml:space="preserve"> Agreement as amended from time to time.</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Agreement Period</w:t>
            </w:r>
          </w:p>
        </w:tc>
        <w:tc>
          <w:tcPr>
            <w:tcW w:w="6117" w:type="dxa"/>
            <w:tcBorders>
              <w:top w:val="single" w:sz="4" w:space="0" w:color="auto"/>
              <w:bottom w:val="single" w:sz="4" w:space="0" w:color="auto"/>
            </w:tcBorders>
          </w:tcPr>
          <w:p w:rsidR="00E219D4" w:rsidRDefault="00E219D4" w:rsidP="00BD3932">
            <w:pPr>
              <w:pStyle w:val="DefinitionL2"/>
              <w:numPr>
                <w:ilvl w:val="0"/>
                <w:numId w:val="0"/>
              </w:numPr>
            </w:pPr>
            <w:proofErr w:type="gramStart"/>
            <w:r>
              <w:t>the</w:t>
            </w:r>
            <w:proofErr w:type="gramEnd"/>
            <w:r>
              <w:t xml:space="preserve"> Agreement Period specified in clause </w:t>
            </w:r>
            <w:r>
              <w:fldChar w:fldCharType="begin"/>
            </w:r>
            <w:r>
              <w:instrText xml:space="preserve"> REF _Ref420908839 \r \h </w:instrText>
            </w:r>
            <w:r>
              <w:fldChar w:fldCharType="separate"/>
            </w:r>
            <w:r>
              <w:t>2.1</w:t>
            </w:r>
            <w:r>
              <w:fldChar w:fldCharType="end"/>
            </w:r>
            <w:r>
              <w:t>, including any extension to that period in accordance with clause 2.2.</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AGWA</w:t>
            </w:r>
          </w:p>
        </w:tc>
        <w:tc>
          <w:tcPr>
            <w:tcW w:w="6117" w:type="dxa"/>
            <w:tcBorders>
              <w:top w:val="single" w:sz="4" w:space="0" w:color="auto"/>
              <w:bottom w:val="single" w:sz="4" w:space="0" w:color="auto"/>
            </w:tcBorders>
          </w:tcPr>
          <w:p w:rsidR="00E219D4" w:rsidRDefault="00E219D4" w:rsidP="00BD3932">
            <w:pPr>
              <w:pStyle w:val="DefinitionL2"/>
              <w:numPr>
                <w:ilvl w:val="0"/>
                <w:numId w:val="0"/>
              </w:numPr>
            </w:pPr>
            <w:proofErr w:type="gramStart"/>
            <w:r>
              <w:t>the</w:t>
            </w:r>
            <w:proofErr w:type="gramEnd"/>
            <w:r>
              <w:t xml:space="preserve"> Australian Grape and Wine Authority. </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AGWA Contact Officer</w:t>
            </w:r>
          </w:p>
        </w:tc>
        <w:tc>
          <w:tcPr>
            <w:tcW w:w="6117" w:type="dxa"/>
            <w:tcBorders>
              <w:top w:val="single" w:sz="4" w:space="0" w:color="auto"/>
              <w:bottom w:val="single" w:sz="4" w:space="0" w:color="auto"/>
            </w:tcBorders>
          </w:tcPr>
          <w:p w:rsidR="00E219D4" w:rsidRDefault="00E219D4" w:rsidP="00BD3932">
            <w:pPr>
              <w:pStyle w:val="DefinitionL2"/>
              <w:numPr>
                <w:ilvl w:val="0"/>
                <w:numId w:val="0"/>
              </w:numPr>
            </w:pPr>
            <w:proofErr w:type="gramStart"/>
            <w:r>
              <w:t>the</w:t>
            </w:r>
            <w:proofErr w:type="gramEnd"/>
            <w:r>
              <w:t xml:space="preserve"> person specified at clause </w:t>
            </w:r>
            <w:r>
              <w:fldChar w:fldCharType="begin"/>
            </w:r>
            <w:r>
              <w:instrText xml:space="preserve"> REF _Ref430099429 \r \h  \* MERGEFORMAT </w:instrText>
            </w:r>
            <w:r>
              <w:fldChar w:fldCharType="separate"/>
            </w:r>
            <w:r>
              <w:t>13</w:t>
            </w:r>
            <w:r>
              <w:fldChar w:fldCharType="end"/>
            </w:r>
            <w:r>
              <w:t>(b)(</w:t>
            </w:r>
            <w:proofErr w:type="spellStart"/>
            <w:r>
              <w:t>i</w:t>
            </w:r>
            <w:proofErr w:type="spellEnd"/>
            <w:r>
              <w:t>).</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APPs</w:t>
            </w:r>
          </w:p>
        </w:tc>
        <w:tc>
          <w:tcPr>
            <w:tcW w:w="6117" w:type="dxa"/>
            <w:tcBorders>
              <w:top w:val="single" w:sz="4" w:space="0" w:color="auto"/>
              <w:bottom w:val="single" w:sz="4" w:space="0" w:color="auto"/>
            </w:tcBorders>
          </w:tcPr>
          <w:p w:rsidR="00E219D4" w:rsidRDefault="00E219D4" w:rsidP="00BD3932">
            <w:proofErr w:type="gramStart"/>
            <w:r>
              <w:t>the</w:t>
            </w:r>
            <w:proofErr w:type="gramEnd"/>
            <w:r>
              <w:t xml:space="preserve"> Australian Privacy Principles, as defined in the Privacy Act as amended from time to time. </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Collection Act</w:t>
            </w:r>
          </w:p>
        </w:tc>
        <w:tc>
          <w:tcPr>
            <w:tcW w:w="6117" w:type="dxa"/>
            <w:tcBorders>
              <w:top w:val="single" w:sz="4" w:space="0" w:color="auto"/>
              <w:bottom w:val="single" w:sz="4" w:space="0" w:color="auto"/>
            </w:tcBorders>
          </w:tcPr>
          <w:p w:rsidR="00E219D4" w:rsidRDefault="00E219D4" w:rsidP="00BD3932">
            <w:pPr>
              <w:pStyle w:val="DefinitionL2"/>
              <w:numPr>
                <w:ilvl w:val="0"/>
                <w:numId w:val="0"/>
              </w:numPr>
            </w:pPr>
            <w:proofErr w:type="gramStart"/>
            <w:r>
              <w:t>the</w:t>
            </w:r>
            <w:proofErr w:type="gramEnd"/>
            <w:r>
              <w:t xml:space="preserve"> </w:t>
            </w:r>
            <w:r>
              <w:rPr>
                <w:i/>
              </w:rPr>
              <w:t xml:space="preserve">Primary Industries Levies and Charges Collection Act 1991 </w:t>
            </w:r>
            <w:r>
              <w:t xml:space="preserve">and includes any regulations, as amended from time to time. </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Collection Legislation</w:t>
            </w:r>
          </w:p>
        </w:tc>
        <w:tc>
          <w:tcPr>
            <w:tcW w:w="6117" w:type="dxa"/>
            <w:tcBorders>
              <w:top w:val="single" w:sz="4" w:space="0" w:color="auto"/>
              <w:bottom w:val="single" w:sz="4" w:space="0" w:color="auto"/>
            </w:tcBorders>
          </w:tcPr>
          <w:p w:rsidR="00E219D4" w:rsidRDefault="00E219D4" w:rsidP="00BD3932">
            <w:pPr>
              <w:pStyle w:val="DefinitionL2"/>
              <w:numPr>
                <w:ilvl w:val="0"/>
                <w:numId w:val="0"/>
              </w:numPr>
            </w:pPr>
            <w:proofErr w:type="gramStart"/>
            <w:r>
              <w:t>the</w:t>
            </w:r>
            <w:proofErr w:type="gramEnd"/>
            <w:r>
              <w:t xml:space="preserve"> Collection Act and Collection Regulations, as amended from time to time.</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Collection Regulations</w:t>
            </w:r>
          </w:p>
        </w:tc>
        <w:tc>
          <w:tcPr>
            <w:tcW w:w="6117" w:type="dxa"/>
            <w:tcBorders>
              <w:top w:val="single" w:sz="4" w:space="0" w:color="auto"/>
              <w:bottom w:val="single" w:sz="4" w:space="0" w:color="auto"/>
            </w:tcBorders>
          </w:tcPr>
          <w:p w:rsidR="00E219D4" w:rsidRDefault="00E219D4" w:rsidP="00BD3932">
            <w:pPr>
              <w:pStyle w:val="DefinitionL2"/>
              <w:numPr>
                <w:ilvl w:val="0"/>
                <w:numId w:val="0"/>
              </w:numPr>
            </w:pPr>
            <w:proofErr w:type="gramStart"/>
            <w:r>
              <w:t>the</w:t>
            </w:r>
            <w:proofErr w:type="gramEnd"/>
            <w:r>
              <w:t xml:space="preserve"> </w:t>
            </w:r>
            <w:r>
              <w:rPr>
                <w:i/>
              </w:rPr>
              <w:t>Primary Industries Levies and Charges Collection Regulations 1991</w:t>
            </w:r>
            <w:r>
              <w:t xml:space="preserve">, as amended from time to time. </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Commencement Date</w:t>
            </w:r>
          </w:p>
        </w:tc>
        <w:tc>
          <w:tcPr>
            <w:tcW w:w="6117" w:type="dxa"/>
            <w:tcBorders>
              <w:top w:val="single" w:sz="4" w:space="0" w:color="auto"/>
              <w:bottom w:val="single" w:sz="4" w:space="0" w:color="auto"/>
            </w:tcBorders>
          </w:tcPr>
          <w:p w:rsidR="00E219D4" w:rsidRDefault="00E219D4" w:rsidP="00BD3932">
            <w:proofErr w:type="gramStart"/>
            <w:r>
              <w:t>the</w:t>
            </w:r>
            <w:proofErr w:type="gramEnd"/>
            <w:r>
              <w:t xml:space="preserve"> date on which this Agreement commences, being the date of execution by both parties, or where the parties execute the Agreement on different dates, the later of those dates.</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Commonwealth</w:t>
            </w:r>
          </w:p>
        </w:tc>
        <w:tc>
          <w:tcPr>
            <w:tcW w:w="6117" w:type="dxa"/>
            <w:tcBorders>
              <w:top w:val="single" w:sz="4" w:space="0" w:color="auto"/>
              <w:bottom w:val="single" w:sz="4" w:space="0" w:color="auto"/>
            </w:tcBorders>
          </w:tcPr>
          <w:p w:rsidR="00E219D4" w:rsidRDefault="00E219D4" w:rsidP="00BD3932">
            <w:proofErr w:type="gramStart"/>
            <w:r>
              <w:t>the</w:t>
            </w:r>
            <w:proofErr w:type="gramEnd"/>
            <w:r>
              <w:t xml:space="preserve"> Commonwealth of Australia as represented by the Department.</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Commonwealth Contact Officer</w:t>
            </w:r>
          </w:p>
        </w:tc>
        <w:tc>
          <w:tcPr>
            <w:tcW w:w="6117" w:type="dxa"/>
            <w:tcBorders>
              <w:top w:val="single" w:sz="4" w:space="0" w:color="auto"/>
              <w:bottom w:val="single" w:sz="4" w:space="0" w:color="auto"/>
            </w:tcBorders>
          </w:tcPr>
          <w:p w:rsidR="00E219D4" w:rsidRDefault="00E219D4" w:rsidP="00BD3932">
            <w:proofErr w:type="gramStart"/>
            <w:r>
              <w:t>the</w:t>
            </w:r>
            <w:proofErr w:type="gramEnd"/>
            <w:r>
              <w:t xml:space="preserve"> person specified at clause </w:t>
            </w:r>
            <w:r>
              <w:fldChar w:fldCharType="begin"/>
            </w:r>
            <w:r>
              <w:instrText xml:space="preserve"> REF _Ref430099429 \r \h </w:instrText>
            </w:r>
            <w:r>
              <w:fldChar w:fldCharType="separate"/>
            </w:r>
            <w:r>
              <w:t>13</w:t>
            </w:r>
            <w:r>
              <w:fldChar w:fldCharType="end"/>
            </w:r>
            <w:r>
              <w:t xml:space="preserve">(b)(ii). </w:t>
            </w:r>
          </w:p>
        </w:tc>
      </w:tr>
      <w:tr w:rsidR="00E219D4" w:rsidTr="00BD3932">
        <w:tc>
          <w:tcPr>
            <w:tcW w:w="2563" w:type="dxa"/>
            <w:tcBorders>
              <w:top w:val="single" w:sz="4" w:space="0" w:color="auto"/>
              <w:bottom w:val="single" w:sz="4" w:space="0" w:color="auto"/>
            </w:tcBorders>
          </w:tcPr>
          <w:p w:rsidR="00E219D4" w:rsidRDefault="00E219D4" w:rsidP="00BD3932">
            <w:pPr>
              <w:keepLines/>
              <w:rPr>
                <w:b/>
              </w:rPr>
            </w:pPr>
            <w:r>
              <w:rPr>
                <w:b/>
              </w:rPr>
              <w:t>Confidential Information</w:t>
            </w:r>
          </w:p>
        </w:tc>
        <w:tc>
          <w:tcPr>
            <w:tcW w:w="6117" w:type="dxa"/>
            <w:tcBorders>
              <w:top w:val="single" w:sz="4" w:space="0" w:color="auto"/>
              <w:bottom w:val="single" w:sz="4" w:space="0" w:color="auto"/>
            </w:tcBorders>
          </w:tcPr>
          <w:p w:rsidR="00E219D4" w:rsidRDefault="00E219D4" w:rsidP="00BD3932">
            <w:r>
              <w:t>information that is by its nature confidential and a party knows or ought to know is confidential, but does not include information that is or becomes public knowledge otherwise than by breach of this Agreement or any other confidentiality obligation.</w:t>
            </w:r>
          </w:p>
        </w:tc>
      </w:tr>
      <w:tr w:rsidR="00E219D4" w:rsidTr="00BD3932">
        <w:tc>
          <w:tcPr>
            <w:tcW w:w="2563" w:type="dxa"/>
            <w:tcBorders>
              <w:top w:val="single" w:sz="4" w:space="0" w:color="auto"/>
              <w:bottom w:val="single" w:sz="4" w:space="0" w:color="auto"/>
            </w:tcBorders>
          </w:tcPr>
          <w:p w:rsidR="00E219D4" w:rsidRDefault="00E219D4" w:rsidP="00BD3932">
            <w:pPr>
              <w:pStyle w:val="DefinitionL1"/>
              <w:numPr>
                <w:ilvl w:val="0"/>
                <w:numId w:val="0"/>
              </w:numPr>
              <w:rPr>
                <w:b/>
              </w:rPr>
            </w:pPr>
            <w:r>
              <w:rPr>
                <w:b/>
              </w:rPr>
              <w:t>Department</w:t>
            </w:r>
          </w:p>
        </w:tc>
        <w:tc>
          <w:tcPr>
            <w:tcW w:w="6117" w:type="dxa"/>
            <w:tcBorders>
              <w:top w:val="single" w:sz="4" w:space="0" w:color="auto"/>
              <w:bottom w:val="single" w:sz="4" w:space="0" w:color="auto"/>
            </w:tcBorders>
          </w:tcPr>
          <w:p w:rsidR="00E219D4" w:rsidRDefault="00E219D4" w:rsidP="00BD3932">
            <w:r>
              <w:t>the Department of Agriculture and Water Resources and includes any department, agency or authority of the Commonwealth which is from time to time responsible for administering this Agreement on behalf of the Commonwealth.</w:t>
            </w:r>
          </w:p>
        </w:tc>
      </w:tr>
      <w:tr w:rsidR="00E219D4" w:rsidTr="00BD3932">
        <w:tc>
          <w:tcPr>
            <w:tcW w:w="2563" w:type="dxa"/>
            <w:tcBorders>
              <w:top w:val="single" w:sz="4" w:space="0" w:color="auto"/>
              <w:bottom w:val="single" w:sz="4" w:space="0" w:color="auto"/>
            </w:tcBorders>
          </w:tcPr>
          <w:p w:rsidR="00E219D4" w:rsidRDefault="00E219D4" w:rsidP="00BD3932">
            <w:pPr>
              <w:pStyle w:val="DefinitionL1"/>
              <w:numPr>
                <w:ilvl w:val="0"/>
                <w:numId w:val="0"/>
              </w:numPr>
              <w:rPr>
                <w:b/>
              </w:rPr>
            </w:pPr>
            <w:r>
              <w:rPr>
                <w:b/>
              </w:rPr>
              <w:t>Late Payment Penalty</w:t>
            </w:r>
          </w:p>
        </w:tc>
        <w:tc>
          <w:tcPr>
            <w:tcW w:w="6117" w:type="dxa"/>
            <w:tcBorders>
              <w:top w:val="single" w:sz="4" w:space="0" w:color="auto"/>
              <w:bottom w:val="single" w:sz="4" w:space="0" w:color="auto"/>
            </w:tcBorders>
          </w:tcPr>
          <w:p w:rsidR="00E219D4" w:rsidRDefault="00E219D4" w:rsidP="00BD3932">
            <w:proofErr w:type="gramStart"/>
            <w:r>
              <w:t>a</w:t>
            </w:r>
            <w:proofErr w:type="gramEnd"/>
            <w:r>
              <w:t xml:space="preserve"> penalty payable under section 15 of the Collection Act. </w:t>
            </w:r>
          </w:p>
        </w:tc>
      </w:tr>
      <w:tr w:rsidR="00E219D4" w:rsidTr="00BD3932">
        <w:tc>
          <w:tcPr>
            <w:tcW w:w="2563" w:type="dxa"/>
            <w:tcBorders>
              <w:top w:val="single" w:sz="4" w:space="0" w:color="auto"/>
              <w:bottom w:val="single" w:sz="4" w:space="0" w:color="auto"/>
            </w:tcBorders>
          </w:tcPr>
          <w:p w:rsidR="00E219D4" w:rsidRDefault="00E219D4" w:rsidP="00BD3932">
            <w:pPr>
              <w:rPr>
                <w:rFonts w:eastAsia="SimSun" w:cs="Times New Roman"/>
                <w:b/>
                <w:bCs/>
                <w:color w:val="000000"/>
              </w:rPr>
            </w:pPr>
            <w:r>
              <w:rPr>
                <w:rFonts w:eastAsia="SimSun" w:cs="Times New Roman"/>
                <w:b/>
                <w:bCs/>
                <w:color w:val="000000"/>
              </w:rPr>
              <w:t>LEADR</w:t>
            </w:r>
          </w:p>
        </w:tc>
        <w:tc>
          <w:tcPr>
            <w:tcW w:w="6117" w:type="dxa"/>
            <w:tcBorders>
              <w:top w:val="single" w:sz="4" w:space="0" w:color="auto"/>
              <w:bottom w:val="single" w:sz="4" w:space="0" w:color="auto"/>
            </w:tcBorders>
          </w:tcPr>
          <w:p w:rsidR="00E219D4" w:rsidRDefault="00E219D4" w:rsidP="00BD3932">
            <w:pPr>
              <w:rPr>
                <w:rFonts w:eastAsia="SimSun"/>
              </w:rPr>
            </w:pPr>
            <w:proofErr w:type="gramStart"/>
            <w:r>
              <w:rPr>
                <w:rFonts w:eastAsia="SimSun"/>
              </w:rPr>
              <w:t>the</w:t>
            </w:r>
            <w:proofErr w:type="gramEnd"/>
            <w:r>
              <w:rPr>
                <w:rFonts w:eastAsia="SimSun"/>
              </w:rPr>
              <w:t xml:space="preserve"> dispute resolution association with that name or any other similar body agreed between the parties from time to time. </w:t>
            </w:r>
          </w:p>
        </w:tc>
      </w:tr>
      <w:tr w:rsidR="00E219D4" w:rsidTr="00BD3932">
        <w:tc>
          <w:tcPr>
            <w:tcW w:w="2563" w:type="dxa"/>
            <w:tcBorders>
              <w:top w:val="single" w:sz="4" w:space="0" w:color="auto"/>
              <w:bottom w:val="single" w:sz="4" w:space="0" w:color="auto"/>
            </w:tcBorders>
          </w:tcPr>
          <w:p w:rsidR="00E219D4" w:rsidRDefault="00E219D4" w:rsidP="00BD3932">
            <w:pPr>
              <w:rPr>
                <w:rFonts w:eastAsia="SimSun" w:cs="Times New Roman"/>
                <w:b/>
                <w:bCs/>
                <w:color w:val="000000"/>
              </w:rPr>
            </w:pPr>
            <w:r>
              <w:rPr>
                <w:rFonts w:eastAsia="SimSun" w:cs="Times New Roman"/>
                <w:b/>
                <w:bCs/>
                <w:color w:val="000000"/>
              </w:rPr>
              <w:t>Levy Year</w:t>
            </w:r>
          </w:p>
        </w:tc>
        <w:tc>
          <w:tcPr>
            <w:tcW w:w="6117" w:type="dxa"/>
            <w:tcBorders>
              <w:top w:val="single" w:sz="4" w:space="0" w:color="auto"/>
              <w:bottom w:val="single" w:sz="4" w:space="0" w:color="auto"/>
            </w:tcBorders>
          </w:tcPr>
          <w:p w:rsidR="00E219D4" w:rsidRDefault="00E219D4" w:rsidP="00BD3932">
            <w:pPr>
              <w:rPr>
                <w:rFonts w:eastAsia="SimSun"/>
              </w:rPr>
            </w:pPr>
            <w:proofErr w:type="gramStart"/>
            <w:r>
              <w:rPr>
                <w:rFonts w:eastAsia="SimSun"/>
              </w:rPr>
              <w:t>has</w:t>
            </w:r>
            <w:proofErr w:type="gramEnd"/>
            <w:r>
              <w:rPr>
                <w:rFonts w:eastAsia="SimSun"/>
              </w:rPr>
              <w:t xml:space="preserve"> the same meaning as in Schedule 35 of the Collection Regulations.</w:t>
            </w:r>
          </w:p>
        </w:tc>
      </w:tr>
      <w:tr w:rsidR="00E219D4" w:rsidTr="00BD3932">
        <w:tc>
          <w:tcPr>
            <w:tcW w:w="2563" w:type="dxa"/>
            <w:tcBorders>
              <w:top w:val="single" w:sz="4" w:space="0" w:color="auto"/>
              <w:bottom w:val="single" w:sz="4" w:space="0" w:color="auto"/>
            </w:tcBorders>
          </w:tcPr>
          <w:p w:rsidR="00E219D4" w:rsidRDefault="00E219D4" w:rsidP="00BD3932">
            <w:pPr>
              <w:rPr>
                <w:rFonts w:eastAsia="SimSun" w:cs="Times New Roman"/>
                <w:b/>
                <w:bCs/>
                <w:color w:val="000000"/>
              </w:rPr>
            </w:pPr>
            <w:r>
              <w:rPr>
                <w:rFonts w:eastAsia="SimSun" w:cs="Times New Roman"/>
                <w:b/>
                <w:bCs/>
                <w:color w:val="000000"/>
              </w:rPr>
              <w:t>Licensed Exporter</w:t>
            </w:r>
          </w:p>
        </w:tc>
        <w:tc>
          <w:tcPr>
            <w:tcW w:w="6117" w:type="dxa"/>
            <w:tcBorders>
              <w:top w:val="single" w:sz="4" w:space="0" w:color="auto"/>
              <w:bottom w:val="single" w:sz="4" w:space="0" w:color="auto"/>
            </w:tcBorders>
          </w:tcPr>
          <w:p w:rsidR="00E219D4" w:rsidRDefault="00E219D4" w:rsidP="00BD3932">
            <w:pPr>
              <w:rPr>
                <w:rFonts w:eastAsia="SimSun"/>
              </w:rPr>
            </w:pPr>
            <w:proofErr w:type="gramStart"/>
            <w:r>
              <w:rPr>
                <w:rFonts w:eastAsia="SimSun"/>
              </w:rPr>
              <w:t>a</w:t>
            </w:r>
            <w:proofErr w:type="gramEnd"/>
            <w:r>
              <w:rPr>
                <w:rFonts w:eastAsia="SimSun"/>
              </w:rPr>
              <w:t xml:space="preserve"> person who holds a licence to export grape products from Australia issued under section 5 of the </w:t>
            </w:r>
            <w:r>
              <w:rPr>
                <w:rFonts w:eastAsia="SimSun"/>
                <w:i/>
              </w:rPr>
              <w:t>Australian Grape and Wine Authority Regulations 1981</w:t>
            </w:r>
            <w:r>
              <w:rPr>
                <w:rFonts w:eastAsia="SimSun"/>
              </w:rPr>
              <w:t xml:space="preserve"> and is otherwise liable to pay the Wine Export Charge under the Collection Act. </w:t>
            </w:r>
          </w:p>
        </w:tc>
      </w:tr>
      <w:tr w:rsidR="00E219D4" w:rsidTr="00BD3932">
        <w:tc>
          <w:tcPr>
            <w:tcW w:w="2563" w:type="dxa"/>
            <w:tcBorders>
              <w:top w:val="single" w:sz="4" w:space="0" w:color="auto"/>
              <w:bottom w:val="single" w:sz="4" w:space="0" w:color="auto"/>
            </w:tcBorders>
          </w:tcPr>
          <w:p w:rsidR="00E219D4" w:rsidRDefault="00E219D4" w:rsidP="00BD3932">
            <w:pPr>
              <w:keepNext/>
              <w:keepLines/>
              <w:rPr>
                <w:b/>
              </w:rPr>
            </w:pPr>
            <w:r>
              <w:rPr>
                <w:b/>
              </w:rPr>
              <w:t>Personal Information</w:t>
            </w:r>
          </w:p>
        </w:tc>
        <w:tc>
          <w:tcPr>
            <w:tcW w:w="6117" w:type="dxa"/>
            <w:tcBorders>
              <w:top w:val="single" w:sz="4" w:space="0" w:color="auto"/>
              <w:bottom w:val="single" w:sz="4" w:space="0" w:color="auto"/>
            </w:tcBorders>
          </w:tcPr>
          <w:p w:rsidR="00E219D4" w:rsidRDefault="00E219D4" w:rsidP="00BD3932">
            <w:pPr>
              <w:keepNext/>
              <w:keepLines/>
            </w:pPr>
            <w:proofErr w:type="gramStart"/>
            <w:r>
              <w:t>has</w:t>
            </w:r>
            <w:proofErr w:type="gramEnd"/>
            <w:r>
              <w:t xml:space="preserve"> the same meaning as in the Privacy Act</w:t>
            </w:r>
            <w:r>
              <w:rPr>
                <w:i/>
              </w:rPr>
              <w:t xml:space="preserve"> </w:t>
            </w:r>
            <w:r>
              <w:t xml:space="preserve">as amended from time to time. </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Personnel</w:t>
            </w:r>
          </w:p>
        </w:tc>
        <w:tc>
          <w:tcPr>
            <w:tcW w:w="6117" w:type="dxa"/>
            <w:tcBorders>
              <w:top w:val="single" w:sz="4" w:space="0" w:color="auto"/>
              <w:bottom w:val="single" w:sz="4" w:space="0" w:color="auto"/>
            </w:tcBorders>
          </w:tcPr>
          <w:p w:rsidR="00E219D4" w:rsidRDefault="00E219D4" w:rsidP="00BD3932">
            <w:proofErr w:type="gramStart"/>
            <w:r>
              <w:t>in</w:t>
            </w:r>
            <w:proofErr w:type="gramEnd"/>
            <w:r>
              <w:t xml:space="preserve"> relation to a party, any natural person who is an employee, officer, agent, or professional advisor of that party, and in the case of AGWA, of any subcontractor.</w:t>
            </w:r>
          </w:p>
        </w:tc>
      </w:tr>
      <w:tr w:rsidR="00E219D4" w:rsidTr="00BD3932">
        <w:tc>
          <w:tcPr>
            <w:tcW w:w="2563" w:type="dxa"/>
            <w:tcBorders>
              <w:top w:val="single" w:sz="4" w:space="0" w:color="auto"/>
              <w:bottom w:val="single" w:sz="4" w:space="0" w:color="auto"/>
            </w:tcBorders>
          </w:tcPr>
          <w:p w:rsidR="00E219D4" w:rsidRDefault="00E219D4" w:rsidP="00BD3932">
            <w:pPr>
              <w:rPr>
                <w:b/>
              </w:rPr>
            </w:pPr>
            <w:r>
              <w:rPr>
                <w:b/>
              </w:rPr>
              <w:t>PGPA Act</w:t>
            </w:r>
          </w:p>
        </w:tc>
        <w:tc>
          <w:tcPr>
            <w:tcW w:w="6117" w:type="dxa"/>
            <w:tcBorders>
              <w:top w:val="single" w:sz="4" w:space="0" w:color="auto"/>
              <w:bottom w:val="single" w:sz="4" w:space="0" w:color="auto"/>
            </w:tcBorders>
          </w:tcPr>
          <w:p w:rsidR="00E219D4" w:rsidRDefault="00E219D4" w:rsidP="00BD3932">
            <w:proofErr w:type="gramStart"/>
            <w:r>
              <w:t>means</w:t>
            </w:r>
            <w:proofErr w:type="gramEnd"/>
            <w:r>
              <w:t xml:space="preserve"> the </w:t>
            </w:r>
            <w:r>
              <w:rPr>
                <w:i/>
              </w:rPr>
              <w:t xml:space="preserve">Public Governance, Performance and Accountability Act 2013 </w:t>
            </w:r>
            <w:r>
              <w:t xml:space="preserve">and any rules, as amended from time to time. </w:t>
            </w:r>
          </w:p>
        </w:tc>
      </w:tr>
      <w:tr w:rsidR="00E219D4" w:rsidTr="00BD3932">
        <w:tc>
          <w:tcPr>
            <w:tcW w:w="2563" w:type="dxa"/>
            <w:tcBorders>
              <w:top w:val="single" w:sz="4" w:space="0" w:color="auto"/>
              <w:bottom w:val="single" w:sz="4" w:space="0" w:color="auto"/>
            </w:tcBorders>
          </w:tcPr>
          <w:p w:rsidR="00E219D4" w:rsidRDefault="00E219D4" w:rsidP="00BD3932">
            <w:pPr>
              <w:keepNext/>
              <w:keepLines/>
              <w:rPr>
                <w:b/>
              </w:rPr>
            </w:pPr>
            <w:r>
              <w:rPr>
                <w:b/>
              </w:rPr>
              <w:t>Privacy Act</w:t>
            </w:r>
          </w:p>
        </w:tc>
        <w:tc>
          <w:tcPr>
            <w:tcW w:w="6117" w:type="dxa"/>
            <w:tcBorders>
              <w:top w:val="single" w:sz="4" w:space="0" w:color="auto"/>
              <w:bottom w:val="single" w:sz="4" w:space="0" w:color="auto"/>
            </w:tcBorders>
          </w:tcPr>
          <w:p w:rsidR="00E219D4" w:rsidRDefault="00E219D4" w:rsidP="00BD3932">
            <w:pPr>
              <w:keepNext/>
              <w:keepLines/>
            </w:pPr>
            <w:proofErr w:type="gramStart"/>
            <w:r>
              <w:t>means</w:t>
            </w:r>
            <w:proofErr w:type="gramEnd"/>
            <w:r>
              <w:t xml:space="preserve"> the </w:t>
            </w:r>
            <w:r>
              <w:rPr>
                <w:i/>
              </w:rPr>
              <w:t xml:space="preserve">Privacy Act 1988 </w:t>
            </w:r>
            <w:r>
              <w:t>(</w:t>
            </w:r>
            <w:proofErr w:type="spellStart"/>
            <w:r>
              <w:t>Cth</w:t>
            </w:r>
            <w:proofErr w:type="spellEnd"/>
            <w:r>
              <w:t xml:space="preserve">) as amended from time to time. </w:t>
            </w:r>
          </w:p>
        </w:tc>
      </w:tr>
      <w:tr w:rsidR="00E219D4" w:rsidTr="00BD3932">
        <w:tc>
          <w:tcPr>
            <w:tcW w:w="2563" w:type="dxa"/>
            <w:tcBorders>
              <w:top w:val="single" w:sz="4" w:space="0" w:color="auto"/>
              <w:bottom w:val="single" w:sz="4" w:space="0" w:color="auto"/>
            </w:tcBorders>
          </w:tcPr>
          <w:p w:rsidR="00E219D4" w:rsidRDefault="00E219D4" w:rsidP="00BD3932">
            <w:pPr>
              <w:keepNext/>
              <w:keepLines/>
              <w:rPr>
                <w:b/>
              </w:rPr>
            </w:pPr>
            <w:r>
              <w:rPr>
                <w:b/>
              </w:rPr>
              <w:t>Return</w:t>
            </w:r>
          </w:p>
        </w:tc>
        <w:tc>
          <w:tcPr>
            <w:tcW w:w="6117" w:type="dxa"/>
            <w:tcBorders>
              <w:top w:val="single" w:sz="4" w:space="0" w:color="auto"/>
              <w:bottom w:val="single" w:sz="4" w:space="0" w:color="auto"/>
            </w:tcBorders>
          </w:tcPr>
          <w:p w:rsidR="00E219D4" w:rsidRDefault="00E219D4" w:rsidP="00BD3932">
            <w:pPr>
              <w:keepNext/>
              <w:keepLines/>
            </w:pPr>
            <w:proofErr w:type="gramStart"/>
            <w:r>
              <w:t>means</w:t>
            </w:r>
            <w:proofErr w:type="gramEnd"/>
            <w:r>
              <w:t xml:space="preserve"> the quarterly, or where applicable, the annual return a Licensed Exporter is required by the Collection Legislation to lodge.</w:t>
            </w:r>
          </w:p>
        </w:tc>
      </w:tr>
      <w:tr w:rsidR="00E219D4" w:rsidTr="00BD3932">
        <w:tc>
          <w:tcPr>
            <w:tcW w:w="2563" w:type="dxa"/>
            <w:tcBorders>
              <w:top w:val="single" w:sz="4" w:space="0" w:color="auto"/>
              <w:bottom w:val="single" w:sz="4" w:space="0" w:color="auto"/>
            </w:tcBorders>
          </w:tcPr>
          <w:p w:rsidR="00E219D4" w:rsidRDefault="00E219D4" w:rsidP="00BD3932">
            <w:pPr>
              <w:keepNext/>
              <w:keepLines/>
              <w:rPr>
                <w:b/>
              </w:rPr>
            </w:pPr>
            <w:r>
              <w:rPr>
                <w:b/>
              </w:rPr>
              <w:t>Wine Export Charge</w:t>
            </w:r>
          </w:p>
        </w:tc>
        <w:tc>
          <w:tcPr>
            <w:tcW w:w="6117" w:type="dxa"/>
            <w:tcBorders>
              <w:top w:val="single" w:sz="4" w:space="0" w:color="auto"/>
              <w:bottom w:val="single" w:sz="4" w:space="0" w:color="auto"/>
            </w:tcBorders>
          </w:tcPr>
          <w:p w:rsidR="00E219D4" w:rsidRDefault="00E219D4" w:rsidP="00BD3932">
            <w:pPr>
              <w:keepNext/>
              <w:keepLines/>
            </w:pPr>
            <w:proofErr w:type="gramStart"/>
            <w:r>
              <w:t>the</w:t>
            </w:r>
            <w:proofErr w:type="gramEnd"/>
            <w:r>
              <w:t xml:space="preserve"> charge imposed on exported Australian produced wine in accordance with Schedule 13 of the </w:t>
            </w:r>
            <w:r>
              <w:rPr>
                <w:i/>
              </w:rPr>
              <w:t>Primary Industries (Customs) Charges Act 1999</w:t>
            </w:r>
            <w:r>
              <w:t xml:space="preserve">. </w:t>
            </w:r>
          </w:p>
        </w:tc>
      </w:tr>
    </w:tbl>
    <w:p w:rsidR="00E219D4" w:rsidRDefault="00E219D4" w:rsidP="00E219D4">
      <w:pPr>
        <w:pStyle w:val="MELegal1"/>
        <w:numPr>
          <w:ilvl w:val="0"/>
          <w:numId w:val="8"/>
        </w:numPr>
      </w:pPr>
      <w:bookmarkStart w:id="19" w:name="_Toc131752524"/>
      <w:bookmarkStart w:id="20" w:name="_Toc131753831"/>
      <w:bookmarkStart w:id="21" w:name="_Toc131754302"/>
      <w:bookmarkStart w:id="22" w:name="_Toc131754380"/>
      <w:bookmarkStart w:id="23" w:name="_Toc131839194"/>
      <w:bookmarkStart w:id="24" w:name="_Toc131840933"/>
      <w:bookmarkStart w:id="25" w:name="_Toc131855178"/>
      <w:bookmarkStart w:id="26" w:name="_Toc134875268"/>
      <w:bookmarkStart w:id="27" w:name="_Ref135891724"/>
      <w:bookmarkStart w:id="28" w:name="_Toc430700759"/>
      <w:r>
        <w:t xml:space="preserve">Duration of </w:t>
      </w:r>
      <w:bookmarkEnd w:id="19"/>
      <w:bookmarkEnd w:id="20"/>
      <w:bookmarkEnd w:id="21"/>
      <w:bookmarkEnd w:id="22"/>
      <w:bookmarkEnd w:id="23"/>
      <w:bookmarkEnd w:id="24"/>
      <w:bookmarkEnd w:id="25"/>
      <w:bookmarkEnd w:id="26"/>
      <w:bookmarkEnd w:id="27"/>
      <w:r>
        <w:t>Agreement</w:t>
      </w:r>
      <w:bookmarkEnd w:id="28"/>
      <w:r>
        <w:t xml:space="preserve"> </w:t>
      </w:r>
    </w:p>
    <w:p w:rsidR="00E219D4" w:rsidRDefault="00E219D4" w:rsidP="00E219D4">
      <w:pPr>
        <w:pStyle w:val="MELegal2"/>
        <w:numPr>
          <w:ilvl w:val="1"/>
          <w:numId w:val="8"/>
        </w:numPr>
      </w:pPr>
      <w:bookmarkStart w:id="29" w:name="_Toc131752525"/>
      <w:bookmarkStart w:id="30" w:name="_Toc131753832"/>
      <w:bookmarkStart w:id="31" w:name="_Toc131855179"/>
      <w:bookmarkStart w:id="32" w:name="_Ref135893332"/>
      <w:bookmarkStart w:id="33" w:name="_Ref420908839"/>
      <w:r>
        <w:t>Agreement Period</w:t>
      </w:r>
      <w:bookmarkEnd w:id="29"/>
      <w:bookmarkEnd w:id="30"/>
      <w:bookmarkEnd w:id="31"/>
      <w:bookmarkEnd w:id="32"/>
      <w:bookmarkEnd w:id="33"/>
    </w:p>
    <w:p w:rsidR="00E219D4" w:rsidRDefault="00E219D4" w:rsidP="00E219D4">
      <w:pPr>
        <w:pStyle w:val="MELegal3"/>
        <w:numPr>
          <w:ilvl w:val="0"/>
          <w:numId w:val="0"/>
        </w:numPr>
        <w:ind w:left="709" w:hanging="29"/>
      </w:pPr>
      <w:r>
        <w:t>This Agreement begins on the Commencement Date and continues for a period of three years.</w:t>
      </w:r>
    </w:p>
    <w:p w:rsidR="00E219D4" w:rsidRDefault="00E219D4" w:rsidP="00E219D4">
      <w:pPr>
        <w:pStyle w:val="MELegal2"/>
        <w:numPr>
          <w:ilvl w:val="1"/>
          <w:numId w:val="8"/>
        </w:numPr>
      </w:pPr>
      <w:r>
        <w:t>Option to extend</w:t>
      </w:r>
    </w:p>
    <w:p w:rsidR="00E219D4" w:rsidRDefault="00E219D4" w:rsidP="00E219D4">
      <w:pPr>
        <w:pStyle w:val="MELegal3"/>
        <w:numPr>
          <w:ilvl w:val="0"/>
          <w:numId w:val="0"/>
        </w:numPr>
        <w:ind w:left="680"/>
      </w:pPr>
      <w:r>
        <w:t>The Agreement Period may be extended by the Commonwealth for the following further period(s) specified below on the terms and conditions then in effect by giving written notice to AGWA 90 days or such other period agreed between the parties before the end of the current Agreement Period:</w:t>
      </w:r>
    </w:p>
    <w:p w:rsidR="00E219D4" w:rsidRDefault="00E219D4" w:rsidP="00E219D4">
      <w:pPr>
        <w:pStyle w:val="MELegal4"/>
        <w:numPr>
          <w:ilvl w:val="3"/>
          <w:numId w:val="8"/>
        </w:numPr>
        <w:tabs>
          <w:tab w:val="clear" w:pos="2041"/>
          <w:tab w:val="left" w:pos="1418"/>
        </w:tabs>
        <w:ind w:left="1418" w:hanging="709"/>
      </w:pPr>
      <w:r>
        <w:t>one three year period; or</w:t>
      </w:r>
    </w:p>
    <w:p w:rsidR="00E219D4" w:rsidRDefault="00E219D4" w:rsidP="00E219D4">
      <w:pPr>
        <w:pStyle w:val="MELegal4"/>
        <w:numPr>
          <w:ilvl w:val="3"/>
          <w:numId w:val="8"/>
        </w:numPr>
        <w:tabs>
          <w:tab w:val="clear" w:pos="2041"/>
          <w:tab w:val="left" w:pos="1418"/>
        </w:tabs>
        <w:ind w:left="1418" w:hanging="709"/>
      </w:pPr>
      <w:proofErr w:type="gramStart"/>
      <w:r>
        <w:t>any</w:t>
      </w:r>
      <w:proofErr w:type="gramEnd"/>
      <w:r>
        <w:t xml:space="preserve"> number of periods up to a maximum of three years. </w:t>
      </w:r>
    </w:p>
    <w:p w:rsidR="00E219D4" w:rsidRDefault="00E219D4" w:rsidP="00E219D4">
      <w:pPr>
        <w:pStyle w:val="MELegal1"/>
        <w:numPr>
          <w:ilvl w:val="0"/>
          <w:numId w:val="8"/>
        </w:numPr>
        <w:spacing w:line="280" w:lineRule="exact"/>
        <w:outlineLvl w:val="1"/>
      </w:pPr>
      <w:bookmarkStart w:id="34" w:name="_Toc430700760"/>
      <w:bookmarkStart w:id="35" w:name="_Toc531770671"/>
      <w:bookmarkStart w:id="36" w:name="_Ref83187843"/>
      <w:bookmarkStart w:id="37" w:name="_Toc83445782"/>
      <w:r>
        <w:t>Collection of Wine Export Charge</w:t>
      </w:r>
      <w:bookmarkEnd w:id="34"/>
    </w:p>
    <w:p w:rsidR="00E219D4" w:rsidRDefault="00E219D4" w:rsidP="00E219D4">
      <w:pPr>
        <w:pStyle w:val="MELegal2"/>
        <w:numPr>
          <w:ilvl w:val="1"/>
          <w:numId w:val="8"/>
        </w:numPr>
        <w:spacing w:line="280" w:lineRule="exact"/>
        <w:outlineLvl w:val="2"/>
      </w:pPr>
      <w:r>
        <w:t>Commencement of collection</w:t>
      </w:r>
    </w:p>
    <w:p w:rsidR="00E219D4" w:rsidRDefault="00E219D4" w:rsidP="00E219D4">
      <w:pPr>
        <w:pStyle w:val="MELegal3"/>
        <w:numPr>
          <w:ilvl w:val="0"/>
          <w:numId w:val="0"/>
        </w:numPr>
        <w:ind w:left="680"/>
      </w:pPr>
      <w:r>
        <w:t xml:space="preserve">Unless otherwise agreed in writing between the parties, AGWA will collect the Wine Export Charge for the duration of the Agreement Period, commencing from the next date quarterly Returns are required to be lodged following the Commencement Date. </w:t>
      </w:r>
    </w:p>
    <w:p w:rsidR="00E219D4" w:rsidRDefault="00E219D4" w:rsidP="00E219D4">
      <w:pPr>
        <w:pStyle w:val="MELegal2"/>
        <w:numPr>
          <w:ilvl w:val="1"/>
          <w:numId w:val="8"/>
        </w:numPr>
        <w:spacing w:line="280" w:lineRule="exact"/>
        <w:outlineLvl w:val="2"/>
      </w:pPr>
      <w:bookmarkStart w:id="38" w:name="_Ref430264227"/>
      <w:r>
        <w:t>Returns and applications for exemption from lodging quarterly returns</w:t>
      </w:r>
      <w:bookmarkEnd w:id="38"/>
    </w:p>
    <w:p w:rsidR="00E219D4" w:rsidRDefault="00E219D4" w:rsidP="00E219D4">
      <w:pPr>
        <w:ind w:firstLine="680"/>
        <w:rPr>
          <w:i/>
        </w:rPr>
      </w:pPr>
      <w:r>
        <w:rPr>
          <w:i/>
        </w:rPr>
        <w:t>Returns</w:t>
      </w:r>
    </w:p>
    <w:p w:rsidR="00E219D4" w:rsidRDefault="00E219D4" w:rsidP="00E219D4">
      <w:pPr>
        <w:pStyle w:val="MELegal3"/>
        <w:numPr>
          <w:ilvl w:val="2"/>
          <w:numId w:val="8"/>
        </w:numPr>
      </w:pPr>
      <w:r>
        <w:t>AGWA must ensure that:</w:t>
      </w:r>
    </w:p>
    <w:p w:rsidR="00E219D4" w:rsidRDefault="00E219D4" w:rsidP="00E219D4">
      <w:pPr>
        <w:pStyle w:val="Level2"/>
        <w:tabs>
          <w:tab w:val="left" w:pos="1843"/>
        </w:tabs>
        <w:ind w:left="1985" w:hanging="567"/>
      </w:pPr>
      <w:r>
        <w:t xml:space="preserve">  all Returns required to be lodged by a Licensed Exporter in accordance with the Collection Regulations can be lodged with AGWA; </w:t>
      </w:r>
    </w:p>
    <w:p w:rsidR="00E219D4" w:rsidRDefault="00E219D4" w:rsidP="00E219D4">
      <w:pPr>
        <w:pStyle w:val="Level2"/>
        <w:tabs>
          <w:tab w:val="left" w:pos="1843"/>
        </w:tabs>
        <w:ind w:left="1985" w:hanging="567"/>
      </w:pPr>
      <w:r>
        <w:t xml:space="preserve">  any process  for lodging a Return with AGWA will allow a Licensed Exporter to meet their obligations set out in the Collection Legislation; and</w:t>
      </w:r>
    </w:p>
    <w:p w:rsidR="00E219D4" w:rsidRDefault="00E219D4" w:rsidP="00E219D4">
      <w:pPr>
        <w:pStyle w:val="Level2"/>
        <w:tabs>
          <w:tab w:val="left" w:pos="1843"/>
        </w:tabs>
        <w:ind w:left="1985" w:hanging="567"/>
      </w:pPr>
      <w:r>
        <w:t xml:space="preserve">   </w:t>
      </w:r>
      <w:proofErr w:type="gramStart"/>
      <w:r>
        <w:t>all</w:t>
      </w:r>
      <w:proofErr w:type="gramEnd"/>
      <w:r>
        <w:t xml:space="preserve"> Licensed Exporters are made aware of the process by which a Return must be lodged with AGWA.</w:t>
      </w:r>
    </w:p>
    <w:p w:rsidR="00E219D4" w:rsidRDefault="00E219D4" w:rsidP="00E219D4">
      <w:pPr>
        <w:pStyle w:val="MELegal3"/>
        <w:numPr>
          <w:ilvl w:val="2"/>
          <w:numId w:val="8"/>
        </w:numPr>
      </w:pPr>
      <w:r>
        <w:t xml:space="preserve">Where AGWA is satisfied that a Licensed Exporter has failed to lodge a Return in accordance with the requirements of the Collection Legislation, AGWA must notify the  Commonwealth as soon as reasonably practicable and by submitting an email to the following address: </w:t>
      </w:r>
      <w:hyperlink r:id="rId12" w:history="1">
        <w:r w:rsidRPr="00AB1E59">
          <w:rPr>
            <w:rStyle w:val="Hyperlink"/>
          </w:rPr>
          <w:t>levies.management@agriculture.gov.au</w:t>
        </w:r>
      </w:hyperlink>
      <w:r>
        <w:t xml:space="preserve"> (or such other email address as notified by the Commonwealth from time to time).</w:t>
      </w:r>
    </w:p>
    <w:p w:rsidR="00E219D4" w:rsidRDefault="00E219D4" w:rsidP="00E219D4">
      <w:pPr>
        <w:pStyle w:val="MELegal3"/>
        <w:numPr>
          <w:ilvl w:val="2"/>
          <w:numId w:val="8"/>
        </w:numPr>
      </w:pPr>
      <w:r>
        <w:t xml:space="preserve">For the purposes of clause </w:t>
      </w:r>
      <w:r>
        <w:fldChar w:fldCharType="begin"/>
      </w:r>
      <w:r>
        <w:instrText xml:space="preserve"> REF _Ref430264227 \r \h </w:instrText>
      </w:r>
      <w:r>
        <w:fldChar w:fldCharType="separate"/>
      </w:r>
      <w:r>
        <w:t>3.2</w:t>
      </w:r>
      <w:r>
        <w:fldChar w:fldCharType="end"/>
      </w:r>
      <w:r>
        <w:t>(b), AGWA must ensure that any notice to the Commonwealth includes:</w:t>
      </w:r>
    </w:p>
    <w:p w:rsidR="00E219D4" w:rsidRDefault="00E219D4" w:rsidP="00E219D4">
      <w:pPr>
        <w:pStyle w:val="MELegal3"/>
        <w:numPr>
          <w:ilvl w:val="0"/>
          <w:numId w:val="17"/>
        </w:numPr>
        <w:ind w:left="1985" w:hanging="567"/>
      </w:pPr>
      <w:r>
        <w:t>the Licensed Exporter’s full name and ABN or ACN, as relevant;</w:t>
      </w:r>
    </w:p>
    <w:p w:rsidR="00E219D4" w:rsidRDefault="00E219D4" w:rsidP="00E219D4">
      <w:pPr>
        <w:pStyle w:val="Level2"/>
        <w:numPr>
          <w:ilvl w:val="0"/>
          <w:numId w:val="17"/>
        </w:numPr>
        <w:ind w:left="1985" w:hanging="567"/>
      </w:pPr>
      <w:r>
        <w:t xml:space="preserve">the number of the Licensed Exporter’s export licence; </w:t>
      </w:r>
    </w:p>
    <w:p w:rsidR="00E219D4" w:rsidRDefault="00E219D4" w:rsidP="00E219D4">
      <w:pPr>
        <w:pStyle w:val="Level2"/>
        <w:numPr>
          <w:ilvl w:val="0"/>
          <w:numId w:val="17"/>
        </w:numPr>
        <w:ind w:left="1985" w:hanging="567"/>
      </w:pPr>
      <w:r>
        <w:t>a copy of the written statement AGWA has provided to the Licensed Exporter for the relevant quarter in accordance with regulation 5 of Schedule 35 of the Collection Regulations; and</w:t>
      </w:r>
    </w:p>
    <w:p w:rsidR="00E219D4" w:rsidRDefault="00E219D4" w:rsidP="00E219D4">
      <w:pPr>
        <w:pStyle w:val="Level2"/>
        <w:numPr>
          <w:ilvl w:val="0"/>
          <w:numId w:val="17"/>
        </w:numPr>
        <w:ind w:left="1985" w:hanging="567"/>
      </w:pPr>
      <w:proofErr w:type="gramStart"/>
      <w:r>
        <w:t>any</w:t>
      </w:r>
      <w:proofErr w:type="gramEnd"/>
      <w:r>
        <w:t xml:space="preserve"> other information notified by the Commonwealth.</w:t>
      </w:r>
    </w:p>
    <w:p w:rsidR="00E219D4" w:rsidRDefault="00E219D4" w:rsidP="00E219D4">
      <w:pPr>
        <w:pStyle w:val="MELegal3"/>
        <w:numPr>
          <w:ilvl w:val="0"/>
          <w:numId w:val="0"/>
        </w:numPr>
        <w:ind w:left="680"/>
        <w:rPr>
          <w:i/>
        </w:rPr>
      </w:pPr>
      <w:r>
        <w:rPr>
          <w:i/>
        </w:rPr>
        <w:t>Applications for Exemption</w:t>
      </w:r>
    </w:p>
    <w:p w:rsidR="00E219D4" w:rsidRDefault="00E219D4" w:rsidP="00E219D4">
      <w:pPr>
        <w:pStyle w:val="MELegal3"/>
        <w:numPr>
          <w:ilvl w:val="2"/>
          <w:numId w:val="8"/>
        </w:numPr>
      </w:pPr>
      <w:r>
        <w:t>AGWA must not consider any applications for exemption from lodging quarterly returns from a Licensed Exporter.</w:t>
      </w:r>
    </w:p>
    <w:p w:rsidR="00E219D4" w:rsidRDefault="00E219D4" w:rsidP="00E219D4">
      <w:pPr>
        <w:pStyle w:val="MELegal3"/>
        <w:numPr>
          <w:ilvl w:val="2"/>
          <w:numId w:val="8"/>
        </w:numPr>
      </w:pPr>
      <w:r>
        <w:t>AGWA must advise any Licensed Exporter that wishes to make an application for exemption from lodging quarterly returns, that any such application:</w:t>
      </w:r>
    </w:p>
    <w:p w:rsidR="00E219D4" w:rsidRDefault="00E219D4" w:rsidP="00E219D4">
      <w:pPr>
        <w:pStyle w:val="MELegal3"/>
        <w:numPr>
          <w:ilvl w:val="0"/>
          <w:numId w:val="11"/>
        </w:numPr>
        <w:ind w:left="1985" w:hanging="567"/>
      </w:pPr>
      <w:r>
        <w:t>may be made if the licensed exporter has reasonably grounds for believing that the amount of charge payable by the licensed exporter for the Levy Year is, or is likely to be, less than $200;</w:t>
      </w:r>
    </w:p>
    <w:p w:rsidR="00E219D4" w:rsidRDefault="00E219D4" w:rsidP="00E219D4">
      <w:pPr>
        <w:pStyle w:val="MELegal3"/>
        <w:numPr>
          <w:ilvl w:val="0"/>
          <w:numId w:val="11"/>
        </w:numPr>
        <w:ind w:left="1985" w:hanging="567"/>
      </w:pPr>
      <w:r>
        <w:t xml:space="preserve">is to be sent to the Secretary’s postal address as prescribed in the Collection Regulations, but that the Secretary will still accept and consider an application received at the following email address </w:t>
      </w:r>
      <w:hyperlink r:id="rId13" w:history="1">
        <w:r w:rsidRPr="00AB1E59">
          <w:rPr>
            <w:rStyle w:val="Hyperlink"/>
          </w:rPr>
          <w:t>levies.management@agriculture.gov.au</w:t>
        </w:r>
      </w:hyperlink>
      <w:r>
        <w:t xml:space="preserve"> (or such other email address as notified by the Commonwealth from time to time); and</w:t>
      </w:r>
    </w:p>
    <w:p w:rsidR="00E219D4" w:rsidRDefault="00E219D4" w:rsidP="00E219D4">
      <w:pPr>
        <w:pStyle w:val="MELegal3"/>
        <w:numPr>
          <w:ilvl w:val="0"/>
          <w:numId w:val="11"/>
        </w:numPr>
        <w:ind w:left="1985" w:hanging="567"/>
      </w:pPr>
      <w:r>
        <w:t>include the following information:</w:t>
      </w:r>
    </w:p>
    <w:p w:rsidR="00E219D4" w:rsidRDefault="00E219D4" w:rsidP="00E219D4">
      <w:pPr>
        <w:pStyle w:val="MELegal5"/>
        <w:numPr>
          <w:ilvl w:val="4"/>
          <w:numId w:val="8"/>
        </w:numPr>
      </w:pPr>
      <w:r>
        <w:t>the exporter’s full name;</w:t>
      </w:r>
    </w:p>
    <w:p w:rsidR="00E219D4" w:rsidRDefault="00E219D4" w:rsidP="00E219D4">
      <w:pPr>
        <w:pStyle w:val="MELegal5"/>
        <w:numPr>
          <w:ilvl w:val="4"/>
          <w:numId w:val="8"/>
        </w:numPr>
      </w:pPr>
      <w:r>
        <w:t>the exporter’s business or residential address (not the address of a post office box or post office bag);</w:t>
      </w:r>
    </w:p>
    <w:p w:rsidR="00E219D4" w:rsidRDefault="00E219D4" w:rsidP="00E219D4">
      <w:pPr>
        <w:pStyle w:val="MELegal5"/>
        <w:numPr>
          <w:ilvl w:val="4"/>
          <w:numId w:val="8"/>
        </w:numPr>
      </w:pPr>
      <w:r>
        <w:t>the exporter’s ABN, if any;</w:t>
      </w:r>
    </w:p>
    <w:p w:rsidR="00E219D4" w:rsidRDefault="00E219D4" w:rsidP="00E219D4">
      <w:pPr>
        <w:pStyle w:val="MELegal5"/>
        <w:numPr>
          <w:ilvl w:val="4"/>
          <w:numId w:val="8"/>
        </w:numPr>
      </w:pPr>
      <w:r>
        <w:t xml:space="preserve">if the exporter is a company and does not have an ABN – its ACN; </w:t>
      </w:r>
    </w:p>
    <w:p w:rsidR="00E219D4" w:rsidRDefault="00E219D4" w:rsidP="00E219D4">
      <w:pPr>
        <w:pStyle w:val="MELegal5"/>
        <w:numPr>
          <w:ilvl w:val="4"/>
          <w:numId w:val="8"/>
        </w:numPr>
      </w:pPr>
      <w:r>
        <w:t>a statement to the effect that the exporter believes that the exporter has incurred, or is likely to incur, a liability to pay charge for the levy year to which the application relates; and</w:t>
      </w:r>
    </w:p>
    <w:p w:rsidR="00E219D4" w:rsidRDefault="00E219D4" w:rsidP="00E219D4">
      <w:pPr>
        <w:pStyle w:val="MELegal5"/>
        <w:numPr>
          <w:ilvl w:val="4"/>
          <w:numId w:val="8"/>
        </w:numPr>
      </w:pPr>
      <w:proofErr w:type="gramStart"/>
      <w:r>
        <w:t>a</w:t>
      </w:r>
      <w:proofErr w:type="gramEnd"/>
      <w:r>
        <w:t xml:space="preserve"> statement to the effect that the exporter believes that the amount of the liability is, or is likely to be, less than $200.</w:t>
      </w:r>
    </w:p>
    <w:p w:rsidR="00E219D4" w:rsidRDefault="00E219D4" w:rsidP="00E219D4">
      <w:pPr>
        <w:pStyle w:val="MELegal3"/>
        <w:numPr>
          <w:ilvl w:val="2"/>
          <w:numId w:val="8"/>
        </w:numPr>
      </w:pPr>
      <w:r>
        <w:t>Where a Licensed Exporter has questions or concerns about the specific process for making an application for exempting from lodging quarterly returns, AGWA should direct that Licensed Exporter to the following Departmental contact point, unless otherwise notified by the Commonwealth:</w:t>
      </w:r>
    </w:p>
    <w:p w:rsidR="00E219D4" w:rsidRDefault="00E219D4" w:rsidP="00E219D4">
      <w:pPr>
        <w:pStyle w:val="MELegal3"/>
        <w:numPr>
          <w:ilvl w:val="0"/>
          <w:numId w:val="0"/>
        </w:numPr>
        <w:ind w:left="2720"/>
      </w:pPr>
      <w:r>
        <w:t>Department of Agriculture and Water Resources – Levies Adelaide office</w:t>
      </w:r>
    </w:p>
    <w:p w:rsidR="00E219D4" w:rsidRDefault="00E219D4" w:rsidP="00E219D4">
      <w:pPr>
        <w:pStyle w:val="MELegal3"/>
        <w:numPr>
          <w:ilvl w:val="0"/>
          <w:numId w:val="0"/>
        </w:numPr>
        <w:ind w:left="2720"/>
      </w:pPr>
      <w:r>
        <w:t>Telephone: 1800 814 961</w:t>
      </w:r>
    </w:p>
    <w:p w:rsidR="00E219D4" w:rsidRDefault="00E219D4" w:rsidP="00E219D4">
      <w:pPr>
        <w:pStyle w:val="MELegal3"/>
        <w:numPr>
          <w:ilvl w:val="0"/>
          <w:numId w:val="0"/>
        </w:numPr>
        <w:ind w:left="2720"/>
      </w:pPr>
      <w:r>
        <w:t xml:space="preserve">Email: </w:t>
      </w:r>
      <w:hyperlink r:id="rId14" w:history="1">
        <w:r w:rsidRPr="00A34D94">
          <w:rPr>
            <w:rStyle w:val="Hyperlink"/>
          </w:rPr>
          <w:t>levies.management@agriculture.gov.au</w:t>
        </w:r>
      </w:hyperlink>
      <w:r>
        <w:t xml:space="preserve"> </w:t>
      </w:r>
      <w:proofErr w:type="gramStart"/>
      <w:r>
        <w:t>( or</w:t>
      </w:r>
      <w:proofErr w:type="gramEnd"/>
      <w:r>
        <w:t xml:space="preserve"> such other email address as notified by the Commonwealth from time to time)</w:t>
      </w:r>
    </w:p>
    <w:p w:rsidR="00E219D4" w:rsidRDefault="00E219D4" w:rsidP="00E219D4">
      <w:pPr>
        <w:pStyle w:val="MELegal3"/>
        <w:numPr>
          <w:ilvl w:val="2"/>
          <w:numId w:val="8"/>
        </w:numPr>
      </w:pPr>
      <w:r>
        <w:t xml:space="preserve">Where the Secretary has granted a Licensed Exporter an exemption from lodging quarterly returns, the Department will notify AGWA. </w:t>
      </w:r>
    </w:p>
    <w:p w:rsidR="00E219D4" w:rsidRDefault="00E219D4" w:rsidP="00E219D4">
      <w:pPr>
        <w:pStyle w:val="MELegal2"/>
        <w:numPr>
          <w:ilvl w:val="1"/>
          <w:numId w:val="8"/>
        </w:numPr>
      </w:pPr>
      <w:r>
        <w:t>Collection obligations</w:t>
      </w:r>
    </w:p>
    <w:p w:rsidR="00E219D4" w:rsidRDefault="00E219D4" w:rsidP="00E219D4">
      <w:pPr>
        <w:pStyle w:val="MELegal3"/>
        <w:numPr>
          <w:ilvl w:val="0"/>
          <w:numId w:val="0"/>
        </w:numPr>
        <w:ind w:left="1361" w:hanging="681"/>
      </w:pPr>
      <w:r>
        <w:t>AGWA must collect the Wine Export Charge:</w:t>
      </w:r>
    </w:p>
    <w:p w:rsidR="00E219D4" w:rsidRDefault="00E219D4" w:rsidP="00E219D4">
      <w:pPr>
        <w:pStyle w:val="MELegal3"/>
        <w:numPr>
          <w:ilvl w:val="2"/>
          <w:numId w:val="8"/>
        </w:numPr>
      </w:pPr>
      <w:r>
        <w:t>from Licensed Exporters;</w:t>
      </w:r>
    </w:p>
    <w:p w:rsidR="00E219D4" w:rsidRDefault="00E219D4" w:rsidP="00E219D4">
      <w:pPr>
        <w:pStyle w:val="MELegal3"/>
        <w:numPr>
          <w:ilvl w:val="2"/>
          <w:numId w:val="8"/>
        </w:numPr>
      </w:pPr>
      <w:r>
        <w:t>in all states and territories;</w:t>
      </w:r>
    </w:p>
    <w:p w:rsidR="00E219D4" w:rsidRDefault="00E219D4" w:rsidP="00E219D4">
      <w:pPr>
        <w:pStyle w:val="MELegal3"/>
        <w:numPr>
          <w:ilvl w:val="2"/>
          <w:numId w:val="8"/>
        </w:numPr>
      </w:pPr>
      <w:r>
        <w:t xml:space="preserve">in accordance with all applicable laws, including but not limited to the Collection Act, the Collection Regulations and the PGPA Act; </w:t>
      </w:r>
    </w:p>
    <w:p w:rsidR="00E219D4" w:rsidRDefault="00E219D4" w:rsidP="00E219D4">
      <w:pPr>
        <w:pStyle w:val="MELegal3"/>
        <w:numPr>
          <w:ilvl w:val="2"/>
          <w:numId w:val="8"/>
        </w:numPr>
      </w:pPr>
      <w:r>
        <w:t xml:space="preserve">in accordance with Commonwealth policies and specific requirements as notified by the Commonwealth from time to time; </w:t>
      </w:r>
    </w:p>
    <w:p w:rsidR="00E219D4" w:rsidRDefault="00E219D4" w:rsidP="00E219D4">
      <w:pPr>
        <w:pStyle w:val="MELegal3"/>
        <w:numPr>
          <w:ilvl w:val="2"/>
          <w:numId w:val="8"/>
        </w:numPr>
      </w:pPr>
      <w:bookmarkStart w:id="39" w:name="_Ref166667397"/>
      <w:r>
        <w:t>in accordance with any directions in relation to the collection given by the Commonwealth from time to time;</w:t>
      </w:r>
      <w:bookmarkEnd w:id="39"/>
    </w:p>
    <w:p w:rsidR="00E219D4" w:rsidRDefault="00E219D4" w:rsidP="00E219D4">
      <w:pPr>
        <w:pStyle w:val="MELegal3"/>
        <w:numPr>
          <w:ilvl w:val="2"/>
          <w:numId w:val="8"/>
        </w:numPr>
      </w:pPr>
      <w:bookmarkStart w:id="40" w:name="_Ref166667441"/>
      <w:r>
        <w:t>so as to keep accurate and auditable records relating to the collection; and</w:t>
      </w:r>
    </w:p>
    <w:bookmarkEnd w:id="40"/>
    <w:p w:rsidR="00E219D4" w:rsidRDefault="00E219D4" w:rsidP="00E219D4">
      <w:pPr>
        <w:pStyle w:val="MELegal3"/>
        <w:numPr>
          <w:ilvl w:val="2"/>
          <w:numId w:val="8"/>
        </w:numPr>
      </w:pPr>
      <w:proofErr w:type="gramStart"/>
      <w:r>
        <w:t>otherwise</w:t>
      </w:r>
      <w:proofErr w:type="gramEnd"/>
      <w:r>
        <w:t xml:space="preserve"> in accordance with the provisions of this Agreement.</w:t>
      </w:r>
    </w:p>
    <w:p w:rsidR="00E219D4" w:rsidRDefault="00E219D4" w:rsidP="00E219D4">
      <w:pPr>
        <w:pStyle w:val="MELegal2"/>
        <w:numPr>
          <w:ilvl w:val="1"/>
          <w:numId w:val="8"/>
        </w:numPr>
      </w:pPr>
      <w:bookmarkStart w:id="41" w:name="_Ref420909052"/>
      <w:r>
        <w:t>Late payments</w:t>
      </w:r>
      <w:bookmarkEnd w:id="41"/>
    </w:p>
    <w:p w:rsidR="00E219D4" w:rsidRDefault="00E219D4" w:rsidP="00E219D4">
      <w:pPr>
        <w:pStyle w:val="MELegal3"/>
        <w:numPr>
          <w:ilvl w:val="2"/>
          <w:numId w:val="8"/>
        </w:numPr>
      </w:pPr>
      <w:r>
        <w:t xml:space="preserve">Subject to paragraph </w:t>
      </w:r>
      <w:r>
        <w:fldChar w:fldCharType="begin"/>
      </w:r>
      <w:r>
        <w:instrText xml:space="preserve"> REF _Ref420909052 \r \h </w:instrText>
      </w:r>
      <w:r>
        <w:fldChar w:fldCharType="separate"/>
      </w:r>
      <w:r>
        <w:t>3.4</w:t>
      </w:r>
      <w:r>
        <w:fldChar w:fldCharType="end"/>
      </w:r>
      <w:r>
        <w:t xml:space="preserve">(c), AGWA must do everything necessary to recover outstanding Wine Export Charge amounts. </w:t>
      </w:r>
    </w:p>
    <w:p w:rsidR="00E219D4" w:rsidRDefault="00E219D4" w:rsidP="00E219D4">
      <w:pPr>
        <w:pStyle w:val="MELegal3"/>
        <w:numPr>
          <w:ilvl w:val="2"/>
          <w:numId w:val="8"/>
        </w:numPr>
      </w:pPr>
      <w:r>
        <w:t xml:space="preserve">Where AGWA is of the opinion that the recovery of outstanding Wine Export Charge amounts may result in or require Commonwealth involvement, AGWA must take all reasonable steps to notify the Departmental contact point specified at clause 3.2(f) as soon as reasonably practicable. </w:t>
      </w:r>
    </w:p>
    <w:p w:rsidR="00E219D4" w:rsidRDefault="00E219D4" w:rsidP="00E219D4">
      <w:pPr>
        <w:pStyle w:val="MELegal3"/>
        <w:numPr>
          <w:ilvl w:val="2"/>
          <w:numId w:val="8"/>
        </w:numPr>
      </w:pPr>
      <w:r>
        <w:t xml:space="preserve">Where AGWA is of the opinion that legal action is the only remaining option to recover outstanding Wine Export Charge amounts, AGWA must: </w:t>
      </w:r>
    </w:p>
    <w:p w:rsidR="00E219D4" w:rsidRDefault="00E219D4" w:rsidP="00E219D4">
      <w:pPr>
        <w:pStyle w:val="Level2"/>
        <w:numPr>
          <w:ilvl w:val="4"/>
          <w:numId w:val="10"/>
        </w:numPr>
        <w:ind w:left="1985" w:hanging="284"/>
      </w:pPr>
      <w:r>
        <w:t xml:space="preserve">notify the Departmental contact point specified at clause 3.2(f) that legal action is the only remaining option to recover outstanding amounts, including a list of all action taken by AGWA to date to recover the outstanding Wine Export Charge; </w:t>
      </w:r>
    </w:p>
    <w:p w:rsidR="00E219D4" w:rsidRDefault="00E219D4" w:rsidP="00E219D4">
      <w:pPr>
        <w:pStyle w:val="Level2"/>
        <w:numPr>
          <w:ilvl w:val="4"/>
          <w:numId w:val="10"/>
        </w:numPr>
        <w:ind w:left="1985" w:hanging="284"/>
      </w:pPr>
      <w:r>
        <w:t xml:space="preserve">provide all information relevant to the claim to the Commonwealth; </w:t>
      </w:r>
    </w:p>
    <w:p w:rsidR="00E219D4" w:rsidRDefault="00E219D4" w:rsidP="00E219D4">
      <w:pPr>
        <w:pStyle w:val="Level2"/>
        <w:numPr>
          <w:ilvl w:val="4"/>
          <w:numId w:val="10"/>
        </w:numPr>
        <w:ind w:left="1985" w:hanging="284"/>
      </w:pPr>
      <w:r>
        <w:t>provide all reasonable assistance required by the Commonwealth to lodge and defend the claim; and</w:t>
      </w:r>
    </w:p>
    <w:p w:rsidR="00E219D4" w:rsidRDefault="00E219D4" w:rsidP="00E219D4">
      <w:pPr>
        <w:pStyle w:val="Level2"/>
        <w:numPr>
          <w:ilvl w:val="4"/>
          <w:numId w:val="10"/>
        </w:numPr>
        <w:ind w:left="1985" w:hanging="284"/>
      </w:pPr>
      <w:proofErr w:type="gramStart"/>
      <w:r>
        <w:t>follow</w:t>
      </w:r>
      <w:proofErr w:type="gramEnd"/>
      <w:r>
        <w:t xml:space="preserve"> all reasonable directions of the Commonwealth in relation to the claim.</w:t>
      </w:r>
    </w:p>
    <w:p w:rsidR="00E219D4" w:rsidRDefault="00E219D4" w:rsidP="00E219D4">
      <w:pPr>
        <w:pStyle w:val="MELegal3"/>
        <w:numPr>
          <w:ilvl w:val="2"/>
          <w:numId w:val="8"/>
        </w:numPr>
      </w:pPr>
      <w:r>
        <w:t xml:space="preserve">If, after AGWA provides notice in accordance with clause </w:t>
      </w:r>
      <w:r>
        <w:fldChar w:fldCharType="begin"/>
      </w:r>
      <w:r>
        <w:instrText xml:space="preserve"> REF _Ref420909052 \r \h </w:instrText>
      </w:r>
      <w:r>
        <w:fldChar w:fldCharType="separate"/>
      </w:r>
      <w:r>
        <w:t>3.4</w:t>
      </w:r>
      <w:r>
        <w:fldChar w:fldCharType="end"/>
      </w:r>
      <w:r>
        <w:t>(c) and any other information required by that clause, the Commonwealth considers that legal action is the only remaining option to recover outstanding Wine Export Charge amounts, the Commonwealth will be responsible for the handling and conduct of any claim.</w:t>
      </w:r>
    </w:p>
    <w:p w:rsidR="00E219D4" w:rsidRDefault="00E219D4" w:rsidP="00E219D4">
      <w:pPr>
        <w:pStyle w:val="MELegal2"/>
        <w:numPr>
          <w:ilvl w:val="1"/>
          <w:numId w:val="8"/>
        </w:numPr>
      </w:pPr>
      <w:r>
        <w:t xml:space="preserve">Late Payment Penalties </w:t>
      </w:r>
    </w:p>
    <w:p w:rsidR="00E219D4" w:rsidRDefault="00E219D4" w:rsidP="00E219D4">
      <w:pPr>
        <w:pStyle w:val="MELegal3"/>
        <w:numPr>
          <w:ilvl w:val="2"/>
          <w:numId w:val="8"/>
        </w:numPr>
      </w:pPr>
      <w:r>
        <w:t xml:space="preserve">AGWA are not permitted to, and otherwise must not, collect or remit Late Payment Penalties. </w:t>
      </w:r>
    </w:p>
    <w:p w:rsidR="00E219D4" w:rsidRDefault="00E219D4" w:rsidP="00E219D4">
      <w:pPr>
        <w:pStyle w:val="MELegal3"/>
        <w:numPr>
          <w:ilvl w:val="2"/>
          <w:numId w:val="8"/>
        </w:numPr>
      </w:pPr>
      <w:r>
        <w:t xml:space="preserve">Where AGWA considers that Late Payment Penalties may apply, AGWA must provide to the Commonwealth: </w:t>
      </w:r>
    </w:p>
    <w:p w:rsidR="00E219D4" w:rsidRDefault="00E219D4" w:rsidP="00E219D4">
      <w:pPr>
        <w:pStyle w:val="DefinitionL3"/>
        <w:tabs>
          <w:tab w:val="clear" w:pos="1361"/>
          <w:tab w:val="num" w:pos="2127"/>
        </w:tabs>
        <w:ind w:left="2127" w:hanging="567"/>
      </w:pPr>
      <w:r>
        <w:t xml:space="preserve">details of the amount of Wine Export Charge payable; </w:t>
      </w:r>
    </w:p>
    <w:p w:rsidR="00E219D4" w:rsidRDefault="00E219D4" w:rsidP="00E219D4">
      <w:pPr>
        <w:pStyle w:val="DefinitionL3"/>
        <w:tabs>
          <w:tab w:val="clear" w:pos="1361"/>
          <w:tab w:val="num" w:pos="2127"/>
        </w:tabs>
        <w:ind w:left="2127" w:hanging="567"/>
      </w:pPr>
      <w:r>
        <w:t xml:space="preserve">sufficient information to allow the Commonwealth to calculate and collect the Late Payment Penalty, including but not limited to, the name and contact details of the relevant person and the basis on which AGWA considers that a Late Payment Penalty may apply; </w:t>
      </w:r>
    </w:p>
    <w:p w:rsidR="00E219D4" w:rsidRDefault="00E219D4" w:rsidP="00E219D4">
      <w:pPr>
        <w:pStyle w:val="DefinitionL3"/>
        <w:tabs>
          <w:tab w:val="clear" w:pos="1361"/>
          <w:tab w:val="num" w:pos="2127"/>
        </w:tabs>
        <w:ind w:left="2127" w:hanging="567"/>
      </w:pPr>
      <w:r>
        <w:t>the relevant Return(s) to which the late payment relates; and</w:t>
      </w:r>
    </w:p>
    <w:p w:rsidR="00E219D4" w:rsidRDefault="00E219D4" w:rsidP="00E219D4">
      <w:pPr>
        <w:pStyle w:val="DefinitionL3"/>
        <w:tabs>
          <w:tab w:val="clear" w:pos="1361"/>
          <w:tab w:val="num" w:pos="2127"/>
        </w:tabs>
        <w:ind w:left="2127" w:hanging="567"/>
      </w:pPr>
      <w:proofErr w:type="gramStart"/>
      <w:r>
        <w:t>any</w:t>
      </w:r>
      <w:proofErr w:type="gramEnd"/>
      <w:r>
        <w:t xml:space="preserve"> other information requested by the Commonwealth.</w:t>
      </w:r>
    </w:p>
    <w:p w:rsidR="00E219D4" w:rsidRDefault="00E219D4" w:rsidP="00E219D4">
      <w:pPr>
        <w:pStyle w:val="MELegal2"/>
        <w:numPr>
          <w:ilvl w:val="1"/>
          <w:numId w:val="8"/>
        </w:numPr>
      </w:pPr>
      <w:r>
        <w:t>General obligations</w:t>
      </w:r>
    </w:p>
    <w:p w:rsidR="00E219D4" w:rsidRDefault="00E219D4" w:rsidP="00E219D4">
      <w:pPr>
        <w:pStyle w:val="MELegal3"/>
        <w:numPr>
          <w:ilvl w:val="0"/>
          <w:numId w:val="0"/>
        </w:numPr>
        <w:ind w:left="1361" w:hanging="681"/>
      </w:pPr>
      <w:r>
        <w:t>AGWA must, in relation to the collection of the Wine Export Charge:</w:t>
      </w:r>
    </w:p>
    <w:p w:rsidR="00E219D4" w:rsidRDefault="00E219D4" w:rsidP="00E219D4">
      <w:pPr>
        <w:pStyle w:val="MELegal3"/>
        <w:numPr>
          <w:ilvl w:val="2"/>
          <w:numId w:val="8"/>
        </w:numPr>
      </w:pPr>
      <w:r>
        <w:t>fully cooperate with the Commonwealth’s Personnel (including Personnel from other Commonwealth agencies), including contractors; and</w:t>
      </w:r>
    </w:p>
    <w:p w:rsidR="00E219D4" w:rsidRDefault="00E219D4" w:rsidP="00E219D4">
      <w:pPr>
        <w:pStyle w:val="MELegal3"/>
        <w:numPr>
          <w:ilvl w:val="2"/>
          <w:numId w:val="8"/>
        </w:numPr>
      </w:pPr>
      <w:proofErr w:type="gramStart"/>
      <w:r>
        <w:t>use</w:t>
      </w:r>
      <w:proofErr w:type="gramEnd"/>
      <w:r>
        <w:t xml:space="preserve"> its best efforts to coordinate its activities so as to support and facilitate the timely and efficient completion of the collection of the Wine Export Charge. </w:t>
      </w:r>
    </w:p>
    <w:p w:rsidR="00E219D4" w:rsidRDefault="00E219D4" w:rsidP="00E219D4">
      <w:pPr>
        <w:pStyle w:val="MELegal2"/>
        <w:numPr>
          <w:ilvl w:val="1"/>
          <w:numId w:val="8"/>
        </w:numPr>
      </w:pPr>
      <w:bookmarkStart w:id="42" w:name="_Toc17604726"/>
      <w:bookmarkStart w:id="43" w:name="_Toc131752603"/>
      <w:bookmarkStart w:id="44" w:name="_Toc131855190"/>
      <w:bookmarkStart w:id="45" w:name="_Ref133376372"/>
      <w:bookmarkStart w:id="46" w:name="_Ref253138327"/>
      <w:r>
        <w:t>Subcontracting</w:t>
      </w:r>
      <w:bookmarkEnd w:id="42"/>
      <w:bookmarkEnd w:id="43"/>
      <w:bookmarkEnd w:id="44"/>
      <w:bookmarkEnd w:id="45"/>
      <w:bookmarkEnd w:id="46"/>
    </w:p>
    <w:p w:rsidR="00E219D4" w:rsidRDefault="00E219D4" w:rsidP="00E219D4">
      <w:pPr>
        <w:pStyle w:val="MELegal3"/>
        <w:numPr>
          <w:ilvl w:val="2"/>
          <w:numId w:val="8"/>
        </w:numPr>
      </w:pPr>
      <w:bookmarkStart w:id="47" w:name="_Ref253138330"/>
      <w:r>
        <w:t>AGWA must</w:t>
      </w:r>
      <w:bookmarkEnd w:id="47"/>
      <w:r>
        <w:t xml:space="preserve"> not subcontract any aspect of the collection of the Wine Export Charge without the prior written approval of the Commonwealth, which will not be unreasonably withheld. </w:t>
      </w:r>
    </w:p>
    <w:p w:rsidR="00E219D4" w:rsidRDefault="00E219D4" w:rsidP="00E219D4">
      <w:pPr>
        <w:pStyle w:val="MELegal3"/>
        <w:numPr>
          <w:ilvl w:val="2"/>
          <w:numId w:val="8"/>
        </w:numPr>
      </w:pPr>
      <w:r>
        <w:t>AGWA is fully responsible for the collection of the Wine Export Charge, even if AGWA subcontracts any aspect of the collection.</w:t>
      </w:r>
    </w:p>
    <w:p w:rsidR="00E219D4" w:rsidRDefault="00E219D4" w:rsidP="00E219D4">
      <w:pPr>
        <w:pStyle w:val="MELegal1"/>
        <w:numPr>
          <w:ilvl w:val="0"/>
          <w:numId w:val="8"/>
        </w:numPr>
      </w:pPr>
      <w:bookmarkStart w:id="48" w:name="_Toc377732204"/>
      <w:bookmarkStart w:id="49" w:name="_Toc380651929"/>
      <w:bookmarkStart w:id="50" w:name="_Toc382305802"/>
      <w:bookmarkStart w:id="51" w:name="_Toc382306337"/>
      <w:bookmarkStart w:id="52" w:name="_Toc383693942"/>
      <w:bookmarkStart w:id="53" w:name="_Toc377732206"/>
      <w:bookmarkStart w:id="54" w:name="_Toc380651931"/>
      <w:bookmarkStart w:id="55" w:name="_Toc382305804"/>
      <w:bookmarkStart w:id="56" w:name="_Toc382306339"/>
      <w:bookmarkStart w:id="57" w:name="_Toc383693944"/>
      <w:bookmarkStart w:id="58" w:name="_Toc377732210"/>
      <w:bookmarkStart w:id="59" w:name="_Toc380651935"/>
      <w:bookmarkStart w:id="60" w:name="_Toc382305808"/>
      <w:bookmarkStart w:id="61" w:name="_Toc382306343"/>
      <w:bookmarkStart w:id="62" w:name="_Toc383693948"/>
      <w:bookmarkStart w:id="63" w:name="_Toc377732212"/>
      <w:bookmarkStart w:id="64" w:name="_Toc380651937"/>
      <w:bookmarkStart w:id="65" w:name="_Toc382305810"/>
      <w:bookmarkStart w:id="66" w:name="_Toc382306345"/>
      <w:bookmarkStart w:id="67" w:name="_Toc383693950"/>
      <w:bookmarkStart w:id="68" w:name="_Toc377732216"/>
      <w:bookmarkStart w:id="69" w:name="_Toc380651941"/>
      <w:bookmarkStart w:id="70" w:name="_Toc382305814"/>
      <w:bookmarkStart w:id="71" w:name="_Toc382306349"/>
      <w:bookmarkStart w:id="72" w:name="_Toc383693954"/>
      <w:bookmarkStart w:id="73" w:name="_Ref132445948"/>
      <w:bookmarkStart w:id="74" w:name="_Ref132446426"/>
      <w:bookmarkStart w:id="75" w:name="_Ref132447125"/>
      <w:bookmarkStart w:id="76" w:name="_Toc134875282"/>
      <w:bookmarkStart w:id="77" w:name="_Toc430700761"/>
      <w:bookmarkStart w:id="78" w:name="_Toc131757497"/>
      <w:bookmarkStart w:id="79" w:name="_Ref131761258"/>
      <w:bookmarkStart w:id="80" w:name="_Ref131833427"/>
      <w:bookmarkStart w:id="81" w:name="_Toc131839208"/>
      <w:bookmarkStart w:id="82" w:name="_Toc131840947"/>
      <w:bookmarkStart w:id="83" w:name="_Toc131855231"/>
      <w:bookmarkEnd w:id="35"/>
      <w:bookmarkEnd w:id="36"/>
      <w:bookmarkEnd w:id="3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Payment</w:t>
      </w:r>
      <w:bookmarkEnd w:id="73"/>
      <w:bookmarkEnd w:id="74"/>
      <w:bookmarkEnd w:id="75"/>
      <w:bookmarkEnd w:id="76"/>
      <w:bookmarkEnd w:id="77"/>
      <w:r>
        <w:t xml:space="preserve"> </w:t>
      </w:r>
    </w:p>
    <w:p w:rsidR="00E219D4" w:rsidRDefault="00E219D4" w:rsidP="00E219D4">
      <w:pPr>
        <w:pStyle w:val="MELegal2"/>
        <w:numPr>
          <w:ilvl w:val="1"/>
          <w:numId w:val="8"/>
        </w:numPr>
      </w:pPr>
      <w:bookmarkStart w:id="84" w:name="_Toc17604731"/>
      <w:bookmarkStart w:id="85" w:name="_Toc131752630"/>
      <w:bookmarkStart w:id="86" w:name="_Toc131855215"/>
      <w:bookmarkStart w:id="87" w:name="_Ref430098331"/>
      <w:bookmarkStart w:id="88" w:name="_Ref463682186"/>
      <w:r>
        <w:t xml:space="preserve">Obligation to pay </w:t>
      </w:r>
      <w:bookmarkEnd w:id="84"/>
      <w:bookmarkEnd w:id="85"/>
      <w:bookmarkEnd w:id="86"/>
      <w:r>
        <w:t>Wine Export Charge to Commonwealth</w:t>
      </w:r>
      <w:bookmarkEnd w:id="87"/>
      <w:r>
        <w:t xml:space="preserve"> </w:t>
      </w:r>
    </w:p>
    <w:p w:rsidR="00E219D4" w:rsidRDefault="00E219D4" w:rsidP="00E219D4">
      <w:pPr>
        <w:ind w:left="680"/>
      </w:pPr>
      <w:r>
        <w:t xml:space="preserve">AGWA must, within 30 days of the end of each quarter in which AGWA is required to collect the Wine Export Charge, pay to the Commonwealth the full amount of all Wine Export Charge(s) it has collected </w:t>
      </w:r>
      <w:bookmarkEnd w:id="88"/>
      <w:r>
        <w:t>in that quarter, without deduction.</w:t>
      </w:r>
    </w:p>
    <w:p w:rsidR="00E219D4" w:rsidRDefault="00E219D4" w:rsidP="00E219D4">
      <w:pPr>
        <w:pStyle w:val="MELegal2"/>
        <w:numPr>
          <w:ilvl w:val="1"/>
          <w:numId w:val="8"/>
        </w:numPr>
      </w:pPr>
      <w:bookmarkStart w:id="89" w:name="_Ref430097790"/>
      <w:r>
        <w:t>Remittance advice</w:t>
      </w:r>
      <w:bookmarkEnd w:id="89"/>
    </w:p>
    <w:p w:rsidR="00E219D4" w:rsidRDefault="00E219D4" w:rsidP="00E219D4">
      <w:pPr>
        <w:pStyle w:val="MELegal3"/>
        <w:numPr>
          <w:ilvl w:val="2"/>
          <w:numId w:val="8"/>
        </w:numPr>
      </w:pPr>
      <w:r>
        <w:t xml:space="preserve">AGWA must submit a remittance advice to the Commonwealth in accordance with the requirements of this clause </w:t>
      </w:r>
      <w:r>
        <w:fldChar w:fldCharType="begin"/>
      </w:r>
      <w:r>
        <w:instrText xml:space="preserve"> REF _Ref430097790 \r \h </w:instrText>
      </w:r>
      <w:r>
        <w:fldChar w:fldCharType="separate"/>
      </w:r>
      <w:r>
        <w:t>4.2</w:t>
      </w:r>
      <w:r>
        <w:fldChar w:fldCharType="end"/>
      </w:r>
      <w:r>
        <w:t xml:space="preserve"> each time AGWA makes the payment referred to in clause </w:t>
      </w:r>
      <w:r>
        <w:fldChar w:fldCharType="begin"/>
      </w:r>
      <w:r>
        <w:instrText xml:space="preserve"> REF _Ref430098331 \r \h </w:instrText>
      </w:r>
      <w:r>
        <w:fldChar w:fldCharType="separate"/>
      </w:r>
      <w:r>
        <w:t>4.1</w:t>
      </w:r>
      <w:r>
        <w:fldChar w:fldCharType="end"/>
      </w:r>
      <w:r>
        <w:t xml:space="preserve"> and on the same day on which any such payment is made.</w:t>
      </w:r>
    </w:p>
    <w:p w:rsidR="00E219D4" w:rsidRDefault="00E219D4" w:rsidP="00E219D4">
      <w:pPr>
        <w:pStyle w:val="MELegal3"/>
        <w:numPr>
          <w:ilvl w:val="2"/>
          <w:numId w:val="8"/>
        </w:numPr>
      </w:pPr>
      <w:r>
        <w:t xml:space="preserve">The remittance advice which AGWA is required by clause </w:t>
      </w:r>
      <w:r>
        <w:fldChar w:fldCharType="begin"/>
      </w:r>
      <w:r>
        <w:instrText xml:space="preserve"> REF _Ref430097790 \r \h </w:instrText>
      </w:r>
      <w:r>
        <w:fldChar w:fldCharType="separate"/>
      </w:r>
      <w:r>
        <w:t>4.2</w:t>
      </w:r>
      <w:r>
        <w:fldChar w:fldCharType="end"/>
      </w:r>
      <w:r>
        <w:t>(a) to submit must:</w:t>
      </w:r>
    </w:p>
    <w:p w:rsidR="00E219D4" w:rsidRDefault="00E219D4" w:rsidP="00E219D4">
      <w:pPr>
        <w:pStyle w:val="MELegal3"/>
        <w:numPr>
          <w:ilvl w:val="0"/>
          <w:numId w:val="12"/>
        </w:numPr>
      </w:pPr>
      <w:r>
        <w:t xml:space="preserve">be submitted by email to the following address: </w:t>
      </w:r>
      <w:hyperlink r:id="rId15" w:history="1">
        <w:r w:rsidRPr="00AB1E59">
          <w:rPr>
            <w:rStyle w:val="Hyperlink"/>
          </w:rPr>
          <w:t>levies.finance@agriculture.gov.au</w:t>
        </w:r>
      </w:hyperlink>
      <w:r>
        <w:t xml:space="preserve"> (or such other email address as notified by the Commonwealth from time to time);</w:t>
      </w:r>
    </w:p>
    <w:p w:rsidR="00E219D4" w:rsidRDefault="00E219D4" w:rsidP="00E219D4">
      <w:pPr>
        <w:pStyle w:val="MELegal3"/>
        <w:numPr>
          <w:ilvl w:val="0"/>
          <w:numId w:val="12"/>
        </w:numPr>
      </w:pPr>
      <w:r>
        <w:t>detail the total amount of the Wine Export Charge(s) AGWA has collected and paid to the Commonwealth; and</w:t>
      </w:r>
    </w:p>
    <w:p w:rsidR="00E219D4" w:rsidRDefault="00E219D4" w:rsidP="00E219D4">
      <w:pPr>
        <w:pStyle w:val="MELegal3"/>
        <w:numPr>
          <w:ilvl w:val="0"/>
          <w:numId w:val="12"/>
        </w:numPr>
      </w:pPr>
      <w:proofErr w:type="gramStart"/>
      <w:r>
        <w:t>include</w:t>
      </w:r>
      <w:proofErr w:type="gramEnd"/>
      <w:r>
        <w:t xml:space="preserve"> any other information requested by the Commonwealth. </w:t>
      </w:r>
    </w:p>
    <w:p w:rsidR="00E219D4" w:rsidRDefault="00E219D4" w:rsidP="00E219D4">
      <w:pPr>
        <w:pStyle w:val="MELegal1"/>
        <w:numPr>
          <w:ilvl w:val="0"/>
          <w:numId w:val="8"/>
        </w:numPr>
      </w:pPr>
      <w:bookmarkStart w:id="90" w:name="_Ref131556433"/>
      <w:bookmarkStart w:id="91" w:name="_Toc131757520"/>
      <w:bookmarkStart w:id="92" w:name="_Toc131839212"/>
      <w:bookmarkStart w:id="93" w:name="_Toc131840951"/>
      <w:bookmarkStart w:id="94" w:name="_Toc131855240"/>
      <w:bookmarkStart w:id="95" w:name="_Toc134875287"/>
      <w:bookmarkStart w:id="96" w:name="_Toc430700762"/>
      <w:bookmarkEnd w:id="78"/>
      <w:bookmarkEnd w:id="79"/>
      <w:bookmarkEnd w:id="80"/>
      <w:bookmarkEnd w:id="81"/>
      <w:bookmarkEnd w:id="82"/>
      <w:bookmarkEnd w:id="83"/>
      <w:r>
        <w:t>Confidentiality and privacy</w:t>
      </w:r>
      <w:bookmarkEnd w:id="90"/>
      <w:bookmarkEnd w:id="91"/>
      <w:bookmarkEnd w:id="92"/>
      <w:bookmarkEnd w:id="93"/>
      <w:bookmarkEnd w:id="94"/>
      <w:bookmarkEnd w:id="95"/>
      <w:bookmarkEnd w:id="96"/>
    </w:p>
    <w:p w:rsidR="00E219D4" w:rsidRDefault="00E219D4" w:rsidP="00E219D4">
      <w:pPr>
        <w:pStyle w:val="MELegal2"/>
        <w:numPr>
          <w:ilvl w:val="1"/>
          <w:numId w:val="8"/>
        </w:numPr>
      </w:pPr>
      <w:bookmarkStart w:id="97" w:name="_Toc129162242"/>
      <w:bookmarkStart w:id="98" w:name="_Ref133205929"/>
      <w:bookmarkStart w:id="99" w:name="_Toc133211573"/>
      <w:bookmarkStart w:id="100" w:name="_Toc131757521"/>
      <w:bookmarkStart w:id="101" w:name="_Toc131855241"/>
      <w:r>
        <w:t>Prohibition on disclosure</w:t>
      </w:r>
      <w:bookmarkEnd w:id="97"/>
      <w:bookmarkEnd w:id="98"/>
      <w:bookmarkEnd w:id="99"/>
    </w:p>
    <w:p w:rsidR="00E219D4" w:rsidRDefault="00E219D4" w:rsidP="00E219D4">
      <w:pPr>
        <w:pStyle w:val="MELegal3"/>
        <w:numPr>
          <w:ilvl w:val="0"/>
          <w:numId w:val="0"/>
        </w:numPr>
        <w:ind w:left="680"/>
        <w:rPr>
          <w:rFonts w:cs="Times New Roman"/>
        </w:rPr>
      </w:pPr>
      <w:r>
        <w:rPr>
          <w:rFonts w:cs="Times New Roman"/>
        </w:rPr>
        <w:t>AGWA must not, without the prior written consent of the Commonwealth, disclose any Confidential Information to a third party.</w:t>
      </w:r>
    </w:p>
    <w:p w:rsidR="00E219D4" w:rsidRDefault="00E219D4" w:rsidP="00E219D4">
      <w:pPr>
        <w:pStyle w:val="MELegal2"/>
        <w:numPr>
          <w:ilvl w:val="1"/>
          <w:numId w:val="8"/>
        </w:numPr>
      </w:pPr>
      <w:bookmarkStart w:id="102" w:name="_Toc131757529"/>
      <w:bookmarkStart w:id="103" w:name="_Toc131855249"/>
      <w:bookmarkStart w:id="104" w:name="_Ref130877176"/>
      <w:bookmarkStart w:id="105" w:name="_Toc528664526"/>
      <w:bookmarkStart w:id="106" w:name="_Toc66609563"/>
      <w:bookmarkStart w:id="107" w:name="_Ref83438634"/>
      <w:r>
        <w:t>Application of the Privacy Act</w:t>
      </w:r>
      <w:r>
        <w:rPr>
          <w:i/>
        </w:rPr>
        <w:t xml:space="preserve"> </w:t>
      </w:r>
    </w:p>
    <w:p w:rsidR="00E219D4" w:rsidRDefault="00E219D4" w:rsidP="00E219D4">
      <w:pPr>
        <w:pStyle w:val="MELegal3"/>
        <w:numPr>
          <w:ilvl w:val="0"/>
          <w:numId w:val="0"/>
        </w:numPr>
        <w:ind w:left="680"/>
      </w:pPr>
      <w:r>
        <w:t>AGWA must not do any act or engage in any practice that would breach the Privacy Act</w:t>
      </w:r>
      <w:r>
        <w:rPr>
          <w:i/>
        </w:rPr>
        <w:t xml:space="preserve">, </w:t>
      </w:r>
      <w:r>
        <w:t xml:space="preserve">including the APPs, which if done or engaged in by the Commonwealth would be a breach of that Act or an APP. </w:t>
      </w:r>
    </w:p>
    <w:p w:rsidR="00E219D4" w:rsidRDefault="00E219D4" w:rsidP="00E219D4">
      <w:pPr>
        <w:pStyle w:val="MELegal2"/>
        <w:numPr>
          <w:ilvl w:val="1"/>
          <w:numId w:val="8"/>
        </w:numPr>
      </w:pPr>
      <w:bookmarkStart w:id="108" w:name="_Toc131757532"/>
      <w:bookmarkStart w:id="109" w:name="_Toc131855252"/>
      <w:r>
        <w:t>Indemnity</w:t>
      </w:r>
      <w:bookmarkEnd w:id="108"/>
      <w:bookmarkEnd w:id="109"/>
    </w:p>
    <w:p w:rsidR="00E219D4" w:rsidRDefault="00E219D4" w:rsidP="00E219D4">
      <w:pPr>
        <w:ind w:left="680"/>
      </w:pPr>
      <w:bookmarkStart w:id="110" w:name="_Ref130877223"/>
      <w:r>
        <w:t>AGWA agrees to indemnify the Commonwealth in respect of any loss or liability suffered or incurred by the Commonwealth which arises directly or indirectly from a breach of any of the obligations of AGWA under this clause </w:t>
      </w:r>
      <w:r>
        <w:fldChar w:fldCharType="begin"/>
      </w:r>
      <w:r>
        <w:instrText xml:space="preserve"> REF _Ref131556433 \r \h </w:instrText>
      </w:r>
      <w:r>
        <w:fldChar w:fldCharType="separate"/>
      </w:r>
      <w:r>
        <w:t>5</w:t>
      </w:r>
      <w:r>
        <w:fldChar w:fldCharType="end"/>
      </w:r>
      <w:r>
        <w:t>.</w:t>
      </w:r>
      <w:bookmarkEnd w:id="110"/>
    </w:p>
    <w:p w:rsidR="00E219D4" w:rsidRDefault="00E219D4" w:rsidP="00E219D4">
      <w:pPr>
        <w:pStyle w:val="MELegal1"/>
        <w:numPr>
          <w:ilvl w:val="0"/>
          <w:numId w:val="8"/>
        </w:numPr>
      </w:pPr>
      <w:bookmarkStart w:id="111" w:name="_Toc382305834"/>
      <w:bookmarkStart w:id="112" w:name="_Toc382306369"/>
      <w:bookmarkStart w:id="113" w:name="_Toc383693974"/>
      <w:bookmarkStart w:id="114" w:name="_Toc382305835"/>
      <w:bookmarkStart w:id="115" w:name="_Toc382306370"/>
      <w:bookmarkStart w:id="116" w:name="_Toc383693975"/>
      <w:bookmarkStart w:id="117" w:name="_Toc382305836"/>
      <w:bookmarkStart w:id="118" w:name="_Toc382306371"/>
      <w:bookmarkStart w:id="119" w:name="_Toc383693976"/>
      <w:bookmarkStart w:id="120" w:name="_Toc382305853"/>
      <w:bookmarkStart w:id="121" w:name="_Toc382306388"/>
      <w:bookmarkStart w:id="122" w:name="_Toc383693993"/>
      <w:bookmarkStart w:id="123" w:name="_Toc166386790"/>
      <w:bookmarkStart w:id="124" w:name="_Ref168307101"/>
      <w:bookmarkStart w:id="125" w:name="_Ref168307106"/>
      <w:bookmarkStart w:id="126" w:name="_Ref168307448"/>
      <w:bookmarkStart w:id="127" w:name="_Ref251867627"/>
      <w:bookmarkStart w:id="128" w:name="_Ref251867640"/>
      <w:bookmarkStart w:id="129" w:name="_Ref251867832"/>
      <w:bookmarkStart w:id="130" w:name="_Toc430700763"/>
      <w:bookmarkStart w:id="131" w:name="_Ref135199473"/>
      <w:bookmarkEnd w:id="100"/>
      <w:bookmarkEnd w:id="101"/>
      <w:bookmarkEnd w:id="102"/>
      <w:bookmarkEnd w:id="103"/>
      <w:bookmarkEnd w:id="104"/>
      <w:bookmarkEnd w:id="105"/>
      <w:bookmarkEnd w:id="106"/>
      <w:bookmarkEnd w:id="107"/>
      <w:bookmarkEnd w:id="111"/>
      <w:bookmarkEnd w:id="112"/>
      <w:bookmarkEnd w:id="113"/>
      <w:bookmarkEnd w:id="114"/>
      <w:bookmarkEnd w:id="115"/>
      <w:bookmarkEnd w:id="116"/>
      <w:bookmarkEnd w:id="117"/>
      <w:bookmarkEnd w:id="118"/>
      <w:bookmarkEnd w:id="119"/>
      <w:bookmarkEnd w:id="120"/>
      <w:bookmarkEnd w:id="121"/>
      <w:bookmarkEnd w:id="122"/>
      <w:r>
        <w:t>Books and records</w:t>
      </w:r>
      <w:bookmarkEnd w:id="123"/>
      <w:bookmarkEnd w:id="124"/>
      <w:bookmarkEnd w:id="125"/>
      <w:bookmarkEnd w:id="126"/>
      <w:bookmarkEnd w:id="127"/>
      <w:bookmarkEnd w:id="128"/>
      <w:bookmarkEnd w:id="129"/>
      <w:bookmarkEnd w:id="130"/>
    </w:p>
    <w:p w:rsidR="00E219D4" w:rsidRDefault="00E219D4" w:rsidP="00E219D4">
      <w:pPr>
        <w:pStyle w:val="MELegal2"/>
        <w:numPr>
          <w:ilvl w:val="1"/>
          <w:numId w:val="8"/>
        </w:numPr>
      </w:pPr>
      <w:bookmarkStart w:id="132" w:name="_Ref250453275"/>
      <w:r>
        <w:t>AGWA to keep books and records</w:t>
      </w:r>
      <w:bookmarkEnd w:id="132"/>
    </w:p>
    <w:p w:rsidR="00E219D4" w:rsidRDefault="00E219D4" w:rsidP="00E219D4">
      <w:pPr>
        <w:keepNext/>
        <w:keepLines/>
        <w:autoSpaceDE w:val="0"/>
        <w:autoSpaceDN w:val="0"/>
        <w:adjustRightInd w:val="0"/>
        <w:spacing w:line="240" w:lineRule="auto"/>
        <w:ind w:left="680"/>
        <w:rPr>
          <w:rFonts w:eastAsia="SimSun" w:cs="Times New Roman"/>
          <w:lang w:eastAsia="ja-JP"/>
        </w:rPr>
      </w:pPr>
      <w:r>
        <w:rPr>
          <w:rFonts w:eastAsia="SimSun" w:cs="Times New Roman"/>
          <w:lang w:eastAsia="ja-JP"/>
        </w:rPr>
        <w:t>AGWA must keep adequate books and records detailing its provision of the services which are the subject of this Agreement, which includes:</w:t>
      </w:r>
    </w:p>
    <w:p w:rsidR="00E219D4" w:rsidRDefault="00E219D4" w:rsidP="00E219D4">
      <w:pPr>
        <w:pStyle w:val="MELegal3"/>
        <w:numPr>
          <w:ilvl w:val="2"/>
          <w:numId w:val="8"/>
        </w:numPr>
      </w:pPr>
      <w:r>
        <w:t>keeping and requiring any of its subcontractors to keep adequate books and records in sufficient detail to enable the amount and person from whom the Wine Export Charge is payable, to be determined and clearly identified in any particular case; and</w:t>
      </w:r>
    </w:p>
    <w:p w:rsidR="00E219D4" w:rsidRDefault="00E219D4" w:rsidP="00E219D4">
      <w:pPr>
        <w:pStyle w:val="MELegal3"/>
        <w:numPr>
          <w:ilvl w:val="2"/>
          <w:numId w:val="8"/>
        </w:numPr>
      </w:pPr>
      <w:proofErr w:type="gramStart"/>
      <w:r>
        <w:t>retaining</w:t>
      </w:r>
      <w:proofErr w:type="gramEnd"/>
      <w:r>
        <w:t xml:space="preserve"> and requiring its subcontractors to retain for a period of seven years after the expiry or termination of this Agreement all books and records relating to the collection of the Wine Export Charge.</w:t>
      </w:r>
    </w:p>
    <w:p w:rsidR="00E219D4" w:rsidRDefault="00E219D4" w:rsidP="00E219D4">
      <w:pPr>
        <w:pStyle w:val="MELegal2"/>
        <w:numPr>
          <w:ilvl w:val="1"/>
          <w:numId w:val="8"/>
        </w:numPr>
        <w:rPr>
          <w:rFonts w:eastAsia="SimSun"/>
          <w:lang w:eastAsia="ja-JP"/>
        </w:rPr>
      </w:pPr>
      <w:r>
        <w:rPr>
          <w:rFonts w:eastAsia="SimSun"/>
          <w:lang w:eastAsia="ja-JP"/>
        </w:rPr>
        <w:t>Costs</w:t>
      </w:r>
    </w:p>
    <w:p w:rsidR="00E219D4" w:rsidRDefault="00E219D4" w:rsidP="00E219D4">
      <w:pPr>
        <w:ind w:left="709"/>
        <w:rPr>
          <w:rFonts w:eastAsia="SimSun" w:cs="Times New Roman"/>
          <w:lang w:eastAsia="ja-JP"/>
        </w:rPr>
      </w:pPr>
      <w:r>
        <w:rPr>
          <w:rFonts w:eastAsia="SimSun" w:cs="Times New Roman"/>
          <w:lang w:eastAsia="ja-JP"/>
        </w:rPr>
        <w:t>AGWA must bear its own costs of complying with this clause </w:t>
      </w:r>
      <w:r>
        <w:rPr>
          <w:rFonts w:eastAsia="SimSun" w:cs="Times New Roman"/>
          <w:lang w:eastAsia="ja-JP"/>
        </w:rPr>
        <w:fldChar w:fldCharType="begin"/>
      </w:r>
      <w:r>
        <w:rPr>
          <w:rFonts w:eastAsia="SimSun" w:cs="Times New Roman"/>
          <w:lang w:eastAsia="ja-JP"/>
        </w:rPr>
        <w:instrText xml:space="preserve"> REF _Ref251867832 \r \h </w:instrText>
      </w:r>
      <w:r>
        <w:rPr>
          <w:rFonts w:eastAsia="SimSun" w:cs="Times New Roman"/>
          <w:lang w:eastAsia="ja-JP"/>
        </w:rPr>
      </w:r>
      <w:r>
        <w:rPr>
          <w:rFonts w:eastAsia="SimSun" w:cs="Times New Roman"/>
          <w:lang w:eastAsia="ja-JP"/>
        </w:rPr>
        <w:fldChar w:fldCharType="separate"/>
      </w:r>
      <w:r>
        <w:rPr>
          <w:rFonts w:eastAsia="SimSun" w:cs="Times New Roman"/>
          <w:lang w:eastAsia="ja-JP"/>
        </w:rPr>
        <w:t>6</w:t>
      </w:r>
      <w:r>
        <w:rPr>
          <w:rFonts w:eastAsia="SimSun" w:cs="Times New Roman"/>
          <w:lang w:eastAsia="ja-JP"/>
        </w:rPr>
        <w:fldChar w:fldCharType="end"/>
      </w:r>
      <w:r>
        <w:rPr>
          <w:rFonts w:eastAsia="SimSun" w:cs="Times New Roman"/>
          <w:lang w:eastAsia="ja-JP"/>
        </w:rPr>
        <w:t>.</w:t>
      </w:r>
    </w:p>
    <w:p w:rsidR="00E219D4" w:rsidRDefault="00E219D4" w:rsidP="00E219D4">
      <w:pPr>
        <w:pStyle w:val="MELegal2"/>
        <w:numPr>
          <w:ilvl w:val="1"/>
          <w:numId w:val="8"/>
        </w:numPr>
        <w:rPr>
          <w:rFonts w:eastAsia="SimSun"/>
          <w:lang w:eastAsia="ja-JP"/>
        </w:rPr>
      </w:pPr>
      <w:r>
        <w:rPr>
          <w:rFonts w:eastAsia="SimSun"/>
          <w:lang w:eastAsia="ja-JP"/>
        </w:rPr>
        <w:t>Survival</w:t>
      </w:r>
    </w:p>
    <w:p w:rsidR="00E219D4" w:rsidRDefault="00E219D4" w:rsidP="00E219D4">
      <w:pPr>
        <w:ind w:left="709"/>
        <w:rPr>
          <w:rFonts w:eastAsia="SimSun"/>
          <w:lang w:eastAsia="ja-JP"/>
        </w:rPr>
      </w:pPr>
      <w:r>
        <w:rPr>
          <w:rFonts w:eastAsia="SimSun"/>
          <w:lang w:eastAsia="ja-JP"/>
        </w:rPr>
        <w:t>This clause </w:t>
      </w:r>
      <w:r>
        <w:rPr>
          <w:rFonts w:eastAsia="SimSun"/>
          <w:lang w:eastAsia="ja-JP"/>
        </w:rPr>
        <w:fldChar w:fldCharType="begin"/>
      </w:r>
      <w:r>
        <w:rPr>
          <w:rFonts w:eastAsia="SimSun"/>
          <w:lang w:eastAsia="ja-JP"/>
        </w:rPr>
        <w:instrText xml:space="preserve"> REF _Ref251867627 \r \h </w:instrText>
      </w:r>
      <w:r>
        <w:rPr>
          <w:rFonts w:eastAsia="SimSun"/>
          <w:lang w:eastAsia="ja-JP"/>
        </w:rPr>
      </w:r>
      <w:r>
        <w:rPr>
          <w:rFonts w:eastAsia="SimSun"/>
          <w:lang w:eastAsia="ja-JP"/>
        </w:rPr>
        <w:fldChar w:fldCharType="separate"/>
      </w:r>
      <w:r>
        <w:rPr>
          <w:rFonts w:eastAsia="SimSun"/>
          <w:lang w:eastAsia="ja-JP"/>
        </w:rPr>
        <w:t>6</w:t>
      </w:r>
      <w:r>
        <w:rPr>
          <w:rFonts w:eastAsia="SimSun"/>
          <w:lang w:eastAsia="ja-JP"/>
        </w:rPr>
        <w:fldChar w:fldCharType="end"/>
      </w:r>
      <w:r>
        <w:rPr>
          <w:rFonts w:eastAsia="SimSun"/>
          <w:lang w:eastAsia="ja-JP"/>
        </w:rPr>
        <w:t xml:space="preserve"> applies for the Agreement Period and for a period of seven years from the expiry or termination of this Agreement.</w:t>
      </w:r>
    </w:p>
    <w:p w:rsidR="00E219D4" w:rsidRDefault="00E219D4" w:rsidP="00E219D4">
      <w:pPr>
        <w:pStyle w:val="MELegal1"/>
        <w:numPr>
          <w:ilvl w:val="0"/>
          <w:numId w:val="8"/>
        </w:numPr>
      </w:pPr>
      <w:bookmarkStart w:id="133" w:name="_Ref131224533"/>
      <w:bookmarkStart w:id="134" w:name="_Toc131757538"/>
      <w:bookmarkStart w:id="135" w:name="_Toc131839215"/>
      <w:bookmarkStart w:id="136" w:name="_Toc131840954"/>
      <w:bookmarkStart w:id="137" w:name="_Toc131855258"/>
      <w:bookmarkStart w:id="138" w:name="_Toc134875291"/>
      <w:bookmarkStart w:id="139" w:name="_Toc430700764"/>
      <w:bookmarkEnd w:id="131"/>
      <w:r>
        <w:t>Audit and access</w:t>
      </w:r>
      <w:bookmarkEnd w:id="133"/>
      <w:bookmarkEnd w:id="134"/>
      <w:bookmarkEnd w:id="135"/>
      <w:bookmarkEnd w:id="136"/>
      <w:bookmarkEnd w:id="137"/>
      <w:bookmarkEnd w:id="138"/>
      <w:bookmarkEnd w:id="139"/>
      <w:r>
        <w:t xml:space="preserve">  </w:t>
      </w:r>
    </w:p>
    <w:p w:rsidR="00E219D4" w:rsidRDefault="00E219D4" w:rsidP="00E219D4">
      <w:pPr>
        <w:pStyle w:val="MELegal2"/>
        <w:numPr>
          <w:ilvl w:val="1"/>
          <w:numId w:val="8"/>
        </w:numPr>
      </w:pPr>
      <w:bookmarkStart w:id="140" w:name="_Ref429560845"/>
      <w:bookmarkStart w:id="141" w:name="_Ref168739434"/>
      <w:r>
        <w:t>AGWA audit</w:t>
      </w:r>
      <w:bookmarkEnd w:id="140"/>
    </w:p>
    <w:p w:rsidR="00E219D4" w:rsidRDefault="00E219D4" w:rsidP="00E219D4">
      <w:pPr>
        <w:pStyle w:val="MELegal3"/>
        <w:numPr>
          <w:ilvl w:val="0"/>
          <w:numId w:val="0"/>
        </w:numPr>
        <w:ind w:left="1361" w:hanging="681"/>
      </w:pPr>
      <w:r>
        <w:t>AGWA must:</w:t>
      </w:r>
    </w:p>
    <w:p w:rsidR="00E219D4" w:rsidRDefault="00E219D4" w:rsidP="00E219D4">
      <w:pPr>
        <w:pStyle w:val="MELegal3"/>
        <w:numPr>
          <w:ilvl w:val="2"/>
          <w:numId w:val="8"/>
        </w:numPr>
      </w:pPr>
      <w:bookmarkStart w:id="142" w:name="_Ref429560842"/>
      <w:r>
        <w:t xml:space="preserve">ensure that its collection of the Wine Export Charge is audited annually by the Commonwealth Auditor General; and </w:t>
      </w:r>
      <w:bookmarkEnd w:id="142"/>
    </w:p>
    <w:p w:rsidR="00E219D4" w:rsidRDefault="00E219D4" w:rsidP="00E219D4">
      <w:pPr>
        <w:pStyle w:val="MELegal3"/>
        <w:numPr>
          <w:ilvl w:val="2"/>
          <w:numId w:val="8"/>
        </w:numPr>
      </w:pPr>
      <w:proofErr w:type="gramStart"/>
      <w:r>
        <w:t>provide</w:t>
      </w:r>
      <w:proofErr w:type="gramEnd"/>
      <w:r>
        <w:t xml:space="preserve"> a copy of any report prepared by the Commonwealth Auditor General and provided to AGWA for the purpose outlined at clause </w:t>
      </w:r>
      <w:r>
        <w:fldChar w:fldCharType="begin"/>
      </w:r>
      <w:r>
        <w:instrText xml:space="preserve"> REF _Ref429560845 \r \h </w:instrText>
      </w:r>
      <w:r>
        <w:fldChar w:fldCharType="separate"/>
      </w:r>
      <w:r>
        <w:t>7.1</w:t>
      </w:r>
      <w:r>
        <w:fldChar w:fldCharType="end"/>
      </w:r>
      <w:r>
        <w:t xml:space="preserve">(a) within 7 business days of receiving any such report. </w:t>
      </w:r>
    </w:p>
    <w:p w:rsidR="00E219D4" w:rsidRDefault="00E219D4" w:rsidP="00E219D4">
      <w:pPr>
        <w:pStyle w:val="MELegal2"/>
        <w:numPr>
          <w:ilvl w:val="1"/>
          <w:numId w:val="8"/>
        </w:numPr>
      </w:pPr>
      <w:r>
        <w:t>Right to conduct audits</w:t>
      </w:r>
      <w:bookmarkEnd w:id="141"/>
    </w:p>
    <w:p w:rsidR="00E219D4" w:rsidRDefault="00E219D4" w:rsidP="00E219D4">
      <w:pPr>
        <w:ind w:left="680"/>
      </w:pPr>
      <w:r>
        <w:t>The Commonwealth or a representative may conduct audits relevant to the performance of AGWA’s obligations under this Agreement.  Audits may be conducted of:</w:t>
      </w:r>
    </w:p>
    <w:p w:rsidR="00E219D4" w:rsidRDefault="00E219D4" w:rsidP="00E219D4">
      <w:pPr>
        <w:pStyle w:val="MELegal3"/>
        <w:numPr>
          <w:ilvl w:val="2"/>
          <w:numId w:val="8"/>
        </w:numPr>
      </w:pPr>
      <w:r>
        <w:t>AGWA’s operational practices and procedures as they relate to this Agreement;</w:t>
      </w:r>
    </w:p>
    <w:p w:rsidR="00E219D4" w:rsidRDefault="00E219D4" w:rsidP="00E219D4">
      <w:pPr>
        <w:pStyle w:val="MELegal3"/>
        <w:numPr>
          <w:ilvl w:val="2"/>
          <w:numId w:val="8"/>
        </w:numPr>
      </w:pPr>
      <w:r>
        <w:t>the accuracy of AGWA’s payments and reports in relation to the collection and payment to the Commonwealth of the Wine Export Charge;</w:t>
      </w:r>
    </w:p>
    <w:p w:rsidR="00E219D4" w:rsidRDefault="00E219D4" w:rsidP="00E219D4">
      <w:pPr>
        <w:pStyle w:val="MELegal3"/>
        <w:numPr>
          <w:ilvl w:val="2"/>
          <w:numId w:val="8"/>
        </w:numPr>
      </w:pPr>
      <w:r>
        <w:t>AGWA’s compliance with its confidentiality and privacy obligations under this Agreement;</w:t>
      </w:r>
    </w:p>
    <w:p w:rsidR="00E219D4" w:rsidRDefault="00E219D4" w:rsidP="00E219D4">
      <w:pPr>
        <w:pStyle w:val="MELegal3"/>
        <w:numPr>
          <w:ilvl w:val="2"/>
          <w:numId w:val="8"/>
        </w:numPr>
      </w:pPr>
      <w:r>
        <w:t>material (including books and records) in the possession of AGWA relevant to the collection of the Wine Export Charge or this Agreement; and</w:t>
      </w:r>
    </w:p>
    <w:p w:rsidR="00E219D4" w:rsidRDefault="00E219D4" w:rsidP="00E219D4">
      <w:pPr>
        <w:pStyle w:val="MELegal3"/>
        <w:numPr>
          <w:ilvl w:val="2"/>
          <w:numId w:val="8"/>
        </w:numPr>
      </w:pPr>
      <w:proofErr w:type="gramStart"/>
      <w:r>
        <w:t>any</w:t>
      </w:r>
      <w:proofErr w:type="gramEnd"/>
      <w:r>
        <w:t xml:space="preserve"> other matters determined by the Commonwealth to be relevant to the collection of the Wine Export Charge or this Agreement.</w:t>
      </w:r>
    </w:p>
    <w:p w:rsidR="00E219D4" w:rsidRDefault="00E219D4" w:rsidP="00E219D4">
      <w:pPr>
        <w:pStyle w:val="MELegal2"/>
        <w:numPr>
          <w:ilvl w:val="1"/>
          <w:numId w:val="8"/>
        </w:numPr>
      </w:pPr>
      <w:bookmarkStart w:id="143" w:name="_Ref164741295"/>
      <w:r>
        <w:t xml:space="preserve">Access by </w:t>
      </w:r>
      <w:bookmarkEnd w:id="143"/>
      <w:r>
        <w:t>the Commonwealth</w:t>
      </w:r>
    </w:p>
    <w:p w:rsidR="00E219D4" w:rsidRDefault="00E219D4" w:rsidP="00E219D4">
      <w:pPr>
        <w:pStyle w:val="MELegal3"/>
        <w:numPr>
          <w:ilvl w:val="2"/>
          <w:numId w:val="8"/>
        </w:numPr>
      </w:pPr>
      <w:r>
        <w:t>The Commonwealth may, at all reasonable times and on giving reasonable notice to AGWA:</w:t>
      </w:r>
    </w:p>
    <w:p w:rsidR="00E219D4" w:rsidRDefault="00E219D4" w:rsidP="00E219D4">
      <w:pPr>
        <w:pStyle w:val="MELegal3"/>
        <w:tabs>
          <w:tab w:val="clear" w:pos="1361"/>
          <w:tab w:val="num" w:pos="1985"/>
        </w:tabs>
        <w:ind w:left="1985"/>
      </w:pPr>
      <w:bookmarkStart w:id="144" w:name="_Ref164741393"/>
      <w:r>
        <w:t>access the premises of AGWA to the extent relevant to the performance of this Agreement;</w:t>
      </w:r>
      <w:bookmarkEnd w:id="144"/>
    </w:p>
    <w:p w:rsidR="00E219D4" w:rsidRDefault="00E219D4" w:rsidP="00E219D4">
      <w:pPr>
        <w:pStyle w:val="DefinitionL3"/>
        <w:numPr>
          <w:ilvl w:val="2"/>
          <w:numId w:val="6"/>
        </w:numPr>
        <w:tabs>
          <w:tab w:val="clear" w:pos="1361"/>
          <w:tab w:val="num" w:pos="1985"/>
        </w:tabs>
        <w:ind w:left="1985"/>
      </w:pPr>
      <w:r>
        <w:t>require the provision by AGWA, its employees, agents or subcontractors, of records and information in a data format and storage medium accessible by the Commonwealth by use of the Commonwealth’s existing computer hardware and software;</w:t>
      </w:r>
    </w:p>
    <w:p w:rsidR="00E219D4" w:rsidRDefault="00E219D4" w:rsidP="00E219D4">
      <w:pPr>
        <w:pStyle w:val="DefinitionL3"/>
        <w:numPr>
          <w:ilvl w:val="2"/>
          <w:numId w:val="6"/>
        </w:numPr>
        <w:tabs>
          <w:tab w:val="clear" w:pos="1361"/>
          <w:tab w:val="num" w:pos="1985"/>
        </w:tabs>
        <w:ind w:left="1985"/>
      </w:pPr>
      <w:bookmarkStart w:id="145" w:name="_Ref164741426"/>
      <w:r>
        <w:t>inspect and copy documentation, books and records, however stored, in the custody or under the control of AGWA, its employees, agents or subcontractors; and</w:t>
      </w:r>
      <w:bookmarkEnd w:id="145"/>
    </w:p>
    <w:p w:rsidR="00E219D4" w:rsidRDefault="00E219D4" w:rsidP="00E219D4">
      <w:pPr>
        <w:pStyle w:val="DefinitionL3"/>
        <w:numPr>
          <w:ilvl w:val="2"/>
          <w:numId w:val="6"/>
        </w:numPr>
        <w:tabs>
          <w:tab w:val="clear" w:pos="1361"/>
          <w:tab w:val="num" w:pos="1985"/>
        </w:tabs>
        <w:ind w:left="1985"/>
      </w:pPr>
      <w:proofErr w:type="gramStart"/>
      <w:r>
        <w:t>require</w:t>
      </w:r>
      <w:proofErr w:type="gramEnd"/>
      <w:r>
        <w:t xml:space="preserve"> assistance in respect of any inquiry into or concerning the collection of the Wine Export Charge or this Agreement. For these purposes an inquiry includes any administrative or statutory review, audit or inquiry (whether within or external to the Department), any request for information directed to the Commonwealth, and any inquiry conducted by Parliament or any Parliamentary committee.</w:t>
      </w:r>
    </w:p>
    <w:p w:rsidR="00E219D4" w:rsidRDefault="00E219D4" w:rsidP="00E219D4">
      <w:pPr>
        <w:pStyle w:val="DefinitionL2"/>
        <w:numPr>
          <w:ilvl w:val="1"/>
          <w:numId w:val="6"/>
        </w:numPr>
        <w:tabs>
          <w:tab w:val="clear" w:pos="681"/>
          <w:tab w:val="num" w:pos="1418"/>
        </w:tabs>
        <w:ind w:left="1418" w:hanging="709"/>
      </w:pPr>
      <w:r>
        <w:t>AGWA must provide access to its computer hardware and software to the extent necessary for the Commonwealth to exercise its rights under this clause </w:t>
      </w:r>
      <w:r>
        <w:fldChar w:fldCharType="begin"/>
      </w:r>
      <w:r>
        <w:instrText xml:space="preserve"> REF _Ref131224533 \n \h  \* MERGEFORMAT </w:instrText>
      </w:r>
      <w:r>
        <w:fldChar w:fldCharType="separate"/>
      </w:r>
      <w:r>
        <w:t>7</w:t>
      </w:r>
      <w:r>
        <w:fldChar w:fldCharType="end"/>
      </w:r>
      <w:r>
        <w:t>, and provide the Commonwealth with any reasonable assistance requested by the Commonwealth to use that hardware and software.</w:t>
      </w:r>
    </w:p>
    <w:p w:rsidR="00E219D4" w:rsidRDefault="00E219D4" w:rsidP="00E219D4">
      <w:pPr>
        <w:pStyle w:val="MELegal2"/>
        <w:keepLines w:val="0"/>
      </w:pPr>
      <w:r>
        <w:t>Survival</w:t>
      </w:r>
    </w:p>
    <w:p w:rsidR="00E219D4" w:rsidRDefault="00E219D4" w:rsidP="00E219D4">
      <w:pPr>
        <w:ind w:left="680"/>
      </w:pPr>
      <w:r>
        <w:t>This clause 7 applies for the Agreement Period and for a period of seven years from the expiry or termination of this Agreement.</w:t>
      </w:r>
    </w:p>
    <w:p w:rsidR="00E219D4" w:rsidRDefault="00E219D4" w:rsidP="00E219D4">
      <w:pPr>
        <w:pStyle w:val="MELegal1"/>
        <w:keepLines w:val="0"/>
      </w:pPr>
      <w:bookmarkStart w:id="146" w:name="_Ref24166296"/>
      <w:bookmarkStart w:id="147" w:name="_Toc131757573"/>
      <w:bookmarkStart w:id="148" w:name="_Toc131839221"/>
      <w:bookmarkStart w:id="149" w:name="_Toc131840960"/>
      <w:bookmarkStart w:id="150" w:name="_Toc131855272"/>
      <w:bookmarkStart w:id="151" w:name="_Toc134875294"/>
      <w:bookmarkStart w:id="152" w:name="_Toc430700765"/>
      <w:r>
        <w:t>Dispute resolution</w:t>
      </w:r>
      <w:bookmarkEnd w:id="146"/>
      <w:bookmarkEnd w:id="147"/>
      <w:bookmarkEnd w:id="148"/>
      <w:bookmarkEnd w:id="149"/>
      <w:bookmarkEnd w:id="150"/>
      <w:bookmarkEnd w:id="151"/>
      <w:bookmarkEnd w:id="152"/>
    </w:p>
    <w:p w:rsidR="00E219D4" w:rsidRDefault="00E219D4" w:rsidP="00E219D4">
      <w:pPr>
        <w:pStyle w:val="MELegal2"/>
        <w:keepLines w:val="0"/>
      </w:pPr>
      <w:bookmarkStart w:id="153" w:name="_Ref24166340"/>
      <w:bookmarkStart w:id="154" w:name="_Toc131757574"/>
      <w:bookmarkStart w:id="155" w:name="_Toc131855273"/>
      <w:r>
        <w:t>No arbitration or court proceedings</w:t>
      </w:r>
      <w:bookmarkEnd w:id="153"/>
      <w:bookmarkEnd w:id="154"/>
      <w:bookmarkEnd w:id="155"/>
    </w:p>
    <w:p w:rsidR="00E219D4" w:rsidRDefault="00E219D4" w:rsidP="00E219D4">
      <w:pPr>
        <w:keepLines/>
        <w:ind w:left="680"/>
      </w:pPr>
      <w:r>
        <w:t>If a dispute arises in relation to the conduct of this Agreement (</w:t>
      </w:r>
      <w:r>
        <w:rPr>
          <w:b/>
        </w:rPr>
        <w:t>Dispute</w:t>
      </w:r>
      <w:r>
        <w:t>), a party must comply with this clause </w:t>
      </w:r>
      <w:r>
        <w:fldChar w:fldCharType="begin"/>
      </w:r>
      <w:r>
        <w:instrText xml:space="preserve"> REF _Ref24166296 \r \h </w:instrText>
      </w:r>
      <w:r>
        <w:fldChar w:fldCharType="separate"/>
      </w:r>
      <w:r>
        <w:t>8</w:t>
      </w:r>
      <w:r>
        <w:fldChar w:fldCharType="end"/>
      </w:r>
      <w:r>
        <w:t xml:space="preserve"> before starting arbitration or court proceedings (except proceedings for urgent interlocutory relief).  After a party has sought or obtained any urgent interlocutory relief that party must follow this clause </w:t>
      </w:r>
      <w:r>
        <w:fldChar w:fldCharType="begin"/>
      </w:r>
      <w:r>
        <w:instrText xml:space="preserve"> REF _Ref24166296 \r \h </w:instrText>
      </w:r>
      <w:r>
        <w:fldChar w:fldCharType="separate"/>
      </w:r>
      <w:r>
        <w:t>8</w:t>
      </w:r>
      <w:r>
        <w:fldChar w:fldCharType="end"/>
      </w:r>
      <w:r>
        <w:t>.</w:t>
      </w:r>
    </w:p>
    <w:p w:rsidR="00E219D4" w:rsidRDefault="00E219D4" w:rsidP="00E219D4">
      <w:pPr>
        <w:pStyle w:val="MELegal2"/>
      </w:pPr>
      <w:bookmarkStart w:id="156" w:name="_Ref24166305"/>
      <w:bookmarkStart w:id="157" w:name="_Toc131757575"/>
      <w:bookmarkStart w:id="158" w:name="_Toc131855274"/>
      <w:r>
        <w:t>Notification</w:t>
      </w:r>
      <w:bookmarkEnd w:id="156"/>
      <w:bookmarkEnd w:id="157"/>
      <w:bookmarkEnd w:id="158"/>
    </w:p>
    <w:p w:rsidR="00E219D4" w:rsidRDefault="00E219D4" w:rsidP="00E219D4">
      <w:pPr>
        <w:ind w:left="680"/>
      </w:pPr>
      <w:r>
        <w:t>A party claiming a Dispute has arisen must give the other parties to the Dispute notice setting out details of the Dispute.</w:t>
      </w:r>
    </w:p>
    <w:p w:rsidR="00E219D4" w:rsidRDefault="00E219D4" w:rsidP="00E219D4">
      <w:pPr>
        <w:pStyle w:val="MELegal2"/>
      </w:pPr>
      <w:bookmarkStart w:id="159" w:name="_Ref24166312"/>
      <w:bookmarkStart w:id="160" w:name="_Toc131757576"/>
      <w:bookmarkStart w:id="161" w:name="_Toc131855275"/>
      <w:r>
        <w:t>Parties to resolve Dispute</w:t>
      </w:r>
      <w:bookmarkEnd w:id="159"/>
      <w:bookmarkEnd w:id="160"/>
      <w:bookmarkEnd w:id="161"/>
    </w:p>
    <w:p w:rsidR="00E219D4" w:rsidRDefault="00E219D4" w:rsidP="00E219D4">
      <w:pPr>
        <w:ind w:left="680"/>
      </w:pPr>
      <w:r>
        <w:t>During the 14 days after a notice is given under clause </w:t>
      </w:r>
      <w:r>
        <w:fldChar w:fldCharType="begin"/>
      </w:r>
      <w:r>
        <w:instrText xml:space="preserve"> REF _Ref24166305 \r \h </w:instrText>
      </w:r>
      <w:r>
        <w:fldChar w:fldCharType="separate"/>
      </w:r>
      <w:r>
        <w:t>8.2</w:t>
      </w:r>
      <w:r>
        <w:fldChar w:fldCharType="end"/>
      </w:r>
      <w:r>
        <w:t xml:space="preserve"> (or longer period if the parties to the Dispute agree in writing), each party to the Dispute must use its reasonable efforts through a meeting of CEOs (or their nominees) to resolve the Dispute. If the parties cannot resolve the Dispute within that period, they must refer the Dispute to a mediator if one of them requests.</w:t>
      </w:r>
    </w:p>
    <w:p w:rsidR="00E219D4" w:rsidRDefault="00E219D4" w:rsidP="00E219D4">
      <w:pPr>
        <w:pStyle w:val="MELegal2"/>
      </w:pPr>
      <w:bookmarkStart w:id="162" w:name="_Toc131757577"/>
      <w:bookmarkStart w:id="163" w:name="_Toc131855276"/>
      <w:r>
        <w:t>Appointment of mediator</w:t>
      </w:r>
      <w:bookmarkEnd w:id="162"/>
      <w:bookmarkEnd w:id="163"/>
    </w:p>
    <w:p w:rsidR="00E219D4" w:rsidRDefault="00E219D4" w:rsidP="00E219D4">
      <w:pPr>
        <w:ind w:left="680"/>
      </w:pPr>
      <w:r>
        <w:t>If the parties to the Dispute cannot agree on a mediator within seven days after a request under clause </w:t>
      </w:r>
      <w:r>
        <w:fldChar w:fldCharType="begin"/>
      </w:r>
      <w:r>
        <w:instrText xml:space="preserve"> REF _Ref24166312 \r \h </w:instrText>
      </w:r>
      <w:r>
        <w:fldChar w:fldCharType="separate"/>
      </w:r>
      <w:r>
        <w:t>8.3</w:t>
      </w:r>
      <w:r>
        <w:fldChar w:fldCharType="end"/>
      </w:r>
      <w:r>
        <w:t>, the chairperson of LEADR or the chairperson's nominee will appoint a mediator.</w:t>
      </w:r>
    </w:p>
    <w:p w:rsidR="00E219D4" w:rsidRDefault="00E219D4" w:rsidP="00E219D4">
      <w:pPr>
        <w:pStyle w:val="MELegal2"/>
      </w:pPr>
      <w:bookmarkStart w:id="164" w:name="_Toc131757578"/>
      <w:bookmarkStart w:id="165" w:name="_Toc131855277"/>
      <w:bookmarkStart w:id="166" w:name="_Ref131936897"/>
      <w:r>
        <w:t>Role of mediator</w:t>
      </w:r>
      <w:bookmarkEnd w:id="164"/>
      <w:bookmarkEnd w:id="165"/>
      <w:r>
        <w:t xml:space="preserve"> and obligations of parties</w:t>
      </w:r>
      <w:bookmarkEnd w:id="166"/>
    </w:p>
    <w:p w:rsidR="00E219D4" w:rsidRDefault="00E219D4" w:rsidP="00E219D4">
      <w:pPr>
        <w:keepNext/>
        <w:keepLines/>
        <w:ind w:left="680"/>
      </w:pPr>
      <w:r>
        <w:t>The role of a mediator is to assist in negotiating a resolution of the Dispute.  A mediator may not make a binding decision on a party to the Dispute except if the party agrees in writing. Unless agreed by the mediator and parties, the mediation must be held within 21 days of the request for mediation in clause </w:t>
      </w:r>
      <w:r>
        <w:fldChar w:fldCharType="begin"/>
      </w:r>
      <w:r>
        <w:instrText xml:space="preserve"> REF _Ref24166312 \r \h </w:instrText>
      </w:r>
      <w:r>
        <w:fldChar w:fldCharType="separate"/>
      </w:r>
      <w:r>
        <w:t>8.3</w:t>
      </w:r>
      <w:r>
        <w:fldChar w:fldCharType="end"/>
      </w:r>
      <w:r>
        <w:t>. The parties must attend the mediation and act in good faith to genuinely attempt to resolve the Dispute.</w:t>
      </w:r>
    </w:p>
    <w:p w:rsidR="00E219D4" w:rsidRDefault="00E219D4" w:rsidP="00E219D4">
      <w:pPr>
        <w:pStyle w:val="MELegal2"/>
      </w:pPr>
      <w:bookmarkStart w:id="167" w:name="_Ref24166361"/>
      <w:bookmarkStart w:id="168" w:name="_Toc131757579"/>
      <w:bookmarkStart w:id="169" w:name="_Toc131855278"/>
      <w:r>
        <w:t>Confidentiality</w:t>
      </w:r>
      <w:bookmarkEnd w:id="167"/>
      <w:bookmarkEnd w:id="168"/>
      <w:bookmarkEnd w:id="169"/>
    </w:p>
    <w:p w:rsidR="00E219D4" w:rsidRDefault="00E219D4" w:rsidP="00E219D4">
      <w:pPr>
        <w:keepNext/>
        <w:ind w:left="680"/>
      </w:pPr>
      <w:r>
        <w:t>Any information or documents disclosed by a party under this clause </w:t>
      </w:r>
      <w:r>
        <w:fldChar w:fldCharType="begin"/>
      </w:r>
      <w:r>
        <w:instrText xml:space="preserve"> REF _Ref24166296 \r \h </w:instrText>
      </w:r>
      <w:r>
        <w:fldChar w:fldCharType="separate"/>
      </w:r>
      <w:r>
        <w:t>8</w:t>
      </w:r>
      <w:r>
        <w:fldChar w:fldCharType="end"/>
      </w:r>
      <w:r>
        <w:t>:</w:t>
      </w:r>
    </w:p>
    <w:p w:rsidR="00E219D4" w:rsidRDefault="00E219D4" w:rsidP="00E219D4">
      <w:pPr>
        <w:pStyle w:val="MELegal3"/>
        <w:numPr>
          <w:ilvl w:val="2"/>
          <w:numId w:val="9"/>
        </w:numPr>
      </w:pPr>
      <w:r>
        <w:t>must be kept confidential; and</w:t>
      </w:r>
    </w:p>
    <w:p w:rsidR="00E219D4" w:rsidRDefault="00E219D4" w:rsidP="00E219D4">
      <w:pPr>
        <w:pStyle w:val="MELegal3"/>
      </w:pPr>
      <w:proofErr w:type="gramStart"/>
      <w:r>
        <w:t>may</w:t>
      </w:r>
      <w:proofErr w:type="gramEnd"/>
      <w:r>
        <w:t xml:space="preserve"> only be used to attempt to resolve the Dispute.</w:t>
      </w:r>
    </w:p>
    <w:p w:rsidR="00E219D4" w:rsidRDefault="00E219D4" w:rsidP="00E219D4">
      <w:pPr>
        <w:pStyle w:val="MELegal2"/>
      </w:pPr>
      <w:bookmarkStart w:id="170" w:name="_Ref24166372"/>
      <w:bookmarkStart w:id="171" w:name="_Toc131757580"/>
      <w:bookmarkStart w:id="172" w:name="_Toc131855279"/>
      <w:r>
        <w:t>Costs</w:t>
      </w:r>
      <w:bookmarkEnd w:id="170"/>
      <w:bookmarkEnd w:id="171"/>
      <w:bookmarkEnd w:id="172"/>
    </w:p>
    <w:p w:rsidR="00E219D4" w:rsidRDefault="00E219D4" w:rsidP="00E219D4">
      <w:pPr>
        <w:ind w:left="680"/>
      </w:pPr>
      <w:r>
        <w:t>Each party to a Dispute must pay its own costs of complying with this clause </w:t>
      </w:r>
      <w:r>
        <w:fldChar w:fldCharType="begin"/>
      </w:r>
      <w:r>
        <w:instrText xml:space="preserve"> REF _Ref24166296 \r \h </w:instrText>
      </w:r>
      <w:r>
        <w:fldChar w:fldCharType="separate"/>
      </w:r>
      <w:r>
        <w:t>8</w:t>
      </w:r>
      <w:r>
        <w:fldChar w:fldCharType="end"/>
      </w:r>
      <w:r>
        <w:t>.  The parties to the Dispute must equally pay the costs of any mediator.</w:t>
      </w:r>
    </w:p>
    <w:p w:rsidR="00E219D4" w:rsidRDefault="00E219D4" w:rsidP="00E219D4">
      <w:pPr>
        <w:pStyle w:val="MELegal2"/>
      </w:pPr>
      <w:bookmarkStart w:id="173" w:name="_Ref24166392"/>
      <w:bookmarkStart w:id="174" w:name="_Toc131757581"/>
      <w:bookmarkStart w:id="175" w:name="_Toc131855280"/>
      <w:r>
        <w:t>Termination of process</w:t>
      </w:r>
      <w:bookmarkEnd w:id="173"/>
      <w:bookmarkEnd w:id="174"/>
      <w:bookmarkEnd w:id="175"/>
    </w:p>
    <w:p w:rsidR="00E219D4" w:rsidRDefault="00E219D4" w:rsidP="00E219D4">
      <w:pPr>
        <w:ind w:left="680"/>
      </w:pPr>
      <w:r>
        <w:t>A party to a Dispute may terminate the dispute resolution process by giving notice to each other party after it has complied with clauses </w:t>
      </w:r>
      <w:r>
        <w:fldChar w:fldCharType="begin"/>
      </w:r>
      <w:r>
        <w:instrText xml:space="preserve"> REF _Ref24166340 \r \h </w:instrText>
      </w:r>
      <w:r>
        <w:fldChar w:fldCharType="separate"/>
      </w:r>
      <w:r>
        <w:t>8.1</w:t>
      </w:r>
      <w:r>
        <w:fldChar w:fldCharType="end"/>
      </w:r>
      <w:r>
        <w:t xml:space="preserve"> to </w:t>
      </w:r>
      <w:r>
        <w:fldChar w:fldCharType="begin"/>
      </w:r>
      <w:r>
        <w:instrText xml:space="preserve"> REF _Ref131936897 \r \h </w:instrText>
      </w:r>
      <w:r>
        <w:fldChar w:fldCharType="separate"/>
      </w:r>
      <w:r>
        <w:t>8.5</w:t>
      </w:r>
      <w:r>
        <w:fldChar w:fldCharType="end"/>
      </w:r>
      <w:r>
        <w:t>.  Clauses </w:t>
      </w:r>
      <w:r>
        <w:fldChar w:fldCharType="begin"/>
      </w:r>
      <w:r>
        <w:instrText xml:space="preserve"> REF _Ref24166361 \r \h </w:instrText>
      </w:r>
      <w:r>
        <w:fldChar w:fldCharType="separate"/>
      </w:r>
      <w:r>
        <w:t>8.6</w:t>
      </w:r>
      <w:r>
        <w:fldChar w:fldCharType="end"/>
      </w:r>
      <w:r>
        <w:t xml:space="preserve"> and </w:t>
      </w:r>
      <w:r>
        <w:fldChar w:fldCharType="begin"/>
      </w:r>
      <w:r>
        <w:instrText xml:space="preserve"> REF _Ref24166372 \r \h </w:instrText>
      </w:r>
      <w:r>
        <w:fldChar w:fldCharType="separate"/>
      </w:r>
      <w:r>
        <w:t>8.7</w:t>
      </w:r>
      <w:r>
        <w:fldChar w:fldCharType="end"/>
      </w:r>
      <w:r>
        <w:t xml:space="preserve"> survive termination of the dispute resolution process.</w:t>
      </w:r>
    </w:p>
    <w:p w:rsidR="00E219D4" w:rsidRDefault="00E219D4" w:rsidP="00E219D4">
      <w:pPr>
        <w:pStyle w:val="MELegal2"/>
      </w:pPr>
      <w:bookmarkStart w:id="176" w:name="_Toc131757582"/>
      <w:bookmarkStart w:id="177" w:name="_Toc131855281"/>
      <w:r>
        <w:t>Breach of this clause</w:t>
      </w:r>
      <w:bookmarkEnd w:id="176"/>
      <w:bookmarkEnd w:id="177"/>
    </w:p>
    <w:p w:rsidR="00E219D4" w:rsidRDefault="00E219D4" w:rsidP="00E219D4">
      <w:pPr>
        <w:ind w:left="680"/>
      </w:pPr>
      <w:r>
        <w:t>If a party to a Dispute breaches clauses </w:t>
      </w:r>
      <w:r>
        <w:fldChar w:fldCharType="begin"/>
      </w:r>
      <w:r>
        <w:instrText xml:space="preserve"> REF _Ref24166340 \r \h </w:instrText>
      </w:r>
      <w:r>
        <w:fldChar w:fldCharType="separate"/>
      </w:r>
      <w:r>
        <w:t>8.1</w:t>
      </w:r>
      <w:r>
        <w:fldChar w:fldCharType="end"/>
      </w:r>
      <w:r>
        <w:t xml:space="preserve"> to </w:t>
      </w:r>
      <w:r>
        <w:fldChar w:fldCharType="begin"/>
      </w:r>
      <w:r>
        <w:instrText xml:space="preserve"> REF _Ref24166392 \r \h </w:instrText>
      </w:r>
      <w:r>
        <w:fldChar w:fldCharType="separate"/>
      </w:r>
      <w:r>
        <w:t>8.8</w:t>
      </w:r>
      <w:r>
        <w:fldChar w:fldCharType="end"/>
      </w:r>
      <w:r>
        <w:t>, the other party does not have to comply with those clauses in relation to the Dispute.</w:t>
      </w:r>
    </w:p>
    <w:p w:rsidR="00E219D4" w:rsidRDefault="00E219D4" w:rsidP="00E219D4">
      <w:pPr>
        <w:pStyle w:val="MELegal1"/>
      </w:pPr>
      <w:bookmarkStart w:id="178" w:name="_Toc83448200"/>
      <w:bookmarkStart w:id="179" w:name="_Ref131742108"/>
      <w:bookmarkStart w:id="180" w:name="_Toc131757583"/>
      <w:bookmarkStart w:id="181" w:name="_Ref131759012"/>
      <w:bookmarkStart w:id="182" w:name="_Ref131761297"/>
      <w:bookmarkStart w:id="183" w:name="_Toc131839222"/>
      <w:bookmarkStart w:id="184" w:name="_Toc131840961"/>
      <w:bookmarkStart w:id="185" w:name="_Toc131855282"/>
      <w:bookmarkStart w:id="186" w:name="_Toc134875295"/>
      <w:bookmarkStart w:id="187" w:name="_Ref166930137"/>
      <w:bookmarkStart w:id="188" w:name="_Toc430700766"/>
      <w:r>
        <w:t>Termination</w:t>
      </w:r>
      <w:bookmarkEnd w:id="178"/>
      <w:bookmarkEnd w:id="179"/>
      <w:bookmarkEnd w:id="180"/>
      <w:bookmarkEnd w:id="181"/>
      <w:bookmarkEnd w:id="182"/>
      <w:bookmarkEnd w:id="183"/>
      <w:bookmarkEnd w:id="184"/>
      <w:bookmarkEnd w:id="185"/>
      <w:bookmarkEnd w:id="186"/>
      <w:bookmarkEnd w:id="187"/>
      <w:bookmarkEnd w:id="188"/>
    </w:p>
    <w:p w:rsidR="00E219D4" w:rsidRDefault="00E219D4" w:rsidP="00E219D4">
      <w:pPr>
        <w:pStyle w:val="MELegal2"/>
      </w:pPr>
      <w:bookmarkStart w:id="189" w:name="_Toc487608165"/>
      <w:bookmarkStart w:id="190" w:name="_Ref487859239"/>
      <w:bookmarkStart w:id="191" w:name="_Toc531770685"/>
      <w:bookmarkStart w:id="192" w:name="_Ref66782208"/>
      <w:bookmarkStart w:id="193" w:name="_Toc83448201"/>
      <w:bookmarkStart w:id="194" w:name="_Toc131757584"/>
      <w:bookmarkStart w:id="195" w:name="_Toc131855283"/>
      <w:r>
        <w:t xml:space="preserve">Termination </w:t>
      </w:r>
      <w:bookmarkEnd w:id="189"/>
      <w:bookmarkEnd w:id="190"/>
      <w:bookmarkEnd w:id="191"/>
      <w:bookmarkEnd w:id="192"/>
      <w:bookmarkEnd w:id="193"/>
      <w:bookmarkEnd w:id="194"/>
      <w:bookmarkEnd w:id="195"/>
      <w:r>
        <w:t>for default</w:t>
      </w:r>
    </w:p>
    <w:p w:rsidR="00E219D4" w:rsidRDefault="00E219D4" w:rsidP="00E219D4">
      <w:pPr>
        <w:pStyle w:val="MELegal4"/>
        <w:numPr>
          <w:ilvl w:val="0"/>
          <w:numId w:val="0"/>
        </w:numPr>
        <w:ind w:left="709"/>
      </w:pPr>
      <w:r>
        <w:t>Without limiting any other rights the Commonwealth may have under this Agreement or at law, the Commonwealth may immediately terminate this Agreement in whole or in part, and by giving notice to AGWA, if any of the following events or matters raise:</w:t>
      </w:r>
    </w:p>
    <w:p w:rsidR="00E219D4" w:rsidRDefault="00E219D4" w:rsidP="00E219D4">
      <w:pPr>
        <w:pStyle w:val="MELegal4"/>
        <w:numPr>
          <w:ilvl w:val="3"/>
          <w:numId w:val="8"/>
        </w:numPr>
        <w:tabs>
          <w:tab w:val="clear" w:pos="2041"/>
          <w:tab w:val="num" w:pos="1276"/>
        </w:tabs>
        <w:ind w:left="1276" w:hanging="567"/>
      </w:pPr>
      <w:r>
        <w:t>AGWA fails to fulfil, or is in breach of, any of its obligations under this Agreement that are not capable of being rectified (as determined by the Commonwealth);</w:t>
      </w:r>
    </w:p>
    <w:p w:rsidR="00E219D4" w:rsidRDefault="00E219D4" w:rsidP="00E219D4">
      <w:pPr>
        <w:pStyle w:val="MELegal4"/>
        <w:numPr>
          <w:ilvl w:val="3"/>
          <w:numId w:val="8"/>
        </w:numPr>
        <w:tabs>
          <w:tab w:val="clear" w:pos="2041"/>
          <w:tab w:val="num" w:pos="1276"/>
        </w:tabs>
        <w:ind w:left="1276" w:hanging="567"/>
      </w:pPr>
      <w:r>
        <w:t>AGWA is in breach of any of its obligations under this Agreement that are capable of being rectified, and does not rectify the omission or breach within 20 business days or such other period (which is to be in excess of 20 business days) specified by the Commonwealth, of receiving notice from the Commonwealth to do so; or</w:t>
      </w:r>
    </w:p>
    <w:p w:rsidR="00E219D4" w:rsidRDefault="00E219D4" w:rsidP="00E219D4">
      <w:pPr>
        <w:pStyle w:val="MELegal4"/>
        <w:numPr>
          <w:ilvl w:val="3"/>
          <w:numId w:val="8"/>
        </w:numPr>
        <w:tabs>
          <w:tab w:val="clear" w:pos="2041"/>
          <w:tab w:val="num" w:pos="1276"/>
        </w:tabs>
        <w:ind w:left="1276" w:hanging="567"/>
      </w:pPr>
      <w:proofErr w:type="gramStart"/>
      <w:r>
        <w:t>the</w:t>
      </w:r>
      <w:proofErr w:type="gramEnd"/>
      <w:r>
        <w:t xml:space="preserve"> Commonwealth is satisfied that AGWA has become insolvent or otherwise unable to pay all of its debts as and when they become due and payable.</w:t>
      </w:r>
    </w:p>
    <w:p w:rsidR="00E219D4" w:rsidRDefault="00E219D4" w:rsidP="00E219D4">
      <w:pPr>
        <w:pStyle w:val="MELegal4"/>
        <w:numPr>
          <w:ilvl w:val="0"/>
          <w:numId w:val="0"/>
        </w:numPr>
        <w:ind w:left="2041"/>
      </w:pPr>
    </w:p>
    <w:p w:rsidR="00E219D4" w:rsidRDefault="00E219D4" w:rsidP="00E219D4">
      <w:pPr>
        <w:pStyle w:val="MELegal2"/>
        <w:numPr>
          <w:ilvl w:val="1"/>
          <w:numId w:val="8"/>
        </w:numPr>
      </w:pPr>
      <w:bookmarkStart w:id="196" w:name="_Ref487859286"/>
      <w:r>
        <w:t>Termination or reduction in scope</w:t>
      </w:r>
    </w:p>
    <w:p w:rsidR="00E219D4" w:rsidRDefault="00E219D4" w:rsidP="00E219D4">
      <w:pPr>
        <w:pStyle w:val="MELegal3"/>
        <w:numPr>
          <w:ilvl w:val="0"/>
          <w:numId w:val="0"/>
        </w:numPr>
        <w:tabs>
          <w:tab w:val="left" w:pos="709"/>
        </w:tabs>
        <w:ind w:left="709"/>
      </w:pPr>
      <w:r>
        <w:t>Without limiting any other rights the Commonwealth may have under this Agreement or at law, the Commonwealth may at any time, by notice, terminate this Agreement in whole or in part, or reduce the scope of any part of this Agreement, including to reflect a machinery of government change or change in Commonwealth policy.</w:t>
      </w:r>
      <w:bookmarkEnd w:id="196"/>
    </w:p>
    <w:p w:rsidR="00E219D4" w:rsidRDefault="00E219D4" w:rsidP="00E219D4">
      <w:pPr>
        <w:pStyle w:val="MELegal2"/>
        <w:numPr>
          <w:ilvl w:val="1"/>
          <w:numId w:val="8"/>
        </w:numPr>
      </w:pPr>
      <w:r>
        <w:t>On receipt of a notice of termination</w:t>
      </w:r>
    </w:p>
    <w:p w:rsidR="00E219D4" w:rsidRDefault="00E219D4" w:rsidP="00E219D4">
      <w:pPr>
        <w:pStyle w:val="MELegal4"/>
        <w:numPr>
          <w:ilvl w:val="3"/>
          <w:numId w:val="8"/>
        </w:numPr>
        <w:tabs>
          <w:tab w:val="clear" w:pos="2041"/>
          <w:tab w:val="num" w:pos="1276"/>
        </w:tabs>
        <w:ind w:hanging="1332"/>
      </w:pPr>
      <w:r>
        <w:t>On receipt of a notice of termination AGWA must:</w:t>
      </w:r>
    </w:p>
    <w:p w:rsidR="00E219D4" w:rsidRDefault="00E219D4" w:rsidP="00E219D4">
      <w:pPr>
        <w:pStyle w:val="MELegal4"/>
        <w:numPr>
          <w:ilvl w:val="3"/>
          <w:numId w:val="15"/>
        </w:numPr>
        <w:ind w:hanging="340"/>
      </w:pPr>
      <w:r>
        <w:t xml:space="preserve">cease collecting the Wine Export Charge as specified in the notice; </w:t>
      </w:r>
    </w:p>
    <w:p w:rsidR="00E219D4" w:rsidRDefault="00E219D4" w:rsidP="00E219D4">
      <w:pPr>
        <w:pStyle w:val="MELegal4"/>
        <w:numPr>
          <w:ilvl w:val="3"/>
          <w:numId w:val="15"/>
        </w:numPr>
        <w:ind w:hanging="340"/>
      </w:pPr>
      <w:bookmarkStart w:id="197" w:name="_Ref487859389"/>
      <w:r>
        <w:t>take all available steps to minimise loss resulting from that termination</w:t>
      </w:r>
      <w:bookmarkEnd w:id="197"/>
      <w:r>
        <w:t>; and</w:t>
      </w:r>
    </w:p>
    <w:p w:rsidR="00E219D4" w:rsidRDefault="00E219D4" w:rsidP="00E219D4">
      <w:pPr>
        <w:pStyle w:val="MELegal4"/>
        <w:numPr>
          <w:ilvl w:val="3"/>
          <w:numId w:val="15"/>
        </w:numPr>
        <w:ind w:hanging="340"/>
      </w:pPr>
      <w:proofErr w:type="gramStart"/>
      <w:r>
        <w:t>take</w:t>
      </w:r>
      <w:proofErr w:type="gramEnd"/>
      <w:r>
        <w:t xml:space="preserve"> any other action specified in the notice of termination. </w:t>
      </w:r>
    </w:p>
    <w:p w:rsidR="00E219D4" w:rsidRDefault="00E219D4" w:rsidP="00E219D4">
      <w:pPr>
        <w:pStyle w:val="MELegal3"/>
      </w:pPr>
      <w:r>
        <w:t>AGWA is not entitled to compensation as a result of termination of this Agreement by the Commonwealth.</w:t>
      </w:r>
    </w:p>
    <w:p w:rsidR="00E219D4" w:rsidRDefault="00E219D4" w:rsidP="00E219D4">
      <w:pPr>
        <w:pStyle w:val="MELegal2"/>
      </w:pPr>
      <w:bookmarkStart w:id="198" w:name="_Toc487608167"/>
      <w:bookmarkStart w:id="199" w:name="_Ref493317578"/>
      <w:bookmarkStart w:id="200" w:name="_Toc531770687"/>
      <w:bookmarkStart w:id="201" w:name="_Ref15895357"/>
      <w:bookmarkStart w:id="202" w:name="_Toc83448203"/>
      <w:bookmarkStart w:id="203" w:name="_Toc131760787"/>
      <w:bookmarkStart w:id="204" w:name="_Toc131855285"/>
      <w:r>
        <w:t>After termination</w:t>
      </w:r>
      <w:bookmarkEnd w:id="198"/>
      <w:bookmarkEnd w:id="199"/>
      <w:bookmarkEnd w:id="200"/>
      <w:bookmarkEnd w:id="201"/>
      <w:bookmarkEnd w:id="202"/>
      <w:bookmarkEnd w:id="203"/>
      <w:bookmarkEnd w:id="204"/>
    </w:p>
    <w:p w:rsidR="00E219D4" w:rsidRDefault="00E219D4" w:rsidP="00E219D4">
      <w:pPr>
        <w:ind w:left="680"/>
      </w:pPr>
      <w:bookmarkStart w:id="205" w:name="_Ref487859496"/>
      <w:r>
        <w:t>On termination of this Agreement AGWA must:</w:t>
      </w:r>
    </w:p>
    <w:p w:rsidR="00E219D4" w:rsidRDefault="00E219D4" w:rsidP="00E219D4">
      <w:pPr>
        <w:pStyle w:val="MELegal3"/>
      </w:pPr>
      <w:r>
        <w:t xml:space="preserve">deal with any amounts of the Wine Export Charge collected, as directed by the Commonwealth; </w:t>
      </w:r>
    </w:p>
    <w:p w:rsidR="00E219D4" w:rsidRDefault="00E219D4" w:rsidP="00E219D4">
      <w:pPr>
        <w:pStyle w:val="MELegal3"/>
      </w:pPr>
      <w:r>
        <w:t>provide any information to the Commonwealth which it requests regarding the collection of the Wine Export Charge; and</w:t>
      </w:r>
    </w:p>
    <w:p w:rsidR="00E219D4" w:rsidRDefault="00E219D4" w:rsidP="00E219D4">
      <w:pPr>
        <w:pStyle w:val="MELegal3"/>
      </w:pPr>
      <w:proofErr w:type="gramStart"/>
      <w:r>
        <w:t>provide</w:t>
      </w:r>
      <w:proofErr w:type="gramEnd"/>
      <w:r>
        <w:t xml:space="preserve"> such other assistance as requested by the Commonwealth.</w:t>
      </w:r>
    </w:p>
    <w:p w:rsidR="00E219D4" w:rsidRDefault="00E219D4" w:rsidP="00E219D4">
      <w:pPr>
        <w:pStyle w:val="MELegal1"/>
        <w:keepNext w:val="0"/>
      </w:pPr>
      <w:bookmarkStart w:id="206" w:name="_Toc430700767"/>
      <w:r>
        <w:t>Survival</w:t>
      </w:r>
      <w:bookmarkEnd w:id="206"/>
    </w:p>
    <w:p w:rsidR="00E219D4" w:rsidRDefault="00E219D4" w:rsidP="00E219D4">
      <w:pPr>
        <w:keepLines/>
        <w:ind w:left="680"/>
      </w:pPr>
      <w:r>
        <w:t>The following clauses survive the expiry or termination of this Agreement:</w:t>
      </w:r>
    </w:p>
    <w:p w:rsidR="00E219D4" w:rsidRDefault="00E219D4" w:rsidP="00E219D4">
      <w:pPr>
        <w:pStyle w:val="MELegal3"/>
        <w:numPr>
          <w:ilvl w:val="2"/>
          <w:numId w:val="7"/>
        </w:numPr>
      </w:pPr>
      <w:r>
        <w:t>Clause </w:t>
      </w:r>
      <w:r>
        <w:fldChar w:fldCharType="begin"/>
      </w:r>
      <w:r>
        <w:instrText xml:space="preserve"> REF _Ref131556433 \r \h  \* MERGEFORMAT </w:instrText>
      </w:r>
      <w:r>
        <w:fldChar w:fldCharType="separate"/>
      </w:r>
      <w:r>
        <w:t>5</w:t>
      </w:r>
      <w:r>
        <w:fldChar w:fldCharType="end"/>
      </w:r>
      <w:r>
        <w:t xml:space="preserve"> (Confidentiality and privacy);</w:t>
      </w:r>
    </w:p>
    <w:p w:rsidR="00E219D4" w:rsidRDefault="00E219D4" w:rsidP="00E219D4">
      <w:pPr>
        <w:pStyle w:val="MELegal3"/>
      </w:pPr>
      <w:r>
        <w:t xml:space="preserve">Clause </w:t>
      </w:r>
      <w:r>
        <w:fldChar w:fldCharType="begin"/>
      </w:r>
      <w:r>
        <w:instrText xml:space="preserve"> REF _Ref251867640 \r \h </w:instrText>
      </w:r>
      <w:r>
        <w:fldChar w:fldCharType="separate"/>
      </w:r>
      <w:r>
        <w:t>6</w:t>
      </w:r>
      <w:r>
        <w:fldChar w:fldCharType="end"/>
      </w:r>
      <w:r>
        <w:t xml:space="preserve"> (Books and records); and</w:t>
      </w:r>
    </w:p>
    <w:p w:rsidR="00E219D4" w:rsidRDefault="00E219D4" w:rsidP="00E219D4">
      <w:pPr>
        <w:pStyle w:val="MELegal3"/>
      </w:pPr>
      <w:r>
        <w:t>Clause 7 (Audit and access).</w:t>
      </w:r>
    </w:p>
    <w:p w:rsidR="00E219D4" w:rsidRDefault="00E219D4" w:rsidP="00E219D4">
      <w:pPr>
        <w:pStyle w:val="MELegal1"/>
        <w:outlineLvl w:val="1"/>
      </w:pPr>
      <w:bookmarkStart w:id="207" w:name="_Toc107222011"/>
      <w:bookmarkStart w:id="208" w:name="_Toc131760796"/>
      <w:bookmarkStart w:id="209" w:name="_Toc131839227"/>
      <w:bookmarkStart w:id="210" w:name="_Toc131840966"/>
      <w:bookmarkStart w:id="211" w:name="_Toc131855294"/>
      <w:bookmarkStart w:id="212" w:name="_Ref131926970"/>
      <w:bookmarkStart w:id="213" w:name="_Toc134875299"/>
      <w:bookmarkStart w:id="214" w:name="_Ref135818485"/>
      <w:bookmarkStart w:id="215" w:name="_Ref166580504"/>
      <w:bookmarkStart w:id="216" w:name="_Toc430700768"/>
      <w:bookmarkEnd w:id="205"/>
      <w:r>
        <w:t>Miscellaneous</w:t>
      </w:r>
      <w:bookmarkEnd w:id="207"/>
      <w:bookmarkEnd w:id="208"/>
      <w:bookmarkEnd w:id="209"/>
      <w:bookmarkEnd w:id="210"/>
      <w:bookmarkEnd w:id="211"/>
      <w:bookmarkEnd w:id="212"/>
      <w:bookmarkEnd w:id="213"/>
      <w:bookmarkEnd w:id="214"/>
      <w:bookmarkEnd w:id="215"/>
      <w:bookmarkEnd w:id="216"/>
    </w:p>
    <w:p w:rsidR="00E219D4" w:rsidRDefault="00E219D4" w:rsidP="00E219D4">
      <w:pPr>
        <w:pStyle w:val="MELegal2"/>
        <w:outlineLvl w:val="2"/>
      </w:pPr>
      <w:bookmarkStart w:id="217" w:name="_Toc131760797"/>
      <w:bookmarkStart w:id="218" w:name="_Toc131855295"/>
      <w:r>
        <w:t>Ownership of Agreement</w:t>
      </w:r>
    </w:p>
    <w:p w:rsidR="00E219D4" w:rsidRDefault="00E219D4" w:rsidP="00E219D4">
      <w:pPr>
        <w:ind w:left="680"/>
      </w:pPr>
      <w:r>
        <w:t xml:space="preserve">All copyright and other intellectual property rights contained in this Agreement remain the property of the Commonwealth. </w:t>
      </w:r>
    </w:p>
    <w:p w:rsidR="00E219D4" w:rsidRDefault="00E219D4" w:rsidP="00E219D4">
      <w:pPr>
        <w:pStyle w:val="MELegal2"/>
      </w:pPr>
      <w:bookmarkStart w:id="219" w:name="_Ref167852515"/>
      <w:r>
        <w:t>Variation</w:t>
      </w:r>
      <w:bookmarkEnd w:id="219"/>
    </w:p>
    <w:p w:rsidR="00E219D4" w:rsidRDefault="00E219D4" w:rsidP="00E219D4">
      <w:pPr>
        <w:ind w:left="709"/>
      </w:pPr>
      <w:r>
        <w:t xml:space="preserve">No agreement or understanding varying or extending this Agreement is legally binding upon either party unless the agreement or understanding is in writing and signed by both parties.  </w:t>
      </w:r>
    </w:p>
    <w:p w:rsidR="00E219D4" w:rsidRDefault="00E219D4" w:rsidP="00E219D4">
      <w:pPr>
        <w:pStyle w:val="MELegal2"/>
        <w:outlineLvl w:val="2"/>
      </w:pPr>
      <w:bookmarkStart w:id="220" w:name="_Toc131760799"/>
      <w:bookmarkStart w:id="221" w:name="_Toc131855297"/>
      <w:bookmarkEnd w:id="217"/>
      <w:bookmarkEnd w:id="218"/>
      <w:r>
        <w:t>Assignment and novation</w:t>
      </w:r>
      <w:bookmarkEnd w:id="220"/>
      <w:bookmarkEnd w:id="221"/>
    </w:p>
    <w:p w:rsidR="00E219D4" w:rsidRDefault="00E219D4" w:rsidP="00E219D4">
      <w:pPr>
        <w:ind w:left="680"/>
      </w:pPr>
      <w:r>
        <w:t>AGWA may not assign its rights or novate its rights and obligations under this Agreement.</w:t>
      </w:r>
    </w:p>
    <w:p w:rsidR="00E219D4" w:rsidRDefault="00E219D4" w:rsidP="00E219D4">
      <w:pPr>
        <w:pStyle w:val="MELegal2"/>
        <w:outlineLvl w:val="2"/>
      </w:pPr>
      <w:bookmarkStart w:id="222" w:name="_Toc131760800"/>
      <w:bookmarkStart w:id="223" w:name="_Toc131855298"/>
      <w:r>
        <w:t>Costs</w:t>
      </w:r>
      <w:bookmarkEnd w:id="222"/>
      <w:bookmarkEnd w:id="223"/>
    </w:p>
    <w:p w:rsidR="00E219D4" w:rsidRDefault="00E219D4" w:rsidP="00E219D4">
      <w:pPr>
        <w:ind w:left="680"/>
      </w:pPr>
      <w:r>
        <w:t>Each party must pay its own costs of negotiating, preparing and executing this Agreement.</w:t>
      </w:r>
    </w:p>
    <w:p w:rsidR="00E219D4" w:rsidRDefault="00E219D4" w:rsidP="00E219D4">
      <w:pPr>
        <w:pStyle w:val="MELegal2"/>
        <w:outlineLvl w:val="2"/>
      </w:pPr>
      <w:bookmarkStart w:id="224" w:name="_Toc131760801"/>
      <w:bookmarkStart w:id="225" w:name="_Toc131855299"/>
      <w:r>
        <w:t>Counterparts</w:t>
      </w:r>
      <w:bookmarkEnd w:id="224"/>
      <w:bookmarkEnd w:id="225"/>
    </w:p>
    <w:p w:rsidR="00E219D4" w:rsidRDefault="00E219D4" w:rsidP="00E219D4">
      <w:pPr>
        <w:ind w:left="680"/>
      </w:pPr>
      <w:r>
        <w:t>This Agreement may be executed in counterparts.  All executed counterparts constitute one document.</w:t>
      </w:r>
    </w:p>
    <w:p w:rsidR="00E219D4" w:rsidRDefault="00E219D4" w:rsidP="00E219D4">
      <w:pPr>
        <w:pStyle w:val="MELegal2"/>
        <w:outlineLvl w:val="2"/>
      </w:pPr>
      <w:bookmarkStart w:id="226" w:name="_Toc131760802"/>
      <w:bookmarkStart w:id="227" w:name="_Toc131855300"/>
      <w:r>
        <w:t>No merger</w:t>
      </w:r>
      <w:bookmarkEnd w:id="226"/>
      <w:bookmarkEnd w:id="227"/>
    </w:p>
    <w:p w:rsidR="00E219D4" w:rsidRDefault="00E219D4" w:rsidP="00E219D4">
      <w:pPr>
        <w:ind w:left="680"/>
      </w:pPr>
      <w:r>
        <w:t>The rights and obligations of the parties under this Agreement do not merge on completion of any transaction contemplated by this Agreement.</w:t>
      </w:r>
    </w:p>
    <w:p w:rsidR="00E219D4" w:rsidRDefault="00E219D4" w:rsidP="00E219D4">
      <w:pPr>
        <w:pStyle w:val="MELegal2"/>
        <w:outlineLvl w:val="2"/>
      </w:pPr>
      <w:bookmarkStart w:id="228" w:name="_Toc131760803"/>
      <w:bookmarkStart w:id="229" w:name="_Toc131855301"/>
      <w:r>
        <w:t>Entire agreement</w:t>
      </w:r>
      <w:bookmarkEnd w:id="228"/>
      <w:bookmarkEnd w:id="229"/>
    </w:p>
    <w:p w:rsidR="00E219D4" w:rsidRDefault="00E219D4" w:rsidP="00E219D4">
      <w:pPr>
        <w:ind w:left="680"/>
      </w:pPr>
      <w:r>
        <w:t>This Agreement constitutes the entire agreement between the parties in connection with its subject matter and supersedes all previous agreements or understandings between the parties in connection with its subject matter.</w:t>
      </w:r>
    </w:p>
    <w:p w:rsidR="00E219D4" w:rsidRDefault="00E219D4" w:rsidP="00E219D4">
      <w:pPr>
        <w:pStyle w:val="MELegal2"/>
      </w:pPr>
      <w:bookmarkStart w:id="230" w:name="_Toc131760804"/>
      <w:bookmarkStart w:id="231" w:name="_Toc131855302"/>
      <w:r>
        <w:t>Further action</w:t>
      </w:r>
      <w:bookmarkEnd w:id="230"/>
      <w:bookmarkEnd w:id="231"/>
    </w:p>
    <w:p w:rsidR="00E219D4" w:rsidRDefault="00E219D4" w:rsidP="00E219D4">
      <w:pPr>
        <w:ind w:left="680"/>
      </w:pPr>
      <w:r>
        <w:t>Each party must do, at its own expense, everything reasonably necessary (including executing documents) to give full effect to this Agreement and any transaction contemplated by it.</w:t>
      </w:r>
    </w:p>
    <w:p w:rsidR="00E219D4" w:rsidRDefault="00E219D4" w:rsidP="00E219D4">
      <w:pPr>
        <w:pStyle w:val="MELegal2"/>
        <w:outlineLvl w:val="2"/>
      </w:pPr>
      <w:bookmarkStart w:id="232" w:name="_Toc131760805"/>
      <w:bookmarkStart w:id="233" w:name="_Toc131855303"/>
      <w:r>
        <w:t>Severability</w:t>
      </w:r>
      <w:bookmarkEnd w:id="232"/>
      <w:bookmarkEnd w:id="233"/>
    </w:p>
    <w:p w:rsidR="00E219D4" w:rsidRDefault="00E219D4" w:rsidP="00E219D4">
      <w:pPr>
        <w:ind w:left="680"/>
      </w:pPr>
      <w:r>
        <w:t>A term or part of a term of this Agreement that is illegal or unenforceable may be severed from this Agreement and the remaining terms or parts of the terms of this Agreement continue in force.</w:t>
      </w:r>
    </w:p>
    <w:p w:rsidR="00E219D4" w:rsidRDefault="00E219D4" w:rsidP="00E219D4">
      <w:pPr>
        <w:pStyle w:val="MELegal2"/>
        <w:outlineLvl w:val="2"/>
      </w:pPr>
      <w:bookmarkStart w:id="234" w:name="_Toc131760806"/>
      <w:bookmarkStart w:id="235" w:name="_Toc131855304"/>
      <w:r>
        <w:t>Waiver</w:t>
      </w:r>
      <w:bookmarkEnd w:id="234"/>
      <w:bookmarkEnd w:id="235"/>
    </w:p>
    <w:p w:rsidR="00E219D4" w:rsidRDefault="00E219D4" w:rsidP="00E219D4">
      <w:pPr>
        <w:keepNext/>
        <w:keepLines/>
        <w:ind w:left="680"/>
      </w:pPr>
      <w:r>
        <w:t>Waiver of any provision or right under this Agreement:</w:t>
      </w:r>
    </w:p>
    <w:p w:rsidR="00E219D4" w:rsidRDefault="00E219D4" w:rsidP="00E219D4">
      <w:pPr>
        <w:pStyle w:val="MELegal3"/>
        <w:numPr>
          <w:ilvl w:val="2"/>
          <w:numId w:val="13"/>
        </w:numPr>
      </w:pPr>
      <w:r>
        <w:t>must be in writing signed by the party entitled to the benefit of that provision or right; and</w:t>
      </w:r>
    </w:p>
    <w:p w:rsidR="00E219D4" w:rsidRDefault="00E219D4" w:rsidP="00E219D4">
      <w:pPr>
        <w:pStyle w:val="MELegal3"/>
      </w:pPr>
      <w:proofErr w:type="gramStart"/>
      <w:r>
        <w:t>is</w:t>
      </w:r>
      <w:proofErr w:type="gramEnd"/>
      <w:r>
        <w:t xml:space="preserve"> effective only to the extent set out in any written waiver.</w:t>
      </w:r>
    </w:p>
    <w:p w:rsidR="00E219D4" w:rsidRDefault="00E219D4" w:rsidP="00E219D4">
      <w:pPr>
        <w:pStyle w:val="MELegal2"/>
      </w:pPr>
      <w:bookmarkStart w:id="236" w:name="_Toc131760807"/>
      <w:bookmarkStart w:id="237" w:name="_Toc131855305"/>
      <w:r>
        <w:t>Relationship</w:t>
      </w:r>
      <w:bookmarkEnd w:id="236"/>
      <w:bookmarkEnd w:id="237"/>
    </w:p>
    <w:p w:rsidR="00E219D4" w:rsidRDefault="00E219D4" w:rsidP="00E219D4">
      <w:pPr>
        <w:pStyle w:val="MELegal3"/>
        <w:numPr>
          <w:ilvl w:val="2"/>
          <w:numId w:val="14"/>
        </w:numPr>
      </w:pPr>
      <w:r>
        <w:t>The parties must not represent themselves, and must ensure that their officers, employees, agents and subcontractors do not represent themselves, as being an officer, employee, partner or agent of the other party, or as otherwise able to bind or represent the other party.</w:t>
      </w:r>
    </w:p>
    <w:p w:rsidR="00E219D4" w:rsidRDefault="00E219D4" w:rsidP="00E219D4">
      <w:pPr>
        <w:pStyle w:val="MELegal3"/>
      </w:pPr>
      <w:r>
        <w:t>This Agreement does not create a relationship of employment, agency or partnership between the parties.</w:t>
      </w:r>
    </w:p>
    <w:p w:rsidR="00E219D4" w:rsidRDefault="00E219D4" w:rsidP="00E219D4">
      <w:pPr>
        <w:pStyle w:val="MELegal2"/>
      </w:pPr>
      <w:bookmarkStart w:id="238" w:name="_Toc131760809"/>
      <w:bookmarkStart w:id="239" w:name="_Ref131834373"/>
      <w:bookmarkStart w:id="240" w:name="_Toc131855307"/>
      <w:bookmarkStart w:id="241" w:name="_Ref131926959"/>
      <w:bookmarkStart w:id="242" w:name="_Ref135198039"/>
      <w:r>
        <w:t>Governing law and jurisdiction</w:t>
      </w:r>
      <w:bookmarkEnd w:id="238"/>
      <w:bookmarkEnd w:id="239"/>
      <w:bookmarkEnd w:id="240"/>
      <w:bookmarkEnd w:id="241"/>
      <w:bookmarkEnd w:id="242"/>
    </w:p>
    <w:p w:rsidR="00E219D4" w:rsidRDefault="00E219D4" w:rsidP="00E219D4">
      <w:pPr>
        <w:ind w:left="680"/>
      </w:pPr>
      <w:r>
        <w:t>This Agreement is governed by the law of the Australian Capital Territory and each party irrevocably and unconditionally submits to the non</w:t>
      </w:r>
      <w:r>
        <w:noBreakHyphen/>
        <w:t>exclusive jurisdiction of the courts of the Australian Capital Territory.</w:t>
      </w:r>
    </w:p>
    <w:p w:rsidR="00E219D4" w:rsidRDefault="00E219D4" w:rsidP="00E219D4">
      <w:pPr>
        <w:pStyle w:val="MELegal1"/>
      </w:pPr>
      <w:bookmarkStart w:id="243" w:name="_Ref430158186"/>
      <w:bookmarkStart w:id="244" w:name="_Toc430700769"/>
      <w:r>
        <w:t>Transition Out</w:t>
      </w:r>
      <w:bookmarkEnd w:id="243"/>
      <w:bookmarkEnd w:id="244"/>
      <w:r>
        <w:t xml:space="preserve"> </w:t>
      </w:r>
    </w:p>
    <w:p w:rsidR="00E219D4" w:rsidRDefault="00E219D4" w:rsidP="00E219D4">
      <w:pPr>
        <w:pStyle w:val="MELegal4"/>
        <w:numPr>
          <w:ilvl w:val="3"/>
          <w:numId w:val="8"/>
        </w:numPr>
        <w:tabs>
          <w:tab w:val="clear" w:pos="2041"/>
        </w:tabs>
        <w:ind w:left="1134" w:hanging="425"/>
      </w:pPr>
      <w:r>
        <w:t>Where this Agreement expires, or is otherwise terminated early, AGWA will provide sufficient assistance and cooperation to the Commonwealth to enable the smooth transition of the collection of the Wine Export Charge from AGWA to the Commonwealth or such other party as is notified by the Commonwealth.</w:t>
      </w:r>
    </w:p>
    <w:p w:rsidR="00E219D4" w:rsidRDefault="00E219D4" w:rsidP="00E219D4">
      <w:pPr>
        <w:pStyle w:val="MELegal4"/>
        <w:numPr>
          <w:ilvl w:val="3"/>
          <w:numId w:val="8"/>
        </w:numPr>
        <w:tabs>
          <w:tab w:val="clear" w:pos="2041"/>
        </w:tabs>
        <w:ind w:left="1134" w:hanging="425"/>
      </w:pPr>
      <w:r>
        <w:t xml:space="preserve">The sufficient assistance and cooperation AGWA must provide under clause </w:t>
      </w:r>
      <w:r>
        <w:fldChar w:fldCharType="begin"/>
      </w:r>
      <w:r>
        <w:instrText xml:space="preserve"> REF _Ref430158186 \r \h </w:instrText>
      </w:r>
      <w:r>
        <w:fldChar w:fldCharType="separate"/>
      </w:r>
      <w:r>
        <w:t>12</w:t>
      </w:r>
      <w:r>
        <w:fldChar w:fldCharType="end"/>
      </w:r>
      <w:r>
        <w:t>(a) may include the provision of a report by AGWA to the Commonwealth which includes:</w:t>
      </w:r>
    </w:p>
    <w:p w:rsidR="00E219D4" w:rsidRDefault="00E219D4" w:rsidP="00E219D4">
      <w:pPr>
        <w:pStyle w:val="MELegal3"/>
        <w:numPr>
          <w:ilvl w:val="0"/>
          <w:numId w:val="18"/>
        </w:numPr>
      </w:pPr>
      <w:r>
        <w:t>details of all Licensed Exporters to whom AGWA has collected the Wine Export Charge in the previous twelve months, including the relevant Licensed Exporters full name and ABN or ACN, and the number of the Licensed Exporters licence number; and</w:t>
      </w:r>
    </w:p>
    <w:p w:rsidR="00E219D4" w:rsidRDefault="00E219D4" w:rsidP="00E219D4">
      <w:pPr>
        <w:pStyle w:val="MELegal3"/>
        <w:numPr>
          <w:ilvl w:val="0"/>
          <w:numId w:val="18"/>
        </w:numPr>
      </w:pPr>
      <w:r>
        <w:t xml:space="preserve">details of any outstanding Wine Export Charge amounts as at the expiry date or early termination date; and </w:t>
      </w:r>
    </w:p>
    <w:p w:rsidR="00E219D4" w:rsidRDefault="00E219D4" w:rsidP="00E219D4">
      <w:pPr>
        <w:pStyle w:val="MELegal3"/>
        <w:numPr>
          <w:ilvl w:val="0"/>
          <w:numId w:val="18"/>
        </w:numPr>
      </w:pPr>
      <w:proofErr w:type="gramStart"/>
      <w:r>
        <w:t>any</w:t>
      </w:r>
      <w:proofErr w:type="gramEnd"/>
      <w:r>
        <w:t xml:space="preserve"> other information which AGWA considers may be relevant to enable the Commonwealth or any other party to collect the Wine Export Charge. </w:t>
      </w:r>
    </w:p>
    <w:p w:rsidR="00E219D4" w:rsidRDefault="00E219D4" w:rsidP="00E219D4">
      <w:pPr>
        <w:pStyle w:val="MELegal1"/>
      </w:pPr>
      <w:bookmarkStart w:id="245" w:name="_Ref430099429"/>
      <w:bookmarkStart w:id="246" w:name="_Toc430700770"/>
      <w:r>
        <w:t>Parties representatives</w:t>
      </w:r>
      <w:bookmarkEnd w:id="245"/>
      <w:bookmarkEnd w:id="246"/>
    </w:p>
    <w:p w:rsidR="00E219D4" w:rsidRDefault="00E219D4" w:rsidP="00E219D4">
      <w:pPr>
        <w:pStyle w:val="MELegal4"/>
        <w:numPr>
          <w:ilvl w:val="3"/>
          <w:numId w:val="8"/>
        </w:numPr>
        <w:tabs>
          <w:tab w:val="clear" w:pos="2041"/>
          <w:tab w:val="num" w:pos="1276"/>
        </w:tabs>
        <w:ind w:left="1276" w:hanging="567"/>
      </w:pPr>
      <w:r>
        <w:t xml:space="preserve">Unless otherwise specified in this Agreement, the parties representatives listed in this clause </w:t>
      </w:r>
      <w:r>
        <w:fldChar w:fldCharType="begin"/>
      </w:r>
      <w:r>
        <w:instrText xml:space="preserve"> REF _Ref430099429 \r \h </w:instrText>
      </w:r>
      <w:r>
        <w:fldChar w:fldCharType="separate"/>
      </w:r>
      <w:r>
        <w:t>13</w:t>
      </w:r>
      <w:r>
        <w:fldChar w:fldCharType="end"/>
      </w:r>
      <w:r>
        <w:t xml:space="preserve"> are the respective contact officers for all matters arising in relation to this Agreement.</w:t>
      </w:r>
    </w:p>
    <w:p w:rsidR="00E219D4" w:rsidRDefault="00E219D4" w:rsidP="00E219D4">
      <w:pPr>
        <w:pStyle w:val="MELegal4"/>
        <w:numPr>
          <w:ilvl w:val="3"/>
          <w:numId w:val="8"/>
        </w:numPr>
        <w:tabs>
          <w:tab w:val="clear" w:pos="2041"/>
        </w:tabs>
        <w:ind w:left="1276" w:hanging="567"/>
      </w:pPr>
      <w:r>
        <w:t>Unless otherwise notified in writing by either party:</w:t>
      </w:r>
    </w:p>
    <w:p w:rsidR="00E219D4" w:rsidRDefault="00E219D4" w:rsidP="00E219D4">
      <w:pPr>
        <w:pStyle w:val="MELegal4"/>
        <w:numPr>
          <w:ilvl w:val="0"/>
          <w:numId w:val="16"/>
        </w:numPr>
        <w:ind w:left="1843" w:hanging="567"/>
      </w:pPr>
      <w:r>
        <w:t xml:space="preserve">AGWA’s Contact Officer is Mr Steven </w:t>
      </w:r>
      <w:proofErr w:type="spellStart"/>
      <w:r>
        <w:t>Weinert</w:t>
      </w:r>
      <w:proofErr w:type="spellEnd"/>
      <w:r>
        <w:t xml:space="preserve"> and can be contacted as follows:</w:t>
      </w:r>
    </w:p>
    <w:p w:rsidR="00E219D4" w:rsidRDefault="00E219D4" w:rsidP="00E219D4">
      <w:pPr>
        <w:pStyle w:val="MELegal4"/>
        <w:numPr>
          <w:ilvl w:val="0"/>
          <w:numId w:val="0"/>
        </w:numPr>
        <w:ind w:left="2720"/>
      </w:pPr>
      <w:r>
        <w:t>General Manager, Corporate Services</w:t>
      </w:r>
    </w:p>
    <w:p w:rsidR="00E219D4" w:rsidRDefault="00E219D4" w:rsidP="00E219D4">
      <w:pPr>
        <w:pStyle w:val="MELegal4"/>
        <w:numPr>
          <w:ilvl w:val="0"/>
          <w:numId w:val="0"/>
        </w:numPr>
        <w:ind w:left="2720"/>
      </w:pPr>
      <w:r>
        <w:t>Australian Grape and Wine Authority</w:t>
      </w:r>
    </w:p>
    <w:p w:rsidR="00E219D4" w:rsidRDefault="00E219D4" w:rsidP="00E219D4">
      <w:pPr>
        <w:pStyle w:val="MELegal4"/>
        <w:numPr>
          <w:ilvl w:val="0"/>
          <w:numId w:val="0"/>
        </w:numPr>
        <w:ind w:left="2720"/>
      </w:pPr>
      <w:r>
        <w:t>PO Box 2733</w:t>
      </w:r>
    </w:p>
    <w:p w:rsidR="00E219D4" w:rsidRDefault="00E219D4" w:rsidP="00E219D4">
      <w:pPr>
        <w:pStyle w:val="MELegal4"/>
        <w:numPr>
          <w:ilvl w:val="0"/>
          <w:numId w:val="0"/>
        </w:numPr>
        <w:ind w:left="2720"/>
      </w:pPr>
      <w:r>
        <w:t>Kent Town Business Centre</w:t>
      </w:r>
    </w:p>
    <w:p w:rsidR="00E219D4" w:rsidRDefault="00E219D4" w:rsidP="00E219D4">
      <w:pPr>
        <w:pStyle w:val="MELegal4"/>
        <w:numPr>
          <w:ilvl w:val="0"/>
          <w:numId w:val="0"/>
        </w:numPr>
        <w:ind w:left="2720"/>
      </w:pPr>
      <w:r>
        <w:t>Kent Town SA 5071</w:t>
      </w:r>
    </w:p>
    <w:p w:rsidR="00E219D4" w:rsidRDefault="00E219D4" w:rsidP="00E219D4">
      <w:pPr>
        <w:pStyle w:val="MELegal4"/>
        <w:numPr>
          <w:ilvl w:val="0"/>
          <w:numId w:val="0"/>
        </w:numPr>
        <w:ind w:left="2720"/>
      </w:pPr>
      <w:r>
        <w:t>(08) 8228 2000</w:t>
      </w:r>
    </w:p>
    <w:p w:rsidR="00E219D4" w:rsidRDefault="00E219D4" w:rsidP="00E219D4">
      <w:pPr>
        <w:pStyle w:val="MELegal4"/>
        <w:numPr>
          <w:ilvl w:val="0"/>
          <w:numId w:val="0"/>
        </w:numPr>
        <w:ind w:left="2720"/>
      </w:pPr>
      <w:r>
        <w:t>steven.weinert@agwa.net.au</w:t>
      </w:r>
    </w:p>
    <w:p w:rsidR="00E219D4" w:rsidRDefault="00E219D4" w:rsidP="00E219D4">
      <w:pPr>
        <w:pStyle w:val="MELegal4"/>
        <w:numPr>
          <w:ilvl w:val="0"/>
          <w:numId w:val="16"/>
        </w:numPr>
        <w:ind w:left="1843" w:hanging="567"/>
      </w:pPr>
      <w:r>
        <w:t>The Commonwealth’s Contact Officer is Mr Matthew Ryan and can be contacted as follows:</w:t>
      </w:r>
    </w:p>
    <w:p w:rsidR="00E219D4" w:rsidRDefault="00E219D4" w:rsidP="00E219D4">
      <w:pPr>
        <w:pStyle w:val="MELegal4"/>
        <w:numPr>
          <w:ilvl w:val="0"/>
          <w:numId w:val="0"/>
        </w:numPr>
        <w:ind w:left="2494" w:firstLine="226"/>
      </w:pPr>
      <w:r>
        <w:t>Assistant Secretary</w:t>
      </w:r>
    </w:p>
    <w:p w:rsidR="00E219D4" w:rsidRDefault="00E219D4" w:rsidP="00E219D4">
      <w:pPr>
        <w:pStyle w:val="MELegal4"/>
        <w:numPr>
          <w:ilvl w:val="0"/>
          <w:numId w:val="0"/>
        </w:numPr>
        <w:ind w:left="2694"/>
      </w:pPr>
      <w:r>
        <w:t>Industry Support Branch, Finance and Business Support Division, Department of Agriculture and Water Resources</w:t>
      </w:r>
    </w:p>
    <w:p w:rsidR="00E219D4" w:rsidRDefault="00E219D4" w:rsidP="00E219D4">
      <w:pPr>
        <w:pStyle w:val="MELegal4"/>
        <w:numPr>
          <w:ilvl w:val="0"/>
          <w:numId w:val="0"/>
        </w:numPr>
        <w:ind w:left="2494" w:firstLine="226"/>
      </w:pPr>
      <w:r>
        <w:t>GPO Box 858</w:t>
      </w:r>
    </w:p>
    <w:p w:rsidR="00E219D4" w:rsidRDefault="00E219D4" w:rsidP="00E219D4">
      <w:pPr>
        <w:pStyle w:val="MELegal4"/>
        <w:numPr>
          <w:ilvl w:val="0"/>
          <w:numId w:val="0"/>
        </w:numPr>
        <w:ind w:left="2494" w:firstLine="226"/>
      </w:pPr>
      <w:r>
        <w:t>Canberra ACT 2601</w:t>
      </w:r>
    </w:p>
    <w:p w:rsidR="00E219D4" w:rsidRDefault="00E219D4" w:rsidP="00E219D4">
      <w:pPr>
        <w:pStyle w:val="MELegal4"/>
        <w:numPr>
          <w:ilvl w:val="0"/>
          <w:numId w:val="0"/>
        </w:numPr>
        <w:ind w:left="2494" w:firstLine="226"/>
      </w:pPr>
      <w:r>
        <w:t>(02) 6272 4598</w:t>
      </w:r>
    </w:p>
    <w:p w:rsidR="00E219D4" w:rsidRDefault="00E219D4" w:rsidP="00E219D4">
      <w:pPr>
        <w:pStyle w:val="MELegal4"/>
        <w:numPr>
          <w:ilvl w:val="0"/>
          <w:numId w:val="0"/>
        </w:numPr>
        <w:ind w:left="2494" w:firstLine="226"/>
      </w:pPr>
      <w:r>
        <w:t>Matthew.Ryan@agriculture.gov.au</w:t>
      </w:r>
    </w:p>
    <w:p w:rsidR="00E219D4" w:rsidRDefault="00E219D4" w:rsidP="00E219D4">
      <w:pPr>
        <w:pStyle w:val="ScheduleL1"/>
        <w:numPr>
          <w:ilvl w:val="0"/>
          <w:numId w:val="0"/>
        </w:numPr>
        <w:rPr>
          <w:b/>
        </w:rPr>
      </w:pPr>
    </w:p>
    <w:p w:rsidR="00E219D4" w:rsidRDefault="00E219D4" w:rsidP="00E219D4">
      <w:pPr>
        <w:pStyle w:val="ScheduleL1"/>
        <w:numPr>
          <w:ilvl w:val="0"/>
          <w:numId w:val="0"/>
        </w:numPr>
        <w:rPr>
          <w:b/>
        </w:rPr>
      </w:pPr>
    </w:p>
    <w:p w:rsidR="00E219D4" w:rsidRDefault="00E219D4" w:rsidP="00E219D4">
      <w:bookmarkStart w:id="247" w:name="_Toc131839247"/>
      <w:r>
        <w:t xml:space="preserve"> </w:t>
      </w:r>
      <w:bookmarkEnd w:id="247"/>
    </w:p>
    <w:p w:rsidR="00E219D4" w:rsidRDefault="00E219D4" w:rsidP="00E219D4">
      <w:pPr>
        <w:spacing w:after="0" w:line="240" w:lineRule="auto"/>
      </w:pPr>
      <w:r>
        <w:br w:type="page"/>
      </w:r>
    </w:p>
    <w:p w:rsidR="00E219D4" w:rsidRDefault="00E219D4" w:rsidP="00E219D4">
      <w:pPr>
        <w:rPr>
          <w:b/>
        </w:rPr>
      </w:pPr>
    </w:p>
    <w:p w:rsidR="00E219D4" w:rsidRDefault="00E219D4" w:rsidP="00E219D4">
      <w:pPr>
        <w:pStyle w:val="MEChapterheading"/>
        <w:rPr>
          <w:rStyle w:val="MEChapterheadingChar"/>
        </w:rPr>
      </w:pPr>
      <w:bookmarkStart w:id="248" w:name="_Toc131754299"/>
      <w:bookmarkStart w:id="249" w:name="_Toc131754377"/>
      <w:bookmarkStart w:id="250" w:name="_Toc131839189"/>
      <w:bookmarkStart w:id="251" w:name="_Toc134875309"/>
      <w:bookmarkStart w:id="252" w:name="signing_page"/>
      <w:bookmarkStart w:id="253" w:name="_Toc166930696"/>
      <w:bookmarkStart w:id="254" w:name="_Toc430700771"/>
      <w:r>
        <w:rPr>
          <w:rStyle w:val="MEChapterheadingChar"/>
        </w:rPr>
        <w:t>Signing page</w:t>
      </w:r>
      <w:bookmarkEnd w:id="248"/>
      <w:bookmarkEnd w:id="249"/>
      <w:bookmarkEnd w:id="250"/>
      <w:bookmarkEnd w:id="251"/>
      <w:bookmarkEnd w:id="252"/>
      <w:bookmarkEnd w:id="253"/>
      <w:bookmarkEnd w:id="254"/>
    </w:p>
    <w:p w:rsidR="00E219D4" w:rsidRDefault="00E219D4" w:rsidP="00E219D4">
      <w:r>
        <w:rPr>
          <w:b/>
        </w:rPr>
        <w:t>EXECUTED</w:t>
      </w:r>
      <w:r>
        <w:t xml:space="preserve"> as an agreement.</w:t>
      </w:r>
    </w:p>
    <w:p w:rsidR="00E219D4" w:rsidRDefault="00E219D4" w:rsidP="00E219D4"/>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E219D4" w:rsidTr="00BD3932">
        <w:tc>
          <w:tcPr>
            <w:tcW w:w="3969" w:type="dxa"/>
          </w:tcPr>
          <w:p w:rsidR="00E219D4" w:rsidRDefault="00E219D4" w:rsidP="00BD3932">
            <w:pPr>
              <w:keepNext/>
              <w:rPr>
                <w:rFonts w:ascii="Arial" w:hAnsi="Arial"/>
                <w:sz w:val="20"/>
              </w:rPr>
            </w:pPr>
            <w:r>
              <w:rPr>
                <w:rFonts w:ascii="Arial" w:hAnsi="Arial"/>
                <w:b/>
                <w:sz w:val="20"/>
              </w:rPr>
              <w:t>Signed</w:t>
            </w:r>
            <w:r>
              <w:rPr>
                <w:rFonts w:ascii="Arial" w:hAnsi="Arial"/>
                <w:sz w:val="20"/>
              </w:rPr>
              <w:t xml:space="preserve"> for and on behalf of the </w:t>
            </w:r>
            <w:r>
              <w:rPr>
                <w:rFonts w:ascii="Arial" w:hAnsi="Arial"/>
                <w:b/>
                <w:iCs/>
                <w:sz w:val="20"/>
              </w:rPr>
              <w:t xml:space="preserve">Commonwealth of Australia as represented by the Department of </w:t>
            </w:r>
            <w:r>
              <w:rPr>
                <w:rFonts w:ascii="Arial" w:hAnsi="Arial" w:cs="Arial"/>
                <w:b/>
                <w:iCs/>
                <w:sz w:val="20"/>
                <w:szCs w:val="20"/>
              </w:rPr>
              <w:t xml:space="preserve">Agriculture and Water Resources [ABN </w:t>
            </w:r>
            <w:r>
              <w:rPr>
                <w:rFonts w:ascii="Arial" w:hAnsi="Arial" w:cs="Arial"/>
                <w:b/>
                <w:bCs/>
                <w:iCs/>
                <w:sz w:val="20"/>
                <w:szCs w:val="20"/>
              </w:rPr>
              <w:t>24 113 085 695</w:t>
            </w:r>
            <w:r>
              <w:rPr>
                <w:rFonts w:ascii="Arial" w:hAnsi="Arial" w:cs="Arial"/>
                <w:b/>
                <w:iCs/>
                <w:sz w:val="20"/>
                <w:szCs w:val="20"/>
              </w:rPr>
              <w:t>]</w:t>
            </w:r>
            <w:r>
              <w:rPr>
                <w:rFonts w:ascii="Arial" w:hAnsi="Arial"/>
                <w:iCs/>
                <w:sz w:val="20"/>
              </w:rPr>
              <w:t xml:space="preserve"> </w:t>
            </w:r>
            <w:r>
              <w:rPr>
                <w:rFonts w:ascii="Arial" w:hAnsi="Arial"/>
                <w:sz w:val="20"/>
              </w:rPr>
              <w:t>by its duly authorised delegate in the presence of</w:t>
            </w:r>
          </w:p>
        </w:tc>
        <w:tc>
          <w:tcPr>
            <w:tcW w:w="709" w:type="dxa"/>
          </w:tcPr>
          <w:p w:rsidR="00E219D4" w:rsidRDefault="00E219D4" w:rsidP="00BD3932">
            <w:pPr>
              <w:keepNext/>
              <w:rPr>
                <w:rFonts w:ascii="Arial" w:hAnsi="Arial"/>
                <w:sz w:val="20"/>
              </w:rPr>
            </w:pPr>
          </w:p>
        </w:tc>
        <w:tc>
          <w:tcPr>
            <w:tcW w:w="3969" w:type="dxa"/>
          </w:tcPr>
          <w:p w:rsidR="00E219D4" w:rsidRDefault="00E219D4" w:rsidP="00BD3932">
            <w:pPr>
              <w:keepNext/>
              <w:rPr>
                <w:rFonts w:ascii="Arial" w:hAnsi="Arial"/>
                <w:sz w:val="20"/>
              </w:rPr>
            </w:pPr>
          </w:p>
        </w:tc>
        <w:tc>
          <w:tcPr>
            <w:tcW w:w="709" w:type="dxa"/>
          </w:tcPr>
          <w:p w:rsidR="00E219D4" w:rsidRDefault="00E219D4" w:rsidP="00BD3932">
            <w:pPr>
              <w:keepNext/>
              <w:rPr>
                <w:rFonts w:ascii="Arial" w:hAnsi="Arial"/>
                <w:sz w:val="20"/>
              </w:rPr>
            </w:pPr>
          </w:p>
        </w:tc>
      </w:tr>
      <w:tr w:rsidR="00E219D4" w:rsidTr="00020A50">
        <w:trPr>
          <w:trHeight w:hRule="exact" w:val="480"/>
        </w:trPr>
        <w:tc>
          <w:tcPr>
            <w:tcW w:w="3969" w:type="dxa"/>
            <w:tcBorders>
              <w:bottom w:val="single" w:sz="4" w:space="0" w:color="auto"/>
            </w:tcBorders>
            <w:vAlign w:val="bottom"/>
          </w:tcPr>
          <w:p w:rsidR="00E219D4" w:rsidRDefault="00020A50" w:rsidP="00020A50">
            <w:pPr>
              <w:keepNext/>
              <w:spacing w:after="0"/>
              <w:rPr>
                <w:rFonts w:ascii="Arial" w:hAnsi="Arial"/>
                <w:sz w:val="20"/>
              </w:rPr>
            </w:pPr>
            <w:r>
              <w:rPr>
                <w:rFonts w:ascii="Arial" w:hAnsi="Arial"/>
                <w:sz w:val="20"/>
              </w:rPr>
              <w:t>NICOLE WILLIAMS</w:t>
            </w:r>
            <w:r w:rsidR="00E219D4">
              <w:rPr>
                <w:rFonts w:ascii="Arial" w:hAnsi="Arial"/>
                <w:sz w:val="20"/>
              </w:rPr>
              <w:t xml:space="preserve"> </w:t>
            </w:r>
          </w:p>
        </w:tc>
        <w:tc>
          <w:tcPr>
            <w:tcW w:w="709" w:type="dxa"/>
            <w:vAlign w:val="bottom"/>
          </w:tcPr>
          <w:p w:rsidR="00E219D4" w:rsidRDefault="00E219D4" w:rsidP="00BD3932">
            <w:pPr>
              <w:keepNext/>
              <w:jc w:val="center"/>
              <w:rPr>
                <w:rFonts w:ascii="Arial" w:hAnsi="Arial"/>
                <w:sz w:val="32"/>
              </w:rPr>
            </w:pPr>
            <w:r>
              <w:rPr>
                <w:rFonts w:ascii="Arial" w:hAnsi="Arial"/>
                <w:sz w:val="32"/>
              </w:rPr>
              <w:sym w:font="Symbol" w:char="F0AC"/>
            </w:r>
          </w:p>
        </w:tc>
        <w:tc>
          <w:tcPr>
            <w:tcW w:w="3969" w:type="dxa"/>
            <w:tcBorders>
              <w:bottom w:val="single" w:sz="4" w:space="0" w:color="auto"/>
            </w:tcBorders>
            <w:vAlign w:val="bottom"/>
          </w:tcPr>
          <w:p w:rsidR="00E219D4" w:rsidRDefault="00020A50" w:rsidP="00020A50">
            <w:pPr>
              <w:keepNext/>
              <w:spacing w:after="0"/>
              <w:rPr>
                <w:rFonts w:ascii="Arial" w:hAnsi="Arial"/>
                <w:sz w:val="20"/>
              </w:rPr>
            </w:pPr>
            <w:r>
              <w:rPr>
                <w:rFonts w:ascii="Arial" w:hAnsi="Arial"/>
                <w:sz w:val="20"/>
              </w:rPr>
              <w:t>DARYL QUINLIVAN</w:t>
            </w:r>
          </w:p>
        </w:tc>
        <w:tc>
          <w:tcPr>
            <w:tcW w:w="709" w:type="dxa"/>
            <w:vAlign w:val="bottom"/>
          </w:tcPr>
          <w:p w:rsidR="00E219D4" w:rsidRDefault="00E219D4" w:rsidP="00BD3932">
            <w:pPr>
              <w:keepNext/>
              <w:jc w:val="center"/>
              <w:rPr>
                <w:rFonts w:ascii="Arial" w:hAnsi="Arial"/>
                <w:sz w:val="32"/>
              </w:rPr>
            </w:pPr>
            <w:r>
              <w:rPr>
                <w:rFonts w:ascii="Arial" w:hAnsi="Arial"/>
                <w:sz w:val="32"/>
              </w:rPr>
              <w:sym w:font="Symbol" w:char="F0AC"/>
            </w:r>
          </w:p>
        </w:tc>
      </w:tr>
      <w:tr w:rsidR="00E219D4" w:rsidTr="00BD3932">
        <w:trPr>
          <w:trHeight w:hRule="exact" w:val="480"/>
        </w:trPr>
        <w:tc>
          <w:tcPr>
            <w:tcW w:w="3969" w:type="dxa"/>
            <w:tcBorders>
              <w:top w:val="single" w:sz="4" w:space="0" w:color="auto"/>
            </w:tcBorders>
          </w:tcPr>
          <w:p w:rsidR="00E219D4" w:rsidRDefault="00E219D4" w:rsidP="00BD3932">
            <w:pPr>
              <w:keepNext/>
              <w:rPr>
                <w:rFonts w:ascii="Arial" w:hAnsi="Arial"/>
                <w:sz w:val="16"/>
              </w:rPr>
            </w:pPr>
            <w:r>
              <w:rPr>
                <w:rFonts w:ascii="Arial" w:hAnsi="Arial"/>
                <w:sz w:val="16"/>
              </w:rPr>
              <w:t>Signature of witness</w:t>
            </w:r>
          </w:p>
        </w:tc>
        <w:tc>
          <w:tcPr>
            <w:tcW w:w="709" w:type="dxa"/>
          </w:tcPr>
          <w:p w:rsidR="00E219D4" w:rsidRDefault="00E219D4" w:rsidP="00BD3932">
            <w:pPr>
              <w:keepNext/>
              <w:rPr>
                <w:rFonts w:ascii="Arial" w:hAnsi="Arial"/>
                <w:sz w:val="16"/>
              </w:rPr>
            </w:pPr>
          </w:p>
        </w:tc>
        <w:tc>
          <w:tcPr>
            <w:tcW w:w="3969" w:type="dxa"/>
            <w:tcBorders>
              <w:top w:val="single" w:sz="4" w:space="0" w:color="auto"/>
            </w:tcBorders>
          </w:tcPr>
          <w:p w:rsidR="00E219D4" w:rsidRDefault="00E219D4" w:rsidP="00BD3932">
            <w:pPr>
              <w:keepNext/>
              <w:rPr>
                <w:rFonts w:ascii="Arial" w:hAnsi="Arial"/>
                <w:sz w:val="16"/>
              </w:rPr>
            </w:pPr>
            <w:r>
              <w:rPr>
                <w:rFonts w:ascii="Arial" w:hAnsi="Arial"/>
                <w:sz w:val="16"/>
              </w:rPr>
              <w:t>Signature of delegate</w:t>
            </w:r>
          </w:p>
        </w:tc>
        <w:tc>
          <w:tcPr>
            <w:tcW w:w="709" w:type="dxa"/>
          </w:tcPr>
          <w:p w:rsidR="00E219D4" w:rsidRDefault="00E219D4" w:rsidP="00BD3932">
            <w:pPr>
              <w:keepNext/>
              <w:rPr>
                <w:rFonts w:ascii="Arial" w:hAnsi="Arial"/>
                <w:sz w:val="16"/>
              </w:rPr>
            </w:pPr>
          </w:p>
        </w:tc>
      </w:tr>
      <w:tr w:rsidR="00E219D4" w:rsidTr="00020A50">
        <w:trPr>
          <w:trHeight w:hRule="exact" w:val="480"/>
        </w:trPr>
        <w:tc>
          <w:tcPr>
            <w:tcW w:w="3969" w:type="dxa"/>
            <w:tcBorders>
              <w:bottom w:val="single" w:sz="4" w:space="0" w:color="auto"/>
            </w:tcBorders>
            <w:vAlign w:val="bottom"/>
          </w:tcPr>
          <w:p w:rsidR="00E219D4" w:rsidRDefault="00E219D4" w:rsidP="00020A50">
            <w:pPr>
              <w:keepNext/>
              <w:spacing w:after="0"/>
              <w:rPr>
                <w:rFonts w:ascii="Arial" w:hAnsi="Arial"/>
                <w:sz w:val="16"/>
              </w:rPr>
            </w:pPr>
            <w:r w:rsidRPr="00020A50">
              <w:rPr>
                <w:rFonts w:ascii="Arial" w:hAnsi="Arial"/>
                <w:sz w:val="20"/>
              </w:rPr>
              <w:t>NICOLE WILLIAMS</w:t>
            </w:r>
          </w:p>
        </w:tc>
        <w:tc>
          <w:tcPr>
            <w:tcW w:w="709" w:type="dxa"/>
          </w:tcPr>
          <w:p w:rsidR="00E219D4" w:rsidRDefault="00E219D4" w:rsidP="00BD3932">
            <w:pPr>
              <w:keepNext/>
              <w:rPr>
                <w:rFonts w:ascii="Arial" w:hAnsi="Arial"/>
                <w:sz w:val="16"/>
              </w:rPr>
            </w:pPr>
          </w:p>
        </w:tc>
        <w:tc>
          <w:tcPr>
            <w:tcW w:w="3969" w:type="dxa"/>
            <w:tcBorders>
              <w:bottom w:val="single" w:sz="4" w:space="0" w:color="auto"/>
            </w:tcBorders>
            <w:vAlign w:val="bottom"/>
          </w:tcPr>
          <w:p w:rsidR="00E219D4" w:rsidRDefault="00E219D4" w:rsidP="00020A50">
            <w:pPr>
              <w:keepNext/>
              <w:spacing w:after="0"/>
              <w:rPr>
                <w:rFonts w:ascii="Arial" w:hAnsi="Arial"/>
                <w:sz w:val="16"/>
              </w:rPr>
            </w:pPr>
            <w:r w:rsidRPr="00020A50">
              <w:rPr>
                <w:rFonts w:ascii="Arial" w:hAnsi="Arial"/>
                <w:sz w:val="20"/>
              </w:rPr>
              <w:t>DARYL QUINLIVAN</w:t>
            </w:r>
          </w:p>
        </w:tc>
        <w:tc>
          <w:tcPr>
            <w:tcW w:w="709" w:type="dxa"/>
          </w:tcPr>
          <w:p w:rsidR="00E219D4" w:rsidRDefault="00E219D4" w:rsidP="00BD3932">
            <w:pPr>
              <w:keepNext/>
              <w:rPr>
                <w:rFonts w:ascii="Arial" w:hAnsi="Arial"/>
                <w:sz w:val="16"/>
              </w:rPr>
            </w:pPr>
          </w:p>
        </w:tc>
      </w:tr>
      <w:tr w:rsidR="00E219D4" w:rsidTr="00BD3932">
        <w:tc>
          <w:tcPr>
            <w:tcW w:w="3969" w:type="dxa"/>
            <w:tcBorders>
              <w:top w:val="single" w:sz="4" w:space="0" w:color="auto"/>
            </w:tcBorders>
          </w:tcPr>
          <w:p w:rsidR="00E219D4" w:rsidRDefault="00E219D4" w:rsidP="00BD3932">
            <w:pPr>
              <w:keepNext/>
              <w:rPr>
                <w:rFonts w:ascii="Arial" w:hAnsi="Arial"/>
                <w:sz w:val="16"/>
              </w:rPr>
            </w:pPr>
            <w:r>
              <w:rPr>
                <w:rFonts w:ascii="Arial" w:hAnsi="Arial"/>
                <w:sz w:val="16"/>
              </w:rPr>
              <w:t>Name of witness (print)</w:t>
            </w:r>
          </w:p>
        </w:tc>
        <w:tc>
          <w:tcPr>
            <w:tcW w:w="709" w:type="dxa"/>
          </w:tcPr>
          <w:p w:rsidR="00E219D4" w:rsidRDefault="00E219D4" w:rsidP="00BD3932">
            <w:pPr>
              <w:keepNext/>
              <w:rPr>
                <w:rFonts w:ascii="Arial" w:hAnsi="Arial"/>
                <w:sz w:val="16"/>
              </w:rPr>
            </w:pPr>
          </w:p>
        </w:tc>
        <w:tc>
          <w:tcPr>
            <w:tcW w:w="3969" w:type="dxa"/>
            <w:tcBorders>
              <w:top w:val="single" w:sz="4" w:space="0" w:color="auto"/>
            </w:tcBorders>
          </w:tcPr>
          <w:p w:rsidR="00E219D4" w:rsidRDefault="00E219D4" w:rsidP="00BD3932">
            <w:pPr>
              <w:keepNext/>
              <w:rPr>
                <w:rFonts w:ascii="Arial" w:hAnsi="Arial"/>
                <w:sz w:val="16"/>
              </w:rPr>
            </w:pPr>
            <w:r>
              <w:rPr>
                <w:rFonts w:ascii="Arial" w:hAnsi="Arial"/>
                <w:sz w:val="16"/>
              </w:rPr>
              <w:t>Name of delegate (print)</w:t>
            </w:r>
          </w:p>
        </w:tc>
        <w:tc>
          <w:tcPr>
            <w:tcW w:w="709" w:type="dxa"/>
          </w:tcPr>
          <w:p w:rsidR="00E219D4" w:rsidRDefault="00E219D4" w:rsidP="00BD3932">
            <w:pPr>
              <w:keepNext/>
              <w:rPr>
                <w:rFonts w:ascii="Arial" w:hAnsi="Arial"/>
                <w:sz w:val="16"/>
              </w:rPr>
            </w:pPr>
          </w:p>
        </w:tc>
      </w:tr>
      <w:tr w:rsidR="00E219D4" w:rsidTr="00020A50">
        <w:trPr>
          <w:trHeight w:hRule="exact" w:val="480"/>
        </w:trPr>
        <w:tc>
          <w:tcPr>
            <w:tcW w:w="3969" w:type="dxa"/>
          </w:tcPr>
          <w:p w:rsidR="00E219D4" w:rsidRDefault="00E219D4" w:rsidP="00BD3932">
            <w:pPr>
              <w:keepNext/>
              <w:rPr>
                <w:rFonts w:ascii="Arial" w:hAnsi="Arial"/>
                <w:sz w:val="16"/>
              </w:rPr>
            </w:pPr>
          </w:p>
        </w:tc>
        <w:tc>
          <w:tcPr>
            <w:tcW w:w="709" w:type="dxa"/>
            <w:vAlign w:val="bottom"/>
          </w:tcPr>
          <w:p w:rsidR="00E219D4" w:rsidRPr="00020A50" w:rsidRDefault="00E219D4" w:rsidP="00020A50">
            <w:pPr>
              <w:keepNext/>
              <w:spacing w:after="0"/>
              <w:rPr>
                <w:rFonts w:ascii="Arial" w:hAnsi="Arial"/>
                <w:sz w:val="20"/>
              </w:rPr>
            </w:pPr>
          </w:p>
        </w:tc>
        <w:tc>
          <w:tcPr>
            <w:tcW w:w="3969" w:type="dxa"/>
            <w:tcBorders>
              <w:bottom w:val="single" w:sz="4" w:space="0" w:color="auto"/>
            </w:tcBorders>
            <w:vAlign w:val="bottom"/>
          </w:tcPr>
          <w:p w:rsidR="00E219D4" w:rsidRPr="00020A50" w:rsidRDefault="00E219D4" w:rsidP="00020A50">
            <w:pPr>
              <w:keepNext/>
              <w:spacing w:after="0"/>
              <w:rPr>
                <w:rFonts w:ascii="Arial" w:hAnsi="Arial"/>
                <w:sz w:val="20"/>
              </w:rPr>
            </w:pPr>
            <w:r w:rsidRPr="00020A50">
              <w:rPr>
                <w:rFonts w:ascii="Arial" w:hAnsi="Arial"/>
                <w:sz w:val="20"/>
              </w:rPr>
              <w:t xml:space="preserve">Secretary </w:t>
            </w:r>
          </w:p>
        </w:tc>
        <w:tc>
          <w:tcPr>
            <w:tcW w:w="709" w:type="dxa"/>
          </w:tcPr>
          <w:p w:rsidR="00E219D4" w:rsidRDefault="00E219D4" w:rsidP="00BD3932">
            <w:pPr>
              <w:keepNext/>
              <w:rPr>
                <w:rFonts w:ascii="Arial" w:hAnsi="Arial"/>
                <w:sz w:val="16"/>
              </w:rPr>
            </w:pPr>
          </w:p>
        </w:tc>
      </w:tr>
      <w:tr w:rsidR="00E219D4" w:rsidTr="00BD3932">
        <w:tc>
          <w:tcPr>
            <w:tcW w:w="3969" w:type="dxa"/>
          </w:tcPr>
          <w:p w:rsidR="00E219D4" w:rsidRDefault="00E219D4" w:rsidP="00BD3932">
            <w:pPr>
              <w:keepNext/>
              <w:rPr>
                <w:rFonts w:ascii="Arial" w:hAnsi="Arial"/>
                <w:sz w:val="16"/>
              </w:rPr>
            </w:pPr>
          </w:p>
        </w:tc>
        <w:tc>
          <w:tcPr>
            <w:tcW w:w="709" w:type="dxa"/>
          </w:tcPr>
          <w:p w:rsidR="00E219D4" w:rsidRDefault="00E219D4" w:rsidP="00BD3932">
            <w:pPr>
              <w:keepNext/>
              <w:rPr>
                <w:rFonts w:ascii="Arial" w:hAnsi="Arial"/>
                <w:sz w:val="16"/>
              </w:rPr>
            </w:pPr>
          </w:p>
        </w:tc>
        <w:tc>
          <w:tcPr>
            <w:tcW w:w="3969" w:type="dxa"/>
            <w:tcBorders>
              <w:top w:val="single" w:sz="4" w:space="0" w:color="auto"/>
            </w:tcBorders>
          </w:tcPr>
          <w:p w:rsidR="00E219D4" w:rsidRDefault="00E219D4" w:rsidP="00BD3932">
            <w:pPr>
              <w:keepNext/>
              <w:rPr>
                <w:rFonts w:ascii="Arial" w:hAnsi="Arial"/>
                <w:b/>
                <w:sz w:val="16"/>
              </w:rPr>
            </w:pPr>
            <w:r>
              <w:rPr>
                <w:rFonts w:ascii="Arial" w:hAnsi="Arial"/>
                <w:sz w:val="16"/>
              </w:rPr>
              <w:t xml:space="preserve">Position of delegate (print) </w:t>
            </w:r>
          </w:p>
        </w:tc>
        <w:tc>
          <w:tcPr>
            <w:tcW w:w="709" w:type="dxa"/>
          </w:tcPr>
          <w:p w:rsidR="00E219D4" w:rsidRDefault="00E219D4" w:rsidP="00BD3932">
            <w:pPr>
              <w:keepNext/>
              <w:rPr>
                <w:rFonts w:ascii="Arial" w:hAnsi="Arial"/>
                <w:sz w:val="16"/>
              </w:rPr>
            </w:pPr>
          </w:p>
        </w:tc>
      </w:tr>
      <w:tr w:rsidR="00E219D4" w:rsidTr="00BD3932">
        <w:tc>
          <w:tcPr>
            <w:tcW w:w="3969" w:type="dxa"/>
          </w:tcPr>
          <w:p w:rsidR="00E219D4" w:rsidRDefault="00E219D4" w:rsidP="00BD3932">
            <w:pPr>
              <w:keepNext/>
              <w:rPr>
                <w:rFonts w:ascii="Arial" w:hAnsi="Arial"/>
                <w:sz w:val="16"/>
              </w:rPr>
            </w:pPr>
            <w:r>
              <w:rPr>
                <w:rFonts w:ascii="Arial" w:hAnsi="Arial"/>
                <w:sz w:val="16"/>
              </w:rPr>
              <w:t>Date executed by the Commonwealth</w:t>
            </w:r>
          </w:p>
        </w:tc>
        <w:tc>
          <w:tcPr>
            <w:tcW w:w="709" w:type="dxa"/>
          </w:tcPr>
          <w:p w:rsidR="00E219D4" w:rsidRDefault="00E219D4" w:rsidP="00BD3932">
            <w:pPr>
              <w:keepNext/>
              <w:rPr>
                <w:rFonts w:ascii="Arial" w:hAnsi="Arial"/>
                <w:sz w:val="16"/>
              </w:rPr>
            </w:pPr>
          </w:p>
        </w:tc>
        <w:tc>
          <w:tcPr>
            <w:tcW w:w="3969" w:type="dxa"/>
          </w:tcPr>
          <w:p w:rsidR="00E219D4" w:rsidRDefault="00E219D4" w:rsidP="00BD3932">
            <w:pPr>
              <w:keepNext/>
              <w:rPr>
                <w:rFonts w:ascii="Arial" w:hAnsi="Arial"/>
                <w:sz w:val="16"/>
              </w:rPr>
            </w:pPr>
          </w:p>
        </w:tc>
        <w:tc>
          <w:tcPr>
            <w:tcW w:w="709" w:type="dxa"/>
          </w:tcPr>
          <w:p w:rsidR="00E219D4" w:rsidRDefault="00E219D4" w:rsidP="00BD3932">
            <w:pPr>
              <w:keepNext/>
              <w:rPr>
                <w:rFonts w:ascii="Arial" w:hAnsi="Arial"/>
                <w:sz w:val="16"/>
              </w:rPr>
            </w:pPr>
          </w:p>
        </w:tc>
      </w:tr>
      <w:tr w:rsidR="00E219D4" w:rsidTr="00BD3932">
        <w:tc>
          <w:tcPr>
            <w:tcW w:w="3969" w:type="dxa"/>
          </w:tcPr>
          <w:p w:rsidR="00E219D4" w:rsidRDefault="00E219D4" w:rsidP="00E219D4">
            <w:pPr>
              <w:keepNext/>
              <w:rPr>
                <w:rFonts w:ascii="Arial" w:hAnsi="Arial"/>
                <w:sz w:val="16"/>
              </w:rPr>
            </w:pPr>
            <w:r>
              <w:rPr>
                <w:rFonts w:ascii="Arial" w:hAnsi="Arial"/>
                <w:sz w:val="16"/>
              </w:rPr>
              <w:t xml:space="preserve">24 </w:t>
            </w:r>
            <w:r>
              <w:rPr>
                <w:rFonts w:ascii="Arial" w:hAnsi="Arial"/>
                <w:sz w:val="16"/>
              </w:rPr>
              <w:t>/</w:t>
            </w:r>
            <w:r>
              <w:rPr>
                <w:rFonts w:ascii="Arial" w:hAnsi="Arial"/>
                <w:sz w:val="16"/>
              </w:rPr>
              <w:t xml:space="preserve"> 09 </w:t>
            </w:r>
            <w:r w:rsidR="00020A50">
              <w:rPr>
                <w:rFonts w:ascii="Arial" w:hAnsi="Arial"/>
                <w:sz w:val="16"/>
              </w:rPr>
              <w:t xml:space="preserve">/ </w:t>
            </w:r>
            <w:r>
              <w:rPr>
                <w:rFonts w:ascii="Arial" w:hAnsi="Arial"/>
                <w:sz w:val="16"/>
              </w:rPr>
              <w:t>2015</w:t>
            </w:r>
          </w:p>
        </w:tc>
        <w:tc>
          <w:tcPr>
            <w:tcW w:w="709" w:type="dxa"/>
          </w:tcPr>
          <w:p w:rsidR="00E219D4" w:rsidRDefault="00E219D4" w:rsidP="00BD3932">
            <w:pPr>
              <w:keepNext/>
              <w:rPr>
                <w:rFonts w:ascii="Arial" w:hAnsi="Arial"/>
                <w:sz w:val="16"/>
              </w:rPr>
            </w:pPr>
          </w:p>
        </w:tc>
        <w:tc>
          <w:tcPr>
            <w:tcW w:w="3969" w:type="dxa"/>
          </w:tcPr>
          <w:p w:rsidR="00E219D4" w:rsidRDefault="00E219D4" w:rsidP="00BD3932">
            <w:pPr>
              <w:keepNext/>
              <w:rPr>
                <w:rFonts w:ascii="Arial" w:hAnsi="Arial"/>
                <w:sz w:val="16"/>
              </w:rPr>
            </w:pPr>
          </w:p>
        </w:tc>
        <w:tc>
          <w:tcPr>
            <w:tcW w:w="709" w:type="dxa"/>
          </w:tcPr>
          <w:p w:rsidR="00E219D4" w:rsidRDefault="00E219D4" w:rsidP="00BD3932">
            <w:pPr>
              <w:keepNext/>
              <w:rPr>
                <w:rFonts w:ascii="Arial" w:hAnsi="Arial"/>
                <w:sz w:val="16"/>
              </w:rPr>
            </w:pPr>
          </w:p>
        </w:tc>
      </w:tr>
    </w:tbl>
    <w:p w:rsidR="00E219D4" w:rsidRDefault="00E219D4" w:rsidP="00E219D4"/>
    <w:p w:rsidR="00E219D4" w:rsidRDefault="00E219D4" w:rsidP="00E219D4"/>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E219D4" w:rsidTr="00BD3932">
        <w:tc>
          <w:tcPr>
            <w:tcW w:w="3969" w:type="dxa"/>
          </w:tcPr>
          <w:p w:rsidR="00E219D4" w:rsidRDefault="00E219D4" w:rsidP="00BD3932">
            <w:pPr>
              <w:keepNext/>
              <w:spacing w:after="0" w:line="240" w:lineRule="auto"/>
              <w:rPr>
                <w:rFonts w:ascii="Arial" w:hAnsi="Arial"/>
                <w:sz w:val="20"/>
              </w:rPr>
            </w:pPr>
            <w:r>
              <w:rPr>
                <w:rFonts w:ascii="Arial" w:hAnsi="Arial"/>
                <w:b/>
                <w:sz w:val="20"/>
              </w:rPr>
              <w:t xml:space="preserve">Signed </w:t>
            </w:r>
            <w:r>
              <w:rPr>
                <w:rFonts w:ascii="Arial" w:hAnsi="Arial"/>
                <w:sz w:val="20"/>
              </w:rPr>
              <w:t xml:space="preserve">by the </w:t>
            </w:r>
            <w:r>
              <w:rPr>
                <w:rFonts w:ascii="Arial" w:hAnsi="Arial"/>
                <w:b/>
                <w:sz w:val="20"/>
              </w:rPr>
              <w:t xml:space="preserve">Australian Grape and Wine </w:t>
            </w:r>
            <w:r>
              <w:rPr>
                <w:rFonts w:ascii="Arial" w:hAnsi="Arial"/>
                <w:b/>
                <w:sz w:val="20"/>
                <w:szCs w:val="20"/>
              </w:rPr>
              <w:t>Authority</w:t>
            </w:r>
            <w:r>
              <w:rPr>
                <w:rFonts w:ascii="Arial" w:hAnsi="Arial"/>
                <w:b/>
                <w:i/>
                <w:sz w:val="20"/>
                <w:szCs w:val="20"/>
              </w:rPr>
              <w:t xml:space="preserve"> </w:t>
            </w:r>
            <w:r>
              <w:rPr>
                <w:rFonts w:ascii="Arial" w:hAnsi="Arial"/>
                <w:b/>
                <w:iCs/>
                <w:sz w:val="20"/>
                <w:szCs w:val="20"/>
              </w:rPr>
              <w:t>[</w:t>
            </w:r>
            <w:r>
              <w:rPr>
                <w:rFonts w:ascii="Arial" w:hAnsi="Arial" w:cs="Arial"/>
                <w:b/>
                <w:iCs/>
                <w:sz w:val="20"/>
                <w:szCs w:val="20"/>
              </w:rPr>
              <w:t xml:space="preserve">ABN </w:t>
            </w:r>
            <w:r>
              <w:rPr>
                <w:rFonts w:ascii="Arial" w:hAnsi="Arial" w:cs="Arial"/>
                <w:b/>
                <w:bCs/>
                <w:iCs/>
                <w:sz w:val="20"/>
                <w:szCs w:val="20"/>
              </w:rPr>
              <w:t>89 636 749 924</w:t>
            </w:r>
            <w:r>
              <w:rPr>
                <w:rFonts w:ascii="Arial" w:hAnsi="Arial" w:cs="Arial"/>
                <w:b/>
                <w:iCs/>
                <w:sz w:val="20"/>
                <w:szCs w:val="20"/>
              </w:rPr>
              <w:t>]</w:t>
            </w:r>
            <w:r>
              <w:rPr>
                <w:rFonts w:ascii="Arial" w:hAnsi="Arial"/>
                <w:b/>
                <w:iCs/>
                <w:sz w:val="20"/>
              </w:rPr>
              <w:t xml:space="preserve"> </w:t>
            </w:r>
            <w:r>
              <w:rPr>
                <w:rFonts w:ascii="Arial" w:hAnsi="Arial"/>
                <w:sz w:val="20"/>
              </w:rPr>
              <w:t>in the presence of</w:t>
            </w:r>
          </w:p>
        </w:tc>
        <w:tc>
          <w:tcPr>
            <w:tcW w:w="709" w:type="dxa"/>
          </w:tcPr>
          <w:p w:rsidR="00E219D4" w:rsidRDefault="00E219D4" w:rsidP="00BD3932">
            <w:pPr>
              <w:keepNext/>
              <w:spacing w:after="0" w:line="240" w:lineRule="auto"/>
              <w:rPr>
                <w:rFonts w:ascii="Arial" w:hAnsi="Arial"/>
                <w:sz w:val="20"/>
              </w:rPr>
            </w:pPr>
          </w:p>
        </w:tc>
        <w:tc>
          <w:tcPr>
            <w:tcW w:w="3969" w:type="dxa"/>
          </w:tcPr>
          <w:p w:rsidR="00E219D4" w:rsidRDefault="00E219D4" w:rsidP="00BD3932">
            <w:pPr>
              <w:keepNext/>
              <w:spacing w:after="0" w:line="240" w:lineRule="auto"/>
              <w:rPr>
                <w:rFonts w:ascii="Arial" w:hAnsi="Arial"/>
                <w:sz w:val="20"/>
              </w:rPr>
            </w:pPr>
          </w:p>
        </w:tc>
        <w:tc>
          <w:tcPr>
            <w:tcW w:w="709" w:type="dxa"/>
          </w:tcPr>
          <w:p w:rsidR="00E219D4" w:rsidRDefault="00E219D4" w:rsidP="00BD3932">
            <w:pPr>
              <w:keepNext/>
              <w:spacing w:after="0" w:line="240" w:lineRule="auto"/>
              <w:rPr>
                <w:rFonts w:ascii="Arial" w:hAnsi="Arial"/>
                <w:sz w:val="20"/>
              </w:rPr>
            </w:pPr>
          </w:p>
        </w:tc>
      </w:tr>
      <w:tr w:rsidR="00E219D4" w:rsidTr="00BD3932">
        <w:trPr>
          <w:trHeight w:val="600"/>
        </w:trPr>
        <w:tc>
          <w:tcPr>
            <w:tcW w:w="3969" w:type="dxa"/>
            <w:tcBorders>
              <w:bottom w:val="single" w:sz="4" w:space="0" w:color="auto"/>
            </w:tcBorders>
            <w:vAlign w:val="bottom"/>
          </w:tcPr>
          <w:p w:rsidR="00E219D4" w:rsidRDefault="00020A50" w:rsidP="00020A50">
            <w:pPr>
              <w:keepNext/>
              <w:spacing w:after="0" w:line="240" w:lineRule="auto"/>
              <w:rPr>
                <w:rFonts w:ascii="Arial" w:hAnsi="Arial"/>
                <w:sz w:val="20"/>
              </w:rPr>
            </w:pPr>
            <w:r>
              <w:rPr>
                <w:rFonts w:ascii="Arial" w:hAnsi="Arial"/>
                <w:sz w:val="20"/>
              </w:rPr>
              <w:t xml:space="preserve">STEVEN WEINERT </w:t>
            </w:r>
          </w:p>
        </w:tc>
        <w:tc>
          <w:tcPr>
            <w:tcW w:w="709" w:type="dxa"/>
            <w:vAlign w:val="bottom"/>
          </w:tcPr>
          <w:p w:rsidR="00E219D4" w:rsidRDefault="00E219D4" w:rsidP="00BD3932">
            <w:pPr>
              <w:keepNext/>
              <w:spacing w:after="0" w:line="240" w:lineRule="auto"/>
              <w:jc w:val="center"/>
              <w:rPr>
                <w:rFonts w:ascii="Arial" w:hAnsi="Arial"/>
                <w:sz w:val="32"/>
              </w:rPr>
            </w:pPr>
            <w:r>
              <w:rPr>
                <w:rFonts w:ascii="Arial" w:hAnsi="Arial"/>
                <w:sz w:val="32"/>
              </w:rPr>
              <w:sym w:font="Symbol" w:char="F0AC"/>
            </w:r>
          </w:p>
        </w:tc>
        <w:tc>
          <w:tcPr>
            <w:tcW w:w="3969" w:type="dxa"/>
            <w:tcBorders>
              <w:bottom w:val="single" w:sz="4" w:space="0" w:color="auto"/>
            </w:tcBorders>
            <w:vAlign w:val="bottom"/>
          </w:tcPr>
          <w:p w:rsidR="00E219D4" w:rsidRDefault="00020A50" w:rsidP="00BD3932">
            <w:pPr>
              <w:keepNext/>
              <w:spacing w:after="0" w:line="240" w:lineRule="auto"/>
              <w:rPr>
                <w:rFonts w:ascii="Arial" w:hAnsi="Arial"/>
                <w:sz w:val="20"/>
              </w:rPr>
            </w:pPr>
            <w:r>
              <w:rPr>
                <w:rFonts w:ascii="Arial" w:hAnsi="Arial"/>
                <w:sz w:val="20"/>
              </w:rPr>
              <w:t>ANDREAS CLARK (CEO of AGWA)</w:t>
            </w:r>
          </w:p>
        </w:tc>
        <w:tc>
          <w:tcPr>
            <w:tcW w:w="709" w:type="dxa"/>
            <w:vAlign w:val="bottom"/>
          </w:tcPr>
          <w:p w:rsidR="00E219D4" w:rsidRDefault="00E219D4" w:rsidP="00BD3932">
            <w:pPr>
              <w:keepNext/>
              <w:spacing w:after="0" w:line="240" w:lineRule="auto"/>
              <w:jc w:val="center"/>
              <w:rPr>
                <w:rFonts w:ascii="Arial" w:hAnsi="Arial"/>
                <w:sz w:val="32"/>
              </w:rPr>
            </w:pPr>
            <w:r>
              <w:rPr>
                <w:rFonts w:ascii="Arial" w:hAnsi="Arial"/>
                <w:sz w:val="32"/>
              </w:rPr>
              <w:sym w:font="Symbol" w:char="F0AC"/>
            </w:r>
          </w:p>
        </w:tc>
      </w:tr>
      <w:tr w:rsidR="00E219D4" w:rsidTr="00BD3932">
        <w:trPr>
          <w:trHeight w:hRule="exact" w:val="480"/>
        </w:trPr>
        <w:tc>
          <w:tcPr>
            <w:tcW w:w="3969" w:type="dxa"/>
            <w:tcBorders>
              <w:top w:val="single" w:sz="4" w:space="0" w:color="auto"/>
            </w:tcBorders>
          </w:tcPr>
          <w:p w:rsidR="00E219D4" w:rsidRDefault="00E219D4" w:rsidP="00BD3932">
            <w:pPr>
              <w:keepNext/>
              <w:spacing w:after="0" w:line="240" w:lineRule="auto"/>
              <w:rPr>
                <w:rFonts w:ascii="Arial" w:hAnsi="Arial"/>
                <w:sz w:val="16"/>
              </w:rPr>
            </w:pPr>
            <w:r>
              <w:rPr>
                <w:rFonts w:ascii="Arial" w:hAnsi="Arial"/>
                <w:sz w:val="16"/>
              </w:rPr>
              <w:t>Signature of witness</w:t>
            </w:r>
          </w:p>
        </w:tc>
        <w:tc>
          <w:tcPr>
            <w:tcW w:w="709" w:type="dxa"/>
          </w:tcPr>
          <w:p w:rsidR="00E219D4" w:rsidRDefault="00E219D4" w:rsidP="00BD3932">
            <w:pPr>
              <w:keepNext/>
              <w:spacing w:after="0" w:line="240" w:lineRule="auto"/>
              <w:rPr>
                <w:rFonts w:ascii="Arial" w:hAnsi="Arial"/>
                <w:sz w:val="16"/>
              </w:rPr>
            </w:pPr>
          </w:p>
        </w:tc>
        <w:tc>
          <w:tcPr>
            <w:tcW w:w="3969" w:type="dxa"/>
            <w:tcBorders>
              <w:top w:val="single" w:sz="4" w:space="0" w:color="auto"/>
            </w:tcBorders>
          </w:tcPr>
          <w:p w:rsidR="00E219D4" w:rsidRDefault="00E219D4" w:rsidP="00BD3932">
            <w:pPr>
              <w:keepNext/>
              <w:spacing w:after="0" w:line="240" w:lineRule="auto"/>
              <w:rPr>
                <w:rFonts w:ascii="Arial" w:hAnsi="Arial"/>
                <w:sz w:val="16"/>
              </w:rPr>
            </w:pPr>
            <w:r>
              <w:rPr>
                <w:rFonts w:ascii="Arial" w:hAnsi="Arial"/>
                <w:sz w:val="16"/>
              </w:rPr>
              <w:t>Signature of AGWA</w:t>
            </w:r>
          </w:p>
        </w:tc>
        <w:tc>
          <w:tcPr>
            <w:tcW w:w="709" w:type="dxa"/>
          </w:tcPr>
          <w:p w:rsidR="00E219D4" w:rsidRDefault="00E219D4" w:rsidP="00BD3932">
            <w:pPr>
              <w:keepNext/>
              <w:spacing w:after="0" w:line="240" w:lineRule="auto"/>
              <w:rPr>
                <w:rFonts w:ascii="Arial" w:hAnsi="Arial"/>
                <w:sz w:val="16"/>
              </w:rPr>
            </w:pPr>
          </w:p>
        </w:tc>
      </w:tr>
      <w:tr w:rsidR="00E219D4" w:rsidTr="00020A50">
        <w:trPr>
          <w:trHeight w:hRule="exact" w:val="480"/>
        </w:trPr>
        <w:tc>
          <w:tcPr>
            <w:tcW w:w="3969" w:type="dxa"/>
            <w:tcBorders>
              <w:bottom w:val="single" w:sz="4" w:space="0" w:color="auto"/>
            </w:tcBorders>
            <w:vAlign w:val="bottom"/>
          </w:tcPr>
          <w:p w:rsidR="00E219D4" w:rsidRDefault="00020A50" w:rsidP="00020A50">
            <w:pPr>
              <w:keepNext/>
              <w:spacing w:after="0" w:line="240" w:lineRule="auto"/>
              <w:rPr>
                <w:rFonts w:ascii="Arial" w:hAnsi="Arial"/>
                <w:sz w:val="16"/>
              </w:rPr>
            </w:pPr>
            <w:r w:rsidRPr="00020A50">
              <w:rPr>
                <w:rFonts w:ascii="Arial" w:hAnsi="Arial"/>
                <w:sz w:val="20"/>
              </w:rPr>
              <w:t>STEVEN WEINERT</w:t>
            </w:r>
          </w:p>
        </w:tc>
        <w:tc>
          <w:tcPr>
            <w:tcW w:w="709" w:type="dxa"/>
          </w:tcPr>
          <w:p w:rsidR="00E219D4" w:rsidRDefault="00E219D4" w:rsidP="00BD3932">
            <w:pPr>
              <w:keepNext/>
              <w:spacing w:after="0" w:line="240" w:lineRule="auto"/>
              <w:rPr>
                <w:rFonts w:ascii="Arial" w:hAnsi="Arial"/>
                <w:sz w:val="16"/>
              </w:rPr>
            </w:pPr>
          </w:p>
        </w:tc>
        <w:tc>
          <w:tcPr>
            <w:tcW w:w="3969" w:type="dxa"/>
          </w:tcPr>
          <w:p w:rsidR="00E219D4" w:rsidRDefault="00E219D4" w:rsidP="00BD3932">
            <w:pPr>
              <w:keepNext/>
              <w:spacing w:after="0" w:line="240" w:lineRule="auto"/>
              <w:rPr>
                <w:rFonts w:ascii="Arial" w:hAnsi="Arial"/>
                <w:sz w:val="16"/>
              </w:rPr>
            </w:pPr>
          </w:p>
        </w:tc>
        <w:tc>
          <w:tcPr>
            <w:tcW w:w="709" w:type="dxa"/>
          </w:tcPr>
          <w:p w:rsidR="00E219D4" w:rsidRDefault="00E219D4" w:rsidP="00BD3932">
            <w:pPr>
              <w:keepNext/>
              <w:spacing w:after="0" w:line="240" w:lineRule="auto"/>
              <w:rPr>
                <w:rFonts w:ascii="Arial" w:hAnsi="Arial"/>
                <w:sz w:val="16"/>
              </w:rPr>
            </w:pPr>
          </w:p>
        </w:tc>
      </w:tr>
      <w:tr w:rsidR="00E219D4" w:rsidTr="00BD3932">
        <w:trPr>
          <w:trHeight w:hRule="exact" w:val="480"/>
        </w:trPr>
        <w:tc>
          <w:tcPr>
            <w:tcW w:w="3969" w:type="dxa"/>
            <w:tcBorders>
              <w:top w:val="single" w:sz="4" w:space="0" w:color="auto"/>
            </w:tcBorders>
          </w:tcPr>
          <w:p w:rsidR="00E219D4" w:rsidRDefault="00E219D4" w:rsidP="00BD3932">
            <w:pPr>
              <w:keepNext/>
              <w:spacing w:after="0" w:line="240" w:lineRule="auto"/>
              <w:rPr>
                <w:rFonts w:ascii="Arial" w:hAnsi="Arial"/>
                <w:sz w:val="16"/>
              </w:rPr>
            </w:pPr>
            <w:r>
              <w:rPr>
                <w:rFonts w:ascii="Arial" w:hAnsi="Arial"/>
                <w:sz w:val="16"/>
              </w:rPr>
              <w:t>Name of witness (print)</w:t>
            </w:r>
          </w:p>
        </w:tc>
        <w:tc>
          <w:tcPr>
            <w:tcW w:w="709" w:type="dxa"/>
          </w:tcPr>
          <w:p w:rsidR="00E219D4" w:rsidRDefault="00E219D4" w:rsidP="00BD3932">
            <w:pPr>
              <w:keepNext/>
              <w:spacing w:after="0" w:line="240" w:lineRule="auto"/>
              <w:rPr>
                <w:rFonts w:ascii="Arial" w:hAnsi="Arial"/>
                <w:sz w:val="16"/>
              </w:rPr>
            </w:pPr>
          </w:p>
        </w:tc>
        <w:tc>
          <w:tcPr>
            <w:tcW w:w="3969" w:type="dxa"/>
          </w:tcPr>
          <w:p w:rsidR="00E219D4" w:rsidRDefault="00E219D4" w:rsidP="00BD3932">
            <w:pPr>
              <w:keepNext/>
              <w:spacing w:after="0" w:line="240" w:lineRule="auto"/>
              <w:rPr>
                <w:rFonts w:ascii="Arial" w:hAnsi="Arial"/>
                <w:sz w:val="16"/>
              </w:rPr>
            </w:pPr>
          </w:p>
        </w:tc>
        <w:tc>
          <w:tcPr>
            <w:tcW w:w="709" w:type="dxa"/>
          </w:tcPr>
          <w:p w:rsidR="00E219D4" w:rsidRDefault="00E219D4" w:rsidP="00BD3932">
            <w:pPr>
              <w:keepNext/>
              <w:spacing w:after="0" w:line="240" w:lineRule="auto"/>
              <w:rPr>
                <w:rFonts w:ascii="Arial" w:hAnsi="Arial"/>
                <w:sz w:val="16"/>
              </w:rPr>
            </w:pPr>
          </w:p>
        </w:tc>
      </w:tr>
      <w:tr w:rsidR="00E219D4" w:rsidTr="00BD3932">
        <w:trPr>
          <w:trHeight w:hRule="exact" w:val="480"/>
        </w:trPr>
        <w:tc>
          <w:tcPr>
            <w:tcW w:w="3969" w:type="dxa"/>
          </w:tcPr>
          <w:p w:rsidR="00E219D4" w:rsidRDefault="00E219D4" w:rsidP="00BD3932">
            <w:pPr>
              <w:keepNext/>
              <w:spacing w:after="0" w:line="240" w:lineRule="auto"/>
              <w:rPr>
                <w:rFonts w:ascii="Arial" w:hAnsi="Arial"/>
                <w:sz w:val="16"/>
              </w:rPr>
            </w:pPr>
            <w:r>
              <w:rPr>
                <w:rFonts w:ascii="Arial" w:hAnsi="Arial"/>
                <w:sz w:val="16"/>
              </w:rPr>
              <w:t>Date executed by AGWA</w:t>
            </w:r>
          </w:p>
        </w:tc>
        <w:tc>
          <w:tcPr>
            <w:tcW w:w="709" w:type="dxa"/>
          </w:tcPr>
          <w:p w:rsidR="00E219D4" w:rsidRDefault="00E219D4" w:rsidP="00BD3932">
            <w:pPr>
              <w:keepNext/>
              <w:spacing w:after="0" w:line="240" w:lineRule="auto"/>
              <w:rPr>
                <w:rFonts w:ascii="Arial" w:hAnsi="Arial"/>
                <w:sz w:val="16"/>
              </w:rPr>
            </w:pPr>
          </w:p>
        </w:tc>
        <w:tc>
          <w:tcPr>
            <w:tcW w:w="3969" w:type="dxa"/>
          </w:tcPr>
          <w:p w:rsidR="00E219D4" w:rsidRDefault="00E219D4" w:rsidP="00BD3932">
            <w:pPr>
              <w:keepNext/>
              <w:spacing w:after="0" w:line="240" w:lineRule="auto"/>
              <w:rPr>
                <w:rFonts w:ascii="Arial" w:hAnsi="Arial"/>
                <w:sz w:val="16"/>
              </w:rPr>
            </w:pPr>
          </w:p>
        </w:tc>
        <w:tc>
          <w:tcPr>
            <w:tcW w:w="709" w:type="dxa"/>
          </w:tcPr>
          <w:p w:rsidR="00E219D4" w:rsidRDefault="00E219D4" w:rsidP="00BD3932">
            <w:pPr>
              <w:keepNext/>
              <w:spacing w:after="0" w:line="240" w:lineRule="auto"/>
              <w:rPr>
                <w:rFonts w:ascii="Arial" w:hAnsi="Arial"/>
                <w:sz w:val="16"/>
              </w:rPr>
            </w:pPr>
          </w:p>
        </w:tc>
      </w:tr>
      <w:tr w:rsidR="00E219D4" w:rsidTr="00BD3932">
        <w:trPr>
          <w:trHeight w:hRule="exact" w:val="480"/>
        </w:trPr>
        <w:tc>
          <w:tcPr>
            <w:tcW w:w="3969" w:type="dxa"/>
          </w:tcPr>
          <w:p w:rsidR="00E219D4" w:rsidRDefault="00020A50" w:rsidP="00020A50">
            <w:pPr>
              <w:keepNext/>
              <w:spacing w:after="0" w:line="240" w:lineRule="auto"/>
              <w:rPr>
                <w:rFonts w:ascii="Arial" w:hAnsi="Arial"/>
                <w:sz w:val="16"/>
              </w:rPr>
            </w:pPr>
            <w:r>
              <w:rPr>
                <w:rFonts w:ascii="Arial" w:hAnsi="Arial"/>
                <w:sz w:val="16"/>
              </w:rPr>
              <w:t xml:space="preserve">28 </w:t>
            </w:r>
            <w:r w:rsidR="00E219D4">
              <w:rPr>
                <w:rFonts w:ascii="Arial" w:hAnsi="Arial"/>
                <w:sz w:val="16"/>
              </w:rPr>
              <w:t>/</w:t>
            </w:r>
            <w:r>
              <w:rPr>
                <w:rFonts w:ascii="Arial" w:hAnsi="Arial"/>
                <w:sz w:val="16"/>
              </w:rPr>
              <w:t xml:space="preserve"> 09 </w:t>
            </w:r>
            <w:r w:rsidR="00E219D4">
              <w:rPr>
                <w:rFonts w:ascii="Arial" w:hAnsi="Arial"/>
                <w:sz w:val="16"/>
              </w:rPr>
              <w:t>/</w:t>
            </w:r>
            <w:r>
              <w:rPr>
                <w:rFonts w:ascii="Arial" w:hAnsi="Arial"/>
                <w:sz w:val="16"/>
              </w:rPr>
              <w:t xml:space="preserve"> </w:t>
            </w:r>
            <w:r w:rsidR="00E219D4">
              <w:rPr>
                <w:rFonts w:ascii="Arial" w:hAnsi="Arial"/>
                <w:sz w:val="16"/>
              </w:rPr>
              <w:t>2015</w:t>
            </w:r>
            <w:bookmarkStart w:id="255" w:name="_GoBack"/>
            <w:bookmarkEnd w:id="255"/>
          </w:p>
        </w:tc>
        <w:tc>
          <w:tcPr>
            <w:tcW w:w="709" w:type="dxa"/>
          </w:tcPr>
          <w:p w:rsidR="00E219D4" w:rsidRDefault="00E219D4" w:rsidP="00BD3932">
            <w:pPr>
              <w:keepNext/>
              <w:spacing w:after="0" w:line="240" w:lineRule="auto"/>
              <w:rPr>
                <w:rFonts w:ascii="Arial" w:hAnsi="Arial"/>
                <w:sz w:val="16"/>
              </w:rPr>
            </w:pPr>
          </w:p>
        </w:tc>
        <w:tc>
          <w:tcPr>
            <w:tcW w:w="3969" w:type="dxa"/>
          </w:tcPr>
          <w:p w:rsidR="00E219D4" w:rsidRDefault="00E219D4" w:rsidP="00BD3932">
            <w:pPr>
              <w:keepNext/>
              <w:spacing w:after="0" w:line="240" w:lineRule="auto"/>
              <w:rPr>
                <w:rFonts w:ascii="Arial" w:hAnsi="Arial"/>
                <w:sz w:val="16"/>
              </w:rPr>
            </w:pPr>
          </w:p>
        </w:tc>
        <w:tc>
          <w:tcPr>
            <w:tcW w:w="709" w:type="dxa"/>
          </w:tcPr>
          <w:p w:rsidR="00E219D4" w:rsidRDefault="00E219D4" w:rsidP="00BD3932">
            <w:pPr>
              <w:keepNext/>
              <w:spacing w:after="0" w:line="240" w:lineRule="auto"/>
              <w:rPr>
                <w:rFonts w:ascii="Arial" w:hAnsi="Arial"/>
                <w:sz w:val="16"/>
              </w:rPr>
            </w:pPr>
          </w:p>
        </w:tc>
      </w:tr>
    </w:tbl>
    <w:p w:rsidR="00E219D4" w:rsidRDefault="00E219D4" w:rsidP="00E219D4"/>
    <w:p w:rsidR="00E219D4" w:rsidRPr="00424B97" w:rsidRDefault="00E219D4" w:rsidP="00424B97"/>
    <w:sectPr w:rsidR="00E219D4" w:rsidRPr="00424B97" w:rsidSect="008E4F6C">
      <w:headerReference w:type="default" r:id="rId16"/>
      <w:head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r>
      <w:fldChar w:fldCharType="begin"/>
    </w:r>
    <w:r>
      <w:instrText xml:space="preserve"> DOCPROPERTY DocumentID \* MERGEFORMAT </w:instrText>
    </w:r>
    <w:r>
      <w:fldChar w:fldCharType="separate"/>
    </w:r>
    <w:r w:rsidRPr="00E42DAA">
      <w:rPr>
        <w:color w:val="191919"/>
        <w:sz w:val="13"/>
      </w:rPr>
      <w:t>ME_84620965_1 (W2003)</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D4" w:rsidRDefault="00E219D4">
    <w:pPr>
      <w:pStyle w:val="Footer"/>
    </w:pPr>
    <w:r>
      <w:t>Collection Agreement | September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p>
  <w:p w:rsidR="00E219D4" w:rsidRDefault="00E219D4">
    <w:pPr>
      <w:pStyle w:val="Footer"/>
    </w:pPr>
    <w:r>
      <w:fldChar w:fldCharType="begin"/>
    </w:r>
    <w:r>
      <w:instrText xml:space="preserve"> DOCPROPERTY DocumentID \* MERGEFORMAT </w:instrText>
    </w:r>
    <w:r>
      <w:fldChar w:fldCharType="separate"/>
    </w:r>
    <w:r w:rsidRPr="00E42DAA">
      <w:rPr>
        <w:color w:val="191919"/>
        <w:sz w:val="13"/>
      </w:rPr>
      <w:t>ME_84620965_1 (W2003)</w:t>
    </w:r>
    <w:r>
      <w:rPr>
        <w:color w:val="191919"/>
        <w:sz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E219D4" w:rsidRPr="00CE796A" w:rsidTr="00BD3932">
      <w:trPr>
        <w:trHeight w:val="984"/>
      </w:trPr>
      <w:tc>
        <w:tcPr>
          <w:tcW w:w="1263" w:type="dxa"/>
          <w:tcBorders>
            <w:top w:val="single" w:sz="4" w:space="0" w:color="auto"/>
            <w:left w:val="nil"/>
            <w:bottom w:val="single" w:sz="4" w:space="0" w:color="auto"/>
            <w:right w:val="nil"/>
            <w:tl2br w:val="nil"/>
            <w:tr2bl w:val="nil"/>
          </w:tcBorders>
          <w:shd w:val="clear" w:color="auto" w:fill="auto"/>
        </w:tcPr>
        <w:p w:rsidR="00E219D4" w:rsidRPr="00CE796A" w:rsidRDefault="00E219D4" w:rsidP="00E219D4">
          <w:pPr>
            <w:spacing w:before="60" w:after="0"/>
            <w:ind w:left="-51"/>
            <w:rPr>
              <w:rFonts w:ascii="Arial" w:hAnsi="Arial"/>
              <w:sz w:val="12"/>
            </w:rPr>
          </w:pPr>
          <w:bookmarkStart w:id="5" w:name="OLE_LINK2"/>
          <w:r>
            <w:rPr>
              <w:rFonts w:ascii="Arial" w:hAnsi="Arial"/>
              <w:noProof/>
              <w:sz w:val="12"/>
              <w:lang w:eastAsia="en-AU"/>
            </w:rPr>
            <w:drawing>
              <wp:inline distT="0" distB="0" distL="0" distR="0" wp14:anchorId="1EA0089D" wp14:editId="7C771E76">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E219D4" w:rsidRPr="00CE796A" w:rsidRDefault="00E219D4" w:rsidP="00E219D4">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E219D4" w:rsidRPr="00CE796A" w:rsidRDefault="00E219D4" w:rsidP="00E219D4">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E219D4" w:rsidRPr="00CE796A" w:rsidTr="00BD393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E219D4" w:rsidRPr="00CE796A" w:rsidRDefault="00E219D4" w:rsidP="00E219D4">
          <w:pPr>
            <w:spacing w:after="0"/>
            <w:ind w:left="-51"/>
            <w:rPr>
              <w:rFonts w:ascii="Arial" w:hAnsi="Arial" w:cs="Arial"/>
              <w:sz w:val="14"/>
              <w:szCs w:val="14"/>
            </w:rPr>
          </w:pPr>
          <w:bookmarkStart w:id="6" w:name="GazNo"/>
          <w:bookmarkEnd w:id="6"/>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E219D4" w:rsidRPr="00840A06" w:rsidRDefault="00E219D4" w:rsidP="00E219D4">
          <w:pPr>
            <w:spacing w:after="0"/>
            <w:jc w:val="right"/>
            <w:rPr>
              <w:rFonts w:ascii="Arial" w:hAnsi="Arial" w:cs="Arial"/>
              <w:b/>
              <w:sz w:val="24"/>
              <w:szCs w:val="24"/>
            </w:rPr>
          </w:pPr>
          <w:r w:rsidRPr="00840A06">
            <w:rPr>
              <w:rFonts w:ascii="Arial" w:hAnsi="Arial" w:cs="Arial"/>
              <w:b/>
              <w:sz w:val="24"/>
              <w:szCs w:val="24"/>
            </w:rPr>
            <w:t>GOVERNMENT NOTICES</w:t>
          </w:r>
        </w:p>
      </w:tc>
    </w:tr>
    <w:bookmarkEnd w:id="5"/>
  </w:tbl>
  <w:p w:rsidR="00E219D4" w:rsidRDefault="00E21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D4" w:rsidRPr="00E219D4" w:rsidRDefault="00E219D4" w:rsidP="00E219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A2E83"/>
    <w:multiLevelType w:val="hybridMultilevel"/>
    <w:tmpl w:val="1832AEFA"/>
    <w:lvl w:ilvl="0" w:tplc="5B0062C8">
      <w:start w:val="1"/>
      <w:numFmt w:val="lowerRoman"/>
      <w:lvlText w:val="(%1)"/>
      <w:lvlJc w:val="left"/>
      <w:pPr>
        <w:ind w:left="2756" w:hanging="720"/>
      </w:pPr>
      <w:rPr>
        <w:rFonts w:hint="default"/>
      </w:rPr>
    </w:lvl>
    <w:lvl w:ilvl="1" w:tplc="0C090019" w:tentative="1">
      <w:start w:val="1"/>
      <w:numFmt w:val="lowerLetter"/>
      <w:lvlText w:val="%2."/>
      <w:lvlJc w:val="left"/>
      <w:pPr>
        <w:ind w:left="3116" w:hanging="360"/>
      </w:pPr>
    </w:lvl>
    <w:lvl w:ilvl="2" w:tplc="0C09001B" w:tentative="1">
      <w:start w:val="1"/>
      <w:numFmt w:val="lowerRoman"/>
      <w:lvlText w:val="%3."/>
      <w:lvlJc w:val="right"/>
      <w:pPr>
        <w:ind w:left="3836" w:hanging="180"/>
      </w:pPr>
    </w:lvl>
    <w:lvl w:ilvl="3" w:tplc="0C09000F" w:tentative="1">
      <w:start w:val="1"/>
      <w:numFmt w:val="decimal"/>
      <w:lvlText w:val="%4."/>
      <w:lvlJc w:val="left"/>
      <w:pPr>
        <w:ind w:left="4556" w:hanging="360"/>
      </w:pPr>
    </w:lvl>
    <w:lvl w:ilvl="4" w:tplc="0C090019" w:tentative="1">
      <w:start w:val="1"/>
      <w:numFmt w:val="lowerLetter"/>
      <w:lvlText w:val="%5."/>
      <w:lvlJc w:val="left"/>
      <w:pPr>
        <w:ind w:left="5276" w:hanging="360"/>
      </w:pPr>
    </w:lvl>
    <w:lvl w:ilvl="5" w:tplc="0C09001B" w:tentative="1">
      <w:start w:val="1"/>
      <w:numFmt w:val="lowerRoman"/>
      <w:lvlText w:val="%6."/>
      <w:lvlJc w:val="right"/>
      <w:pPr>
        <w:ind w:left="5996" w:hanging="180"/>
      </w:pPr>
    </w:lvl>
    <w:lvl w:ilvl="6" w:tplc="0C09000F" w:tentative="1">
      <w:start w:val="1"/>
      <w:numFmt w:val="decimal"/>
      <w:lvlText w:val="%7."/>
      <w:lvlJc w:val="left"/>
      <w:pPr>
        <w:ind w:left="6716" w:hanging="360"/>
      </w:pPr>
    </w:lvl>
    <w:lvl w:ilvl="7" w:tplc="0C090019" w:tentative="1">
      <w:start w:val="1"/>
      <w:numFmt w:val="lowerLetter"/>
      <w:lvlText w:val="%8."/>
      <w:lvlJc w:val="left"/>
      <w:pPr>
        <w:ind w:left="7436" w:hanging="360"/>
      </w:pPr>
    </w:lvl>
    <w:lvl w:ilvl="8" w:tplc="0C09001B" w:tentative="1">
      <w:start w:val="1"/>
      <w:numFmt w:val="lowerRoman"/>
      <w:lvlText w:val="%9."/>
      <w:lvlJc w:val="right"/>
      <w:pPr>
        <w:ind w:left="8156" w:hanging="180"/>
      </w:pPr>
    </w:lvl>
  </w:abstractNum>
  <w:abstractNum w:abstractNumId="1"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2" w15:restartNumberingAfterBreak="0">
    <w:nsid w:val="186F106B"/>
    <w:multiLevelType w:val="hybridMultilevel"/>
    <w:tmpl w:val="2AE27A6A"/>
    <w:lvl w:ilvl="0" w:tplc="5B0062C8">
      <w:start w:val="1"/>
      <w:numFmt w:val="lowerRoman"/>
      <w:lvlText w:val="(%1)"/>
      <w:lvlJc w:val="left"/>
      <w:pPr>
        <w:ind w:left="2761" w:hanging="360"/>
      </w:pPr>
      <w:rPr>
        <w:rFonts w:hint="default"/>
      </w:rPr>
    </w:lvl>
    <w:lvl w:ilvl="1" w:tplc="0C090019" w:tentative="1">
      <w:start w:val="1"/>
      <w:numFmt w:val="lowerLetter"/>
      <w:lvlText w:val="%2."/>
      <w:lvlJc w:val="left"/>
      <w:pPr>
        <w:ind w:left="3481" w:hanging="360"/>
      </w:pPr>
    </w:lvl>
    <w:lvl w:ilvl="2" w:tplc="0C09001B" w:tentative="1">
      <w:start w:val="1"/>
      <w:numFmt w:val="lowerRoman"/>
      <w:lvlText w:val="%3."/>
      <w:lvlJc w:val="right"/>
      <w:pPr>
        <w:ind w:left="4201" w:hanging="180"/>
      </w:pPr>
    </w:lvl>
    <w:lvl w:ilvl="3" w:tplc="0C09000F" w:tentative="1">
      <w:start w:val="1"/>
      <w:numFmt w:val="decimal"/>
      <w:lvlText w:val="%4."/>
      <w:lvlJc w:val="left"/>
      <w:pPr>
        <w:ind w:left="4921" w:hanging="360"/>
      </w:pPr>
    </w:lvl>
    <w:lvl w:ilvl="4" w:tplc="0C090019" w:tentative="1">
      <w:start w:val="1"/>
      <w:numFmt w:val="lowerLetter"/>
      <w:lvlText w:val="%5."/>
      <w:lvlJc w:val="left"/>
      <w:pPr>
        <w:ind w:left="5641" w:hanging="360"/>
      </w:pPr>
    </w:lvl>
    <w:lvl w:ilvl="5" w:tplc="0C09001B" w:tentative="1">
      <w:start w:val="1"/>
      <w:numFmt w:val="lowerRoman"/>
      <w:lvlText w:val="%6."/>
      <w:lvlJc w:val="right"/>
      <w:pPr>
        <w:ind w:left="6361" w:hanging="180"/>
      </w:pPr>
    </w:lvl>
    <w:lvl w:ilvl="6" w:tplc="0C09000F" w:tentative="1">
      <w:start w:val="1"/>
      <w:numFmt w:val="decimal"/>
      <w:lvlText w:val="%7."/>
      <w:lvlJc w:val="left"/>
      <w:pPr>
        <w:ind w:left="7081" w:hanging="360"/>
      </w:pPr>
    </w:lvl>
    <w:lvl w:ilvl="7" w:tplc="0C090019" w:tentative="1">
      <w:start w:val="1"/>
      <w:numFmt w:val="lowerLetter"/>
      <w:lvlText w:val="%8."/>
      <w:lvlJc w:val="left"/>
      <w:pPr>
        <w:ind w:left="7801" w:hanging="360"/>
      </w:pPr>
    </w:lvl>
    <w:lvl w:ilvl="8" w:tplc="0C09001B" w:tentative="1">
      <w:start w:val="1"/>
      <w:numFmt w:val="lowerRoman"/>
      <w:lvlText w:val="%9."/>
      <w:lvlJc w:val="right"/>
      <w:pPr>
        <w:ind w:left="8521" w:hanging="180"/>
      </w:pPr>
    </w:lvl>
  </w:abstractNum>
  <w:abstractNum w:abstractNumId="3" w15:restartNumberingAfterBreak="0">
    <w:nsid w:val="4A740E0E"/>
    <w:multiLevelType w:val="multilevel"/>
    <w:tmpl w:val="E878C97A"/>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lang w:val="en-US"/>
      </w:rPr>
    </w:lvl>
    <w:lvl w:ilvl="2">
      <w:start w:val="1"/>
      <w:numFmt w:val="lowerLetter"/>
      <w:pStyle w:val="MELegal3"/>
      <w:lvlText w:val="(%3)"/>
      <w:lvlJc w:val="left"/>
      <w:pPr>
        <w:tabs>
          <w:tab w:val="num" w:pos="1361"/>
        </w:tabs>
        <w:ind w:left="1361" w:hanging="681"/>
      </w:pPr>
      <w:rPr>
        <w:rFonts w:ascii="Times New Roman" w:eastAsia="Times New Roman" w:hAnsi="Times New Roman" w:cs="Angsana New"/>
        <w:b w:val="0"/>
        <w:bCs w:val="0"/>
      </w:rPr>
    </w:lvl>
    <w:lvl w:ilvl="3">
      <w:start w:val="1"/>
      <w:numFmt w:val="lowerLetter"/>
      <w:pStyle w:val="MELegal4"/>
      <w:lvlText w:val="(%4)"/>
      <w:lvlJc w:val="left"/>
      <w:pPr>
        <w:tabs>
          <w:tab w:val="num" w:pos="2041"/>
        </w:tabs>
        <w:ind w:left="2041" w:hanging="680"/>
      </w:pPr>
      <w:rPr>
        <w:rFonts w:ascii="Times New Roman" w:eastAsia="Times New Roman" w:hAnsi="Times New Roman" w:cs="Angsana New"/>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 w15:restartNumberingAfterBreak="0">
    <w:nsid w:val="580746F2"/>
    <w:multiLevelType w:val="multilevel"/>
    <w:tmpl w:val="E72AE51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lang w:val="en-US"/>
      </w:rPr>
    </w:lvl>
    <w:lvl w:ilvl="2">
      <w:start w:val="1"/>
      <w:numFmt w:val="lowerLetter"/>
      <w:lvlText w:val="(%3)"/>
      <w:lvlJc w:val="left"/>
      <w:pPr>
        <w:tabs>
          <w:tab w:val="num" w:pos="1361"/>
        </w:tabs>
        <w:ind w:left="1361" w:hanging="681"/>
      </w:pPr>
      <w:rPr>
        <w:rFonts w:ascii="Times New Roman" w:eastAsia="Times New Roman" w:hAnsi="Times New Roman" w:cs="Angsana New"/>
        <w:b w:val="0"/>
        <w:bCs w:val="0"/>
      </w:rPr>
    </w:lvl>
    <w:lvl w:ilvl="3">
      <w:start w:val="1"/>
      <w:numFmt w:val="lowerRoman"/>
      <w:lvlText w:val="(%4)"/>
      <w:lvlJc w:val="righ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6124763E"/>
    <w:multiLevelType w:val="multilevel"/>
    <w:tmpl w:val="E976E16E"/>
    <w:lvl w:ilvl="0">
      <w:start w:val="1"/>
      <w:numFmt w:val="upperLetter"/>
      <w:lvlText w:val="%1"/>
      <w:lvlJc w:val="left"/>
      <w:pPr>
        <w:tabs>
          <w:tab w:val="num" w:pos="680"/>
        </w:tabs>
        <w:ind w:left="680" w:hanging="680"/>
      </w:pPr>
      <w:rPr>
        <w:rFonts w:ascii="Arial" w:hAnsi="Arial" w:hint="default"/>
        <w:sz w:val="20"/>
      </w:rPr>
    </w:lvl>
    <w:lvl w:ilvl="1">
      <w:start w:val="1"/>
      <w:numFmt w:val="lowerRoman"/>
      <w:lvlText w:val="%2."/>
      <w:lvlJc w:val="righ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lowerRoman"/>
      <w:lvlText w:val="(%5)"/>
      <w:lvlJc w:val="right"/>
      <w:pPr>
        <w:ind w:left="0" w:firstLine="0"/>
      </w:pPr>
      <w:rPr>
        <w:rFonts w:ascii="Times New Roman" w:eastAsia="Times New Roman" w:hAnsi="Times New Roman" w:cs="Angsana New"/>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6"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pStyle w:val="SchedH3"/>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6A6F6205"/>
    <w:multiLevelType w:val="hybridMultilevel"/>
    <w:tmpl w:val="41744B44"/>
    <w:lvl w:ilvl="0" w:tplc="5B0062C8">
      <w:start w:val="1"/>
      <w:numFmt w:val="lowerRoman"/>
      <w:lvlText w:val="(%1)"/>
      <w:lvlJc w:val="left"/>
      <w:pPr>
        <w:ind w:left="2081" w:hanging="360"/>
      </w:pPr>
      <w:rPr>
        <w:rFonts w:hint="default"/>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8"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7539643F"/>
    <w:multiLevelType w:val="hybridMultilevel"/>
    <w:tmpl w:val="29864A30"/>
    <w:lvl w:ilvl="0" w:tplc="042A2EE2">
      <w:start w:val="1"/>
      <w:numFmt w:val="lowerRoman"/>
      <w:lvlText w:val="(%1)"/>
      <w:lvlJc w:val="left"/>
      <w:pPr>
        <w:ind w:left="1721" w:hanging="36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10" w15:restartNumberingAfterBreak="0">
    <w:nsid w:val="77E37F72"/>
    <w:multiLevelType w:val="hybridMultilevel"/>
    <w:tmpl w:val="837493C2"/>
    <w:lvl w:ilvl="0" w:tplc="E4E4BBC6">
      <w:start w:val="1"/>
      <w:numFmt w:val="lowerRoman"/>
      <w:lvlText w:val="(%1)"/>
      <w:lvlJc w:val="left"/>
      <w:pPr>
        <w:ind w:left="720" w:hanging="360"/>
      </w:pPr>
      <w:rPr>
        <w:rFonts w:ascii="Times New Roman" w:eastAsia="Times New Roman" w:hAnsi="Times New Roman" w:cs="Angsana New"/>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D4220A"/>
    <w:multiLevelType w:val="multilevel"/>
    <w:tmpl w:val="12767E4A"/>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abstractNumId w:val="1"/>
  </w:num>
  <w:num w:numId="2">
    <w:abstractNumId w:val="6"/>
  </w:num>
  <w:num w:numId="3">
    <w:abstractNumId w:val="11"/>
  </w:num>
  <w:num w:numId="4">
    <w:abstractNumId w:val="8"/>
  </w:num>
  <w:num w:numId="5">
    <w:abstractNumId w:val="3"/>
    <w:lvlOverride w:ilvl="0">
      <w:startOverride w:val="1"/>
    </w:lvlOverride>
    <w:lvlOverride w:ilvl="1">
      <w:startOverride w:val="1"/>
    </w:lvlOverride>
    <w:lvlOverride w:ilvl="2">
      <w:startOverride w:val="9"/>
    </w:lvlOverride>
  </w:num>
  <w:num w:numId="6">
    <w:abstractNumId w:val="11"/>
    <w:lvlOverride w:ilvl="0">
      <w:startOverride w:val="1"/>
    </w:lvlOverride>
    <w:lvlOverride w:ilvl="1">
      <w:startOverride w:val="1"/>
    </w:lvlOverride>
    <w:lvlOverride w:ilvl="2">
      <w:startOverride w:val="2"/>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20A50"/>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E219D4"/>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ountry-region"/>
  <w:shapeDefaults>
    <o:shapedefaults v:ext="edit" spidmax="10241"/>
    <o:shapelayout v:ext="edit">
      <o:idmap v:ext="edit" data="1"/>
    </o:shapelayout>
  </w:shapeDefaults>
  <w:decimalSymbol w:val="."/>
  <w:listSeparator w:val=","/>
  <w15:docId w15:val="{064B9D6A-38E9-41F0-A7A6-B097AD61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customStyle="1" w:styleId="MELegal1">
    <w:name w:val="ME Legal 1"/>
    <w:aliases w:val="l1,RFTLevel1"/>
    <w:basedOn w:val="Normal"/>
    <w:next w:val="Normal"/>
    <w:rsid w:val="00E219D4"/>
    <w:pPr>
      <w:keepNext/>
      <w:keepLines/>
      <w:numPr>
        <w:numId w:val="5"/>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MELegal2">
    <w:name w:val="ME Legal 2"/>
    <w:aliases w:val="l2,RFTLevel2"/>
    <w:basedOn w:val="Normal"/>
    <w:next w:val="Normal"/>
    <w:rsid w:val="00E219D4"/>
    <w:pPr>
      <w:keepNext/>
      <w:keepLines/>
      <w:numPr>
        <w:ilvl w:val="1"/>
        <w:numId w:val="5"/>
      </w:numPr>
      <w:spacing w:before="60" w:after="60" w:line="280" w:lineRule="atLeast"/>
      <w:outlineLvl w:val="1"/>
    </w:pPr>
    <w:rPr>
      <w:rFonts w:ascii="Arial" w:eastAsia="Times New Roman" w:hAnsi="Arial" w:cs="Angsana New"/>
      <w:b/>
      <w:bCs/>
      <w:w w:val="95"/>
      <w:sz w:val="24"/>
      <w:szCs w:val="24"/>
      <w:lang w:eastAsia="zh-CN" w:bidi="th-TH"/>
    </w:rPr>
  </w:style>
  <w:style w:type="paragraph" w:customStyle="1" w:styleId="MELegal3">
    <w:name w:val="ME Legal 3"/>
    <w:aliases w:val="l3"/>
    <w:basedOn w:val="Normal"/>
    <w:rsid w:val="00E219D4"/>
    <w:pPr>
      <w:numPr>
        <w:ilvl w:val="2"/>
        <w:numId w:val="5"/>
      </w:numPr>
      <w:spacing w:after="140" w:line="280" w:lineRule="atLeast"/>
      <w:outlineLvl w:val="2"/>
    </w:pPr>
    <w:rPr>
      <w:rFonts w:ascii="Times New Roman" w:eastAsia="Times New Roman" w:hAnsi="Times New Roman" w:cs="Angsana New"/>
      <w:lang w:eastAsia="zh-CN" w:bidi="th-TH"/>
    </w:rPr>
  </w:style>
  <w:style w:type="paragraph" w:customStyle="1" w:styleId="MELegal4">
    <w:name w:val="ME Legal 4"/>
    <w:aliases w:val="l4"/>
    <w:basedOn w:val="Normal"/>
    <w:link w:val="MELegal4Char"/>
    <w:rsid w:val="00E219D4"/>
    <w:pPr>
      <w:numPr>
        <w:ilvl w:val="3"/>
        <w:numId w:val="5"/>
      </w:numPr>
      <w:spacing w:after="140" w:line="280" w:lineRule="atLeast"/>
      <w:outlineLvl w:val="3"/>
    </w:pPr>
    <w:rPr>
      <w:rFonts w:ascii="Times New Roman" w:eastAsia="Times New Roman" w:hAnsi="Times New Roman" w:cs="Angsana New"/>
      <w:lang w:eastAsia="zh-CN" w:bidi="th-TH"/>
    </w:rPr>
  </w:style>
  <w:style w:type="paragraph" w:customStyle="1" w:styleId="MELegal5">
    <w:name w:val="ME Legal 5"/>
    <w:aliases w:val="l5"/>
    <w:basedOn w:val="Normal"/>
    <w:rsid w:val="00E219D4"/>
    <w:pPr>
      <w:numPr>
        <w:ilvl w:val="4"/>
        <w:numId w:val="5"/>
      </w:numPr>
      <w:spacing w:after="140" w:line="280" w:lineRule="atLeast"/>
      <w:outlineLvl w:val="4"/>
    </w:pPr>
    <w:rPr>
      <w:rFonts w:ascii="Times New Roman" w:eastAsia="Times New Roman" w:hAnsi="Times New Roman" w:cs="Angsana New"/>
      <w:lang w:eastAsia="zh-CN" w:bidi="th-TH"/>
    </w:rPr>
  </w:style>
  <w:style w:type="paragraph" w:customStyle="1" w:styleId="MELegal6">
    <w:name w:val="ME Legal 6"/>
    <w:basedOn w:val="Normal"/>
    <w:rsid w:val="00E219D4"/>
    <w:pPr>
      <w:numPr>
        <w:ilvl w:val="5"/>
        <w:numId w:val="5"/>
      </w:numPr>
      <w:spacing w:after="140" w:line="280" w:lineRule="atLeast"/>
      <w:outlineLvl w:val="5"/>
    </w:pPr>
    <w:rPr>
      <w:rFonts w:ascii="Times New Roman" w:eastAsia="Times New Roman" w:hAnsi="Times New Roman" w:cs="Angsana New"/>
      <w:lang w:eastAsia="zh-CN" w:bidi="th-TH"/>
    </w:rPr>
  </w:style>
  <w:style w:type="paragraph" w:styleId="TOC1">
    <w:name w:val="toc 1"/>
    <w:basedOn w:val="Normal"/>
    <w:next w:val="Normal"/>
    <w:autoRedefine/>
    <w:uiPriority w:val="39"/>
    <w:rsid w:val="00E219D4"/>
    <w:pPr>
      <w:tabs>
        <w:tab w:val="right" w:pos="9072"/>
      </w:tabs>
      <w:spacing w:before="280" w:after="0" w:line="280" w:lineRule="atLeast"/>
      <w:ind w:left="680" w:hanging="680"/>
    </w:pPr>
    <w:rPr>
      <w:rFonts w:ascii="Arial" w:eastAsia="Times New Roman" w:hAnsi="Arial" w:cs="Arial"/>
      <w:b/>
      <w:bCs/>
      <w:w w:val="95"/>
      <w:sz w:val="28"/>
      <w:szCs w:val="28"/>
      <w:lang w:eastAsia="zh-CN" w:bidi="th-TH"/>
    </w:rPr>
  </w:style>
  <w:style w:type="paragraph" w:customStyle="1" w:styleId="DefinitionL1">
    <w:name w:val="Definition L1"/>
    <w:basedOn w:val="Normal"/>
    <w:rsid w:val="00E219D4"/>
    <w:pPr>
      <w:numPr>
        <w:numId w:val="3"/>
      </w:numPr>
      <w:spacing w:after="140" w:line="280" w:lineRule="atLeast"/>
      <w:outlineLvl w:val="0"/>
    </w:pPr>
    <w:rPr>
      <w:rFonts w:ascii="Times New Roman" w:eastAsia="Times New Roman" w:hAnsi="Times New Roman" w:cs="Angsana New"/>
      <w:lang w:eastAsia="zh-CN" w:bidi="th-TH"/>
    </w:rPr>
  </w:style>
  <w:style w:type="paragraph" w:customStyle="1" w:styleId="DefinitionL2">
    <w:name w:val="Definition L2"/>
    <w:basedOn w:val="Normal"/>
    <w:rsid w:val="00E219D4"/>
    <w:pPr>
      <w:numPr>
        <w:ilvl w:val="1"/>
        <w:numId w:val="3"/>
      </w:numPr>
      <w:spacing w:after="140" w:line="280" w:lineRule="atLeast"/>
      <w:outlineLvl w:val="1"/>
    </w:pPr>
    <w:rPr>
      <w:rFonts w:ascii="Times New Roman" w:eastAsia="Times New Roman" w:hAnsi="Times New Roman" w:cs="Angsana New"/>
      <w:lang w:eastAsia="zh-CN" w:bidi="th-TH"/>
    </w:rPr>
  </w:style>
  <w:style w:type="paragraph" w:customStyle="1" w:styleId="DefinitionL3">
    <w:name w:val="Definition L3"/>
    <w:basedOn w:val="Normal"/>
    <w:rsid w:val="00E219D4"/>
    <w:pPr>
      <w:numPr>
        <w:ilvl w:val="2"/>
        <w:numId w:val="3"/>
      </w:numPr>
      <w:spacing w:after="140" w:line="280" w:lineRule="atLeast"/>
      <w:outlineLvl w:val="2"/>
    </w:pPr>
    <w:rPr>
      <w:rFonts w:ascii="Times New Roman" w:eastAsia="Times New Roman" w:hAnsi="Times New Roman" w:cs="Angsana New"/>
      <w:lang w:eastAsia="zh-CN" w:bidi="th-TH"/>
    </w:rPr>
  </w:style>
  <w:style w:type="paragraph" w:customStyle="1" w:styleId="ScheduleL1">
    <w:name w:val="Schedule L1"/>
    <w:basedOn w:val="Normal"/>
    <w:next w:val="Normal"/>
    <w:rsid w:val="00E219D4"/>
    <w:pPr>
      <w:numPr>
        <w:numId w:val="4"/>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E219D4"/>
    <w:pPr>
      <w:keepNext/>
      <w:numPr>
        <w:ilvl w:val="1"/>
        <w:numId w:val="4"/>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E219D4"/>
    <w:pPr>
      <w:keepNext/>
      <w:numPr>
        <w:ilvl w:val="2"/>
        <w:numId w:val="4"/>
      </w:numPr>
      <w:spacing w:before="60" w:after="60" w:line="280" w:lineRule="atLeast"/>
      <w:outlineLvl w:val="2"/>
    </w:pPr>
    <w:rPr>
      <w:rFonts w:ascii="Arial" w:eastAsia="Times New Roman" w:hAnsi="Arial" w:cs="Angsana New"/>
      <w:b/>
      <w:bCs/>
      <w:w w:val="95"/>
      <w:sz w:val="24"/>
      <w:szCs w:val="24"/>
      <w:lang w:eastAsia="zh-CN" w:bidi="th-TH"/>
    </w:rPr>
  </w:style>
  <w:style w:type="paragraph" w:customStyle="1" w:styleId="ScheduleL4">
    <w:name w:val="Schedule L4"/>
    <w:basedOn w:val="Normal"/>
    <w:rsid w:val="00E219D4"/>
    <w:pPr>
      <w:numPr>
        <w:ilvl w:val="3"/>
        <w:numId w:val="4"/>
      </w:numPr>
      <w:spacing w:after="140" w:line="280" w:lineRule="atLeast"/>
      <w:outlineLvl w:val="3"/>
    </w:pPr>
    <w:rPr>
      <w:rFonts w:ascii="Times New Roman" w:eastAsia="Times New Roman" w:hAnsi="Times New Roman" w:cs="Angsana New"/>
      <w:lang w:eastAsia="zh-CN" w:bidi="th-TH"/>
    </w:rPr>
  </w:style>
  <w:style w:type="paragraph" w:customStyle="1" w:styleId="ScheduleL5">
    <w:name w:val="Schedule L5"/>
    <w:basedOn w:val="Normal"/>
    <w:rsid w:val="00E219D4"/>
    <w:pPr>
      <w:numPr>
        <w:ilvl w:val="4"/>
        <w:numId w:val="4"/>
      </w:numPr>
      <w:spacing w:after="140" w:line="280" w:lineRule="atLeast"/>
      <w:outlineLvl w:val="4"/>
    </w:pPr>
    <w:rPr>
      <w:rFonts w:ascii="Times New Roman" w:eastAsia="Times New Roman" w:hAnsi="Times New Roman" w:cs="Angsana New"/>
      <w:lang w:eastAsia="zh-CN" w:bidi="th-TH"/>
    </w:rPr>
  </w:style>
  <w:style w:type="paragraph" w:customStyle="1" w:styleId="ScheduleL6">
    <w:name w:val="Schedule L6"/>
    <w:basedOn w:val="Normal"/>
    <w:rsid w:val="00E219D4"/>
    <w:pPr>
      <w:numPr>
        <w:ilvl w:val="5"/>
        <w:numId w:val="4"/>
      </w:numPr>
      <w:spacing w:after="140" w:line="280" w:lineRule="atLeast"/>
      <w:outlineLvl w:val="5"/>
    </w:pPr>
    <w:rPr>
      <w:rFonts w:ascii="Times New Roman" w:eastAsia="Times New Roman" w:hAnsi="Times New Roman" w:cs="Angsana New"/>
      <w:lang w:eastAsia="zh-CN" w:bidi="th-TH"/>
    </w:rPr>
  </w:style>
  <w:style w:type="paragraph" w:customStyle="1" w:styleId="MESubheading">
    <w:name w:val="ME Sub heading"/>
    <w:basedOn w:val="Normal"/>
    <w:next w:val="Normal"/>
    <w:rsid w:val="00E219D4"/>
    <w:pPr>
      <w:spacing w:before="200" w:line="400" w:lineRule="exact"/>
    </w:pPr>
    <w:rPr>
      <w:rFonts w:ascii="Arial" w:eastAsia="Times New Roman" w:hAnsi="Arial" w:cs="Angsana New"/>
      <w:spacing w:val="-10"/>
      <w:w w:val="95"/>
      <w:sz w:val="40"/>
      <w:szCs w:val="40"/>
      <w:lang w:eastAsia="zh-CN" w:bidi="th-TH"/>
    </w:rPr>
  </w:style>
  <w:style w:type="paragraph" w:customStyle="1" w:styleId="CoverPageDetails">
    <w:name w:val="CoverPageDetails"/>
    <w:basedOn w:val="Normal"/>
    <w:rsid w:val="00E219D4"/>
    <w:pPr>
      <w:spacing w:after="240" w:line="480" w:lineRule="exact"/>
    </w:pPr>
    <w:rPr>
      <w:rFonts w:ascii="Arial" w:eastAsia="Times New Roman" w:hAnsi="Arial" w:cs="Angsana New"/>
      <w:spacing w:val="-10"/>
      <w:w w:val="95"/>
      <w:sz w:val="40"/>
      <w:szCs w:val="40"/>
      <w:lang w:eastAsia="zh-CN" w:bidi="th-TH"/>
    </w:rPr>
  </w:style>
  <w:style w:type="paragraph" w:customStyle="1" w:styleId="CoverPageNames">
    <w:name w:val="CoverPageNames"/>
    <w:basedOn w:val="Normal"/>
    <w:rsid w:val="00E219D4"/>
    <w:pPr>
      <w:spacing w:after="80" w:line="320" w:lineRule="exact"/>
    </w:pPr>
    <w:rPr>
      <w:rFonts w:ascii="Arial" w:eastAsia="Times New Roman" w:hAnsi="Arial" w:cs="Angsana New"/>
      <w:sz w:val="24"/>
      <w:szCs w:val="24"/>
      <w:lang w:eastAsia="zh-CN" w:bidi="th-TH"/>
    </w:rPr>
  </w:style>
  <w:style w:type="paragraph" w:customStyle="1" w:styleId="DraftText">
    <w:name w:val="DraftText"/>
    <w:basedOn w:val="Normal"/>
    <w:semiHidden/>
    <w:rsid w:val="00E219D4"/>
    <w:pPr>
      <w:spacing w:after="0" w:line="280" w:lineRule="atLeast"/>
    </w:pPr>
    <w:rPr>
      <w:rFonts w:ascii="Arial" w:eastAsia="Times New Roman" w:hAnsi="Arial" w:cs="Angsana New"/>
      <w:sz w:val="20"/>
      <w:szCs w:val="20"/>
      <w:lang w:eastAsia="zh-CN" w:bidi="th-TH"/>
    </w:rPr>
  </w:style>
  <w:style w:type="paragraph" w:customStyle="1" w:styleId="MEChapterheading">
    <w:name w:val="ME Chapter heading"/>
    <w:basedOn w:val="Normal"/>
    <w:next w:val="Normal"/>
    <w:link w:val="MEChapterheadingChar"/>
    <w:rsid w:val="00E219D4"/>
    <w:p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PartiesDetails">
    <w:name w:val="PartiesDetails"/>
    <w:basedOn w:val="Normal"/>
    <w:next w:val="Normal"/>
    <w:rsid w:val="00E219D4"/>
    <w:pPr>
      <w:spacing w:after="0" w:line="280" w:lineRule="atLeast"/>
    </w:pPr>
    <w:rPr>
      <w:rFonts w:ascii="Times New Roman" w:eastAsia="Times New Roman" w:hAnsi="Times New Roman" w:cs="Angsana New"/>
      <w:lang w:eastAsia="zh-CN" w:bidi="th-TH"/>
    </w:rPr>
  </w:style>
  <w:style w:type="paragraph" w:styleId="TOC2">
    <w:name w:val="toc 2"/>
    <w:basedOn w:val="Normal"/>
    <w:next w:val="Normal"/>
    <w:autoRedefine/>
    <w:uiPriority w:val="39"/>
    <w:rsid w:val="00E219D4"/>
    <w:pPr>
      <w:tabs>
        <w:tab w:val="right" w:pos="9072"/>
      </w:tabs>
      <w:spacing w:before="140" w:after="60" w:line="280" w:lineRule="atLeast"/>
      <w:ind w:left="680" w:hanging="680"/>
    </w:pPr>
    <w:rPr>
      <w:rFonts w:ascii="Arial" w:eastAsia="Times New Roman" w:hAnsi="Arial" w:cs="Arial"/>
      <w:b/>
      <w:bCs/>
      <w:w w:val="95"/>
      <w:sz w:val="24"/>
      <w:szCs w:val="24"/>
      <w:lang w:eastAsia="zh-CN" w:bidi="th-TH"/>
    </w:rPr>
  </w:style>
  <w:style w:type="paragraph" w:customStyle="1" w:styleId="Level1">
    <w:name w:val="Level 1"/>
    <w:basedOn w:val="Normal"/>
    <w:rsid w:val="00E219D4"/>
    <w:pPr>
      <w:numPr>
        <w:numId w:val="1"/>
      </w:numPr>
      <w:spacing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E219D4"/>
    <w:pPr>
      <w:numPr>
        <w:ilvl w:val="1"/>
        <w:numId w:val="1"/>
      </w:numPr>
      <w:tabs>
        <w:tab w:val="clear" w:pos="1361"/>
      </w:tabs>
      <w:spacing w:after="140" w:line="280" w:lineRule="atLeast"/>
      <w:outlineLvl w:val="1"/>
    </w:pPr>
    <w:rPr>
      <w:rFonts w:ascii="Times New Roman" w:eastAsia="Times New Roman" w:hAnsi="Times New Roman" w:cs="Angsana New"/>
      <w:lang w:eastAsia="zh-CN" w:bidi="th-TH"/>
    </w:rPr>
  </w:style>
  <w:style w:type="paragraph" w:customStyle="1" w:styleId="PartL1">
    <w:name w:val="Part L1"/>
    <w:basedOn w:val="Normal"/>
    <w:next w:val="Normal"/>
    <w:rsid w:val="00E219D4"/>
    <w:pPr>
      <w:numPr>
        <w:numId w:val="2"/>
      </w:numPr>
      <w:spacing w:before="200" w:line="400" w:lineRule="exact"/>
      <w:outlineLvl w:val="0"/>
    </w:pPr>
    <w:rPr>
      <w:rFonts w:ascii="Arial" w:eastAsia="Times New Roman" w:hAnsi="Arial" w:cs="Angsana New"/>
      <w:spacing w:val="-10"/>
      <w:w w:val="95"/>
      <w:sz w:val="40"/>
      <w:szCs w:val="40"/>
      <w:lang w:eastAsia="zh-CN" w:bidi="th-TH"/>
    </w:rPr>
  </w:style>
  <w:style w:type="paragraph" w:customStyle="1" w:styleId="Level3">
    <w:name w:val="Level 3"/>
    <w:basedOn w:val="Normal"/>
    <w:rsid w:val="00E219D4"/>
    <w:pPr>
      <w:numPr>
        <w:ilvl w:val="2"/>
        <w:numId w:val="1"/>
      </w:numPr>
      <w:tabs>
        <w:tab w:val="clear" w:pos="2041"/>
      </w:tabs>
      <w:spacing w:after="140" w:line="280" w:lineRule="atLeast"/>
      <w:outlineLvl w:val="2"/>
    </w:pPr>
    <w:rPr>
      <w:rFonts w:ascii="Times New Roman" w:eastAsia="Times New Roman" w:hAnsi="Times New Roman" w:cs="Angsana New"/>
      <w:lang w:eastAsia="zh-CN" w:bidi="th-TH"/>
    </w:rPr>
  </w:style>
  <w:style w:type="character" w:styleId="Hyperlink">
    <w:name w:val="Hyperlink"/>
    <w:basedOn w:val="DefaultParagraphFont"/>
    <w:uiPriority w:val="99"/>
    <w:rsid w:val="00E219D4"/>
    <w:rPr>
      <w:color w:val="0000FF"/>
      <w:u w:val="single"/>
    </w:rPr>
  </w:style>
  <w:style w:type="paragraph" w:customStyle="1" w:styleId="SchedH3">
    <w:name w:val="SchedH3"/>
    <w:basedOn w:val="Normal"/>
    <w:rsid w:val="00E219D4"/>
    <w:pPr>
      <w:numPr>
        <w:ilvl w:val="2"/>
        <w:numId w:val="2"/>
      </w:numPr>
      <w:spacing w:after="240" w:line="240" w:lineRule="auto"/>
    </w:pPr>
    <w:rPr>
      <w:rFonts w:ascii="Times New Roman" w:eastAsia="Times New Roman" w:hAnsi="Times New Roman" w:cs="Times New Roman"/>
      <w:sz w:val="23"/>
      <w:szCs w:val="20"/>
    </w:rPr>
  </w:style>
  <w:style w:type="character" w:customStyle="1" w:styleId="MEChapterheadingChar">
    <w:name w:val="ME Chapter heading Char"/>
    <w:basedOn w:val="DefaultParagraphFont"/>
    <w:link w:val="MEChapterheading"/>
    <w:rsid w:val="00E219D4"/>
    <w:rPr>
      <w:rFonts w:ascii="Arial" w:eastAsia="Times New Roman" w:hAnsi="Arial" w:cs="Angsana New"/>
      <w:spacing w:val="-10"/>
      <w:w w:val="95"/>
      <w:sz w:val="48"/>
      <w:szCs w:val="48"/>
      <w:lang w:eastAsia="zh-CN" w:bidi="th-TH"/>
    </w:rPr>
  </w:style>
  <w:style w:type="character" w:customStyle="1" w:styleId="MELegal4Char">
    <w:name w:val="ME Legal 4 Char"/>
    <w:link w:val="MELegal4"/>
    <w:rsid w:val="00E219D4"/>
    <w:rPr>
      <w:rFonts w:ascii="Times New Roman" w:eastAsia="Times New Roman" w:hAnsi="Times New Roman" w:cs="Angsana New"/>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evies.management@agriculture.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vies.management@agriculture.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levies.finance@agriculture.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vies.management@agricul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E7CE-9318-497B-BA94-72237E01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Meritt Nassif</cp:lastModifiedBy>
  <cp:revision>3</cp:revision>
  <cp:lastPrinted>2013-06-24T01:35:00Z</cp:lastPrinted>
  <dcterms:created xsi:type="dcterms:W3CDTF">2015-10-07T05:39:00Z</dcterms:created>
  <dcterms:modified xsi:type="dcterms:W3CDTF">2015-10-07T05:52:00Z</dcterms:modified>
</cp:coreProperties>
</file>