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4985" w14:textId="77777777" w:rsidR="00AD03DB" w:rsidRPr="00A225EC" w:rsidRDefault="00AD03DB">
      <w:pPr>
        <w:pStyle w:val="Title"/>
        <w:rPr>
          <w:color w:val="000000"/>
        </w:rPr>
      </w:pPr>
      <w:r w:rsidRPr="00A225EC">
        <w:rPr>
          <w:color w:val="000000"/>
        </w:rPr>
        <w:t>COMMONWEALTH OF AUSTRALIA</w:t>
      </w:r>
    </w:p>
    <w:p w14:paraId="54A02DFC" w14:textId="77777777" w:rsidR="00AD03DB" w:rsidRPr="00A225EC" w:rsidRDefault="00AD03DB">
      <w:pPr>
        <w:jc w:val="center"/>
        <w:rPr>
          <w:b/>
          <w:i/>
          <w:color w:val="000000"/>
        </w:rPr>
      </w:pPr>
      <w:r w:rsidRPr="00A225EC">
        <w:rPr>
          <w:b/>
          <w:i/>
          <w:color w:val="000000"/>
        </w:rPr>
        <w:t>Foreign Acquisitions and Takeovers Act 1975</w:t>
      </w:r>
    </w:p>
    <w:p w14:paraId="20110A81" w14:textId="77777777" w:rsidR="00AD03DB" w:rsidRPr="00A225EC" w:rsidRDefault="00AD03DB">
      <w:pPr>
        <w:jc w:val="center"/>
        <w:rPr>
          <w:b/>
          <w:color w:val="000000"/>
        </w:rPr>
      </w:pPr>
      <w:r w:rsidRPr="00A225EC">
        <w:rPr>
          <w:b/>
          <w:color w:val="000000"/>
        </w:rPr>
        <w:t>ORDER UNDER SUBSECTION 22(1)</w:t>
      </w:r>
    </w:p>
    <w:p w14:paraId="48CCBBF2" w14:textId="77777777" w:rsidR="00AD03DB" w:rsidRPr="00A225EC" w:rsidRDefault="00AD03DB">
      <w:pPr>
        <w:spacing w:before="0"/>
        <w:jc w:val="left"/>
        <w:rPr>
          <w:color w:val="000000"/>
        </w:rPr>
      </w:pPr>
    </w:p>
    <w:p w14:paraId="71531EE2" w14:textId="77777777" w:rsidR="00AD03DB" w:rsidRPr="00A225EC" w:rsidRDefault="00AD03DB">
      <w:pPr>
        <w:rPr>
          <w:color w:val="000000"/>
        </w:rPr>
      </w:pPr>
      <w:r w:rsidRPr="00A225EC">
        <w:rPr>
          <w:color w:val="000000"/>
        </w:rPr>
        <w:t>WHEREAS -</w:t>
      </w:r>
    </w:p>
    <w:p w14:paraId="1CD4BA7E" w14:textId="77777777" w:rsidR="00AD03DB" w:rsidRPr="00A225EC" w:rsidRDefault="00AD03DB">
      <w:pPr>
        <w:rPr>
          <w:color w:val="000000"/>
        </w:rPr>
      </w:pPr>
    </w:p>
    <w:p w14:paraId="280326F4" w14:textId="06143F9A" w:rsidR="00AD03DB" w:rsidRPr="00A225EC" w:rsidRDefault="00AD03DB">
      <w:pPr>
        <w:ind w:left="820" w:hanging="820"/>
        <w:jc w:val="left"/>
        <w:rPr>
          <w:color w:val="000000"/>
        </w:rPr>
      </w:pPr>
      <w:r w:rsidRPr="00A225EC">
        <w:rPr>
          <w:color w:val="000000"/>
        </w:rPr>
        <w:t>(A)</w:t>
      </w:r>
      <w:r w:rsidRPr="00A225EC">
        <w:rPr>
          <w:color w:val="000000"/>
        </w:rPr>
        <w:tab/>
      </w:r>
      <w:r w:rsidRPr="00A225EC">
        <w:rPr>
          <w:color w:val="000000"/>
        </w:rPr>
        <w:tab/>
      </w:r>
      <w:proofErr w:type="spellStart"/>
      <w:r w:rsidR="00426AF0">
        <w:rPr>
          <w:color w:val="000000"/>
        </w:rPr>
        <w:t>Binhqin</w:t>
      </w:r>
      <w:proofErr w:type="spellEnd"/>
      <w:r w:rsidR="00426AF0">
        <w:rPr>
          <w:color w:val="000000"/>
        </w:rPr>
        <w:t xml:space="preserve"> Chen</w:t>
      </w:r>
      <w:r w:rsidR="00F4119F">
        <w:rPr>
          <w:color w:val="000000"/>
        </w:rPr>
        <w:t xml:space="preserve"> is a</w:t>
      </w:r>
      <w:r w:rsidR="00D2142C" w:rsidRPr="00A225EC">
        <w:rPr>
          <w:snapToGrid w:val="0"/>
          <w:color w:val="000000"/>
          <w:lang w:eastAsia="en-US"/>
        </w:rPr>
        <w:t xml:space="preserve"> foreign person for the purposes of section 21A of the </w:t>
      </w:r>
      <w:r w:rsidR="00D2142C" w:rsidRPr="00A225EC">
        <w:rPr>
          <w:i/>
          <w:snapToGrid w:val="0"/>
          <w:color w:val="000000"/>
          <w:lang w:eastAsia="en-US"/>
        </w:rPr>
        <w:t>Foreign Acquisitions and Takeovers Act 1975</w:t>
      </w:r>
      <w:r w:rsidR="00D2142C" w:rsidRPr="00A225EC">
        <w:rPr>
          <w:snapToGrid w:val="0"/>
          <w:color w:val="000000"/>
          <w:lang w:eastAsia="en-US"/>
        </w:rPr>
        <w:t xml:space="preserve"> (‘the Act’)</w:t>
      </w:r>
      <w:r w:rsidRPr="00A225EC">
        <w:rPr>
          <w:color w:val="000000"/>
        </w:rPr>
        <w:t>;</w:t>
      </w:r>
    </w:p>
    <w:p w14:paraId="1BFA1471" w14:textId="77777777" w:rsidR="00AD03DB" w:rsidRPr="00A225EC" w:rsidRDefault="00AD03DB">
      <w:pPr>
        <w:ind w:left="820" w:hanging="820"/>
        <w:rPr>
          <w:color w:val="000000"/>
        </w:rPr>
      </w:pPr>
    </w:p>
    <w:p w14:paraId="63EEF68F" w14:textId="489C2356" w:rsidR="00AD03DB" w:rsidRPr="00A225EC" w:rsidRDefault="00AD03DB" w:rsidP="00FE72F6">
      <w:pPr>
        <w:spacing w:line="240" w:lineRule="auto"/>
        <w:ind w:left="820" w:hanging="820"/>
        <w:rPr>
          <w:color w:val="000000"/>
        </w:rPr>
      </w:pPr>
      <w:r w:rsidRPr="00A225EC">
        <w:rPr>
          <w:color w:val="000000"/>
        </w:rPr>
        <w:t>(B)</w:t>
      </w:r>
      <w:r w:rsidRPr="00A225EC">
        <w:rPr>
          <w:color w:val="000000"/>
        </w:rPr>
        <w:tab/>
      </w:r>
      <w:r w:rsidRPr="00A225EC">
        <w:rPr>
          <w:color w:val="000000"/>
        </w:rPr>
        <w:tab/>
      </w:r>
      <w:proofErr w:type="spellStart"/>
      <w:r w:rsidR="00426AF0">
        <w:rPr>
          <w:color w:val="000000"/>
        </w:rPr>
        <w:t>Bingqin</w:t>
      </w:r>
      <w:proofErr w:type="spellEnd"/>
      <w:r w:rsidR="00426AF0">
        <w:rPr>
          <w:color w:val="000000"/>
        </w:rPr>
        <w:t xml:space="preserve"> Chen</w:t>
      </w:r>
      <w:r w:rsidR="00F4119F">
        <w:rPr>
          <w:color w:val="000000"/>
        </w:rPr>
        <w:t xml:space="preserve"> </w:t>
      </w:r>
      <w:r w:rsidR="00D2142C" w:rsidRPr="00A225EC">
        <w:rPr>
          <w:snapToGrid w:val="0"/>
          <w:color w:val="000000"/>
          <w:lang w:eastAsia="en-US"/>
        </w:rPr>
        <w:t>propose</w:t>
      </w:r>
      <w:r w:rsidR="00F4119F">
        <w:rPr>
          <w:snapToGrid w:val="0"/>
          <w:color w:val="000000"/>
          <w:lang w:eastAsia="en-US"/>
        </w:rPr>
        <w:t>s</w:t>
      </w:r>
      <w:r w:rsidR="00D2142C" w:rsidRPr="00A225EC">
        <w:rPr>
          <w:snapToGrid w:val="0"/>
          <w:color w:val="000000"/>
          <w:lang w:eastAsia="en-US"/>
        </w:rPr>
        <w:t xml:space="preserve"> to acquire an interes</w:t>
      </w:r>
      <w:r w:rsidR="00FE72F6">
        <w:rPr>
          <w:snapToGrid w:val="0"/>
          <w:color w:val="000000"/>
          <w:lang w:eastAsia="en-US"/>
        </w:rPr>
        <w:t xml:space="preserve">t in </w:t>
      </w:r>
      <w:r w:rsidR="00F4119F">
        <w:rPr>
          <w:snapToGrid w:val="0"/>
          <w:color w:val="000000"/>
          <w:lang w:eastAsia="en-US"/>
        </w:rPr>
        <w:t>Australian Residential Real Estate known</w:t>
      </w:r>
      <w:r w:rsidR="00D2142C" w:rsidRPr="00A225EC">
        <w:rPr>
          <w:snapToGrid w:val="0"/>
          <w:color w:val="000000"/>
          <w:lang w:eastAsia="en-US"/>
        </w:rPr>
        <w:t xml:space="preserve"> as </w:t>
      </w:r>
      <w:r w:rsidR="00426AF0">
        <w:rPr>
          <w:b/>
          <w:color w:val="000000"/>
        </w:rPr>
        <w:t xml:space="preserve">4 Benton Court, </w:t>
      </w:r>
      <w:proofErr w:type="spellStart"/>
      <w:r w:rsidR="00426AF0">
        <w:rPr>
          <w:b/>
          <w:color w:val="000000"/>
        </w:rPr>
        <w:t>Courtdoncaster</w:t>
      </w:r>
      <w:proofErr w:type="spellEnd"/>
      <w:r w:rsidR="00426AF0">
        <w:rPr>
          <w:b/>
          <w:color w:val="000000"/>
        </w:rPr>
        <w:t>, VIC, 3108</w:t>
      </w:r>
      <w:r w:rsidR="00F4119F" w:rsidRPr="00821013">
        <w:rPr>
          <w:b/>
          <w:color w:val="000000"/>
        </w:rPr>
        <w:t xml:space="preserve"> </w:t>
      </w:r>
      <w:r w:rsidR="00D2142C" w:rsidRPr="00A225EC">
        <w:rPr>
          <w:snapToGrid w:val="0"/>
          <w:color w:val="000000"/>
          <w:lang w:eastAsia="en-US"/>
        </w:rPr>
        <w:t>as specifi</w:t>
      </w:r>
      <w:r w:rsidR="009D6A18">
        <w:rPr>
          <w:snapToGrid w:val="0"/>
          <w:color w:val="000000"/>
          <w:lang w:eastAsia="en-US"/>
        </w:rPr>
        <w:t xml:space="preserve">ed in the notice furnished on </w:t>
      </w:r>
      <w:r w:rsidR="00426AF0">
        <w:rPr>
          <w:snapToGrid w:val="0"/>
          <w:color w:val="000000"/>
          <w:lang w:eastAsia="en-US"/>
        </w:rPr>
        <w:t>30</w:t>
      </w:r>
      <w:r w:rsidR="001D22A5">
        <w:rPr>
          <w:snapToGrid w:val="0"/>
          <w:color w:val="000000"/>
          <w:lang w:eastAsia="en-US"/>
        </w:rPr>
        <w:t xml:space="preserve"> October</w:t>
      </w:r>
      <w:r w:rsidR="006F4E02">
        <w:rPr>
          <w:snapToGrid w:val="0"/>
          <w:color w:val="000000"/>
          <w:lang w:eastAsia="en-US"/>
        </w:rPr>
        <w:t xml:space="preserve"> 2015</w:t>
      </w:r>
      <w:r w:rsidR="00D2142C" w:rsidRPr="00A225EC">
        <w:rPr>
          <w:snapToGrid w:val="0"/>
          <w:color w:val="000000"/>
          <w:lang w:eastAsia="en-US"/>
        </w:rPr>
        <w:t xml:space="preserve"> under section 26A of the Act</w:t>
      </w:r>
      <w:r w:rsidRPr="00A225EC">
        <w:rPr>
          <w:color w:val="000000"/>
        </w:rPr>
        <w:t>;</w:t>
      </w:r>
    </w:p>
    <w:p w14:paraId="6175BF0A" w14:textId="77777777" w:rsidR="00AD03DB" w:rsidRPr="00A225EC" w:rsidRDefault="00AD03DB">
      <w:pPr>
        <w:rPr>
          <w:color w:val="000000"/>
        </w:rPr>
      </w:pPr>
    </w:p>
    <w:p w14:paraId="7D2EBC78" w14:textId="398942B3" w:rsidR="00AD03DB" w:rsidRPr="00A225EC" w:rsidRDefault="00AD03DB">
      <w:pPr>
        <w:pStyle w:val="BodyText"/>
        <w:rPr>
          <w:color w:val="000000"/>
        </w:rPr>
      </w:pPr>
      <w:r w:rsidRPr="00A225EC">
        <w:rPr>
          <w:color w:val="000000"/>
        </w:rPr>
        <w:t xml:space="preserve">NOW THEREFORE I, </w:t>
      </w:r>
      <w:r w:rsidR="00426AF0">
        <w:rPr>
          <w:color w:val="000000"/>
        </w:rPr>
        <w:t>Karen Dunn</w:t>
      </w:r>
      <w:r w:rsidR="001F64CA">
        <w:rPr>
          <w:color w:val="000000"/>
        </w:rPr>
        <w:t xml:space="preserve">, </w:t>
      </w:r>
      <w:r w:rsidR="005C6133">
        <w:rPr>
          <w:color w:val="000000"/>
        </w:rPr>
        <w:t>Principal Adviser</w:t>
      </w:r>
      <w:r w:rsidR="000B64AC" w:rsidRPr="00A225EC">
        <w:rPr>
          <w:color w:val="000000"/>
        </w:rPr>
        <w:t>,</w:t>
      </w:r>
      <w:r w:rsidRPr="00A225EC">
        <w:rPr>
          <w:color w:val="000000"/>
        </w:rPr>
        <w:t xml:space="preserve"> Foreign Investment </w:t>
      </w:r>
      <w:r w:rsidR="003D3497" w:rsidRPr="00A225EC">
        <w:rPr>
          <w:color w:val="000000"/>
        </w:rPr>
        <w:t xml:space="preserve">and Trade </w:t>
      </w:r>
      <w:r w:rsidRPr="00A225EC">
        <w:rPr>
          <w:color w:val="000000"/>
        </w:rPr>
        <w:t>Policy Division of the Treasury and authorised to make this order for and on behalf of the Treasurer pursuant to subsection 22(1) of the Act, for the purpose of enabling consideration to be given as to whether an order should be made under subsection </w:t>
      </w:r>
      <w:proofErr w:type="gramStart"/>
      <w:r w:rsidRPr="00A225EC">
        <w:rPr>
          <w:color w:val="000000"/>
        </w:rPr>
        <w:t>21A(</w:t>
      </w:r>
      <w:proofErr w:type="gramEnd"/>
      <w:r w:rsidRPr="00A225EC">
        <w:rPr>
          <w:color w:val="000000"/>
        </w:rPr>
        <w:t>2) of the Act in respect of the proposed acquisition, PROHIBIT the proposed acquisition for a period not exceeding ninety days after this order comes into operation.</w:t>
      </w:r>
    </w:p>
    <w:p w14:paraId="05013FA2" w14:textId="77777777" w:rsidR="00AD03DB" w:rsidRPr="00A225EC" w:rsidRDefault="00AD03DB">
      <w:pPr>
        <w:rPr>
          <w:color w:val="000000"/>
        </w:rPr>
      </w:pPr>
    </w:p>
    <w:p w14:paraId="1BF2DCE1" w14:textId="1551FB2D" w:rsidR="00AD03DB" w:rsidRDefault="00AD03DB">
      <w:pPr>
        <w:rPr>
          <w:color w:val="000000"/>
        </w:rPr>
      </w:pPr>
      <w:proofErr w:type="gramStart"/>
      <w:r w:rsidRPr="00A225EC">
        <w:rPr>
          <w:color w:val="000000"/>
        </w:rPr>
        <w:t>Dated this</w:t>
      </w:r>
      <w:r w:rsidR="00044607">
        <w:rPr>
          <w:color w:val="000000"/>
        </w:rPr>
        <w:t xml:space="preserve"> 30</w:t>
      </w:r>
      <w:r w:rsidR="00044607" w:rsidRPr="00044607">
        <w:rPr>
          <w:color w:val="000000"/>
          <w:vertAlign w:val="superscript"/>
        </w:rPr>
        <w:t>th</w:t>
      </w:r>
      <w:r w:rsidR="00044607">
        <w:rPr>
          <w:color w:val="000000"/>
        </w:rPr>
        <w:t xml:space="preserve"> </w:t>
      </w:r>
      <w:r w:rsidRPr="00A225EC">
        <w:rPr>
          <w:color w:val="000000"/>
        </w:rPr>
        <w:t xml:space="preserve">day </w:t>
      </w:r>
      <w:r w:rsidR="00044607">
        <w:rPr>
          <w:color w:val="000000"/>
        </w:rPr>
        <w:t xml:space="preserve">of November </w:t>
      </w:r>
      <w:r w:rsidR="001F64CA">
        <w:rPr>
          <w:color w:val="000000"/>
        </w:rPr>
        <w:t>2015</w:t>
      </w:r>
      <w:r w:rsidRPr="00A225EC">
        <w:rPr>
          <w:color w:val="000000"/>
        </w:rPr>
        <w:t>.</w:t>
      </w:r>
      <w:proofErr w:type="gramEnd"/>
    </w:p>
    <w:p w14:paraId="4F1071F6" w14:textId="77777777" w:rsidR="00560CDD" w:rsidRDefault="00560CDD">
      <w:pPr>
        <w:rPr>
          <w:color w:val="000000"/>
        </w:rPr>
      </w:pPr>
    </w:p>
    <w:p w14:paraId="44F0DC7C" w14:textId="77777777" w:rsidR="00560CDD" w:rsidRDefault="00560CDD" w:rsidP="00560CDD">
      <w:pPr>
        <w:rPr>
          <w:color w:val="000000"/>
        </w:rPr>
      </w:pPr>
      <w:bookmarkStart w:id="0" w:name="_GoBack"/>
      <w:bookmarkEnd w:id="0"/>
    </w:p>
    <w:p w14:paraId="67474D06" w14:textId="77777777" w:rsidR="00560CDD" w:rsidRDefault="00560CDD" w:rsidP="000533F1">
      <w:pPr>
        <w:spacing w:line="240" w:lineRule="auto"/>
        <w:rPr>
          <w:color w:val="000000"/>
        </w:rPr>
      </w:pPr>
    </w:p>
    <w:p w14:paraId="61BD0237" w14:textId="3CB43BD9" w:rsidR="005C6133" w:rsidRDefault="00426AF0" w:rsidP="00A02FBB">
      <w:pPr>
        <w:pStyle w:val="SinglePara"/>
        <w:rPr>
          <w:color w:val="000000"/>
        </w:rPr>
      </w:pPr>
      <w:r>
        <w:rPr>
          <w:color w:val="000000"/>
        </w:rPr>
        <w:t>Karen Dunn</w:t>
      </w:r>
      <w:r w:rsidR="00A02FBB">
        <w:rPr>
          <w:color w:val="000000"/>
        </w:rPr>
        <w:br/>
        <w:t>Principal</w:t>
      </w:r>
      <w:r w:rsidR="005C6133">
        <w:rPr>
          <w:color w:val="000000"/>
        </w:rPr>
        <w:t xml:space="preserve"> Adviser</w:t>
      </w:r>
      <w:r w:rsidR="00A02FBB">
        <w:rPr>
          <w:color w:val="000000"/>
        </w:rPr>
        <w:t xml:space="preserve">, </w:t>
      </w:r>
    </w:p>
    <w:p w14:paraId="7B757272" w14:textId="2B0ADD83" w:rsidR="00A02FBB" w:rsidRPr="00E4276D" w:rsidRDefault="00A02FBB" w:rsidP="00A02FBB">
      <w:pPr>
        <w:pStyle w:val="SinglePara"/>
        <w:rPr>
          <w:color w:val="000000"/>
        </w:rPr>
      </w:pPr>
      <w:r>
        <w:rPr>
          <w:color w:val="000000"/>
        </w:rPr>
        <w:t>Foreign Investment and Trade Policy Division</w:t>
      </w:r>
    </w:p>
    <w:p w14:paraId="3562C010" w14:textId="162798C0" w:rsidR="001F64CA" w:rsidRDefault="001F64CA" w:rsidP="000533F1">
      <w:pPr>
        <w:spacing w:after="0" w:line="240" w:lineRule="auto"/>
        <w:jc w:val="left"/>
        <w:rPr>
          <w:color w:val="000000"/>
        </w:rPr>
      </w:pPr>
      <w:r>
        <w:rPr>
          <w:color w:val="000000"/>
        </w:rPr>
        <w:br/>
      </w:r>
      <w:r>
        <w:rPr>
          <w:color w:val="000000"/>
        </w:rPr>
        <w:br/>
      </w:r>
      <w:r>
        <w:rPr>
          <w:color w:val="000000"/>
        </w:rPr>
        <w:br/>
      </w:r>
      <w:r>
        <w:rPr>
          <w:color w:val="000000"/>
        </w:rPr>
        <w:br/>
      </w:r>
    </w:p>
    <w:p w14:paraId="286EFA55" w14:textId="77777777" w:rsidR="001F64CA" w:rsidRPr="00A225EC" w:rsidRDefault="001F64CA" w:rsidP="001F64CA">
      <w:pPr>
        <w:rPr>
          <w:color w:val="000000"/>
        </w:rPr>
      </w:pPr>
    </w:p>
    <w:sectPr w:rsidR="001F64CA" w:rsidRPr="00A225EC">
      <w:headerReference w:type="default" r:id="rId13"/>
      <w:type w:val="continuous"/>
      <w:pgSz w:w="11880" w:h="16820"/>
      <w:pgMar w:top="1134" w:right="1418" w:bottom="1134" w:left="1418" w:header="737" w:footer="73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9832" w14:textId="77777777" w:rsidR="00F5487E" w:rsidRDefault="00F5487E">
      <w:r>
        <w:separator/>
      </w:r>
    </w:p>
  </w:endnote>
  <w:endnote w:type="continuationSeparator" w:id="0">
    <w:p w14:paraId="1EA973A9" w14:textId="77777777" w:rsidR="00F5487E" w:rsidRDefault="00F5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66486" w14:textId="77777777" w:rsidR="00F5487E" w:rsidRDefault="00F5487E">
      <w:r>
        <w:separator/>
      </w:r>
    </w:p>
  </w:footnote>
  <w:footnote w:type="continuationSeparator" w:id="0">
    <w:p w14:paraId="788D7376" w14:textId="77777777" w:rsidR="00F5487E" w:rsidRDefault="00F5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044607" w:rsidRPr="00CE796A" w14:paraId="55F1DA15" w14:textId="77777777" w:rsidTr="005439C7">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5CC27922" w14:textId="77777777" w:rsidR="00044607" w:rsidRPr="00CE796A" w:rsidRDefault="00044607" w:rsidP="005439C7">
          <w:pPr>
            <w:spacing w:before="60" w:after="0"/>
            <w:ind w:left="-51"/>
            <w:rPr>
              <w:rFonts w:ascii="Arial" w:hAnsi="Arial"/>
              <w:sz w:val="12"/>
            </w:rPr>
          </w:pPr>
          <w:bookmarkStart w:id="1" w:name="OLE_LINK2"/>
          <w:r>
            <w:rPr>
              <w:rFonts w:ascii="Arial" w:hAnsi="Arial"/>
              <w:noProof/>
              <w:sz w:val="12"/>
            </w:rPr>
            <w:drawing>
              <wp:inline distT="0" distB="0" distL="0" distR="0" wp14:anchorId="6974BBF1" wp14:editId="3E5AED82">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BADEEE9" w14:textId="77777777" w:rsidR="00044607" w:rsidRPr="00CE796A" w:rsidRDefault="00044607" w:rsidP="005439C7">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4AB32727" w14:textId="77777777" w:rsidR="00044607" w:rsidRPr="00CE796A" w:rsidRDefault="00044607" w:rsidP="005439C7">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044607" w:rsidRPr="00CE796A" w14:paraId="3895E4BB" w14:textId="77777777" w:rsidTr="005439C7">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3A484C71" w14:textId="77777777" w:rsidR="00044607" w:rsidRPr="00CE796A" w:rsidRDefault="00044607" w:rsidP="005439C7">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02A96BB6" w14:textId="77777777" w:rsidR="00044607" w:rsidRPr="00840A06" w:rsidRDefault="00044607" w:rsidP="005439C7">
          <w:pPr>
            <w:spacing w:after="0"/>
            <w:jc w:val="right"/>
            <w:rPr>
              <w:rFonts w:ascii="Arial" w:hAnsi="Arial" w:cs="Arial"/>
              <w:b/>
              <w:szCs w:val="24"/>
            </w:rPr>
          </w:pPr>
          <w:r w:rsidRPr="00840A06">
            <w:rPr>
              <w:rFonts w:ascii="Arial" w:hAnsi="Arial" w:cs="Arial"/>
              <w:b/>
              <w:szCs w:val="24"/>
            </w:rPr>
            <w:t>GOVERNMENT NOTICES</w:t>
          </w:r>
        </w:p>
      </w:tc>
    </w:tr>
    <w:bookmarkEnd w:id="1"/>
  </w:tbl>
  <w:p w14:paraId="58ACF69A" w14:textId="7BE9E17A" w:rsidR="00FE72F6" w:rsidRPr="00044607" w:rsidRDefault="00FE72F6">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DA"/>
    <w:rsid w:val="000001BE"/>
    <w:rsid w:val="00021CF7"/>
    <w:rsid w:val="000424E6"/>
    <w:rsid w:val="00044607"/>
    <w:rsid w:val="000533F1"/>
    <w:rsid w:val="00055DA7"/>
    <w:rsid w:val="00090969"/>
    <w:rsid w:val="000B64AC"/>
    <w:rsid w:val="00151C1C"/>
    <w:rsid w:val="001D22A5"/>
    <w:rsid w:val="001D33AD"/>
    <w:rsid w:val="001F64CA"/>
    <w:rsid w:val="001F77DF"/>
    <w:rsid w:val="003734B1"/>
    <w:rsid w:val="003C73AE"/>
    <w:rsid w:val="003D3497"/>
    <w:rsid w:val="00401CAD"/>
    <w:rsid w:val="004218B8"/>
    <w:rsid w:val="00426AF0"/>
    <w:rsid w:val="004545FC"/>
    <w:rsid w:val="0047319A"/>
    <w:rsid w:val="00493E8B"/>
    <w:rsid w:val="004D4E97"/>
    <w:rsid w:val="00560CDD"/>
    <w:rsid w:val="005C6133"/>
    <w:rsid w:val="005F2B34"/>
    <w:rsid w:val="00613B09"/>
    <w:rsid w:val="00614D65"/>
    <w:rsid w:val="00685861"/>
    <w:rsid w:val="006F4E02"/>
    <w:rsid w:val="00707BB8"/>
    <w:rsid w:val="00717301"/>
    <w:rsid w:val="00745C87"/>
    <w:rsid w:val="00821013"/>
    <w:rsid w:val="0088699E"/>
    <w:rsid w:val="009033A5"/>
    <w:rsid w:val="00960CE6"/>
    <w:rsid w:val="0096468E"/>
    <w:rsid w:val="009A0806"/>
    <w:rsid w:val="009B782F"/>
    <w:rsid w:val="009D6A18"/>
    <w:rsid w:val="00A02FBB"/>
    <w:rsid w:val="00A225EC"/>
    <w:rsid w:val="00A74090"/>
    <w:rsid w:val="00AD03DB"/>
    <w:rsid w:val="00B53651"/>
    <w:rsid w:val="00B878E1"/>
    <w:rsid w:val="00BF1DDA"/>
    <w:rsid w:val="00BF7D9B"/>
    <w:rsid w:val="00C52A6E"/>
    <w:rsid w:val="00D2142C"/>
    <w:rsid w:val="00DA0AFA"/>
    <w:rsid w:val="00E12091"/>
    <w:rsid w:val="00E65F5C"/>
    <w:rsid w:val="00EE0812"/>
    <w:rsid w:val="00EF5E00"/>
    <w:rsid w:val="00F4119F"/>
    <w:rsid w:val="00F5487E"/>
    <w:rsid w:val="00F9352D"/>
    <w:rsid w:val="00FE7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78A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s>
      <w:spacing w:before="120" w:after="120" w:line="300" w:lineRule="atLeast"/>
      <w:jc w:val="both"/>
    </w:pPr>
    <w:rPr>
      <w:sz w:val="24"/>
    </w:rPr>
  </w:style>
  <w:style w:type="paragraph" w:styleId="Heading1">
    <w:name w:val="heading 1"/>
    <w:aliases w:val="h1"/>
    <w:basedOn w:val="Normal"/>
    <w:next w:val="TxtParagraph"/>
    <w:qFormat/>
    <w:pPr>
      <w:keepNext/>
      <w:keepLines/>
      <w:widowControl/>
      <w:spacing w:before="280" w:line="310" w:lineRule="atLeast"/>
      <w:jc w:val="left"/>
      <w:outlineLvl w:val="0"/>
    </w:pPr>
    <w:rPr>
      <w:rFonts w:ascii="Optima" w:hAnsi="Optima"/>
      <w:b/>
      <w:smallCaps/>
      <w:sz w:val="26"/>
    </w:rPr>
  </w:style>
  <w:style w:type="paragraph" w:styleId="Heading2">
    <w:name w:val="heading 2"/>
    <w:aliases w:val="h2"/>
    <w:basedOn w:val="Normal"/>
    <w:next w:val="TxtParagraph"/>
    <w:qFormat/>
    <w:pPr>
      <w:keepNext/>
      <w:keepLines/>
      <w:widowControl/>
      <w:spacing w:before="240" w:after="60" w:line="270" w:lineRule="atLeast"/>
      <w:jc w:val="left"/>
      <w:outlineLvl w:val="1"/>
    </w:pPr>
    <w:rPr>
      <w:rFonts w:ascii="Optima" w:hAnsi="Optima"/>
      <w:b/>
    </w:rPr>
  </w:style>
  <w:style w:type="paragraph" w:styleId="Heading3">
    <w:name w:val="heading 3"/>
    <w:aliases w:val="h3"/>
    <w:basedOn w:val="Normal"/>
    <w:next w:val="TxtParagraph"/>
    <w:qFormat/>
    <w:pPr>
      <w:keepNext/>
      <w:keepLines/>
      <w:widowControl/>
      <w:spacing w:before="200" w:after="60" w:line="250" w:lineRule="atLeast"/>
      <w:jc w:val="left"/>
      <w:outlineLvl w:val="2"/>
    </w:pPr>
    <w:rPr>
      <w:rFonts w:ascii="Optima" w:hAnsi="Optima"/>
      <w:b/>
      <w:i/>
      <w:sz w:val="23"/>
    </w:rPr>
  </w:style>
  <w:style w:type="paragraph" w:styleId="Heading4">
    <w:name w:val="heading 4"/>
    <w:aliases w:val="h4"/>
    <w:basedOn w:val="Normal"/>
    <w:next w:val="TxtParagraph"/>
    <w:qFormat/>
    <w:pPr>
      <w:keepNext/>
      <w:keepLines/>
      <w:widowControl/>
      <w:spacing w:before="160" w:after="60" w:line="240" w:lineRule="atLeast"/>
      <w:jc w:val="left"/>
      <w:outlineLvl w:val="3"/>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tyle>
  <w:style w:type="paragraph" w:customStyle="1" w:styleId="Paragraph">
    <w:name w:val="Paragraph"/>
    <w:basedOn w:val="Body"/>
    <w:pPr>
      <w:spacing w:before="240"/>
    </w:pPr>
  </w:style>
  <w:style w:type="paragraph" w:styleId="Footer">
    <w:name w:val="footer"/>
    <w:basedOn w:val="Normal"/>
    <w:pPr>
      <w:widowControl/>
      <w:spacing w:before="0" w:after="0" w:line="220" w:lineRule="atLeast"/>
      <w:jc w:val="right"/>
    </w:pPr>
    <w:rPr>
      <w:rFonts w:ascii="Optima" w:hAnsi="Optima"/>
      <w:sz w:val="18"/>
    </w:rPr>
  </w:style>
  <w:style w:type="paragraph" w:styleId="Header">
    <w:name w:val="header"/>
    <w:basedOn w:val="Normal"/>
    <w:pPr>
      <w:widowControl/>
      <w:spacing w:before="240"/>
    </w:pPr>
    <w:rPr>
      <w:rFonts w:ascii="Optima" w:hAnsi="Optima"/>
      <w:position w:val="8"/>
      <w:sz w:val="18"/>
    </w:rPr>
  </w:style>
  <w:style w:type="paragraph" w:customStyle="1" w:styleId="i1">
    <w:name w:val="i1"/>
    <w:aliases w:val="-&gt;•-&gt;1cm"/>
    <w:basedOn w:val="Body"/>
    <w:pPr>
      <w:tabs>
        <w:tab w:val="right" w:pos="425"/>
      </w:tabs>
      <w:spacing w:before="240"/>
      <w:ind w:left="567" w:hanging="567"/>
    </w:pPr>
  </w:style>
  <w:style w:type="paragraph" w:customStyle="1" w:styleId="i2">
    <w:name w:val="i2"/>
    <w:aliases w:val="--&gt;•-&gt;2cm"/>
    <w:basedOn w:val="Body"/>
    <w:pPr>
      <w:tabs>
        <w:tab w:val="right" w:pos="992"/>
      </w:tabs>
      <w:spacing w:before="240"/>
      <w:ind w:left="1134" w:hanging="1134"/>
    </w:pPr>
  </w:style>
  <w:style w:type="paragraph" w:customStyle="1" w:styleId="i3">
    <w:name w:val="i3"/>
    <w:aliases w:val="---&gt;•-&gt;3cm"/>
    <w:basedOn w:val="Body"/>
    <w:pPr>
      <w:tabs>
        <w:tab w:val="right" w:pos="1559"/>
      </w:tabs>
      <w:spacing w:before="240"/>
      <w:ind w:left="1700" w:hanging="1700"/>
    </w:pPr>
  </w:style>
  <w:style w:type="paragraph" w:customStyle="1" w:styleId="i4">
    <w:name w:val="i4"/>
    <w:aliases w:val="----&gt;•-&gt;4cm"/>
    <w:basedOn w:val="Body"/>
    <w:pPr>
      <w:tabs>
        <w:tab w:val="right" w:pos="2126"/>
      </w:tabs>
      <w:spacing w:before="240"/>
      <w:ind w:left="2268" w:hanging="2268"/>
    </w:pPr>
  </w:style>
  <w:style w:type="paragraph" w:customStyle="1" w:styleId="Quotation">
    <w:name w:val="Quotation"/>
    <w:basedOn w:val="Body"/>
    <w:pPr>
      <w:spacing w:before="240"/>
      <w:ind w:left="851" w:right="851"/>
    </w:pPr>
  </w:style>
  <w:style w:type="paragraph" w:styleId="FootnoteText">
    <w:name w:val="footnote text"/>
    <w:basedOn w:val="Body"/>
    <w:semiHidden/>
    <w:pPr>
      <w:spacing w:line="240" w:lineRule="atLeast"/>
      <w:ind w:left="284" w:hanging="284"/>
    </w:pPr>
    <w:rPr>
      <w:sz w:val="20"/>
    </w:rPr>
  </w:style>
  <w:style w:type="paragraph" w:customStyle="1" w:styleId="TxtParagraph">
    <w:name w:val="Txt  Paragraph"/>
    <w:basedOn w:val="Normal"/>
    <w:pPr>
      <w:widowControl/>
    </w:pPr>
    <w:rPr>
      <w:color w:val="000000"/>
    </w:rPr>
  </w:style>
  <w:style w:type="paragraph" w:customStyle="1" w:styleId="TxtIndent1">
    <w:name w:val="Txt Indent 1"/>
    <w:basedOn w:val="TxtParagraph"/>
    <w:pPr>
      <w:tabs>
        <w:tab w:val="clear" w:pos="567"/>
      </w:tabs>
      <w:spacing w:before="80" w:after="80" w:line="280" w:lineRule="atLeast"/>
      <w:ind w:left="567" w:hanging="567"/>
    </w:pPr>
  </w:style>
  <w:style w:type="paragraph" w:customStyle="1" w:styleId="TxtIndent2">
    <w:name w:val="Txt Indent 2"/>
    <w:basedOn w:val="TxtParagraph"/>
    <w:pPr>
      <w:tabs>
        <w:tab w:val="clear" w:pos="567"/>
      </w:tabs>
      <w:spacing w:before="80" w:after="80" w:line="280" w:lineRule="atLeast"/>
      <w:ind w:left="992" w:hanging="425"/>
    </w:pPr>
  </w:style>
  <w:style w:type="paragraph" w:customStyle="1" w:styleId="FooterOffice1">
    <w:name w:val="Footer Office 1"/>
    <w:pPr>
      <w:spacing w:before="400" w:after="100" w:line="336" w:lineRule="exact"/>
      <w:jc w:val="right"/>
    </w:pPr>
    <w:rPr>
      <w:rFonts w:ascii="Optima" w:hAnsi="Optima"/>
      <w:sz w:val="28"/>
    </w:rPr>
  </w:style>
  <w:style w:type="paragraph" w:customStyle="1" w:styleId="5SubjectTitle">
    <w:name w:val="5. Subject/Title"/>
    <w:basedOn w:val="Heading1"/>
    <w:next w:val="TxtParagraph"/>
    <w:pPr>
      <w:tabs>
        <w:tab w:val="clear" w:pos="567"/>
      </w:tabs>
      <w:spacing w:before="120" w:after="240"/>
      <w:outlineLvl w:val="9"/>
    </w:pPr>
    <w:rPr>
      <w:smallCaps w:val="0"/>
    </w:rPr>
  </w:style>
  <w:style w:type="paragraph" w:customStyle="1" w:styleId="3Address">
    <w:name w:val="3. Address"/>
    <w:basedOn w:val="TxtParagraph"/>
    <w:pPr>
      <w:keepNext/>
      <w:keepLines/>
      <w:tabs>
        <w:tab w:val="clear" w:pos="567"/>
      </w:tabs>
      <w:spacing w:before="0" w:after="0" w:line="260" w:lineRule="atLeast"/>
      <w:jc w:val="left"/>
    </w:pPr>
  </w:style>
  <w:style w:type="paragraph" w:customStyle="1" w:styleId="Sig4Contactdet">
    <w:name w:val="Sig.4 Contact det"/>
    <w:basedOn w:val="TxtParagraph"/>
    <w:pPr>
      <w:keepNext/>
      <w:tabs>
        <w:tab w:val="clear" w:pos="567"/>
        <w:tab w:val="left" w:pos="851"/>
        <w:tab w:val="left" w:pos="4536"/>
      </w:tabs>
      <w:spacing w:before="0" w:after="0" w:line="260" w:lineRule="atLeast"/>
      <w:jc w:val="left"/>
    </w:pPr>
  </w:style>
  <w:style w:type="paragraph" w:customStyle="1" w:styleId="TxtIndent3">
    <w:name w:val="Txt Indent 3"/>
    <w:basedOn w:val="TxtParagraph"/>
    <w:pPr>
      <w:tabs>
        <w:tab w:val="clear" w:pos="567"/>
      </w:tabs>
      <w:spacing w:before="80" w:after="80" w:line="280" w:lineRule="atLeast"/>
      <w:ind w:left="1417" w:hanging="425"/>
    </w:pPr>
  </w:style>
  <w:style w:type="paragraph" w:customStyle="1" w:styleId="2Date">
    <w:name w:val="2. Date"/>
    <w:basedOn w:val="TxtParagraph"/>
    <w:next w:val="3Address"/>
    <w:pPr>
      <w:keepNext/>
      <w:keepLines/>
      <w:tabs>
        <w:tab w:val="clear" w:pos="567"/>
      </w:tabs>
      <w:spacing w:before="320" w:after="320"/>
      <w:jc w:val="left"/>
    </w:pPr>
  </w:style>
  <w:style w:type="paragraph" w:customStyle="1" w:styleId="4Addressee">
    <w:name w:val="4. Addressee"/>
    <w:basedOn w:val="TxtParagraph"/>
    <w:next w:val="5SubjectTitle"/>
    <w:pPr>
      <w:keepNext/>
      <w:keepLines/>
      <w:tabs>
        <w:tab w:val="clear" w:pos="567"/>
      </w:tabs>
      <w:spacing w:before="400" w:after="240"/>
      <w:jc w:val="left"/>
    </w:pPr>
  </w:style>
  <w:style w:type="paragraph" w:customStyle="1" w:styleId="Sig1Salutation">
    <w:name w:val="Sig.1 Salutation"/>
    <w:basedOn w:val="TxtParagraph"/>
    <w:next w:val="Sig2Officer"/>
    <w:pPr>
      <w:keepNext/>
      <w:tabs>
        <w:tab w:val="clear" w:pos="567"/>
      </w:tabs>
      <w:spacing w:before="240" w:line="260" w:lineRule="atLeast"/>
      <w:jc w:val="left"/>
    </w:pPr>
  </w:style>
  <w:style w:type="paragraph" w:customStyle="1" w:styleId="Sig2Officer">
    <w:name w:val="Sig.2 Officer"/>
    <w:basedOn w:val="TxtParagraph"/>
    <w:pPr>
      <w:keepNext/>
      <w:tabs>
        <w:tab w:val="clear" w:pos="567"/>
        <w:tab w:val="left" w:pos="4536"/>
      </w:tabs>
      <w:spacing w:before="0" w:after="0" w:line="260" w:lineRule="atLeast"/>
      <w:jc w:val="left"/>
    </w:pPr>
  </w:style>
  <w:style w:type="paragraph" w:customStyle="1" w:styleId="Leg3SecSubsec11">
    <w:name w:val="Leg3 Sec(Subsec): 1.(1)"/>
    <w:basedOn w:val="TxtParagraph"/>
    <w:pPr>
      <w:tabs>
        <w:tab w:val="left" w:pos="1276"/>
        <w:tab w:val="left" w:pos="1701"/>
      </w:tabs>
      <w:spacing w:before="80" w:after="80" w:line="270" w:lineRule="atLeast"/>
      <w:ind w:left="1701" w:right="567" w:hanging="1134"/>
      <w:jc w:val="left"/>
    </w:pPr>
    <w:rPr>
      <w:sz w:val="22"/>
    </w:rPr>
  </w:style>
  <w:style w:type="paragraph" w:customStyle="1" w:styleId="Leg4Subsec1">
    <w:name w:val="Leg4 Subsec: (1)"/>
    <w:basedOn w:val="TxtParagraph"/>
    <w:pPr>
      <w:tabs>
        <w:tab w:val="clear" w:pos="567"/>
      </w:tabs>
      <w:spacing w:before="80" w:after="80" w:line="270" w:lineRule="atLeast"/>
      <w:ind w:left="1701" w:right="567" w:hanging="425"/>
      <w:jc w:val="left"/>
    </w:pPr>
    <w:rPr>
      <w:sz w:val="22"/>
    </w:rPr>
  </w:style>
  <w:style w:type="paragraph" w:customStyle="1" w:styleId="Leg5Paraa">
    <w:name w:val="Leg5 Para: (a)"/>
    <w:basedOn w:val="TxtParagraph"/>
    <w:pPr>
      <w:tabs>
        <w:tab w:val="clear" w:pos="567"/>
      </w:tabs>
      <w:spacing w:before="80" w:after="80" w:line="270" w:lineRule="atLeast"/>
      <w:ind w:left="2268" w:right="567" w:hanging="425"/>
      <w:jc w:val="left"/>
    </w:pPr>
    <w:rPr>
      <w:sz w:val="22"/>
    </w:rPr>
  </w:style>
  <w:style w:type="paragraph" w:customStyle="1" w:styleId="TxtIndent4">
    <w:name w:val="Txt Indent 4"/>
    <w:basedOn w:val="TxtParagraph"/>
    <w:pPr>
      <w:tabs>
        <w:tab w:val="clear" w:pos="567"/>
      </w:tabs>
      <w:spacing w:before="80" w:after="80" w:line="280" w:lineRule="atLeast"/>
      <w:ind w:left="1843" w:hanging="425"/>
    </w:pPr>
  </w:style>
  <w:style w:type="paragraph" w:customStyle="1" w:styleId="TxtQuotation">
    <w:name w:val="Txt Quotation"/>
    <w:basedOn w:val="TxtParagraph"/>
    <w:next w:val="TxtParagraph"/>
    <w:pPr>
      <w:spacing w:line="270" w:lineRule="atLeast"/>
      <w:ind w:left="567" w:right="567"/>
    </w:pPr>
    <w:rPr>
      <w:sz w:val="22"/>
    </w:rPr>
  </w:style>
  <w:style w:type="paragraph" w:customStyle="1" w:styleId="Sig3forAGS">
    <w:name w:val="Sig.3 for AGS"/>
    <w:basedOn w:val="TxtParagraph"/>
    <w:pPr>
      <w:keepNext/>
      <w:tabs>
        <w:tab w:val="clear" w:pos="567"/>
        <w:tab w:val="left" w:pos="4536"/>
      </w:tabs>
      <w:spacing w:before="0" w:after="240" w:line="260" w:lineRule="atLeast"/>
      <w:jc w:val="left"/>
    </w:pPr>
  </w:style>
  <w:style w:type="paragraph" w:customStyle="1" w:styleId="1Reference">
    <w:name w:val="1. Reference"/>
    <w:basedOn w:val="TxtParagraph"/>
    <w:next w:val="2Date"/>
    <w:pPr>
      <w:keepNext/>
      <w:keepLines/>
      <w:tabs>
        <w:tab w:val="clear" w:pos="567"/>
        <w:tab w:val="left" w:pos="1134"/>
      </w:tabs>
      <w:spacing w:before="0" w:after="0"/>
      <w:jc w:val="left"/>
    </w:pPr>
  </w:style>
  <w:style w:type="paragraph" w:customStyle="1" w:styleId="Leg6SubParai">
    <w:name w:val="Leg6 SubPara: (i)"/>
    <w:basedOn w:val="TxtParagraph"/>
    <w:pPr>
      <w:tabs>
        <w:tab w:val="clear" w:pos="567"/>
      </w:tabs>
      <w:spacing w:before="80" w:after="80" w:line="270" w:lineRule="atLeast"/>
      <w:ind w:left="2977" w:right="567" w:hanging="567"/>
      <w:jc w:val="left"/>
    </w:pPr>
    <w:rPr>
      <w:sz w:val="22"/>
    </w:rPr>
  </w:style>
  <w:style w:type="paragraph" w:customStyle="1" w:styleId="Sig5Enclosure">
    <w:name w:val="Sig.5 Enclosure"/>
    <w:basedOn w:val="TxtParagraph"/>
    <w:next w:val="TxtParagraph"/>
    <w:pPr>
      <w:tabs>
        <w:tab w:val="clear" w:pos="567"/>
        <w:tab w:val="left" w:pos="851"/>
      </w:tabs>
      <w:spacing w:line="260" w:lineRule="atLeast"/>
      <w:jc w:val="left"/>
    </w:pPr>
  </w:style>
  <w:style w:type="paragraph" w:customStyle="1" w:styleId="Leg1SecHead1">
    <w:name w:val="Leg1 Sec Head: 1."/>
    <w:basedOn w:val="TxtParagraph"/>
    <w:pPr>
      <w:keepNext/>
      <w:tabs>
        <w:tab w:val="left" w:pos="1134"/>
        <w:tab w:val="left" w:pos="1701"/>
      </w:tabs>
      <w:spacing w:before="80" w:after="80" w:line="270" w:lineRule="atLeast"/>
      <w:ind w:left="1701" w:right="567" w:hanging="1134"/>
      <w:jc w:val="left"/>
    </w:pPr>
    <w:rPr>
      <w:b/>
      <w:sz w:val="22"/>
    </w:rPr>
  </w:style>
  <w:style w:type="paragraph" w:customStyle="1" w:styleId="TxtQAQuestion">
    <w:name w:val="Txt Q&amp;A  Question"/>
    <w:basedOn w:val="TxtParagraph"/>
    <w:next w:val="TxtQAAnswer"/>
    <w:pPr>
      <w:tabs>
        <w:tab w:val="left" w:pos="1134"/>
        <w:tab w:val="left" w:pos="1559"/>
      </w:tabs>
      <w:spacing w:before="80" w:after="80"/>
      <w:ind w:left="1559" w:hanging="992"/>
    </w:pPr>
  </w:style>
  <w:style w:type="paragraph" w:customStyle="1" w:styleId="TxtQAAnswer">
    <w:name w:val="Txt Q&amp;A Answer"/>
    <w:basedOn w:val="TxtParagraph"/>
    <w:next w:val="TxtQAQuestion"/>
    <w:pPr>
      <w:tabs>
        <w:tab w:val="clear" w:pos="567"/>
      </w:tabs>
      <w:spacing w:before="80" w:after="80"/>
      <w:ind w:left="1559" w:hanging="425"/>
    </w:pPr>
  </w:style>
  <w:style w:type="paragraph" w:customStyle="1" w:styleId="Leg2Sec1">
    <w:name w:val="Leg2 Sec: 1."/>
    <w:basedOn w:val="TxtParagraph"/>
    <w:pPr>
      <w:tabs>
        <w:tab w:val="clear" w:pos="567"/>
      </w:tabs>
      <w:spacing w:before="80" w:after="80" w:line="270" w:lineRule="atLeast"/>
      <w:ind w:left="1701" w:right="567" w:hanging="1134"/>
      <w:jc w:val="left"/>
    </w:pPr>
    <w:rPr>
      <w:sz w:val="22"/>
    </w:rPr>
  </w:style>
  <w:style w:type="paragraph" w:customStyle="1" w:styleId="FooterOffice2">
    <w:name w:val="Footer Office 2"/>
    <w:basedOn w:val="FooterOffice1"/>
    <w:pPr>
      <w:spacing w:before="0" w:line="220" w:lineRule="exact"/>
      <w:jc w:val="both"/>
    </w:pPr>
    <w:rPr>
      <w:caps/>
      <w:sz w:val="16"/>
    </w:rPr>
  </w:style>
  <w:style w:type="paragraph" w:customStyle="1" w:styleId="TxtParaLast">
    <w:name w:val="Txt  ParaLast"/>
    <w:basedOn w:val="TxtParagraph"/>
    <w:pPr>
      <w:keepNext/>
    </w:pPr>
  </w:style>
  <w:style w:type="paragraph" w:styleId="Title">
    <w:name w:val="Title"/>
    <w:basedOn w:val="Normal"/>
    <w:qFormat/>
    <w:pPr>
      <w:jc w:val="center"/>
    </w:pPr>
    <w:rPr>
      <w:b/>
    </w:rPr>
  </w:style>
  <w:style w:type="paragraph" w:styleId="BodyText">
    <w:name w:val="Body Text"/>
    <w:basedOn w:val="Normal"/>
    <w:pPr>
      <w:jc w:val="left"/>
    </w:pPr>
  </w:style>
  <w:style w:type="paragraph" w:customStyle="1" w:styleId="a">
    <w:basedOn w:val="Normal"/>
    <w:rsid w:val="00B53651"/>
    <w:pPr>
      <w:widowControl/>
      <w:tabs>
        <w:tab w:val="clear" w:pos="567"/>
      </w:tabs>
      <w:spacing w:before="0" w:after="160" w:line="240" w:lineRule="exact"/>
      <w:jc w:val="left"/>
    </w:pPr>
    <w:rPr>
      <w:rFonts w:ascii="Verdana" w:hAnsi="Verdana"/>
      <w:sz w:val="20"/>
      <w:szCs w:val="24"/>
      <w:lang w:val="en-US" w:eastAsia="en-US"/>
    </w:rPr>
  </w:style>
  <w:style w:type="paragraph" w:customStyle="1" w:styleId="CharChar1Char">
    <w:name w:val="Char Char1 Char"/>
    <w:basedOn w:val="Normal"/>
    <w:rsid w:val="003734B1"/>
    <w:pPr>
      <w:widowControl/>
      <w:tabs>
        <w:tab w:val="clear" w:pos="567"/>
      </w:tabs>
      <w:spacing w:before="0" w:after="160" w:line="240" w:lineRule="exact"/>
      <w:jc w:val="left"/>
    </w:pPr>
    <w:rPr>
      <w:rFonts w:ascii="Arial" w:hAnsi="Arial"/>
      <w:sz w:val="22"/>
      <w:lang w:val="en-GB" w:eastAsia="en-US"/>
    </w:rPr>
  </w:style>
  <w:style w:type="paragraph" w:styleId="BalloonText">
    <w:name w:val="Balloon Text"/>
    <w:basedOn w:val="Normal"/>
    <w:link w:val="BalloonTextChar"/>
    <w:rsid w:val="00EF5E00"/>
    <w:pPr>
      <w:spacing w:before="0" w:after="0" w:line="240" w:lineRule="auto"/>
    </w:pPr>
    <w:rPr>
      <w:rFonts w:ascii="Tahoma" w:hAnsi="Tahoma" w:cs="Tahoma"/>
      <w:sz w:val="16"/>
      <w:szCs w:val="16"/>
    </w:rPr>
  </w:style>
  <w:style w:type="character" w:customStyle="1" w:styleId="BalloonTextChar">
    <w:name w:val="Balloon Text Char"/>
    <w:link w:val="BalloonText"/>
    <w:rsid w:val="00EF5E00"/>
    <w:rPr>
      <w:rFonts w:ascii="Tahoma" w:hAnsi="Tahoma" w:cs="Tahoma"/>
      <w:sz w:val="16"/>
      <w:szCs w:val="16"/>
    </w:rPr>
  </w:style>
  <w:style w:type="paragraph" w:customStyle="1" w:styleId="SinglePara">
    <w:name w:val="Single Para"/>
    <w:basedOn w:val="Normal"/>
    <w:link w:val="SingleParaChar"/>
    <w:rsid w:val="00A02FBB"/>
    <w:pPr>
      <w:widowControl/>
      <w:tabs>
        <w:tab w:val="clear" w:pos="567"/>
      </w:tabs>
      <w:spacing w:before="0" w:after="0" w:line="240" w:lineRule="auto"/>
      <w:jc w:val="left"/>
    </w:pPr>
    <w:rPr>
      <w:rFonts w:ascii="Times New Roman" w:hAnsi="Times New Roman"/>
    </w:rPr>
  </w:style>
  <w:style w:type="character" w:customStyle="1" w:styleId="SingleParaChar">
    <w:name w:val="Single Para Char"/>
    <w:link w:val="SinglePara"/>
    <w:rsid w:val="00A02FB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s>
      <w:spacing w:before="120" w:after="120" w:line="300" w:lineRule="atLeast"/>
      <w:jc w:val="both"/>
    </w:pPr>
    <w:rPr>
      <w:sz w:val="24"/>
    </w:rPr>
  </w:style>
  <w:style w:type="paragraph" w:styleId="Heading1">
    <w:name w:val="heading 1"/>
    <w:aliases w:val="h1"/>
    <w:basedOn w:val="Normal"/>
    <w:next w:val="TxtParagraph"/>
    <w:qFormat/>
    <w:pPr>
      <w:keepNext/>
      <w:keepLines/>
      <w:widowControl/>
      <w:spacing w:before="280" w:line="310" w:lineRule="atLeast"/>
      <w:jc w:val="left"/>
      <w:outlineLvl w:val="0"/>
    </w:pPr>
    <w:rPr>
      <w:rFonts w:ascii="Optima" w:hAnsi="Optima"/>
      <w:b/>
      <w:smallCaps/>
      <w:sz w:val="26"/>
    </w:rPr>
  </w:style>
  <w:style w:type="paragraph" w:styleId="Heading2">
    <w:name w:val="heading 2"/>
    <w:aliases w:val="h2"/>
    <w:basedOn w:val="Normal"/>
    <w:next w:val="TxtParagraph"/>
    <w:qFormat/>
    <w:pPr>
      <w:keepNext/>
      <w:keepLines/>
      <w:widowControl/>
      <w:spacing w:before="240" w:after="60" w:line="270" w:lineRule="atLeast"/>
      <w:jc w:val="left"/>
      <w:outlineLvl w:val="1"/>
    </w:pPr>
    <w:rPr>
      <w:rFonts w:ascii="Optima" w:hAnsi="Optima"/>
      <w:b/>
    </w:rPr>
  </w:style>
  <w:style w:type="paragraph" w:styleId="Heading3">
    <w:name w:val="heading 3"/>
    <w:aliases w:val="h3"/>
    <w:basedOn w:val="Normal"/>
    <w:next w:val="TxtParagraph"/>
    <w:qFormat/>
    <w:pPr>
      <w:keepNext/>
      <w:keepLines/>
      <w:widowControl/>
      <w:spacing w:before="200" w:after="60" w:line="250" w:lineRule="atLeast"/>
      <w:jc w:val="left"/>
      <w:outlineLvl w:val="2"/>
    </w:pPr>
    <w:rPr>
      <w:rFonts w:ascii="Optima" w:hAnsi="Optima"/>
      <w:b/>
      <w:i/>
      <w:sz w:val="23"/>
    </w:rPr>
  </w:style>
  <w:style w:type="paragraph" w:styleId="Heading4">
    <w:name w:val="heading 4"/>
    <w:aliases w:val="h4"/>
    <w:basedOn w:val="Normal"/>
    <w:next w:val="TxtParagraph"/>
    <w:qFormat/>
    <w:pPr>
      <w:keepNext/>
      <w:keepLines/>
      <w:widowControl/>
      <w:spacing w:before="160" w:after="60" w:line="240" w:lineRule="atLeast"/>
      <w:jc w:val="left"/>
      <w:outlineLvl w:val="3"/>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tyle>
  <w:style w:type="paragraph" w:customStyle="1" w:styleId="Paragraph">
    <w:name w:val="Paragraph"/>
    <w:basedOn w:val="Body"/>
    <w:pPr>
      <w:spacing w:before="240"/>
    </w:pPr>
  </w:style>
  <w:style w:type="paragraph" w:styleId="Footer">
    <w:name w:val="footer"/>
    <w:basedOn w:val="Normal"/>
    <w:pPr>
      <w:widowControl/>
      <w:spacing w:before="0" w:after="0" w:line="220" w:lineRule="atLeast"/>
      <w:jc w:val="right"/>
    </w:pPr>
    <w:rPr>
      <w:rFonts w:ascii="Optima" w:hAnsi="Optima"/>
      <w:sz w:val="18"/>
    </w:rPr>
  </w:style>
  <w:style w:type="paragraph" w:styleId="Header">
    <w:name w:val="header"/>
    <w:basedOn w:val="Normal"/>
    <w:pPr>
      <w:widowControl/>
      <w:spacing w:before="240"/>
    </w:pPr>
    <w:rPr>
      <w:rFonts w:ascii="Optima" w:hAnsi="Optima"/>
      <w:position w:val="8"/>
      <w:sz w:val="18"/>
    </w:rPr>
  </w:style>
  <w:style w:type="paragraph" w:customStyle="1" w:styleId="i1">
    <w:name w:val="i1"/>
    <w:aliases w:val="-&gt;•-&gt;1cm"/>
    <w:basedOn w:val="Body"/>
    <w:pPr>
      <w:tabs>
        <w:tab w:val="right" w:pos="425"/>
      </w:tabs>
      <w:spacing w:before="240"/>
      <w:ind w:left="567" w:hanging="567"/>
    </w:pPr>
  </w:style>
  <w:style w:type="paragraph" w:customStyle="1" w:styleId="i2">
    <w:name w:val="i2"/>
    <w:aliases w:val="--&gt;•-&gt;2cm"/>
    <w:basedOn w:val="Body"/>
    <w:pPr>
      <w:tabs>
        <w:tab w:val="right" w:pos="992"/>
      </w:tabs>
      <w:spacing w:before="240"/>
      <w:ind w:left="1134" w:hanging="1134"/>
    </w:pPr>
  </w:style>
  <w:style w:type="paragraph" w:customStyle="1" w:styleId="i3">
    <w:name w:val="i3"/>
    <w:aliases w:val="---&gt;•-&gt;3cm"/>
    <w:basedOn w:val="Body"/>
    <w:pPr>
      <w:tabs>
        <w:tab w:val="right" w:pos="1559"/>
      </w:tabs>
      <w:spacing w:before="240"/>
      <w:ind w:left="1700" w:hanging="1700"/>
    </w:pPr>
  </w:style>
  <w:style w:type="paragraph" w:customStyle="1" w:styleId="i4">
    <w:name w:val="i4"/>
    <w:aliases w:val="----&gt;•-&gt;4cm"/>
    <w:basedOn w:val="Body"/>
    <w:pPr>
      <w:tabs>
        <w:tab w:val="right" w:pos="2126"/>
      </w:tabs>
      <w:spacing w:before="240"/>
      <w:ind w:left="2268" w:hanging="2268"/>
    </w:pPr>
  </w:style>
  <w:style w:type="paragraph" w:customStyle="1" w:styleId="Quotation">
    <w:name w:val="Quotation"/>
    <w:basedOn w:val="Body"/>
    <w:pPr>
      <w:spacing w:before="240"/>
      <w:ind w:left="851" w:right="851"/>
    </w:pPr>
  </w:style>
  <w:style w:type="paragraph" w:styleId="FootnoteText">
    <w:name w:val="footnote text"/>
    <w:basedOn w:val="Body"/>
    <w:semiHidden/>
    <w:pPr>
      <w:spacing w:line="240" w:lineRule="atLeast"/>
      <w:ind w:left="284" w:hanging="284"/>
    </w:pPr>
    <w:rPr>
      <w:sz w:val="20"/>
    </w:rPr>
  </w:style>
  <w:style w:type="paragraph" w:customStyle="1" w:styleId="TxtParagraph">
    <w:name w:val="Txt  Paragraph"/>
    <w:basedOn w:val="Normal"/>
    <w:pPr>
      <w:widowControl/>
    </w:pPr>
    <w:rPr>
      <w:color w:val="000000"/>
    </w:rPr>
  </w:style>
  <w:style w:type="paragraph" w:customStyle="1" w:styleId="TxtIndent1">
    <w:name w:val="Txt Indent 1"/>
    <w:basedOn w:val="TxtParagraph"/>
    <w:pPr>
      <w:tabs>
        <w:tab w:val="clear" w:pos="567"/>
      </w:tabs>
      <w:spacing w:before="80" w:after="80" w:line="280" w:lineRule="atLeast"/>
      <w:ind w:left="567" w:hanging="567"/>
    </w:pPr>
  </w:style>
  <w:style w:type="paragraph" w:customStyle="1" w:styleId="TxtIndent2">
    <w:name w:val="Txt Indent 2"/>
    <w:basedOn w:val="TxtParagraph"/>
    <w:pPr>
      <w:tabs>
        <w:tab w:val="clear" w:pos="567"/>
      </w:tabs>
      <w:spacing w:before="80" w:after="80" w:line="280" w:lineRule="atLeast"/>
      <w:ind w:left="992" w:hanging="425"/>
    </w:pPr>
  </w:style>
  <w:style w:type="paragraph" w:customStyle="1" w:styleId="FooterOffice1">
    <w:name w:val="Footer Office 1"/>
    <w:pPr>
      <w:spacing w:before="400" w:after="100" w:line="336" w:lineRule="exact"/>
      <w:jc w:val="right"/>
    </w:pPr>
    <w:rPr>
      <w:rFonts w:ascii="Optima" w:hAnsi="Optima"/>
      <w:sz w:val="28"/>
    </w:rPr>
  </w:style>
  <w:style w:type="paragraph" w:customStyle="1" w:styleId="5SubjectTitle">
    <w:name w:val="5. Subject/Title"/>
    <w:basedOn w:val="Heading1"/>
    <w:next w:val="TxtParagraph"/>
    <w:pPr>
      <w:tabs>
        <w:tab w:val="clear" w:pos="567"/>
      </w:tabs>
      <w:spacing w:before="120" w:after="240"/>
      <w:outlineLvl w:val="9"/>
    </w:pPr>
    <w:rPr>
      <w:smallCaps w:val="0"/>
    </w:rPr>
  </w:style>
  <w:style w:type="paragraph" w:customStyle="1" w:styleId="3Address">
    <w:name w:val="3. Address"/>
    <w:basedOn w:val="TxtParagraph"/>
    <w:pPr>
      <w:keepNext/>
      <w:keepLines/>
      <w:tabs>
        <w:tab w:val="clear" w:pos="567"/>
      </w:tabs>
      <w:spacing w:before="0" w:after="0" w:line="260" w:lineRule="atLeast"/>
      <w:jc w:val="left"/>
    </w:pPr>
  </w:style>
  <w:style w:type="paragraph" w:customStyle="1" w:styleId="Sig4Contactdet">
    <w:name w:val="Sig.4 Contact det"/>
    <w:basedOn w:val="TxtParagraph"/>
    <w:pPr>
      <w:keepNext/>
      <w:tabs>
        <w:tab w:val="clear" w:pos="567"/>
        <w:tab w:val="left" w:pos="851"/>
        <w:tab w:val="left" w:pos="4536"/>
      </w:tabs>
      <w:spacing w:before="0" w:after="0" w:line="260" w:lineRule="atLeast"/>
      <w:jc w:val="left"/>
    </w:pPr>
  </w:style>
  <w:style w:type="paragraph" w:customStyle="1" w:styleId="TxtIndent3">
    <w:name w:val="Txt Indent 3"/>
    <w:basedOn w:val="TxtParagraph"/>
    <w:pPr>
      <w:tabs>
        <w:tab w:val="clear" w:pos="567"/>
      </w:tabs>
      <w:spacing w:before="80" w:after="80" w:line="280" w:lineRule="atLeast"/>
      <w:ind w:left="1417" w:hanging="425"/>
    </w:pPr>
  </w:style>
  <w:style w:type="paragraph" w:customStyle="1" w:styleId="2Date">
    <w:name w:val="2. Date"/>
    <w:basedOn w:val="TxtParagraph"/>
    <w:next w:val="3Address"/>
    <w:pPr>
      <w:keepNext/>
      <w:keepLines/>
      <w:tabs>
        <w:tab w:val="clear" w:pos="567"/>
      </w:tabs>
      <w:spacing w:before="320" w:after="320"/>
      <w:jc w:val="left"/>
    </w:pPr>
  </w:style>
  <w:style w:type="paragraph" w:customStyle="1" w:styleId="4Addressee">
    <w:name w:val="4. Addressee"/>
    <w:basedOn w:val="TxtParagraph"/>
    <w:next w:val="5SubjectTitle"/>
    <w:pPr>
      <w:keepNext/>
      <w:keepLines/>
      <w:tabs>
        <w:tab w:val="clear" w:pos="567"/>
      </w:tabs>
      <w:spacing w:before="400" w:after="240"/>
      <w:jc w:val="left"/>
    </w:pPr>
  </w:style>
  <w:style w:type="paragraph" w:customStyle="1" w:styleId="Sig1Salutation">
    <w:name w:val="Sig.1 Salutation"/>
    <w:basedOn w:val="TxtParagraph"/>
    <w:next w:val="Sig2Officer"/>
    <w:pPr>
      <w:keepNext/>
      <w:tabs>
        <w:tab w:val="clear" w:pos="567"/>
      </w:tabs>
      <w:spacing w:before="240" w:line="260" w:lineRule="atLeast"/>
      <w:jc w:val="left"/>
    </w:pPr>
  </w:style>
  <w:style w:type="paragraph" w:customStyle="1" w:styleId="Sig2Officer">
    <w:name w:val="Sig.2 Officer"/>
    <w:basedOn w:val="TxtParagraph"/>
    <w:pPr>
      <w:keepNext/>
      <w:tabs>
        <w:tab w:val="clear" w:pos="567"/>
        <w:tab w:val="left" w:pos="4536"/>
      </w:tabs>
      <w:spacing w:before="0" w:after="0" w:line="260" w:lineRule="atLeast"/>
      <w:jc w:val="left"/>
    </w:pPr>
  </w:style>
  <w:style w:type="paragraph" w:customStyle="1" w:styleId="Leg3SecSubsec11">
    <w:name w:val="Leg3 Sec(Subsec): 1.(1)"/>
    <w:basedOn w:val="TxtParagraph"/>
    <w:pPr>
      <w:tabs>
        <w:tab w:val="left" w:pos="1276"/>
        <w:tab w:val="left" w:pos="1701"/>
      </w:tabs>
      <w:spacing w:before="80" w:after="80" w:line="270" w:lineRule="atLeast"/>
      <w:ind w:left="1701" w:right="567" w:hanging="1134"/>
      <w:jc w:val="left"/>
    </w:pPr>
    <w:rPr>
      <w:sz w:val="22"/>
    </w:rPr>
  </w:style>
  <w:style w:type="paragraph" w:customStyle="1" w:styleId="Leg4Subsec1">
    <w:name w:val="Leg4 Subsec: (1)"/>
    <w:basedOn w:val="TxtParagraph"/>
    <w:pPr>
      <w:tabs>
        <w:tab w:val="clear" w:pos="567"/>
      </w:tabs>
      <w:spacing w:before="80" w:after="80" w:line="270" w:lineRule="atLeast"/>
      <w:ind w:left="1701" w:right="567" w:hanging="425"/>
      <w:jc w:val="left"/>
    </w:pPr>
    <w:rPr>
      <w:sz w:val="22"/>
    </w:rPr>
  </w:style>
  <w:style w:type="paragraph" w:customStyle="1" w:styleId="Leg5Paraa">
    <w:name w:val="Leg5 Para: (a)"/>
    <w:basedOn w:val="TxtParagraph"/>
    <w:pPr>
      <w:tabs>
        <w:tab w:val="clear" w:pos="567"/>
      </w:tabs>
      <w:spacing w:before="80" w:after="80" w:line="270" w:lineRule="atLeast"/>
      <w:ind w:left="2268" w:right="567" w:hanging="425"/>
      <w:jc w:val="left"/>
    </w:pPr>
    <w:rPr>
      <w:sz w:val="22"/>
    </w:rPr>
  </w:style>
  <w:style w:type="paragraph" w:customStyle="1" w:styleId="TxtIndent4">
    <w:name w:val="Txt Indent 4"/>
    <w:basedOn w:val="TxtParagraph"/>
    <w:pPr>
      <w:tabs>
        <w:tab w:val="clear" w:pos="567"/>
      </w:tabs>
      <w:spacing w:before="80" w:after="80" w:line="280" w:lineRule="atLeast"/>
      <w:ind w:left="1843" w:hanging="425"/>
    </w:pPr>
  </w:style>
  <w:style w:type="paragraph" w:customStyle="1" w:styleId="TxtQuotation">
    <w:name w:val="Txt Quotation"/>
    <w:basedOn w:val="TxtParagraph"/>
    <w:next w:val="TxtParagraph"/>
    <w:pPr>
      <w:spacing w:line="270" w:lineRule="atLeast"/>
      <w:ind w:left="567" w:right="567"/>
    </w:pPr>
    <w:rPr>
      <w:sz w:val="22"/>
    </w:rPr>
  </w:style>
  <w:style w:type="paragraph" w:customStyle="1" w:styleId="Sig3forAGS">
    <w:name w:val="Sig.3 for AGS"/>
    <w:basedOn w:val="TxtParagraph"/>
    <w:pPr>
      <w:keepNext/>
      <w:tabs>
        <w:tab w:val="clear" w:pos="567"/>
        <w:tab w:val="left" w:pos="4536"/>
      </w:tabs>
      <w:spacing w:before="0" w:after="240" w:line="260" w:lineRule="atLeast"/>
      <w:jc w:val="left"/>
    </w:pPr>
  </w:style>
  <w:style w:type="paragraph" w:customStyle="1" w:styleId="1Reference">
    <w:name w:val="1. Reference"/>
    <w:basedOn w:val="TxtParagraph"/>
    <w:next w:val="2Date"/>
    <w:pPr>
      <w:keepNext/>
      <w:keepLines/>
      <w:tabs>
        <w:tab w:val="clear" w:pos="567"/>
        <w:tab w:val="left" w:pos="1134"/>
      </w:tabs>
      <w:spacing w:before="0" w:after="0"/>
      <w:jc w:val="left"/>
    </w:pPr>
  </w:style>
  <w:style w:type="paragraph" w:customStyle="1" w:styleId="Leg6SubParai">
    <w:name w:val="Leg6 SubPara: (i)"/>
    <w:basedOn w:val="TxtParagraph"/>
    <w:pPr>
      <w:tabs>
        <w:tab w:val="clear" w:pos="567"/>
      </w:tabs>
      <w:spacing w:before="80" w:after="80" w:line="270" w:lineRule="atLeast"/>
      <w:ind w:left="2977" w:right="567" w:hanging="567"/>
      <w:jc w:val="left"/>
    </w:pPr>
    <w:rPr>
      <w:sz w:val="22"/>
    </w:rPr>
  </w:style>
  <w:style w:type="paragraph" w:customStyle="1" w:styleId="Sig5Enclosure">
    <w:name w:val="Sig.5 Enclosure"/>
    <w:basedOn w:val="TxtParagraph"/>
    <w:next w:val="TxtParagraph"/>
    <w:pPr>
      <w:tabs>
        <w:tab w:val="clear" w:pos="567"/>
        <w:tab w:val="left" w:pos="851"/>
      </w:tabs>
      <w:spacing w:line="260" w:lineRule="atLeast"/>
      <w:jc w:val="left"/>
    </w:pPr>
  </w:style>
  <w:style w:type="paragraph" w:customStyle="1" w:styleId="Leg1SecHead1">
    <w:name w:val="Leg1 Sec Head: 1."/>
    <w:basedOn w:val="TxtParagraph"/>
    <w:pPr>
      <w:keepNext/>
      <w:tabs>
        <w:tab w:val="left" w:pos="1134"/>
        <w:tab w:val="left" w:pos="1701"/>
      </w:tabs>
      <w:spacing w:before="80" w:after="80" w:line="270" w:lineRule="atLeast"/>
      <w:ind w:left="1701" w:right="567" w:hanging="1134"/>
      <w:jc w:val="left"/>
    </w:pPr>
    <w:rPr>
      <w:b/>
      <w:sz w:val="22"/>
    </w:rPr>
  </w:style>
  <w:style w:type="paragraph" w:customStyle="1" w:styleId="TxtQAQuestion">
    <w:name w:val="Txt Q&amp;A  Question"/>
    <w:basedOn w:val="TxtParagraph"/>
    <w:next w:val="TxtQAAnswer"/>
    <w:pPr>
      <w:tabs>
        <w:tab w:val="left" w:pos="1134"/>
        <w:tab w:val="left" w:pos="1559"/>
      </w:tabs>
      <w:spacing w:before="80" w:after="80"/>
      <w:ind w:left="1559" w:hanging="992"/>
    </w:pPr>
  </w:style>
  <w:style w:type="paragraph" w:customStyle="1" w:styleId="TxtQAAnswer">
    <w:name w:val="Txt Q&amp;A Answer"/>
    <w:basedOn w:val="TxtParagraph"/>
    <w:next w:val="TxtQAQuestion"/>
    <w:pPr>
      <w:tabs>
        <w:tab w:val="clear" w:pos="567"/>
      </w:tabs>
      <w:spacing w:before="80" w:after="80"/>
      <w:ind w:left="1559" w:hanging="425"/>
    </w:pPr>
  </w:style>
  <w:style w:type="paragraph" w:customStyle="1" w:styleId="Leg2Sec1">
    <w:name w:val="Leg2 Sec: 1."/>
    <w:basedOn w:val="TxtParagraph"/>
    <w:pPr>
      <w:tabs>
        <w:tab w:val="clear" w:pos="567"/>
      </w:tabs>
      <w:spacing w:before="80" w:after="80" w:line="270" w:lineRule="atLeast"/>
      <w:ind w:left="1701" w:right="567" w:hanging="1134"/>
      <w:jc w:val="left"/>
    </w:pPr>
    <w:rPr>
      <w:sz w:val="22"/>
    </w:rPr>
  </w:style>
  <w:style w:type="paragraph" w:customStyle="1" w:styleId="FooterOffice2">
    <w:name w:val="Footer Office 2"/>
    <w:basedOn w:val="FooterOffice1"/>
    <w:pPr>
      <w:spacing w:before="0" w:line="220" w:lineRule="exact"/>
      <w:jc w:val="both"/>
    </w:pPr>
    <w:rPr>
      <w:caps/>
      <w:sz w:val="16"/>
    </w:rPr>
  </w:style>
  <w:style w:type="paragraph" w:customStyle="1" w:styleId="TxtParaLast">
    <w:name w:val="Txt  ParaLast"/>
    <w:basedOn w:val="TxtParagraph"/>
    <w:pPr>
      <w:keepNext/>
    </w:pPr>
  </w:style>
  <w:style w:type="paragraph" w:styleId="Title">
    <w:name w:val="Title"/>
    <w:basedOn w:val="Normal"/>
    <w:qFormat/>
    <w:pPr>
      <w:jc w:val="center"/>
    </w:pPr>
    <w:rPr>
      <w:b/>
    </w:rPr>
  </w:style>
  <w:style w:type="paragraph" w:styleId="BodyText">
    <w:name w:val="Body Text"/>
    <w:basedOn w:val="Normal"/>
    <w:pPr>
      <w:jc w:val="left"/>
    </w:pPr>
  </w:style>
  <w:style w:type="paragraph" w:customStyle="1" w:styleId="a">
    <w:basedOn w:val="Normal"/>
    <w:rsid w:val="00B53651"/>
    <w:pPr>
      <w:widowControl/>
      <w:tabs>
        <w:tab w:val="clear" w:pos="567"/>
      </w:tabs>
      <w:spacing w:before="0" w:after="160" w:line="240" w:lineRule="exact"/>
      <w:jc w:val="left"/>
    </w:pPr>
    <w:rPr>
      <w:rFonts w:ascii="Verdana" w:hAnsi="Verdana"/>
      <w:sz w:val="20"/>
      <w:szCs w:val="24"/>
      <w:lang w:val="en-US" w:eastAsia="en-US"/>
    </w:rPr>
  </w:style>
  <w:style w:type="paragraph" w:customStyle="1" w:styleId="CharChar1Char">
    <w:name w:val="Char Char1 Char"/>
    <w:basedOn w:val="Normal"/>
    <w:rsid w:val="003734B1"/>
    <w:pPr>
      <w:widowControl/>
      <w:tabs>
        <w:tab w:val="clear" w:pos="567"/>
      </w:tabs>
      <w:spacing w:before="0" w:after="160" w:line="240" w:lineRule="exact"/>
      <w:jc w:val="left"/>
    </w:pPr>
    <w:rPr>
      <w:rFonts w:ascii="Arial" w:hAnsi="Arial"/>
      <w:sz w:val="22"/>
      <w:lang w:val="en-GB" w:eastAsia="en-US"/>
    </w:rPr>
  </w:style>
  <w:style w:type="paragraph" w:styleId="BalloonText">
    <w:name w:val="Balloon Text"/>
    <w:basedOn w:val="Normal"/>
    <w:link w:val="BalloonTextChar"/>
    <w:rsid w:val="00EF5E00"/>
    <w:pPr>
      <w:spacing w:before="0" w:after="0" w:line="240" w:lineRule="auto"/>
    </w:pPr>
    <w:rPr>
      <w:rFonts w:ascii="Tahoma" w:hAnsi="Tahoma" w:cs="Tahoma"/>
      <w:sz w:val="16"/>
      <w:szCs w:val="16"/>
    </w:rPr>
  </w:style>
  <w:style w:type="character" w:customStyle="1" w:styleId="BalloonTextChar">
    <w:name w:val="Balloon Text Char"/>
    <w:link w:val="BalloonText"/>
    <w:rsid w:val="00EF5E00"/>
    <w:rPr>
      <w:rFonts w:ascii="Tahoma" w:hAnsi="Tahoma" w:cs="Tahoma"/>
      <w:sz w:val="16"/>
      <w:szCs w:val="16"/>
    </w:rPr>
  </w:style>
  <w:style w:type="paragraph" w:customStyle="1" w:styleId="SinglePara">
    <w:name w:val="Single Para"/>
    <w:basedOn w:val="Normal"/>
    <w:link w:val="SingleParaChar"/>
    <w:rsid w:val="00A02FBB"/>
    <w:pPr>
      <w:widowControl/>
      <w:tabs>
        <w:tab w:val="clear" w:pos="567"/>
      </w:tabs>
      <w:spacing w:before="0" w:after="0" w:line="240" w:lineRule="auto"/>
      <w:jc w:val="left"/>
    </w:pPr>
    <w:rPr>
      <w:rFonts w:ascii="Times New Roman" w:hAnsi="Times New Roman"/>
    </w:rPr>
  </w:style>
  <w:style w:type="character" w:customStyle="1" w:styleId="SingleParaChar">
    <w:name w:val="Single Para Char"/>
    <w:link w:val="SinglePara"/>
    <w:rsid w:val="00A02F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f7bc583-7cbe-45b9-a2bd-8bbb6543b37e">
      <Value>31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9f7bc583-7cbe-45b9-a2bd-8bbb6543b37e">2015RG-86-17977</_dlc_DocId>
    <_dlc_DocIdUrl xmlns="9f7bc583-7cbe-45b9-a2bd-8bbb6543b37e">
      <Url>http://tweb/sites/rg/ldp/lmu/_layouts/15/DocIdRedir.aspx?ID=2015RG-86-17977</Url>
      <Description>2015RG-86-17977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21" ma:contentTypeDescription=" " ma:contentTypeScope="" ma:versionID="fc53f4eae6d7a637556b75822d443a4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6e96ee77066bd5557fbaaddbe36586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EC28-2C03-4D1B-9CE9-2077A9F7EADD}"/>
</file>

<file path=customXml/itemProps2.xml><?xml version="1.0" encoding="utf-8"?>
<ds:datastoreItem xmlns:ds="http://schemas.openxmlformats.org/officeDocument/2006/customXml" ds:itemID="{FCE9790D-852A-46B6-B205-5BBCCA79A00A}"/>
</file>

<file path=customXml/itemProps3.xml><?xml version="1.0" encoding="utf-8"?>
<ds:datastoreItem xmlns:ds="http://schemas.openxmlformats.org/officeDocument/2006/customXml" ds:itemID="{A55D6774-5AB5-4277-808D-ED0E9D948596}"/>
</file>

<file path=customXml/itemProps4.xml><?xml version="1.0" encoding="utf-8"?>
<ds:datastoreItem xmlns:ds="http://schemas.openxmlformats.org/officeDocument/2006/customXml" ds:itemID="{5C2C1B00-E1E4-4C51-AA6E-B043369C00C5}"/>
</file>

<file path=customXml/itemProps5.xml><?xml version="1.0" encoding="utf-8"?>
<ds:datastoreItem xmlns:ds="http://schemas.openxmlformats.org/officeDocument/2006/customXml" ds:itemID="{FBA48F39-6011-418D-9839-8C82BA47F72C}"/>
</file>

<file path=customXml/itemProps6.xml><?xml version="1.0" encoding="utf-8"?>
<ds:datastoreItem xmlns:ds="http://schemas.openxmlformats.org/officeDocument/2006/customXml" ds:itemID="{1F0F9DAE-F5B0-4E75-9E69-25AA41D8F093}"/>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Australian Government - The Treasury</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creator>Firstname Surname</dc:creator>
  <cp:lastModifiedBy>Anderson, Sharon</cp:lastModifiedBy>
  <cp:revision>2</cp:revision>
  <cp:lastPrinted>2015-11-25T06:44:00Z</cp:lastPrinted>
  <dcterms:created xsi:type="dcterms:W3CDTF">2015-12-03T03:18:00Z</dcterms:created>
  <dcterms:modified xsi:type="dcterms:W3CDTF">2015-12-03T03:18:00Z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0x01010036BB8DE7EC542E42A8B2E98CC20CB69700A0A840AFAB52624689FA9AA81E9EF0D1</vt:lpwstr>
  </property>
  <property fmtid="{D5CDD505-2E9C-101B-9397-08002B2CF9AE}" pid="3" name="TSYRecordClass">
    <vt:lpwstr>11</vt:lpwstr>
  </property>
  <property fmtid="{D5CDD505-2E9C-101B-9397-08002B2CF9AE}" pid="4" name="_dlc_DocIdItemGuid">
    <vt:lpwstr>c086dddd-86b3-43fb-aef9-1debaa513148</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{dccdc871-037f-4284-8906-341cf32cdf60}</vt:lpwstr>
  </property>
  <property fmtid="{D5CDD505-2E9C-101B-9397-08002B2CF9AE}" pid="8" name="RecordPoint_ActiveItemUniqueId">
    <vt:lpwstr>{69ecc46a-ef67-4ce2-9911-163ee7e0247e}</vt:lpwstr>
  </property>
  <property fmtid="{D5CDD505-2E9C-101B-9397-08002B2CF9AE}" pid="9" name="RecordPoint_ActiveItemWebId">
    <vt:lpwstr>{31eac4f3-160a-4a13-a9a0-2808d5b44bbf}</vt:lpwstr>
  </property>
  <property fmtid="{D5CDD505-2E9C-101B-9397-08002B2CF9AE}" pid="10" name="RecordPoint_RecordNumberSubmitted">
    <vt:lpwstr>R0000046688</vt:lpwstr>
  </property>
  <property fmtid="{D5CDD505-2E9C-101B-9397-08002B2CF9AE}" pid="11" name="RecordPoint_SubmissionCompleted">
    <vt:lpwstr>2015-06-15T18:17:52.5468958+10:00</vt:lpwstr>
  </property>
  <property fmtid="{D5CDD505-2E9C-101B-9397-08002B2CF9AE}" pid="12" name="_AdHocReviewCycleID">
    <vt:i4>496069011</vt:i4>
  </property>
  <property fmtid="{D5CDD505-2E9C-101B-9397-08002B2CF9AE}" pid="13" name="_NewReviewCycle">
    <vt:lpwstr/>
  </property>
  <property fmtid="{D5CDD505-2E9C-101B-9397-08002B2CF9AE}" pid="14" name="_EmailSubject">
    <vt:lpwstr>Interim order to be published</vt:lpwstr>
  </property>
  <property fmtid="{D5CDD505-2E9C-101B-9397-08002B2CF9AE}" pid="15" name="_AuthorEmail">
    <vt:lpwstr>Rebecca.Northey@treasury.gov.au</vt:lpwstr>
  </property>
  <property fmtid="{D5CDD505-2E9C-101B-9397-08002B2CF9AE}" pid="16" name="_AuthorEmailDisplayName">
    <vt:lpwstr>Northey, Rebecca</vt:lpwstr>
  </property>
  <property fmtid="{D5CDD505-2E9C-101B-9397-08002B2CF9AE}" pid="17" name="_PreviousAdHocReviewCycleID">
    <vt:i4>588233472</vt:i4>
  </property>
  <property fmtid="{D5CDD505-2E9C-101B-9397-08002B2CF9AE}" pid="18" name="_ReviewingToolsShownOnce">
    <vt:lpwstr/>
  </property>
</Properties>
</file>