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01" w:rsidRDefault="00755F6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fillcolor="window">
            <v:imagedata r:id="rId8" o:title=""/>
          </v:shape>
        </w:pict>
      </w:r>
    </w:p>
    <w:p w:rsidR="00366401" w:rsidRDefault="00366401"/>
    <w:p w:rsidR="00366401" w:rsidRDefault="00366401" w:rsidP="00366401">
      <w:pPr>
        <w:spacing w:line="240" w:lineRule="auto"/>
      </w:pPr>
    </w:p>
    <w:p w:rsidR="00366401" w:rsidRDefault="00366401" w:rsidP="00366401"/>
    <w:p w:rsidR="00366401" w:rsidRDefault="00366401" w:rsidP="00366401"/>
    <w:p w:rsidR="00366401" w:rsidRDefault="00366401" w:rsidP="00366401"/>
    <w:p w:rsidR="00366401" w:rsidRDefault="00366401" w:rsidP="00366401"/>
    <w:p w:rsidR="0048364F" w:rsidRPr="00AB6E5D" w:rsidRDefault="00620D6F" w:rsidP="0048364F">
      <w:pPr>
        <w:pStyle w:val="ShortT"/>
      </w:pPr>
      <w:r w:rsidRPr="00AB6E5D">
        <w:t>Australian Institute of Aboriginal and Torres Strait Isla</w:t>
      </w:r>
      <w:r w:rsidR="007F5072" w:rsidRPr="00AB6E5D">
        <w:t xml:space="preserve">nder Studies Amendment </w:t>
      </w:r>
      <w:r w:rsidR="00366401">
        <w:t>Act</w:t>
      </w:r>
      <w:r w:rsidR="007F5072" w:rsidRPr="00AB6E5D">
        <w:t xml:space="preserve"> 2016</w:t>
      </w:r>
    </w:p>
    <w:p w:rsidR="0048364F" w:rsidRPr="00AB6E5D" w:rsidRDefault="0048364F" w:rsidP="0048364F"/>
    <w:p w:rsidR="0048364F" w:rsidRPr="00AB6E5D" w:rsidRDefault="00C164CA" w:rsidP="00366401">
      <w:pPr>
        <w:pStyle w:val="Actno"/>
        <w:spacing w:before="400"/>
      </w:pPr>
      <w:r w:rsidRPr="00AB6E5D">
        <w:t>No.</w:t>
      </w:r>
      <w:r w:rsidR="008655A6">
        <w:t xml:space="preserve"> 6</w:t>
      </w:r>
      <w:r w:rsidRPr="00AB6E5D">
        <w:t>, 201</w:t>
      </w:r>
      <w:r w:rsidR="007F5072" w:rsidRPr="00AB6E5D">
        <w:t>6</w:t>
      </w:r>
    </w:p>
    <w:p w:rsidR="0048364F" w:rsidRPr="00AB6E5D" w:rsidRDefault="0048364F" w:rsidP="0048364F"/>
    <w:p w:rsidR="00366401" w:rsidRDefault="00366401" w:rsidP="00366401"/>
    <w:p w:rsidR="00366401" w:rsidRDefault="00366401" w:rsidP="00366401"/>
    <w:p w:rsidR="00366401" w:rsidRDefault="00366401" w:rsidP="00366401"/>
    <w:p w:rsidR="00366401" w:rsidRDefault="00366401" w:rsidP="00366401">
      <w:bookmarkStart w:id="0" w:name="_GoBack"/>
      <w:bookmarkEnd w:id="0"/>
    </w:p>
    <w:p w:rsidR="0048364F" w:rsidRPr="00AB6E5D" w:rsidRDefault="00366401" w:rsidP="0048364F">
      <w:pPr>
        <w:pStyle w:val="LongT"/>
      </w:pPr>
      <w:r>
        <w:t>An Act</w:t>
      </w:r>
      <w:r w:rsidR="0048364F" w:rsidRPr="00AB6E5D">
        <w:t xml:space="preserve"> to </w:t>
      </w:r>
      <w:r w:rsidR="00620D6F" w:rsidRPr="00AB6E5D">
        <w:t xml:space="preserve">amend the </w:t>
      </w:r>
      <w:r w:rsidR="00620D6F" w:rsidRPr="00AB6E5D">
        <w:rPr>
          <w:i/>
        </w:rPr>
        <w:t>Australian Institute of Aboriginal and Torres Strait Islander Studies Act 1989</w:t>
      </w:r>
      <w:r w:rsidR="0048364F" w:rsidRPr="00AB6E5D">
        <w:t>, and for related purposes</w:t>
      </w:r>
    </w:p>
    <w:p w:rsidR="0048364F" w:rsidRPr="00AB6E5D" w:rsidRDefault="0048364F" w:rsidP="0048364F">
      <w:pPr>
        <w:pStyle w:val="Header"/>
        <w:tabs>
          <w:tab w:val="clear" w:pos="4150"/>
          <w:tab w:val="clear" w:pos="8307"/>
        </w:tabs>
      </w:pPr>
      <w:r w:rsidRPr="00AB6E5D">
        <w:rPr>
          <w:rStyle w:val="CharAmSchNo"/>
        </w:rPr>
        <w:t xml:space="preserve"> </w:t>
      </w:r>
      <w:r w:rsidRPr="00AB6E5D">
        <w:rPr>
          <w:rStyle w:val="CharAmSchText"/>
        </w:rPr>
        <w:t xml:space="preserve"> </w:t>
      </w:r>
    </w:p>
    <w:p w:rsidR="0048364F" w:rsidRPr="00AB6E5D" w:rsidRDefault="0048364F" w:rsidP="0048364F">
      <w:pPr>
        <w:pStyle w:val="Header"/>
        <w:tabs>
          <w:tab w:val="clear" w:pos="4150"/>
          <w:tab w:val="clear" w:pos="8307"/>
        </w:tabs>
      </w:pPr>
      <w:r w:rsidRPr="00AB6E5D">
        <w:rPr>
          <w:rStyle w:val="CharAmPartNo"/>
        </w:rPr>
        <w:t xml:space="preserve"> </w:t>
      </w:r>
      <w:r w:rsidRPr="00AB6E5D">
        <w:rPr>
          <w:rStyle w:val="CharAmPartText"/>
        </w:rPr>
        <w:t xml:space="preserve"> </w:t>
      </w:r>
    </w:p>
    <w:p w:rsidR="0048364F" w:rsidRPr="00AB6E5D" w:rsidRDefault="0048364F" w:rsidP="0048364F">
      <w:pPr>
        <w:sectPr w:rsidR="0048364F" w:rsidRPr="00AB6E5D" w:rsidSect="003664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AB6E5D" w:rsidRDefault="0048364F" w:rsidP="00082EDB">
      <w:pPr>
        <w:rPr>
          <w:sz w:val="36"/>
        </w:rPr>
      </w:pPr>
      <w:r w:rsidRPr="00AB6E5D">
        <w:rPr>
          <w:sz w:val="36"/>
        </w:rPr>
        <w:lastRenderedPageBreak/>
        <w:t>Contents</w:t>
      </w:r>
    </w:p>
    <w:bookmarkStart w:id="1" w:name="BKCheck15B_1"/>
    <w:bookmarkEnd w:id="1"/>
    <w:p w:rsidR="008655A6" w:rsidRDefault="008655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655A6">
        <w:rPr>
          <w:noProof/>
        </w:rPr>
        <w:tab/>
      </w:r>
      <w:r w:rsidRPr="008655A6">
        <w:rPr>
          <w:noProof/>
        </w:rPr>
        <w:fldChar w:fldCharType="begin"/>
      </w:r>
      <w:r w:rsidRPr="008655A6">
        <w:rPr>
          <w:noProof/>
        </w:rPr>
        <w:instrText xml:space="preserve"> PAGEREF _Toc443307831 \h </w:instrText>
      </w:r>
      <w:r w:rsidRPr="008655A6">
        <w:rPr>
          <w:noProof/>
        </w:rPr>
      </w:r>
      <w:r w:rsidRPr="008655A6">
        <w:rPr>
          <w:noProof/>
        </w:rPr>
        <w:fldChar w:fldCharType="separate"/>
      </w:r>
      <w:r w:rsidR="00755F66">
        <w:rPr>
          <w:noProof/>
        </w:rPr>
        <w:t>2</w:t>
      </w:r>
      <w:r w:rsidRPr="008655A6">
        <w:rPr>
          <w:noProof/>
        </w:rPr>
        <w:fldChar w:fldCharType="end"/>
      </w:r>
    </w:p>
    <w:p w:rsidR="008655A6" w:rsidRDefault="008655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655A6">
        <w:rPr>
          <w:noProof/>
        </w:rPr>
        <w:tab/>
      </w:r>
      <w:r w:rsidRPr="008655A6">
        <w:rPr>
          <w:noProof/>
        </w:rPr>
        <w:fldChar w:fldCharType="begin"/>
      </w:r>
      <w:r w:rsidRPr="008655A6">
        <w:rPr>
          <w:noProof/>
        </w:rPr>
        <w:instrText xml:space="preserve"> PAGEREF _Toc443307832 \h </w:instrText>
      </w:r>
      <w:r w:rsidRPr="008655A6">
        <w:rPr>
          <w:noProof/>
        </w:rPr>
      </w:r>
      <w:r w:rsidRPr="008655A6">
        <w:rPr>
          <w:noProof/>
        </w:rPr>
        <w:fldChar w:fldCharType="separate"/>
      </w:r>
      <w:r w:rsidR="00755F66">
        <w:rPr>
          <w:noProof/>
        </w:rPr>
        <w:t>2</w:t>
      </w:r>
      <w:r w:rsidRPr="008655A6">
        <w:rPr>
          <w:noProof/>
        </w:rPr>
        <w:fldChar w:fldCharType="end"/>
      </w:r>
    </w:p>
    <w:p w:rsidR="008655A6" w:rsidRDefault="008655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655A6">
        <w:rPr>
          <w:noProof/>
        </w:rPr>
        <w:tab/>
      </w:r>
      <w:r w:rsidRPr="008655A6">
        <w:rPr>
          <w:noProof/>
        </w:rPr>
        <w:fldChar w:fldCharType="begin"/>
      </w:r>
      <w:r w:rsidRPr="008655A6">
        <w:rPr>
          <w:noProof/>
        </w:rPr>
        <w:instrText xml:space="preserve"> PAGEREF _Toc443307833 \h </w:instrText>
      </w:r>
      <w:r w:rsidRPr="008655A6">
        <w:rPr>
          <w:noProof/>
        </w:rPr>
      </w:r>
      <w:r w:rsidRPr="008655A6">
        <w:rPr>
          <w:noProof/>
        </w:rPr>
        <w:fldChar w:fldCharType="separate"/>
      </w:r>
      <w:r w:rsidR="00755F66">
        <w:rPr>
          <w:noProof/>
        </w:rPr>
        <w:t>2</w:t>
      </w:r>
      <w:r w:rsidRPr="008655A6">
        <w:rPr>
          <w:noProof/>
        </w:rPr>
        <w:fldChar w:fldCharType="end"/>
      </w:r>
    </w:p>
    <w:p w:rsidR="008655A6" w:rsidRDefault="008655A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655A6">
        <w:rPr>
          <w:b w:val="0"/>
          <w:noProof/>
          <w:sz w:val="18"/>
        </w:rPr>
        <w:tab/>
      </w:r>
      <w:r w:rsidRPr="008655A6">
        <w:rPr>
          <w:b w:val="0"/>
          <w:noProof/>
          <w:sz w:val="18"/>
        </w:rPr>
        <w:fldChar w:fldCharType="begin"/>
      </w:r>
      <w:r w:rsidRPr="008655A6">
        <w:rPr>
          <w:b w:val="0"/>
          <w:noProof/>
          <w:sz w:val="18"/>
        </w:rPr>
        <w:instrText xml:space="preserve"> PAGEREF _Toc443307834 \h </w:instrText>
      </w:r>
      <w:r w:rsidRPr="008655A6">
        <w:rPr>
          <w:b w:val="0"/>
          <w:noProof/>
          <w:sz w:val="18"/>
        </w:rPr>
      </w:r>
      <w:r w:rsidRPr="008655A6">
        <w:rPr>
          <w:b w:val="0"/>
          <w:noProof/>
          <w:sz w:val="18"/>
        </w:rPr>
        <w:fldChar w:fldCharType="separate"/>
      </w:r>
      <w:r w:rsidR="00755F66">
        <w:rPr>
          <w:b w:val="0"/>
          <w:noProof/>
          <w:sz w:val="18"/>
        </w:rPr>
        <w:t>3</w:t>
      </w:r>
      <w:r w:rsidRPr="008655A6">
        <w:rPr>
          <w:b w:val="0"/>
          <w:noProof/>
          <w:sz w:val="18"/>
        </w:rPr>
        <w:fldChar w:fldCharType="end"/>
      </w:r>
    </w:p>
    <w:p w:rsidR="008655A6" w:rsidRDefault="008655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Institute of Aboriginal and Torres Strait Islander Studies Act 1989</w:t>
      </w:r>
      <w:r w:rsidRPr="008655A6">
        <w:rPr>
          <w:i w:val="0"/>
          <w:noProof/>
          <w:sz w:val="18"/>
        </w:rPr>
        <w:tab/>
      </w:r>
      <w:r w:rsidRPr="008655A6">
        <w:rPr>
          <w:i w:val="0"/>
          <w:noProof/>
          <w:sz w:val="18"/>
        </w:rPr>
        <w:fldChar w:fldCharType="begin"/>
      </w:r>
      <w:r w:rsidRPr="008655A6">
        <w:rPr>
          <w:i w:val="0"/>
          <w:noProof/>
          <w:sz w:val="18"/>
        </w:rPr>
        <w:instrText xml:space="preserve"> PAGEREF _Toc443307835 \h </w:instrText>
      </w:r>
      <w:r w:rsidRPr="008655A6">
        <w:rPr>
          <w:i w:val="0"/>
          <w:noProof/>
          <w:sz w:val="18"/>
        </w:rPr>
      </w:r>
      <w:r w:rsidRPr="008655A6">
        <w:rPr>
          <w:i w:val="0"/>
          <w:noProof/>
          <w:sz w:val="18"/>
        </w:rPr>
        <w:fldChar w:fldCharType="separate"/>
      </w:r>
      <w:r w:rsidR="00755F66">
        <w:rPr>
          <w:i w:val="0"/>
          <w:noProof/>
          <w:sz w:val="18"/>
        </w:rPr>
        <w:t>3</w:t>
      </w:r>
      <w:r w:rsidRPr="008655A6">
        <w:rPr>
          <w:i w:val="0"/>
          <w:noProof/>
          <w:sz w:val="18"/>
        </w:rPr>
        <w:fldChar w:fldCharType="end"/>
      </w:r>
    </w:p>
    <w:p w:rsidR="00055B5C" w:rsidRPr="00AB6E5D" w:rsidRDefault="008655A6" w:rsidP="0048364F">
      <w:r>
        <w:fldChar w:fldCharType="end"/>
      </w:r>
    </w:p>
    <w:p w:rsidR="00060FF9" w:rsidRPr="00AB6E5D" w:rsidRDefault="00060FF9" w:rsidP="0048364F"/>
    <w:p w:rsidR="00FE7F93" w:rsidRPr="00AB6E5D" w:rsidRDefault="00FE7F93" w:rsidP="0048364F">
      <w:pPr>
        <w:sectPr w:rsidR="00FE7F93" w:rsidRPr="00AB6E5D" w:rsidSect="0036640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366401" w:rsidRDefault="00755F66">
      <w:r>
        <w:lastRenderedPageBreak/>
        <w:pict>
          <v:shape id="_x0000_i1026" type="#_x0000_t75" style="width:110.25pt;height:79.5pt" fillcolor="window">
            <v:imagedata r:id="rId8" o:title=""/>
          </v:shape>
        </w:pict>
      </w:r>
    </w:p>
    <w:p w:rsidR="00366401" w:rsidRDefault="00366401"/>
    <w:p w:rsidR="00366401" w:rsidRDefault="00366401" w:rsidP="00366401">
      <w:pPr>
        <w:spacing w:line="240" w:lineRule="auto"/>
      </w:pPr>
    </w:p>
    <w:p w:rsidR="00366401" w:rsidRDefault="00755F66" w:rsidP="00366401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Australian Institute of Aboriginal and Torres Strait Islander Studies Amendment Act 2016</w:t>
      </w:r>
      <w:r>
        <w:rPr>
          <w:noProof/>
        </w:rPr>
        <w:fldChar w:fldCharType="end"/>
      </w:r>
    </w:p>
    <w:p w:rsidR="00366401" w:rsidRDefault="00755F66" w:rsidP="00366401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6, 2016</w:t>
      </w:r>
      <w:r>
        <w:rPr>
          <w:noProof/>
        </w:rPr>
        <w:fldChar w:fldCharType="end"/>
      </w:r>
    </w:p>
    <w:p w:rsidR="00366401" w:rsidRPr="009A0728" w:rsidRDefault="0036640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366401" w:rsidRPr="009A0728" w:rsidRDefault="00366401" w:rsidP="009A0728">
      <w:pPr>
        <w:spacing w:line="40" w:lineRule="exact"/>
        <w:rPr>
          <w:rFonts w:eastAsia="Calibri"/>
          <w:b/>
          <w:sz w:val="28"/>
        </w:rPr>
      </w:pPr>
    </w:p>
    <w:p w:rsidR="00366401" w:rsidRPr="009A0728" w:rsidRDefault="0036640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620D6F" w:rsidRPr="00AB6E5D" w:rsidRDefault="00366401" w:rsidP="00AB6E5D">
      <w:pPr>
        <w:pStyle w:val="Page1"/>
      </w:pPr>
      <w:r>
        <w:t>An Act</w:t>
      </w:r>
      <w:r w:rsidR="009F6A17" w:rsidRPr="00AB6E5D">
        <w:t xml:space="preserve"> to amend the </w:t>
      </w:r>
      <w:r w:rsidR="009F6A17" w:rsidRPr="00AB6E5D">
        <w:rPr>
          <w:i/>
        </w:rPr>
        <w:t>Australian Institute of Aboriginal and Torres Strait Islander Studies Act 1989</w:t>
      </w:r>
      <w:r w:rsidR="009F6A17" w:rsidRPr="00AB6E5D">
        <w:t>, and for related purposes</w:t>
      </w:r>
    </w:p>
    <w:p w:rsidR="008655A6" w:rsidRDefault="008655A6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11 February 2016</w:t>
      </w:r>
      <w:r>
        <w:rPr>
          <w:sz w:val="24"/>
        </w:rPr>
        <w:t>]</w:t>
      </w:r>
    </w:p>
    <w:p w:rsidR="0048364F" w:rsidRPr="00AB6E5D" w:rsidRDefault="0048364F" w:rsidP="00AB6E5D">
      <w:pPr>
        <w:spacing w:before="240" w:line="240" w:lineRule="auto"/>
        <w:rPr>
          <w:sz w:val="32"/>
        </w:rPr>
      </w:pPr>
      <w:r w:rsidRPr="00AB6E5D">
        <w:rPr>
          <w:sz w:val="32"/>
        </w:rPr>
        <w:t>The Parliament of Australia enacts:</w:t>
      </w:r>
    </w:p>
    <w:p w:rsidR="0048364F" w:rsidRPr="00AB6E5D" w:rsidRDefault="0048364F" w:rsidP="00AB6E5D">
      <w:pPr>
        <w:pStyle w:val="ActHead5"/>
      </w:pPr>
      <w:bookmarkStart w:id="2" w:name="_Toc443307831"/>
      <w:r w:rsidRPr="00AB6E5D">
        <w:rPr>
          <w:rStyle w:val="CharSectno"/>
        </w:rPr>
        <w:lastRenderedPageBreak/>
        <w:t>1</w:t>
      </w:r>
      <w:r w:rsidRPr="00AB6E5D">
        <w:t xml:space="preserve">  Short title</w:t>
      </w:r>
      <w:bookmarkEnd w:id="2"/>
    </w:p>
    <w:p w:rsidR="0048364F" w:rsidRPr="00AB6E5D" w:rsidRDefault="0048364F" w:rsidP="00AB6E5D">
      <w:pPr>
        <w:pStyle w:val="subsection"/>
      </w:pPr>
      <w:r w:rsidRPr="00AB6E5D">
        <w:tab/>
      </w:r>
      <w:r w:rsidRPr="00AB6E5D">
        <w:tab/>
        <w:t xml:space="preserve">This Act may be cited as the </w:t>
      </w:r>
      <w:r w:rsidR="00620D6F" w:rsidRPr="00AB6E5D">
        <w:rPr>
          <w:i/>
        </w:rPr>
        <w:t>Australian Institute of Aboriginal and Torres Strait Islander Studies Amendment</w:t>
      </w:r>
      <w:r w:rsidR="00C164CA" w:rsidRPr="00AB6E5D">
        <w:rPr>
          <w:i/>
        </w:rPr>
        <w:t xml:space="preserve"> Act 201</w:t>
      </w:r>
      <w:r w:rsidR="007F5072" w:rsidRPr="00AB6E5D">
        <w:rPr>
          <w:i/>
        </w:rPr>
        <w:t>6</w:t>
      </w:r>
      <w:r w:rsidRPr="00AB6E5D">
        <w:t>.</w:t>
      </w:r>
    </w:p>
    <w:p w:rsidR="0048364F" w:rsidRPr="00AB6E5D" w:rsidRDefault="0048364F" w:rsidP="00AB6E5D">
      <w:pPr>
        <w:pStyle w:val="ActHead5"/>
      </w:pPr>
      <w:bookmarkStart w:id="3" w:name="_Toc443307832"/>
      <w:r w:rsidRPr="00AB6E5D">
        <w:rPr>
          <w:rStyle w:val="CharSectno"/>
        </w:rPr>
        <w:t>2</w:t>
      </w:r>
      <w:r w:rsidRPr="00AB6E5D">
        <w:t xml:space="preserve">  Commencement</w:t>
      </w:r>
      <w:bookmarkEnd w:id="3"/>
    </w:p>
    <w:p w:rsidR="0048364F" w:rsidRPr="00AB6E5D" w:rsidRDefault="0048364F" w:rsidP="00AB6E5D">
      <w:pPr>
        <w:pStyle w:val="subsection"/>
      </w:pPr>
      <w:r w:rsidRPr="00AB6E5D">
        <w:tab/>
        <w:t>(1)</w:t>
      </w:r>
      <w:r w:rsidRPr="00AB6E5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AB6E5D" w:rsidRDefault="0048364F" w:rsidP="00AB6E5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B6E5D" w:rsidTr="00082ED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AB6E5D" w:rsidRDefault="0048364F" w:rsidP="00AB6E5D">
            <w:pPr>
              <w:pStyle w:val="TableHeading"/>
            </w:pPr>
            <w:r w:rsidRPr="00AB6E5D">
              <w:t>Commencement information</w:t>
            </w:r>
          </w:p>
        </w:tc>
      </w:tr>
      <w:tr w:rsidR="0048364F" w:rsidRPr="00AB6E5D" w:rsidTr="00082ED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AB6E5D" w:rsidRDefault="0048364F" w:rsidP="00AB6E5D">
            <w:pPr>
              <w:pStyle w:val="TableHeading"/>
            </w:pPr>
            <w:r w:rsidRPr="00AB6E5D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AB6E5D" w:rsidRDefault="0048364F" w:rsidP="00AB6E5D">
            <w:pPr>
              <w:pStyle w:val="TableHeading"/>
            </w:pPr>
            <w:r w:rsidRPr="00AB6E5D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AB6E5D" w:rsidRDefault="0048364F" w:rsidP="00AB6E5D">
            <w:pPr>
              <w:pStyle w:val="TableHeading"/>
            </w:pPr>
            <w:r w:rsidRPr="00AB6E5D">
              <w:t>Column 3</w:t>
            </w:r>
          </w:p>
        </w:tc>
      </w:tr>
      <w:tr w:rsidR="0048364F" w:rsidRPr="00AB6E5D" w:rsidTr="00082EDB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AB6E5D" w:rsidRDefault="0048364F" w:rsidP="00AB6E5D">
            <w:pPr>
              <w:pStyle w:val="TableHeading"/>
            </w:pPr>
            <w:r w:rsidRPr="00AB6E5D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AB6E5D" w:rsidRDefault="0048364F" w:rsidP="00AB6E5D">
            <w:pPr>
              <w:pStyle w:val="TableHeading"/>
            </w:pPr>
            <w:r w:rsidRPr="00AB6E5D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AB6E5D" w:rsidRDefault="0048364F" w:rsidP="00AB6E5D">
            <w:pPr>
              <w:pStyle w:val="TableHeading"/>
            </w:pPr>
            <w:r w:rsidRPr="00AB6E5D">
              <w:t>Date/Details</w:t>
            </w:r>
          </w:p>
        </w:tc>
      </w:tr>
      <w:tr w:rsidR="0048364F" w:rsidRPr="00AB6E5D" w:rsidTr="00082EDB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AB6E5D" w:rsidRDefault="0048364F" w:rsidP="00AB6E5D">
            <w:pPr>
              <w:pStyle w:val="Tabletext"/>
            </w:pPr>
            <w:r w:rsidRPr="00AB6E5D">
              <w:t xml:space="preserve">1.  </w:t>
            </w:r>
            <w:r w:rsidR="00082EDB" w:rsidRPr="00AB6E5D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AB6E5D" w:rsidRDefault="0048364F" w:rsidP="00AB6E5D">
            <w:pPr>
              <w:pStyle w:val="Tabletext"/>
            </w:pPr>
            <w:r w:rsidRPr="00AB6E5D">
              <w:t>The day</w:t>
            </w:r>
            <w:r w:rsidR="00082EDB" w:rsidRPr="00AB6E5D">
              <w:t xml:space="preserve"> after</w:t>
            </w:r>
            <w:r w:rsidRPr="00AB6E5D">
              <w:t xml:space="preserve">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AB6E5D" w:rsidRDefault="008655A6" w:rsidP="00AB6E5D">
            <w:pPr>
              <w:pStyle w:val="Tabletext"/>
            </w:pPr>
            <w:r>
              <w:t>12 February 2016</w:t>
            </w:r>
          </w:p>
        </w:tc>
      </w:tr>
    </w:tbl>
    <w:p w:rsidR="0048364F" w:rsidRPr="00AB6E5D" w:rsidRDefault="00201D27" w:rsidP="00AB6E5D">
      <w:pPr>
        <w:pStyle w:val="notetext"/>
      </w:pPr>
      <w:r w:rsidRPr="00AB6E5D">
        <w:t>Note:</w:t>
      </w:r>
      <w:r w:rsidRPr="00AB6E5D">
        <w:tab/>
        <w:t>This table relates only to the provisions of this Act as originally enacted. It will not be amended to deal with any later amendments of this Act.</w:t>
      </w:r>
    </w:p>
    <w:p w:rsidR="0048364F" w:rsidRPr="00AB6E5D" w:rsidRDefault="0048364F" w:rsidP="00AB6E5D">
      <w:pPr>
        <w:pStyle w:val="subsection"/>
      </w:pPr>
      <w:r w:rsidRPr="00AB6E5D">
        <w:tab/>
        <w:t>(2)</w:t>
      </w:r>
      <w:r w:rsidRPr="00AB6E5D">
        <w:tab/>
      </w:r>
      <w:r w:rsidR="00201D27" w:rsidRPr="00AB6E5D">
        <w:t xml:space="preserve">Any information in </w:t>
      </w:r>
      <w:r w:rsidR="00877D48" w:rsidRPr="00AB6E5D">
        <w:t>c</w:t>
      </w:r>
      <w:r w:rsidR="00201D27" w:rsidRPr="00AB6E5D">
        <w:t>olumn 3 of the table is not part of this Act. Information may be inserted in this column, or information in it may be edited, in any published version of this Act.</w:t>
      </w:r>
    </w:p>
    <w:p w:rsidR="0048364F" w:rsidRPr="00AB6E5D" w:rsidRDefault="0048364F" w:rsidP="00AB6E5D">
      <w:pPr>
        <w:pStyle w:val="ActHead5"/>
      </w:pPr>
      <w:bookmarkStart w:id="4" w:name="_Toc443307833"/>
      <w:r w:rsidRPr="00AB6E5D">
        <w:rPr>
          <w:rStyle w:val="CharSectno"/>
        </w:rPr>
        <w:t>3</w:t>
      </w:r>
      <w:r w:rsidRPr="00AB6E5D">
        <w:t xml:space="preserve">  Schedules</w:t>
      </w:r>
      <w:bookmarkEnd w:id="4"/>
    </w:p>
    <w:p w:rsidR="0048364F" w:rsidRPr="00AB6E5D" w:rsidRDefault="0048364F" w:rsidP="00AB6E5D">
      <w:pPr>
        <w:pStyle w:val="subsection"/>
      </w:pPr>
      <w:r w:rsidRPr="00AB6E5D">
        <w:tab/>
      </w:r>
      <w:r w:rsidRPr="00AB6E5D">
        <w:tab/>
      </w:r>
      <w:r w:rsidR="00202618" w:rsidRPr="00AB6E5D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AB6E5D" w:rsidRDefault="0048364F" w:rsidP="00AB6E5D">
      <w:pPr>
        <w:pStyle w:val="ActHead6"/>
        <w:pageBreakBefore/>
      </w:pPr>
      <w:bookmarkStart w:id="5" w:name="_Toc443307834"/>
      <w:bookmarkStart w:id="6" w:name="opcAmSched"/>
      <w:bookmarkStart w:id="7" w:name="opcCurrentFind"/>
      <w:r w:rsidRPr="00AB6E5D">
        <w:rPr>
          <w:rStyle w:val="CharAmSchNo"/>
        </w:rPr>
        <w:lastRenderedPageBreak/>
        <w:t>Schedule</w:t>
      </w:r>
      <w:r w:rsidR="00AB6E5D" w:rsidRPr="00AB6E5D">
        <w:rPr>
          <w:rStyle w:val="CharAmSchNo"/>
        </w:rPr>
        <w:t> </w:t>
      </w:r>
      <w:r w:rsidRPr="00AB6E5D">
        <w:rPr>
          <w:rStyle w:val="CharAmSchNo"/>
        </w:rPr>
        <w:t>1</w:t>
      </w:r>
      <w:r w:rsidRPr="00AB6E5D">
        <w:t>—</w:t>
      </w:r>
      <w:r w:rsidR="00A65DF1" w:rsidRPr="00AB6E5D">
        <w:rPr>
          <w:rStyle w:val="CharAmSchText"/>
        </w:rPr>
        <w:t>Amendments</w:t>
      </w:r>
      <w:bookmarkEnd w:id="5"/>
    </w:p>
    <w:bookmarkEnd w:id="6"/>
    <w:bookmarkEnd w:id="7"/>
    <w:p w:rsidR="0048364F" w:rsidRPr="00AB6E5D" w:rsidRDefault="00A65DF1" w:rsidP="00AB6E5D">
      <w:pPr>
        <w:pStyle w:val="Header"/>
      </w:pPr>
      <w:r w:rsidRPr="00AB6E5D">
        <w:rPr>
          <w:rStyle w:val="CharAmPartNo"/>
        </w:rPr>
        <w:t xml:space="preserve"> </w:t>
      </w:r>
      <w:r w:rsidRPr="00AB6E5D">
        <w:rPr>
          <w:rStyle w:val="CharAmPartText"/>
        </w:rPr>
        <w:t xml:space="preserve"> </w:t>
      </w:r>
    </w:p>
    <w:p w:rsidR="00A65DF1" w:rsidRPr="00AB6E5D" w:rsidRDefault="00A65DF1" w:rsidP="00AB6E5D">
      <w:pPr>
        <w:pStyle w:val="ActHead9"/>
        <w:rPr>
          <w:i w:val="0"/>
        </w:rPr>
      </w:pPr>
      <w:bookmarkStart w:id="8" w:name="_Toc443307835"/>
      <w:r w:rsidRPr="00AB6E5D">
        <w:t>Australian Institute of Aboriginal and Torres Strait Islander Studies Act 1989</w:t>
      </w:r>
      <w:bookmarkEnd w:id="8"/>
    </w:p>
    <w:p w:rsidR="003F5EB9" w:rsidRPr="00AB6E5D" w:rsidRDefault="00321AEF" w:rsidP="00AB6E5D">
      <w:pPr>
        <w:pStyle w:val="ItemHead"/>
      </w:pPr>
      <w:r w:rsidRPr="00AB6E5D">
        <w:t>1</w:t>
      </w:r>
      <w:r w:rsidR="003F5EB9" w:rsidRPr="00AB6E5D">
        <w:t xml:space="preserve">  Section</w:t>
      </w:r>
      <w:r w:rsidR="00AB6E5D" w:rsidRPr="00AB6E5D">
        <w:t> </w:t>
      </w:r>
      <w:r w:rsidR="003F5EB9" w:rsidRPr="00AB6E5D">
        <w:t xml:space="preserve">3 (definition of </w:t>
      </w:r>
      <w:r w:rsidR="003F5EB9" w:rsidRPr="00AB6E5D">
        <w:rPr>
          <w:i/>
        </w:rPr>
        <w:t>Aboriginal and Torres Strait Islander studies</w:t>
      </w:r>
      <w:r w:rsidR="003F5EB9" w:rsidRPr="00AB6E5D">
        <w:t>)</w:t>
      </w:r>
    </w:p>
    <w:p w:rsidR="003F5EB9" w:rsidRPr="00AB6E5D" w:rsidRDefault="003F5EB9" w:rsidP="00AB6E5D">
      <w:pPr>
        <w:pStyle w:val="Item"/>
      </w:pPr>
      <w:r w:rsidRPr="00AB6E5D">
        <w:t>Repeal the definition.</w:t>
      </w:r>
    </w:p>
    <w:p w:rsidR="00F17B87" w:rsidRPr="00AB6E5D" w:rsidRDefault="00321AEF" w:rsidP="00AB6E5D">
      <w:pPr>
        <w:pStyle w:val="ItemHead"/>
      </w:pPr>
      <w:r w:rsidRPr="00AB6E5D">
        <w:t>2</w:t>
      </w:r>
      <w:r w:rsidR="00F17B87" w:rsidRPr="00AB6E5D">
        <w:t xml:space="preserve">  Section</w:t>
      </w:r>
      <w:r w:rsidR="00AB6E5D" w:rsidRPr="00AB6E5D">
        <w:t> </w:t>
      </w:r>
      <w:r w:rsidR="00F17B87" w:rsidRPr="00AB6E5D">
        <w:t xml:space="preserve">3 (definition of </w:t>
      </w:r>
      <w:r w:rsidR="00F17B87" w:rsidRPr="00AB6E5D">
        <w:rPr>
          <w:i/>
        </w:rPr>
        <w:t>appointed Councillor</w:t>
      </w:r>
      <w:r w:rsidR="00F17B87" w:rsidRPr="00AB6E5D">
        <w:t>)</w:t>
      </w:r>
    </w:p>
    <w:p w:rsidR="00F17B87" w:rsidRPr="00AB6E5D" w:rsidRDefault="00F17B87" w:rsidP="00AB6E5D">
      <w:pPr>
        <w:pStyle w:val="Item"/>
      </w:pPr>
      <w:r w:rsidRPr="00AB6E5D">
        <w:t>Omit “12(1)(b) or (c)”, substitute “12(1)(c)”.</w:t>
      </w:r>
    </w:p>
    <w:p w:rsidR="00C75648" w:rsidRPr="00AB6E5D" w:rsidRDefault="00321AEF" w:rsidP="00AB6E5D">
      <w:pPr>
        <w:pStyle w:val="ItemHead"/>
      </w:pPr>
      <w:r w:rsidRPr="00AB6E5D">
        <w:t>3</w:t>
      </w:r>
      <w:r w:rsidR="00C75648" w:rsidRPr="00AB6E5D">
        <w:t xml:space="preserve">  Section</w:t>
      </w:r>
      <w:r w:rsidR="00AB6E5D" w:rsidRPr="00AB6E5D">
        <w:t> </w:t>
      </w:r>
      <w:r w:rsidR="00C75648" w:rsidRPr="00AB6E5D">
        <w:t>3</w:t>
      </w:r>
    </w:p>
    <w:p w:rsidR="00C75648" w:rsidRPr="00AB6E5D" w:rsidRDefault="00C75648" w:rsidP="00AB6E5D">
      <w:pPr>
        <w:pStyle w:val="Item"/>
      </w:pPr>
      <w:r w:rsidRPr="00AB6E5D">
        <w:t>Insert:</w:t>
      </w:r>
    </w:p>
    <w:p w:rsidR="00C75648" w:rsidRPr="00AB6E5D" w:rsidRDefault="00C75648" w:rsidP="00AB6E5D">
      <w:pPr>
        <w:pStyle w:val="Definition"/>
      </w:pPr>
      <w:r w:rsidRPr="00AB6E5D">
        <w:rPr>
          <w:b/>
          <w:i/>
        </w:rPr>
        <w:t>Chief Executive Officer</w:t>
      </w:r>
      <w:r w:rsidRPr="00AB6E5D">
        <w:t xml:space="preserve"> means the Chief Executive Officer of the Institute referred to in section</w:t>
      </w:r>
      <w:r w:rsidR="00AB6E5D" w:rsidRPr="00AB6E5D">
        <w:t> </w:t>
      </w:r>
      <w:r w:rsidRPr="00AB6E5D">
        <w:t>24.</w:t>
      </w:r>
    </w:p>
    <w:p w:rsidR="00F17B87" w:rsidRPr="00AB6E5D" w:rsidRDefault="00321AEF" w:rsidP="00AB6E5D">
      <w:pPr>
        <w:pStyle w:val="ItemHead"/>
      </w:pPr>
      <w:r w:rsidRPr="00AB6E5D">
        <w:t>4</w:t>
      </w:r>
      <w:r w:rsidR="00F17B87" w:rsidRPr="00AB6E5D">
        <w:t xml:space="preserve">  Section</w:t>
      </w:r>
      <w:r w:rsidR="00AB6E5D" w:rsidRPr="00AB6E5D">
        <w:t> </w:t>
      </w:r>
      <w:r w:rsidR="00F17B87" w:rsidRPr="00AB6E5D">
        <w:t xml:space="preserve">3 (at the end of the definition of </w:t>
      </w:r>
      <w:r w:rsidR="00F17B87" w:rsidRPr="00AB6E5D">
        <w:rPr>
          <w:i/>
        </w:rPr>
        <w:t>elected Councillor</w:t>
      </w:r>
      <w:r w:rsidR="00F17B87" w:rsidRPr="00AB6E5D">
        <w:t>)</w:t>
      </w:r>
    </w:p>
    <w:p w:rsidR="00F17B87" w:rsidRPr="00AB6E5D" w:rsidRDefault="00F17B87" w:rsidP="00AB6E5D">
      <w:pPr>
        <w:pStyle w:val="Item"/>
      </w:pPr>
      <w:r w:rsidRPr="00AB6E5D">
        <w:t>Add “or (b)”.</w:t>
      </w:r>
    </w:p>
    <w:p w:rsidR="00C75648" w:rsidRPr="00AB6E5D" w:rsidRDefault="00321AEF" w:rsidP="00AB6E5D">
      <w:pPr>
        <w:pStyle w:val="ItemHead"/>
      </w:pPr>
      <w:r w:rsidRPr="00AB6E5D">
        <w:t>5</w:t>
      </w:r>
      <w:r w:rsidR="00C75648" w:rsidRPr="00AB6E5D">
        <w:t xml:space="preserve">  Section</w:t>
      </w:r>
      <w:r w:rsidR="00AB6E5D" w:rsidRPr="00AB6E5D">
        <w:t> </w:t>
      </w:r>
      <w:r w:rsidR="00C75648" w:rsidRPr="00AB6E5D">
        <w:t xml:space="preserve">3 (definition of </w:t>
      </w:r>
      <w:r w:rsidR="00C75648" w:rsidRPr="00AB6E5D">
        <w:rPr>
          <w:i/>
        </w:rPr>
        <w:t>Principal</w:t>
      </w:r>
      <w:r w:rsidR="00C75648" w:rsidRPr="00AB6E5D">
        <w:t>)</w:t>
      </w:r>
    </w:p>
    <w:p w:rsidR="00C75648" w:rsidRPr="00AB6E5D" w:rsidRDefault="00C75648" w:rsidP="00AB6E5D">
      <w:pPr>
        <w:pStyle w:val="Item"/>
      </w:pPr>
      <w:r w:rsidRPr="00AB6E5D">
        <w:t>Repeal the definition.</w:t>
      </w:r>
    </w:p>
    <w:p w:rsidR="00C75648" w:rsidRPr="00AB6E5D" w:rsidRDefault="00321AEF" w:rsidP="00AB6E5D">
      <w:pPr>
        <w:pStyle w:val="ItemHead"/>
      </w:pPr>
      <w:r w:rsidRPr="00AB6E5D">
        <w:t>6</w:t>
      </w:r>
      <w:r w:rsidR="00C75648" w:rsidRPr="00AB6E5D">
        <w:t xml:space="preserve">  Section</w:t>
      </w:r>
      <w:r w:rsidR="00AB6E5D" w:rsidRPr="00AB6E5D">
        <w:t> </w:t>
      </w:r>
      <w:r w:rsidR="00C75648" w:rsidRPr="00AB6E5D">
        <w:t xml:space="preserve">3 (definition of </w:t>
      </w:r>
      <w:r w:rsidR="00C75648" w:rsidRPr="00AB6E5D">
        <w:rPr>
          <w:i/>
        </w:rPr>
        <w:t>Research Advisory Committee</w:t>
      </w:r>
      <w:r w:rsidR="00C75648" w:rsidRPr="00AB6E5D">
        <w:t>)</w:t>
      </w:r>
    </w:p>
    <w:p w:rsidR="00C75648" w:rsidRPr="00AB6E5D" w:rsidRDefault="00C75648" w:rsidP="00AB6E5D">
      <w:pPr>
        <w:pStyle w:val="Item"/>
      </w:pPr>
      <w:r w:rsidRPr="00AB6E5D">
        <w:t>Repeal the definition.</w:t>
      </w:r>
    </w:p>
    <w:p w:rsidR="00C75648" w:rsidRPr="00AB6E5D" w:rsidRDefault="00321AEF" w:rsidP="00AB6E5D">
      <w:pPr>
        <w:pStyle w:val="ItemHead"/>
      </w:pPr>
      <w:r w:rsidRPr="00AB6E5D">
        <w:t>7</w:t>
      </w:r>
      <w:r w:rsidR="00C75648" w:rsidRPr="00AB6E5D">
        <w:t xml:space="preserve">  Paragraphs 5(a) to (h)</w:t>
      </w:r>
    </w:p>
    <w:p w:rsidR="00C75648" w:rsidRPr="00AB6E5D" w:rsidRDefault="00C75648" w:rsidP="00AB6E5D">
      <w:pPr>
        <w:pStyle w:val="Item"/>
      </w:pPr>
      <w:r w:rsidRPr="00AB6E5D">
        <w:t>Repeal the paragraphs, substitute:</w:t>
      </w:r>
    </w:p>
    <w:p w:rsidR="007E1949" w:rsidRPr="00AB6E5D" w:rsidRDefault="00C75648" w:rsidP="00AB6E5D">
      <w:pPr>
        <w:pStyle w:val="paragraph"/>
      </w:pPr>
      <w:r w:rsidRPr="00AB6E5D">
        <w:tab/>
        <w:t>(a)</w:t>
      </w:r>
      <w:r w:rsidRPr="00AB6E5D">
        <w:tab/>
      </w:r>
      <w:r w:rsidR="007E1949" w:rsidRPr="00AB6E5D">
        <w:t>to develop, preserve and provide access to a national collection of Aboriginal and Torres Strait Islander cultur</w:t>
      </w:r>
      <w:r w:rsidR="00753CC8" w:rsidRPr="00AB6E5D">
        <w:t>e and</w:t>
      </w:r>
      <w:r w:rsidR="007E1949" w:rsidRPr="00AB6E5D">
        <w:t xml:space="preserve"> heritage;</w:t>
      </w:r>
    </w:p>
    <w:p w:rsidR="007E1949" w:rsidRPr="00AB6E5D" w:rsidRDefault="00A443D8" w:rsidP="00AB6E5D">
      <w:pPr>
        <w:pStyle w:val="paragraph"/>
      </w:pPr>
      <w:r w:rsidRPr="00AB6E5D">
        <w:tab/>
        <w:t>(b)</w:t>
      </w:r>
      <w:r w:rsidRPr="00AB6E5D">
        <w:tab/>
        <w:t>to use that</w:t>
      </w:r>
      <w:r w:rsidR="007E1949" w:rsidRPr="00AB6E5D">
        <w:t xml:space="preserve"> </w:t>
      </w:r>
      <w:r w:rsidR="00BD3228" w:rsidRPr="00AB6E5D">
        <w:t xml:space="preserve">national </w:t>
      </w:r>
      <w:r w:rsidR="007E1949" w:rsidRPr="00AB6E5D">
        <w:t>collection to strengthen and promote knowledge and understanding of Aboriginal and Torres Strait Islander culture</w:t>
      </w:r>
      <w:r w:rsidR="00EA29E2" w:rsidRPr="00AB6E5D">
        <w:t xml:space="preserve"> and heritage</w:t>
      </w:r>
      <w:r w:rsidR="007E1949" w:rsidRPr="00AB6E5D">
        <w:t>;</w:t>
      </w:r>
    </w:p>
    <w:p w:rsidR="00BD3228" w:rsidRPr="00AB6E5D" w:rsidRDefault="007E1949" w:rsidP="00AB6E5D">
      <w:pPr>
        <w:pStyle w:val="paragraph"/>
      </w:pPr>
      <w:r w:rsidRPr="00AB6E5D">
        <w:tab/>
        <w:t>(c)</w:t>
      </w:r>
      <w:r w:rsidRPr="00AB6E5D">
        <w:tab/>
        <w:t>to provide leadership in</w:t>
      </w:r>
      <w:r w:rsidR="000F3231" w:rsidRPr="00AB6E5D">
        <w:t xml:space="preserve"> the fields</w:t>
      </w:r>
      <w:r w:rsidR="00D7083F" w:rsidRPr="00AB6E5D">
        <w:t xml:space="preserve"> of</w:t>
      </w:r>
      <w:r w:rsidR="00BD3228" w:rsidRPr="00AB6E5D">
        <w:t>:</w:t>
      </w:r>
    </w:p>
    <w:p w:rsidR="00BD3228" w:rsidRPr="00AB6E5D" w:rsidRDefault="00BD3228" w:rsidP="00AB6E5D">
      <w:pPr>
        <w:pStyle w:val="paragraphsub"/>
      </w:pPr>
      <w:r w:rsidRPr="00AB6E5D">
        <w:lastRenderedPageBreak/>
        <w:tab/>
        <w:t>(</w:t>
      </w:r>
      <w:proofErr w:type="spellStart"/>
      <w:r w:rsidRPr="00AB6E5D">
        <w:t>i</w:t>
      </w:r>
      <w:proofErr w:type="spellEnd"/>
      <w:r w:rsidRPr="00AB6E5D">
        <w:t>)</w:t>
      </w:r>
      <w:r w:rsidRPr="00AB6E5D">
        <w:tab/>
      </w:r>
      <w:r w:rsidR="007E1949" w:rsidRPr="00AB6E5D">
        <w:t>Aboriginal and Torres Strait Islander research</w:t>
      </w:r>
      <w:r w:rsidRPr="00AB6E5D">
        <w:t>;</w:t>
      </w:r>
      <w:r w:rsidR="00D7083F" w:rsidRPr="00AB6E5D">
        <w:t xml:space="preserve"> and</w:t>
      </w:r>
    </w:p>
    <w:p w:rsidR="007E1949" w:rsidRPr="00AB6E5D" w:rsidRDefault="00BD3228" w:rsidP="00AB6E5D">
      <w:pPr>
        <w:pStyle w:val="paragraphsub"/>
      </w:pPr>
      <w:r w:rsidRPr="00AB6E5D">
        <w:tab/>
        <w:t>(ii)</w:t>
      </w:r>
      <w:r w:rsidRPr="00AB6E5D">
        <w:tab/>
      </w:r>
      <w:r w:rsidR="007E1949" w:rsidRPr="00AB6E5D">
        <w:t xml:space="preserve">ethics </w:t>
      </w:r>
      <w:r w:rsidRPr="00AB6E5D">
        <w:t xml:space="preserve">and protocols for </w:t>
      </w:r>
      <w:r w:rsidR="004B7446" w:rsidRPr="00AB6E5D">
        <w:t xml:space="preserve">research, and other activities relating to collections, related to </w:t>
      </w:r>
      <w:r w:rsidR="007E1949" w:rsidRPr="00AB6E5D">
        <w:t>Aboriginal and T</w:t>
      </w:r>
      <w:r w:rsidRPr="00AB6E5D">
        <w:t>orr</w:t>
      </w:r>
      <w:r w:rsidR="000F3231" w:rsidRPr="00AB6E5D">
        <w:t xml:space="preserve">es Strait Islander </w:t>
      </w:r>
      <w:r w:rsidR="004B7446" w:rsidRPr="00AB6E5D">
        <w:t>peoples</w:t>
      </w:r>
      <w:r w:rsidR="000F3231" w:rsidRPr="00AB6E5D">
        <w:t>;</w:t>
      </w:r>
      <w:r w:rsidR="00D7083F" w:rsidRPr="00AB6E5D">
        <w:t xml:space="preserve"> and</w:t>
      </w:r>
    </w:p>
    <w:p w:rsidR="00BD3228" w:rsidRPr="00AB6E5D" w:rsidRDefault="00A443D8" w:rsidP="00AB6E5D">
      <w:pPr>
        <w:pStyle w:val="paragraphsub"/>
      </w:pPr>
      <w:r w:rsidRPr="00AB6E5D">
        <w:tab/>
        <w:t>(iii)</w:t>
      </w:r>
      <w:r w:rsidRPr="00AB6E5D">
        <w:tab/>
        <w:t>use (including use for research) of that</w:t>
      </w:r>
      <w:r w:rsidR="00BD3228" w:rsidRPr="00AB6E5D">
        <w:t xml:space="preserve"> national collection and other collections containing Aboriginal and Torres Strait Islander cultur</w:t>
      </w:r>
      <w:r w:rsidR="00753CC8" w:rsidRPr="00AB6E5D">
        <w:t xml:space="preserve">e and </w:t>
      </w:r>
      <w:r w:rsidRPr="00AB6E5D">
        <w:t>heritage</w:t>
      </w:r>
      <w:r w:rsidR="00BD3228" w:rsidRPr="00AB6E5D">
        <w:t>;</w:t>
      </w:r>
    </w:p>
    <w:p w:rsidR="007E1949" w:rsidRPr="00AB6E5D" w:rsidRDefault="00BD3228" w:rsidP="00AB6E5D">
      <w:pPr>
        <w:pStyle w:val="paragraph"/>
      </w:pPr>
      <w:r w:rsidRPr="00AB6E5D">
        <w:tab/>
        <w:t>(d)</w:t>
      </w:r>
      <w:r w:rsidRPr="00AB6E5D">
        <w:tab/>
        <w:t>to lead and promote collaborations and partnerships among the academic, research, non</w:t>
      </w:r>
      <w:r w:rsidR="00AB6E5D">
        <w:noBreakHyphen/>
      </w:r>
      <w:r w:rsidRPr="00AB6E5D">
        <w:t xml:space="preserve">government, business and government sectors </w:t>
      </w:r>
      <w:r w:rsidR="00A443D8" w:rsidRPr="00AB6E5D">
        <w:t>and</w:t>
      </w:r>
      <w:r w:rsidRPr="00AB6E5D">
        <w:t xml:space="preserve"> Aboriginal and Torres Strait Islander </w:t>
      </w:r>
      <w:r w:rsidR="00EA29E2" w:rsidRPr="00AB6E5D">
        <w:t>peoples</w:t>
      </w:r>
      <w:r w:rsidRPr="00AB6E5D">
        <w:t xml:space="preserve"> in support of the other functions of the Institute;</w:t>
      </w:r>
    </w:p>
    <w:p w:rsidR="00BD3228" w:rsidRPr="00AB6E5D" w:rsidRDefault="00BD3228" w:rsidP="00AB6E5D">
      <w:pPr>
        <w:pStyle w:val="paragraph"/>
      </w:pPr>
      <w:r w:rsidRPr="00AB6E5D">
        <w:tab/>
        <w:t>(e)</w:t>
      </w:r>
      <w:r w:rsidRPr="00AB6E5D">
        <w:tab/>
        <w:t>to provide advice to the Commonwealth on the situation and status of Aboriginal and Torres Strait Islander culture and heritage.</w:t>
      </w:r>
    </w:p>
    <w:p w:rsidR="00694132" w:rsidRPr="00AB6E5D" w:rsidRDefault="00321AEF" w:rsidP="00AB6E5D">
      <w:pPr>
        <w:pStyle w:val="ItemHead"/>
      </w:pPr>
      <w:r w:rsidRPr="00AB6E5D">
        <w:t>8</w:t>
      </w:r>
      <w:r w:rsidR="00694132" w:rsidRPr="00AB6E5D">
        <w:t xml:space="preserve">  Subsection</w:t>
      </w:r>
      <w:r w:rsidR="00AB6E5D" w:rsidRPr="00AB6E5D">
        <w:t> </w:t>
      </w:r>
      <w:r w:rsidR="00694132" w:rsidRPr="00AB6E5D">
        <w:t>7(1)</w:t>
      </w:r>
    </w:p>
    <w:p w:rsidR="00694132" w:rsidRPr="00AB6E5D" w:rsidRDefault="00694132" w:rsidP="00AB6E5D">
      <w:pPr>
        <w:pStyle w:val="Item"/>
      </w:pPr>
      <w:r w:rsidRPr="00AB6E5D">
        <w:t>Repeal the subsection, substitute:</w:t>
      </w:r>
    </w:p>
    <w:p w:rsidR="00694132" w:rsidRPr="00AB6E5D" w:rsidRDefault="00694132" w:rsidP="00AB6E5D">
      <w:pPr>
        <w:pStyle w:val="subsection"/>
      </w:pPr>
      <w:r w:rsidRPr="00AB6E5D">
        <w:tab/>
        <w:t>(1)</w:t>
      </w:r>
      <w:r w:rsidRPr="00AB6E5D">
        <w:tab/>
        <w:t>Subject to this Part, the members of the Institute are persons appointed by the Council as members.</w:t>
      </w:r>
    </w:p>
    <w:p w:rsidR="00C75648" w:rsidRPr="00AB6E5D" w:rsidRDefault="00321AEF" w:rsidP="00AB6E5D">
      <w:pPr>
        <w:pStyle w:val="ItemHead"/>
      </w:pPr>
      <w:r w:rsidRPr="00AB6E5D">
        <w:t>9</w:t>
      </w:r>
      <w:r w:rsidR="00C75648" w:rsidRPr="00AB6E5D">
        <w:t xml:space="preserve">  At the end of paragraph</w:t>
      </w:r>
      <w:r w:rsidR="00AB6E5D" w:rsidRPr="00AB6E5D">
        <w:t> </w:t>
      </w:r>
      <w:r w:rsidR="00C75648" w:rsidRPr="00AB6E5D">
        <w:t>7(2)(a)</w:t>
      </w:r>
    </w:p>
    <w:p w:rsidR="00C75648" w:rsidRPr="00AB6E5D" w:rsidRDefault="00C75648" w:rsidP="00AB6E5D">
      <w:pPr>
        <w:pStyle w:val="Item"/>
      </w:pPr>
      <w:r w:rsidRPr="00AB6E5D">
        <w:t>Add “and”.</w:t>
      </w:r>
    </w:p>
    <w:p w:rsidR="00C75648" w:rsidRPr="00AB6E5D" w:rsidRDefault="00321AEF" w:rsidP="00AB6E5D">
      <w:pPr>
        <w:pStyle w:val="ItemHead"/>
      </w:pPr>
      <w:r w:rsidRPr="00AB6E5D">
        <w:t>10</w:t>
      </w:r>
      <w:r w:rsidR="00C75648" w:rsidRPr="00AB6E5D">
        <w:t xml:space="preserve">  Paragraph 7(2)(b)</w:t>
      </w:r>
    </w:p>
    <w:p w:rsidR="00C75648" w:rsidRPr="00AB6E5D" w:rsidRDefault="00C75648" w:rsidP="00AB6E5D">
      <w:pPr>
        <w:pStyle w:val="Item"/>
      </w:pPr>
      <w:r w:rsidRPr="00AB6E5D">
        <w:t>Omit “studies;”, substitute “</w:t>
      </w:r>
      <w:r w:rsidR="004B7446" w:rsidRPr="00AB6E5D">
        <w:t>culture and heritage</w:t>
      </w:r>
      <w:r w:rsidRPr="00AB6E5D">
        <w:t>.”.</w:t>
      </w:r>
    </w:p>
    <w:p w:rsidR="00C75648" w:rsidRPr="00AB6E5D" w:rsidRDefault="00321AEF" w:rsidP="00AB6E5D">
      <w:pPr>
        <w:pStyle w:val="ItemHead"/>
      </w:pPr>
      <w:r w:rsidRPr="00AB6E5D">
        <w:t>11</w:t>
      </w:r>
      <w:r w:rsidR="00C75648" w:rsidRPr="00AB6E5D">
        <w:t xml:space="preserve">  Paragraphs 7(2)(c) and (d)</w:t>
      </w:r>
    </w:p>
    <w:p w:rsidR="00C75648" w:rsidRPr="00AB6E5D" w:rsidRDefault="00C75648" w:rsidP="00AB6E5D">
      <w:pPr>
        <w:pStyle w:val="Item"/>
      </w:pPr>
      <w:r w:rsidRPr="00AB6E5D">
        <w:t>Repeal the paragraphs.</w:t>
      </w:r>
    </w:p>
    <w:p w:rsidR="00C9650B" w:rsidRPr="00AB6E5D" w:rsidRDefault="00321AEF" w:rsidP="00AB6E5D">
      <w:pPr>
        <w:pStyle w:val="ItemHead"/>
      </w:pPr>
      <w:r w:rsidRPr="00AB6E5D">
        <w:t>12</w:t>
      </w:r>
      <w:r w:rsidR="00C9650B" w:rsidRPr="00AB6E5D">
        <w:t xml:space="preserve">  Application</w:t>
      </w:r>
      <w:r w:rsidR="00694132" w:rsidRPr="00AB6E5D">
        <w:t xml:space="preserve"> and transitional provisions for members</w:t>
      </w:r>
    </w:p>
    <w:p w:rsidR="00C9650B" w:rsidRPr="00AB6E5D" w:rsidRDefault="00694132" w:rsidP="00AB6E5D">
      <w:pPr>
        <w:pStyle w:val="Subitem"/>
      </w:pPr>
      <w:r w:rsidRPr="00AB6E5D">
        <w:t>(1)</w:t>
      </w:r>
      <w:r w:rsidRPr="00AB6E5D">
        <w:tab/>
      </w:r>
      <w:r w:rsidR="00C9650B" w:rsidRPr="00AB6E5D">
        <w:t>The amendments of section</w:t>
      </w:r>
      <w:r w:rsidR="00AB6E5D" w:rsidRPr="00AB6E5D">
        <w:t> </w:t>
      </w:r>
      <w:r w:rsidR="00C9650B" w:rsidRPr="00AB6E5D">
        <w:t xml:space="preserve">7 of the </w:t>
      </w:r>
      <w:r w:rsidR="00C9650B" w:rsidRPr="00AB6E5D">
        <w:rPr>
          <w:i/>
        </w:rPr>
        <w:t>Australian Institute of Aboriginal and Torres Strait Islander Studies Act 1989</w:t>
      </w:r>
      <w:r w:rsidR="00C9650B" w:rsidRPr="00AB6E5D">
        <w:t xml:space="preserve"> made by this Schedule apply to the making of appointments of membership of the Institute on or after the commencement of the amendments, as a result of applications for membership made before, on or after that commencement.</w:t>
      </w:r>
    </w:p>
    <w:p w:rsidR="00694132" w:rsidRPr="00AB6E5D" w:rsidRDefault="00694132" w:rsidP="00AB6E5D">
      <w:pPr>
        <w:pStyle w:val="Subitem"/>
      </w:pPr>
      <w:r w:rsidRPr="00AB6E5D">
        <w:lastRenderedPageBreak/>
        <w:t>(2)</w:t>
      </w:r>
      <w:r w:rsidRPr="00AB6E5D">
        <w:tab/>
        <w:t>The repeal and substitution of subsection</w:t>
      </w:r>
      <w:r w:rsidR="00AB6E5D" w:rsidRPr="00AB6E5D">
        <w:t> </w:t>
      </w:r>
      <w:r w:rsidRPr="00AB6E5D">
        <w:t xml:space="preserve">7(1) of the </w:t>
      </w:r>
      <w:r w:rsidRPr="00AB6E5D">
        <w:rPr>
          <w:i/>
        </w:rPr>
        <w:t>Australian Institute of Aboriginal and Torres Strait Islander Studies Act 1989</w:t>
      </w:r>
      <w:r w:rsidRPr="00AB6E5D">
        <w:t xml:space="preserve"> by this Schedule do not affect the continuity of membership on or after the commencement of this Schedule of a person who was a member immediately before that commencement.</w:t>
      </w:r>
    </w:p>
    <w:p w:rsidR="00763A21" w:rsidRPr="00AB6E5D" w:rsidRDefault="00321AEF" w:rsidP="00AB6E5D">
      <w:pPr>
        <w:pStyle w:val="ItemHead"/>
      </w:pPr>
      <w:r w:rsidRPr="00AB6E5D">
        <w:t>13</w:t>
      </w:r>
      <w:r w:rsidR="00763A21" w:rsidRPr="00AB6E5D">
        <w:t xml:space="preserve">  Subsections</w:t>
      </w:r>
      <w:r w:rsidR="00AB6E5D" w:rsidRPr="00AB6E5D">
        <w:t> </w:t>
      </w:r>
      <w:r w:rsidR="00763A21" w:rsidRPr="00AB6E5D">
        <w:t>8(1) and (2)</w:t>
      </w:r>
    </w:p>
    <w:p w:rsidR="00763A21" w:rsidRPr="00AB6E5D" w:rsidRDefault="00763A21" w:rsidP="00AB6E5D">
      <w:pPr>
        <w:pStyle w:val="Item"/>
      </w:pPr>
      <w:r w:rsidRPr="00AB6E5D">
        <w:t>Repeal the subsections, substitute:</w:t>
      </w:r>
    </w:p>
    <w:p w:rsidR="00763A21" w:rsidRPr="00AB6E5D" w:rsidRDefault="00763A21" w:rsidP="00AB6E5D">
      <w:pPr>
        <w:pStyle w:val="subsection"/>
      </w:pPr>
      <w:r w:rsidRPr="00AB6E5D">
        <w:tab/>
        <w:t>(1)</w:t>
      </w:r>
      <w:r w:rsidRPr="00AB6E5D">
        <w:tab/>
        <w:t>A</w:t>
      </w:r>
      <w:r w:rsidR="000F3231" w:rsidRPr="00AB6E5D">
        <w:t>n appointment of a</w:t>
      </w:r>
      <w:r w:rsidRPr="00AB6E5D">
        <w:t xml:space="preserve"> person </w:t>
      </w:r>
      <w:r w:rsidR="000F3231" w:rsidRPr="00AB6E5D">
        <w:t xml:space="preserve">as </w:t>
      </w:r>
      <w:r w:rsidRPr="00AB6E5D">
        <w:t xml:space="preserve">a member of the Institute </w:t>
      </w:r>
      <w:r w:rsidR="000F3231" w:rsidRPr="00AB6E5D">
        <w:t>is</w:t>
      </w:r>
      <w:r w:rsidRPr="00AB6E5D">
        <w:t xml:space="preserve"> for 5 years.</w:t>
      </w:r>
    </w:p>
    <w:p w:rsidR="00C75648" w:rsidRPr="00AB6E5D" w:rsidRDefault="00321AEF" w:rsidP="00AB6E5D">
      <w:pPr>
        <w:pStyle w:val="ItemHead"/>
      </w:pPr>
      <w:r w:rsidRPr="00AB6E5D">
        <w:t>14</w:t>
      </w:r>
      <w:r w:rsidR="00E45B2D" w:rsidRPr="00AB6E5D">
        <w:t xml:space="preserve">  Sections</w:t>
      </w:r>
      <w:r w:rsidR="00AB6E5D" w:rsidRPr="00AB6E5D">
        <w:t> </w:t>
      </w:r>
      <w:r w:rsidR="00E45B2D" w:rsidRPr="00AB6E5D">
        <w:t>9 and 10</w:t>
      </w:r>
    </w:p>
    <w:p w:rsidR="00E45B2D" w:rsidRPr="00AB6E5D" w:rsidRDefault="00E45B2D" w:rsidP="00AB6E5D">
      <w:pPr>
        <w:pStyle w:val="Item"/>
      </w:pPr>
      <w:r w:rsidRPr="00AB6E5D">
        <w:t>Omit “Principal”, substitute “Chief Executive Officer”.</w:t>
      </w:r>
    </w:p>
    <w:p w:rsidR="00A418DA" w:rsidRPr="00AB6E5D" w:rsidRDefault="00321AEF" w:rsidP="00AB6E5D">
      <w:pPr>
        <w:pStyle w:val="ItemHead"/>
      </w:pPr>
      <w:r w:rsidRPr="00AB6E5D">
        <w:t>15</w:t>
      </w:r>
      <w:r w:rsidR="00A418DA" w:rsidRPr="00AB6E5D">
        <w:t xml:space="preserve">  Saving of register of members</w:t>
      </w:r>
    </w:p>
    <w:p w:rsidR="00A418DA" w:rsidRPr="00AB6E5D" w:rsidRDefault="00A418DA" w:rsidP="00AB6E5D">
      <w:pPr>
        <w:pStyle w:val="Item"/>
      </w:pPr>
      <w:r w:rsidRPr="00AB6E5D">
        <w:t>The amendment of section</w:t>
      </w:r>
      <w:r w:rsidR="00AB6E5D" w:rsidRPr="00AB6E5D">
        <w:t> </w:t>
      </w:r>
      <w:r w:rsidRPr="00AB6E5D">
        <w:t xml:space="preserve">10 of the </w:t>
      </w:r>
      <w:r w:rsidRPr="00AB6E5D">
        <w:rPr>
          <w:i/>
        </w:rPr>
        <w:t>Australian Institute of Aboriginal and Torres Strait Islander Studies Act 1989</w:t>
      </w:r>
      <w:r w:rsidRPr="00AB6E5D">
        <w:t xml:space="preserve"> made by this Schedule does not affect the continuity of the register kept under that section.</w:t>
      </w:r>
    </w:p>
    <w:p w:rsidR="0044577D" w:rsidRPr="00AB6E5D" w:rsidRDefault="00321AEF" w:rsidP="00AB6E5D">
      <w:pPr>
        <w:pStyle w:val="ItemHead"/>
      </w:pPr>
      <w:r w:rsidRPr="00AB6E5D">
        <w:t>16</w:t>
      </w:r>
      <w:r w:rsidR="0044577D" w:rsidRPr="00AB6E5D">
        <w:t xml:space="preserve">  Paragraphs 12(1)(a), (b) and (c)</w:t>
      </w:r>
    </w:p>
    <w:p w:rsidR="0044577D" w:rsidRPr="00AB6E5D" w:rsidRDefault="0044577D" w:rsidP="00AB6E5D">
      <w:pPr>
        <w:pStyle w:val="Item"/>
      </w:pPr>
      <w:r w:rsidRPr="00AB6E5D">
        <w:t>Repeal the paragraphs, substitute:</w:t>
      </w:r>
    </w:p>
    <w:p w:rsidR="0044577D" w:rsidRPr="00AB6E5D" w:rsidRDefault="0044577D" w:rsidP="00AB6E5D">
      <w:pPr>
        <w:pStyle w:val="paragraph"/>
      </w:pPr>
      <w:r w:rsidRPr="00AB6E5D">
        <w:tab/>
        <w:t>(a)</w:t>
      </w:r>
      <w:r w:rsidRPr="00AB6E5D">
        <w:tab/>
        <w:t>2 persons who:</w:t>
      </w:r>
    </w:p>
    <w:p w:rsidR="001646B6" w:rsidRPr="00AB6E5D" w:rsidRDefault="001646B6" w:rsidP="00AB6E5D">
      <w:pPr>
        <w:pStyle w:val="paragraphsub"/>
      </w:pPr>
      <w:r w:rsidRPr="00AB6E5D">
        <w:tab/>
        <w:t>(</w:t>
      </w:r>
      <w:proofErr w:type="spellStart"/>
      <w:r w:rsidRPr="00AB6E5D">
        <w:t>i</w:t>
      </w:r>
      <w:proofErr w:type="spellEnd"/>
      <w:r w:rsidRPr="00AB6E5D">
        <w:t>)</w:t>
      </w:r>
      <w:r w:rsidRPr="00AB6E5D">
        <w:tab/>
        <w:t>are members of the Institute; and</w:t>
      </w:r>
    </w:p>
    <w:p w:rsidR="0044577D" w:rsidRPr="00AB6E5D" w:rsidRDefault="0044577D" w:rsidP="00AB6E5D">
      <w:pPr>
        <w:pStyle w:val="paragraphsub"/>
      </w:pPr>
      <w:r w:rsidRPr="00AB6E5D">
        <w:tab/>
        <w:t>(i</w:t>
      </w:r>
      <w:r w:rsidR="001646B6" w:rsidRPr="00AB6E5D">
        <w:t>i</w:t>
      </w:r>
      <w:r w:rsidRPr="00AB6E5D">
        <w:t>)</w:t>
      </w:r>
      <w:r w:rsidRPr="00AB6E5D">
        <w:tab/>
        <w:t>are Aboriginal persons or Torres Strait Islanders; and</w:t>
      </w:r>
    </w:p>
    <w:p w:rsidR="0044577D" w:rsidRPr="00AB6E5D" w:rsidRDefault="0044577D" w:rsidP="00AB6E5D">
      <w:pPr>
        <w:pStyle w:val="paragraphsub"/>
      </w:pPr>
      <w:r w:rsidRPr="00AB6E5D">
        <w:tab/>
        <w:t>(i</w:t>
      </w:r>
      <w:r w:rsidR="001646B6" w:rsidRPr="00AB6E5D">
        <w:t>i</w:t>
      </w:r>
      <w:r w:rsidRPr="00AB6E5D">
        <w:t>i)</w:t>
      </w:r>
      <w:r w:rsidRPr="00AB6E5D">
        <w:tab/>
        <w:t>are elected by the members of the Institute in accordance wi</w:t>
      </w:r>
      <w:r w:rsidR="00AA07B2" w:rsidRPr="00AB6E5D">
        <w:t>th the Institute rules;</w:t>
      </w:r>
    </w:p>
    <w:p w:rsidR="0044577D" w:rsidRPr="00AB6E5D" w:rsidRDefault="0044577D" w:rsidP="00AB6E5D">
      <w:pPr>
        <w:pStyle w:val="paragraph"/>
      </w:pPr>
      <w:r w:rsidRPr="00AB6E5D">
        <w:tab/>
        <w:t>(b)</w:t>
      </w:r>
      <w:r w:rsidRPr="00AB6E5D">
        <w:tab/>
        <w:t>2 other persons who:</w:t>
      </w:r>
    </w:p>
    <w:p w:rsidR="001646B6" w:rsidRPr="00AB6E5D" w:rsidRDefault="001646B6" w:rsidP="00AB6E5D">
      <w:pPr>
        <w:pStyle w:val="paragraphsub"/>
      </w:pPr>
      <w:r w:rsidRPr="00AB6E5D">
        <w:tab/>
        <w:t>(</w:t>
      </w:r>
      <w:proofErr w:type="spellStart"/>
      <w:r w:rsidRPr="00AB6E5D">
        <w:t>i</w:t>
      </w:r>
      <w:proofErr w:type="spellEnd"/>
      <w:r w:rsidRPr="00AB6E5D">
        <w:t>)</w:t>
      </w:r>
      <w:r w:rsidRPr="00AB6E5D">
        <w:tab/>
        <w:t>are members of the Institute; and</w:t>
      </w:r>
    </w:p>
    <w:p w:rsidR="0044577D" w:rsidRPr="00AB6E5D" w:rsidRDefault="0044577D" w:rsidP="00AB6E5D">
      <w:pPr>
        <w:pStyle w:val="paragraphsub"/>
      </w:pPr>
      <w:r w:rsidRPr="00AB6E5D">
        <w:tab/>
        <w:t>(</w:t>
      </w:r>
      <w:r w:rsidR="001646B6" w:rsidRPr="00AB6E5D">
        <w:t>i</w:t>
      </w:r>
      <w:r w:rsidRPr="00AB6E5D">
        <w:t>i)</w:t>
      </w:r>
      <w:r w:rsidRPr="00AB6E5D">
        <w:tab/>
        <w:t>may or may not be Aboriginal persons or Torres Strait Islanders; and</w:t>
      </w:r>
    </w:p>
    <w:p w:rsidR="0044577D" w:rsidRPr="00AB6E5D" w:rsidRDefault="0044577D" w:rsidP="00AB6E5D">
      <w:pPr>
        <w:pStyle w:val="paragraphsub"/>
      </w:pPr>
      <w:r w:rsidRPr="00AB6E5D">
        <w:tab/>
        <w:t>(ii</w:t>
      </w:r>
      <w:r w:rsidR="001646B6" w:rsidRPr="00AB6E5D">
        <w:t>i</w:t>
      </w:r>
      <w:r w:rsidRPr="00AB6E5D">
        <w:t>)</w:t>
      </w:r>
      <w:r w:rsidRPr="00AB6E5D">
        <w:tab/>
        <w:t>are elected by the members of the Institute in accordance with the Institute rule</w:t>
      </w:r>
      <w:r w:rsidR="00AA07B2" w:rsidRPr="00AB6E5D">
        <w:t>s;</w:t>
      </w:r>
    </w:p>
    <w:p w:rsidR="0058511D" w:rsidRPr="00AB6E5D" w:rsidRDefault="0044577D" w:rsidP="00AB6E5D">
      <w:pPr>
        <w:pStyle w:val="paragraph"/>
      </w:pPr>
      <w:r w:rsidRPr="00AB6E5D">
        <w:tab/>
        <w:t>(c)</w:t>
      </w:r>
      <w:r w:rsidRPr="00AB6E5D">
        <w:tab/>
        <w:t>5 other persons who are appointed by the Minister</w:t>
      </w:r>
      <w:r w:rsidR="0058511D" w:rsidRPr="00AB6E5D">
        <w:t xml:space="preserve"> and each of whom has skills or experience in one or more of the following:</w:t>
      </w:r>
    </w:p>
    <w:p w:rsidR="0058511D" w:rsidRPr="00AB6E5D" w:rsidRDefault="0058511D" w:rsidP="00AB6E5D">
      <w:pPr>
        <w:pStyle w:val="paragraphsub"/>
      </w:pPr>
      <w:r w:rsidRPr="00AB6E5D">
        <w:tab/>
        <w:t>(</w:t>
      </w:r>
      <w:proofErr w:type="spellStart"/>
      <w:r w:rsidRPr="00AB6E5D">
        <w:t>i</w:t>
      </w:r>
      <w:proofErr w:type="spellEnd"/>
      <w:r w:rsidRPr="00AB6E5D">
        <w:t>)</w:t>
      </w:r>
      <w:r w:rsidRPr="00AB6E5D">
        <w:tab/>
        <w:t>cultural material conservation;</w:t>
      </w:r>
    </w:p>
    <w:p w:rsidR="0058511D" w:rsidRPr="00AB6E5D" w:rsidRDefault="0058511D" w:rsidP="00AB6E5D">
      <w:pPr>
        <w:pStyle w:val="paragraphsub"/>
      </w:pPr>
      <w:r w:rsidRPr="00AB6E5D">
        <w:tab/>
        <w:t>(ii)</w:t>
      </w:r>
      <w:r w:rsidRPr="00AB6E5D">
        <w:tab/>
        <w:t>collection management;</w:t>
      </w:r>
    </w:p>
    <w:p w:rsidR="0058511D" w:rsidRPr="00AB6E5D" w:rsidRDefault="0058511D" w:rsidP="00AB6E5D">
      <w:pPr>
        <w:pStyle w:val="paragraphsub"/>
      </w:pPr>
      <w:r w:rsidRPr="00AB6E5D">
        <w:lastRenderedPageBreak/>
        <w:tab/>
        <w:t>(iii)</w:t>
      </w:r>
      <w:r w:rsidRPr="00AB6E5D">
        <w:tab/>
        <w:t>research;</w:t>
      </w:r>
    </w:p>
    <w:p w:rsidR="0058511D" w:rsidRPr="00AB6E5D" w:rsidRDefault="0058511D" w:rsidP="00AB6E5D">
      <w:pPr>
        <w:pStyle w:val="paragraphsub"/>
      </w:pPr>
      <w:r w:rsidRPr="00AB6E5D">
        <w:tab/>
        <w:t>(iv)</w:t>
      </w:r>
      <w:r w:rsidRPr="00AB6E5D">
        <w:tab/>
        <w:t>fundraising;</w:t>
      </w:r>
    </w:p>
    <w:p w:rsidR="0058511D" w:rsidRPr="00AB6E5D" w:rsidRDefault="0058511D" w:rsidP="00AB6E5D">
      <w:pPr>
        <w:pStyle w:val="paragraphsub"/>
      </w:pPr>
      <w:r w:rsidRPr="00AB6E5D">
        <w:tab/>
        <w:t>(v)</w:t>
      </w:r>
      <w:r w:rsidRPr="00AB6E5D">
        <w:tab/>
        <w:t>finance;</w:t>
      </w:r>
    </w:p>
    <w:p w:rsidR="0058511D" w:rsidRPr="00AB6E5D" w:rsidRDefault="0058511D" w:rsidP="00AB6E5D">
      <w:pPr>
        <w:pStyle w:val="paragraphsub"/>
      </w:pPr>
      <w:r w:rsidRPr="00AB6E5D">
        <w:tab/>
        <w:t>(vi)</w:t>
      </w:r>
      <w:r w:rsidRPr="00AB6E5D">
        <w:tab/>
        <w:t>business;</w:t>
      </w:r>
    </w:p>
    <w:p w:rsidR="0044577D" w:rsidRPr="00AB6E5D" w:rsidRDefault="0058511D" w:rsidP="00AB6E5D">
      <w:pPr>
        <w:pStyle w:val="paragraphsub"/>
      </w:pPr>
      <w:r w:rsidRPr="00AB6E5D">
        <w:tab/>
        <w:t>(vii)</w:t>
      </w:r>
      <w:r w:rsidRPr="00AB6E5D">
        <w:tab/>
        <w:t>law</w:t>
      </w:r>
      <w:r w:rsidR="0044577D" w:rsidRPr="00AB6E5D">
        <w:t>.</w:t>
      </w:r>
    </w:p>
    <w:p w:rsidR="0044577D" w:rsidRPr="00AB6E5D" w:rsidRDefault="00321AEF" w:rsidP="00AB6E5D">
      <w:pPr>
        <w:pStyle w:val="ItemHead"/>
      </w:pPr>
      <w:r w:rsidRPr="00AB6E5D">
        <w:t>17</w:t>
      </w:r>
      <w:r w:rsidR="0044577D" w:rsidRPr="00AB6E5D">
        <w:t xml:space="preserve">  After subsection</w:t>
      </w:r>
      <w:r w:rsidR="00AB6E5D" w:rsidRPr="00AB6E5D">
        <w:t> </w:t>
      </w:r>
      <w:r w:rsidR="0044577D" w:rsidRPr="00AB6E5D">
        <w:t>12(1)</w:t>
      </w:r>
    </w:p>
    <w:p w:rsidR="0044577D" w:rsidRPr="00AB6E5D" w:rsidRDefault="0044577D" w:rsidP="00AB6E5D">
      <w:pPr>
        <w:pStyle w:val="Item"/>
      </w:pPr>
      <w:r w:rsidRPr="00AB6E5D">
        <w:t>Insert:</w:t>
      </w:r>
    </w:p>
    <w:p w:rsidR="0044577D" w:rsidRPr="00AB6E5D" w:rsidRDefault="0044577D" w:rsidP="00AB6E5D">
      <w:pPr>
        <w:pStyle w:val="subsection"/>
      </w:pPr>
      <w:r w:rsidRPr="00AB6E5D">
        <w:tab/>
        <w:t>(1A)</w:t>
      </w:r>
      <w:r w:rsidRPr="00AB6E5D">
        <w:tab/>
        <w:t xml:space="preserve">In making </w:t>
      </w:r>
      <w:r w:rsidR="0058511D" w:rsidRPr="00AB6E5D">
        <w:t xml:space="preserve">one or more </w:t>
      </w:r>
      <w:r w:rsidRPr="00AB6E5D">
        <w:t xml:space="preserve">appointments, the Minister must ensure that, </w:t>
      </w:r>
      <w:r w:rsidR="00A01170" w:rsidRPr="00AB6E5D">
        <w:t xml:space="preserve">immediately </w:t>
      </w:r>
      <w:r w:rsidR="0058511D" w:rsidRPr="00AB6E5D">
        <w:t xml:space="preserve">following </w:t>
      </w:r>
      <w:r w:rsidRPr="00AB6E5D">
        <w:t>the appointments</w:t>
      </w:r>
      <w:r w:rsidR="0058511D" w:rsidRPr="00AB6E5D">
        <w:t xml:space="preserve"> (and taking into account the characteristics of </w:t>
      </w:r>
      <w:r w:rsidR="008A39B3" w:rsidRPr="00AB6E5D">
        <w:t xml:space="preserve">all the </w:t>
      </w:r>
      <w:r w:rsidR="0058511D" w:rsidRPr="00AB6E5D">
        <w:t>elected Councillors</w:t>
      </w:r>
      <w:r w:rsidR="00A01170" w:rsidRPr="00AB6E5D">
        <w:t xml:space="preserve"> </w:t>
      </w:r>
      <w:r w:rsidR="008A39B3" w:rsidRPr="00AB6E5D">
        <w:t xml:space="preserve">and appointed Councillors </w:t>
      </w:r>
      <w:r w:rsidR="00A01170" w:rsidRPr="00AB6E5D">
        <w:t>at that time</w:t>
      </w:r>
      <w:r w:rsidR="0058511D" w:rsidRPr="00AB6E5D">
        <w:t>)</w:t>
      </w:r>
      <w:r w:rsidRPr="00AB6E5D">
        <w:t>:</w:t>
      </w:r>
    </w:p>
    <w:p w:rsidR="0044577D" w:rsidRPr="00AB6E5D" w:rsidRDefault="0044577D" w:rsidP="00AB6E5D">
      <w:pPr>
        <w:pStyle w:val="paragraph"/>
      </w:pPr>
      <w:r w:rsidRPr="00AB6E5D">
        <w:tab/>
        <w:t>(a)</w:t>
      </w:r>
      <w:r w:rsidRPr="00AB6E5D">
        <w:tab/>
        <w:t>at least 5 of the Councillors are Aboriginal persons or Torres Strait Islanders</w:t>
      </w:r>
      <w:r w:rsidR="0058511D" w:rsidRPr="00AB6E5D">
        <w:t>; and</w:t>
      </w:r>
    </w:p>
    <w:p w:rsidR="0058511D" w:rsidRPr="00AB6E5D" w:rsidRDefault="0058511D" w:rsidP="00AB6E5D">
      <w:pPr>
        <w:pStyle w:val="paragraph"/>
      </w:pPr>
      <w:r w:rsidRPr="00AB6E5D">
        <w:tab/>
        <w:t>(b)</w:t>
      </w:r>
      <w:r w:rsidRPr="00AB6E5D">
        <w:tab/>
        <w:t>at least one of the Councillors is a Torres Strait Islander.</w:t>
      </w:r>
    </w:p>
    <w:p w:rsidR="00215997" w:rsidRPr="00AB6E5D" w:rsidRDefault="00215997" w:rsidP="00AB6E5D">
      <w:pPr>
        <w:pStyle w:val="subsection"/>
      </w:pPr>
      <w:r w:rsidRPr="00AB6E5D">
        <w:tab/>
        <w:t>(1B)</w:t>
      </w:r>
      <w:r w:rsidRPr="00AB6E5D">
        <w:tab/>
        <w:t>A person cannot be elected or appointed as a Councillor for a term</w:t>
      </w:r>
      <w:r w:rsidR="00DB5382" w:rsidRPr="00AB6E5D">
        <w:t xml:space="preserve"> that starts immediately after the end of 2 consecutive terms of office of the person as a Councillor (whether the person was an elected Councillor or an appointed Councillor for either or both of those earlier terms).</w:t>
      </w:r>
    </w:p>
    <w:p w:rsidR="00DB5382" w:rsidRPr="00AB6E5D" w:rsidRDefault="00DB5382" w:rsidP="00AB6E5D">
      <w:pPr>
        <w:pStyle w:val="notetext"/>
      </w:pPr>
      <w:r w:rsidRPr="00AB6E5D">
        <w:t>Note:</w:t>
      </w:r>
      <w:r w:rsidRPr="00AB6E5D">
        <w:tab/>
        <w:t>Section</w:t>
      </w:r>
      <w:r w:rsidR="00AB6E5D" w:rsidRPr="00AB6E5D">
        <w:t> </w:t>
      </w:r>
      <w:r w:rsidRPr="00AB6E5D">
        <w:t>15 deals with the term of office of a Councillor.</w:t>
      </w:r>
    </w:p>
    <w:p w:rsidR="0058511D" w:rsidRPr="00AB6E5D" w:rsidRDefault="00321AEF" w:rsidP="00AB6E5D">
      <w:pPr>
        <w:pStyle w:val="ItemHead"/>
      </w:pPr>
      <w:r w:rsidRPr="00AB6E5D">
        <w:t>18</w:t>
      </w:r>
      <w:r w:rsidR="0058511D" w:rsidRPr="00AB6E5D">
        <w:t xml:space="preserve">  </w:t>
      </w:r>
      <w:r w:rsidR="00A01170" w:rsidRPr="00AB6E5D">
        <w:t>Transitional and a</w:t>
      </w:r>
      <w:r w:rsidR="0058511D" w:rsidRPr="00AB6E5D">
        <w:t xml:space="preserve">pplication </w:t>
      </w:r>
      <w:r w:rsidR="00A01170" w:rsidRPr="00AB6E5D">
        <w:t>provisions for Councillors</w:t>
      </w:r>
    </w:p>
    <w:p w:rsidR="00A01170" w:rsidRPr="00AB6E5D" w:rsidRDefault="0058511D" w:rsidP="00AB6E5D">
      <w:pPr>
        <w:pStyle w:val="Subitem"/>
      </w:pPr>
      <w:r w:rsidRPr="00AB6E5D">
        <w:t>(1)</w:t>
      </w:r>
      <w:r w:rsidRPr="00AB6E5D">
        <w:tab/>
      </w:r>
      <w:r w:rsidR="00A01170" w:rsidRPr="00AB6E5D">
        <w:t>The amendments of section</w:t>
      </w:r>
      <w:r w:rsidR="00AB6E5D" w:rsidRPr="00AB6E5D">
        <w:t> </w:t>
      </w:r>
      <w:r w:rsidR="00A01170" w:rsidRPr="00AB6E5D">
        <w:t xml:space="preserve">12 of the </w:t>
      </w:r>
      <w:r w:rsidR="00A01170" w:rsidRPr="00AB6E5D">
        <w:rPr>
          <w:i/>
        </w:rPr>
        <w:t>Australian Institute of Aboriginal and Torres Strait Islander Studies Act 1989</w:t>
      </w:r>
      <w:r w:rsidR="00A01170" w:rsidRPr="00AB6E5D">
        <w:t xml:space="preserve"> made by this Schedule do not affect the continuity in office</w:t>
      </w:r>
      <w:r w:rsidR="00BD7A80" w:rsidRPr="00AB6E5D">
        <w:t>,</w:t>
      </w:r>
      <w:r w:rsidR="00A01170" w:rsidRPr="00AB6E5D">
        <w:t xml:space="preserve"> on and after commencement of this Schedule</w:t>
      </w:r>
      <w:r w:rsidR="00BD7A80" w:rsidRPr="00AB6E5D">
        <w:t>,</w:t>
      </w:r>
      <w:r w:rsidR="00A01170" w:rsidRPr="00AB6E5D">
        <w:t xml:space="preserve"> of Councillors who held office immediately before that commencement.</w:t>
      </w:r>
    </w:p>
    <w:p w:rsidR="0058511D" w:rsidRPr="00AB6E5D" w:rsidRDefault="00A01170" w:rsidP="00AB6E5D">
      <w:pPr>
        <w:pStyle w:val="Subitem"/>
      </w:pPr>
      <w:r w:rsidRPr="00AB6E5D">
        <w:t>(2)</w:t>
      </w:r>
      <w:r w:rsidRPr="00AB6E5D">
        <w:tab/>
      </w:r>
      <w:r w:rsidR="0058511D" w:rsidRPr="00AB6E5D">
        <w:t xml:space="preserve">Paragraphs 12(1)(a) and (b) of the </w:t>
      </w:r>
      <w:r w:rsidR="0058511D" w:rsidRPr="00AB6E5D">
        <w:rPr>
          <w:i/>
        </w:rPr>
        <w:t>Australian Institute of Aboriginal and Torres Strait Islander Studies Act 1989</w:t>
      </w:r>
      <w:r w:rsidR="00BB1F15" w:rsidRPr="00AB6E5D">
        <w:t>,</w:t>
      </w:r>
      <w:r w:rsidR="0058511D" w:rsidRPr="00AB6E5D">
        <w:t xml:space="preserve"> as </w:t>
      </w:r>
      <w:r w:rsidR="00BD7A80" w:rsidRPr="00AB6E5D">
        <w:t>in</w:t>
      </w:r>
      <w:r w:rsidR="000F4765" w:rsidRPr="00AB6E5D">
        <w:t>clud</w:t>
      </w:r>
      <w:r w:rsidR="00BB1F15" w:rsidRPr="00AB6E5D">
        <w:t xml:space="preserve">ed by </w:t>
      </w:r>
      <w:r w:rsidR="0058511D" w:rsidRPr="00AB6E5D">
        <w:t>this Schedule</w:t>
      </w:r>
      <w:r w:rsidR="00BB1F15" w:rsidRPr="00AB6E5D">
        <w:t>,</w:t>
      </w:r>
      <w:r w:rsidR="0058511D" w:rsidRPr="00AB6E5D">
        <w:t xml:space="preserve"> apply to </w:t>
      </w:r>
      <w:r w:rsidRPr="00AB6E5D">
        <w:t xml:space="preserve">elections </w:t>
      </w:r>
      <w:r w:rsidR="00DB5382" w:rsidRPr="00AB6E5D">
        <w:t xml:space="preserve">for Councillors to hold office </w:t>
      </w:r>
      <w:r w:rsidRPr="00AB6E5D">
        <w:t>after the end of the term</w:t>
      </w:r>
      <w:r w:rsidR="002D2BAE" w:rsidRPr="00AB6E5D">
        <w:t>s</w:t>
      </w:r>
      <w:r w:rsidRPr="00AB6E5D">
        <w:t xml:space="preserve"> of office of all the elected Councillors who held office immediately before th</w:t>
      </w:r>
      <w:r w:rsidR="00BB1F15" w:rsidRPr="00AB6E5D">
        <w:t>e</w:t>
      </w:r>
      <w:r w:rsidRPr="00AB6E5D">
        <w:t xml:space="preserve"> commencement</w:t>
      </w:r>
      <w:r w:rsidR="00BB1F15" w:rsidRPr="00AB6E5D">
        <w:t xml:space="preserve"> of this Schedule</w:t>
      </w:r>
      <w:r w:rsidRPr="00AB6E5D">
        <w:t>.</w:t>
      </w:r>
    </w:p>
    <w:p w:rsidR="00A01170" w:rsidRPr="00AB6E5D" w:rsidRDefault="00A01170" w:rsidP="00AB6E5D">
      <w:pPr>
        <w:pStyle w:val="Subitem"/>
      </w:pPr>
      <w:r w:rsidRPr="00AB6E5D">
        <w:t>(3)</w:t>
      </w:r>
      <w:r w:rsidRPr="00AB6E5D">
        <w:tab/>
        <w:t>Paragraph 12(1)(c) an</w:t>
      </w:r>
      <w:r w:rsidR="005B1BDC" w:rsidRPr="00AB6E5D">
        <w:t>d</w:t>
      </w:r>
      <w:r w:rsidRPr="00AB6E5D">
        <w:t xml:space="preserve"> subsection</w:t>
      </w:r>
      <w:r w:rsidR="00AB6E5D" w:rsidRPr="00AB6E5D">
        <w:t> </w:t>
      </w:r>
      <w:r w:rsidRPr="00AB6E5D">
        <w:t xml:space="preserve">12(1A) of the </w:t>
      </w:r>
      <w:r w:rsidRPr="00AB6E5D">
        <w:rPr>
          <w:i/>
        </w:rPr>
        <w:t>Australian Institute of Aboriginal and Torres Strait Islander Studies Act 1989</w:t>
      </w:r>
      <w:r w:rsidR="00BD7A80" w:rsidRPr="00AB6E5D">
        <w:t>,</w:t>
      </w:r>
      <w:r w:rsidRPr="00AB6E5D">
        <w:t xml:space="preserve"> </w:t>
      </w:r>
      <w:r w:rsidR="00BD7A80" w:rsidRPr="00AB6E5D">
        <w:t>as in</w:t>
      </w:r>
      <w:r w:rsidR="000F4765" w:rsidRPr="00AB6E5D">
        <w:t>clud</w:t>
      </w:r>
      <w:r w:rsidR="00BB1F15" w:rsidRPr="00AB6E5D">
        <w:t xml:space="preserve">ed by </w:t>
      </w:r>
      <w:r w:rsidR="00BD7A80" w:rsidRPr="00AB6E5D">
        <w:lastRenderedPageBreak/>
        <w:t>this Schedule,</w:t>
      </w:r>
      <w:r w:rsidRPr="00AB6E5D">
        <w:t xml:space="preserve"> apply in relation to </w:t>
      </w:r>
      <w:r w:rsidR="005B1BDC" w:rsidRPr="00AB6E5D">
        <w:t xml:space="preserve">the making of </w:t>
      </w:r>
      <w:r w:rsidRPr="00AB6E5D">
        <w:t xml:space="preserve">appointments </w:t>
      </w:r>
      <w:r w:rsidR="00BD7A80" w:rsidRPr="00AB6E5D">
        <w:t>on or after th</w:t>
      </w:r>
      <w:r w:rsidR="00BB1F15" w:rsidRPr="00AB6E5D">
        <w:t>e</w:t>
      </w:r>
      <w:r w:rsidRPr="00AB6E5D">
        <w:t xml:space="preserve"> commencement</w:t>
      </w:r>
      <w:r w:rsidR="00BB1F15" w:rsidRPr="00AB6E5D">
        <w:t xml:space="preserve"> of this Schedule</w:t>
      </w:r>
      <w:r w:rsidRPr="00AB6E5D">
        <w:t>.</w:t>
      </w:r>
    </w:p>
    <w:p w:rsidR="005B1BDC" w:rsidRPr="00AB6E5D" w:rsidRDefault="00DB5382" w:rsidP="00AB6E5D">
      <w:pPr>
        <w:pStyle w:val="Subitem"/>
      </w:pPr>
      <w:r w:rsidRPr="00AB6E5D">
        <w:t>(4)</w:t>
      </w:r>
      <w:r w:rsidRPr="00AB6E5D">
        <w:tab/>
        <w:t>Subsection</w:t>
      </w:r>
      <w:r w:rsidR="00AB6E5D" w:rsidRPr="00AB6E5D">
        <w:t> </w:t>
      </w:r>
      <w:r w:rsidRPr="00AB6E5D">
        <w:t xml:space="preserve">12(1B) of the </w:t>
      </w:r>
      <w:r w:rsidRPr="00AB6E5D">
        <w:rPr>
          <w:i/>
        </w:rPr>
        <w:t>Australian Institute of Aboriginal and Torres Strait Islander Studies Act 1989</w:t>
      </w:r>
      <w:r w:rsidR="00BD7A80" w:rsidRPr="00AB6E5D">
        <w:t>,</w:t>
      </w:r>
      <w:r w:rsidRPr="00AB6E5D">
        <w:t xml:space="preserve"> </w:t>
      </w:r>
      <w:r w:rsidR="00BD7A80" w:rsidRPr="00AB6E5D">
        <w:t>as in</w:t>
      </w:r>
      <w:r w:rsidR="000F4765" w:rsidRPr="00AB6E5D">
        <w:t>clud</w:t>
      </w:r>
      <w:r w:rsidR="00BB1F15" w:rsidRPr="00AB6E5D">
        <w:t>ed by</w:t>
      </w:r>
      <w:r w:rsidR="00BD7A80" w:rsidRPr="00AB6E5D">
        <w:t xml:space="preserve"> this Schedule,</w:t>
      </w:r>
      <w:r w:rsidRPr="00AB6E5D">
        <w:t xml:space="preserve"> applies to elections and appointments </w:t>
      </w:r>
      <w:r w:rsidR="00BD7A80" w:rsidRPr="00AB6E5D">
        <w:t xml:space="preserve">for terms that start </w:t>
      </w:r>
      <w:r w:rsidR="002D2BAE" w:rsidRPr="00AB6E5D">
        <w:t xml:space="preserve">on or </w:t>
      </w:r>
      <w:r w:rsidR="00BD7A80" w:rsidRPr="00AB6E5D">
        <w:t>after th</w:t>
      </w:r>
      <w:r w:rsidR="00BB1F15" w:rsidRPr="00AB6E5D">
        <w:t>e</w:t>
      </w:r>
      <w:r w:rsidRPr="00AB6E5D">
        <w:t xml:space="preserve"> commencement</w:t>
      </w:r>
      <w:r w:rsidR="00BB1F15" w:rsidRPr="00AB6E5D">
        <w:t xml:space="preserve"> of this Schedule</w:t>
      </w:r>
      <w:r w:rsidRPr="00AB6E5D">
        <w:t>, whether the earlier terms mentioned in that subsection occurred wholly or partly before or after that commencement.</w:t>
      </w:r>
    </w:p>
    <w:p w:rsidR="00BB1F15" w:rsidRPr="00AB6E5D" w:rsidRDefault="00321AEF" w:rsidP="00AB6E5D">
      <w:pPr>
        <w:pStyle w:val="ItemHead"/>
      </w:pPr>
      <w:r w:rsidRPr="00AB6E5D">
        <w:t>19</w:t>
      </w:r>
      <w:r w:rsidR="00BB1F15" w:rsidRPr="00AB6E5D">
        <w:t xml:space="preserve">  Subsection</w:t>
      </w:r>
      <w:r w:rsidR="00AB6E5D" w:rsidRPr="00AB6E5D">
        <w:t> </w:t>
      </w:r>
      <w:r w:rsidR="00BB1F15" w:rsidRPr="00AB6E5D">
        <w:t>21(2A)</w:t>
      </w:r>
    </w:p>
    <w:p w:rsidR="00BB1F15" w:rsidRPr="00AB6E5D" w:rsidRDefault="00BB1F15" w:rsidP="00AB6E5D">
      <w:pPr>
        <w:pStyle w:val="Item"/>
      </w:pPr>
      <w:r w:rsidRPr="00AB6E5D">
        <w:t>After “paragraph</w:t>
      </w:r>
      <w:r w:rsidR="00AB6E5D" w:rsidRPr="00AB6E5D">
        <w:t> </w:t>
      </w:r>
      <w:r w:rsidRPr="00AB6E5D">
        <w:t>12(1)(a)”, insert “or (b)”.</w:t>
      </w:r>
    </w:p>
    <w:p w:rsidR="00E45B2D" w:rsidRPr="00AB6E5D" w:rsidRDefault="00321AEF" w:rsidP="00AB6E5D">
      <w:pPr>
        <w:pStyle w:val="ItemHead"/>
      </w:pPr>
      <w:r w:rsidRPr="00AB6E5D">
        <w:t>20</w:t>
      </w:r>
      <w:r w:rsidR="00E45B2D" w:rsidRPr="00AB6E5D">
        <w:t xml:space="preserve">  Part</w:t>
      </w:r>
      <w:r w:rsidR="00AB6E5D" w:rsidRPr="00AB6E5D">
        <w:t> </w:t>
      </w:r>
      <w:r w:rsidR="00E45B2D" w:rsidRPr="00AB6E5D">
        <w:t>6 (heading)</w:t>
      </w:r>
    </w:p>
    <w:p w:rsidR="00E45B2D" w:rsidRPr="00AB6E5D" w:rsidRDefault="00E45B2D" w:rsidP="00AB6E5D">
      <w:pPr>
        <w:pStyle w:val="Item"/>
      </w:pPr>
      <w:r w:rsidRPr="00AB6E5D">
        <w:t>Repeal the heading, substitute:</w:t>
      </w:r>
    </w:p>
    <w:p w:rsidR="00E45B2D" w:rsidRPr="00AB6E5D" w:rsidRDefault="00E45B2D" w:rsidP="00AB6E5D">
      <w:pPr>
        <w:pStyle w:val="ActHead2"/>
      </w:pPr>
      <w:bookmarkStart w:id="9" w:name="f_Check_Lines_above"/>
      <w:bookmarkStart w:id="10" w:name="_Toc443307836"/>
      <w:bookmarkEnd w:id="9"/>
      <w:r w:rsidRPr="00AB6E5D">
        <w:rPr>
          <w:rStyle w:val="CharPartNo"/>
        </w:rPr>
        <w:t>Part</w:t>
      </w:r>
      <w:r w:rsidR="00AB6E5D" w:rsidRPr="00AB6E5D">
        <w:rPr>
          <w:rStyle w:val="CharPartNo"/>
        </w:rPr>
        <w:t> </w:t>
      </w:r>
      <w:r w:rsidRPr="00AB6E5D">
        <w:rPr>
          <w:rStyle w:val="CharPartNo"/>
        </w:rPr>
        <w:t>6</w:t>
      </w:r>
      <w:r w:rsidRPr="00AB6E5D">
        <w:t>—</w:t>
      </w:r>
      <w:r w:rsidRPr="00AB6E5D">
        <w:rPr>
          <w:rStyle w:val="CharPartText"/>
        </w:rPr>
        <w:t>Chief Executive Officer</w:t>
      </w:r>
      <w:bookmarkEnd w:id="10"/>
    </w:p>
    <w:p w:rsidR="00E45B2D" w:rsidRPr="00AB6E5D" w:rsidRDefault="00321AEF" w:rsidP="00AB6E5D">
      <w:pPr>
        <w:pStyle w:val="ItemHead"/>
      </w:pPr>
      <w:r w:rsidRPr="00AB6E5D">
        <w:t>21</w:t>
      </w:r>
      <w:r w:rsidR="00E45B2D" w:rsidRPr="00AB6E5D">
        <w:t xml:space="preserve">  Section</w:t>
      </w:r>
      <w:r w:rsidR="00AB6E5D" w:rsidRPr="00AB6E5D">
        <w:t> </w:t>
      </w:r>
      <w:r w:rsidR="00E45B2D" w:rsidRPr="00AB6E5D">
        <w:t>24 (heading)</w:t>
      </w:r>
    </w:p>
    <w:p w:rsidR="00E45B2D" w:rsidRPr="00AB6E5D" w:rsidRDefault="00E45B2D" w:rsidP="00AB6E5D">
      <w:pPr>
        <w:pStyle w:val="Item"/>
      </w:pPr>
      <w:r w:rsidRPr="00AB6E5D">
        <w:t>Repeal the heading, substitute:</w:t>
      </w:r>
    </w:p>
    <w:p w:rsidR="00E45B2D" w:rsidRPr="00AB6E5D" w:rsidRDefault="00E45B2D" w:rsidP="00AB6E5D">
      <w:pPr>
        <w:pStyle w:val="ActHead5"/>
      </w:pPr>
      <w:bookmarkStart w:id="11" w:name="_Toc443307837"/>
      <w:r w:rsidRPr="00AB6E5D">
        <w:rPr>
          <w:rStyle w:val="CharSectno"/>
        </w:rPr>
        <w:t>24</w:t>
      </w:r>
      <w:r w:rsidRPr="00AB6E5D">
        <w:t xml:space="preserve">  Chief Executive Officer</w:t>
      </w:r>
      <w:bookmarkEnd w:id="11"/>
    </w:p>
    <w:p w:rsidR="00E45B2D" w:rsidRPr="00AB6E5D" w:rsidRDefault="00321AEF" w:rsidP="00AB6E5D">
      <w:pPr>
        <w:pStyle w:val="ItemHead"/>
      </w:pPr>
      <w:r w:rsidRPr="00AB6E5D">
        <w:t>22</w:t>
      </w:r>
      <w:r w:rsidR="00E45B2D" w:rsidRPr="00AB6E5D">
        <w:t xml:space="preserve">  Subsections</w:t>
      </w:r>
      <w:r w:rsidR="00AB6E5D" w:rsidRPr="00AB6E5D">
        <w:t> </w:t>
      </w:r>
      <w:r w:rsidR="00E45B2D" w:rsidRPr="00AB6E5D">
        <w:t>24(1), (2) and (3)</w:t>
      </w:r>
    </w:p>
    <w:p w:rsidR="00E45B2D" w:rsidRPr="00AB6E5D" w:rsidRDefault="00E45B2D" w:rsidP="00AB6E5D">
      <w:pPr>
        <w:pStyle w:val="Item"/>
      </w:pPr>
      <w:r w:rsidRPr="00AB6E5D">
        <w:t>Omit “Principal” (wherever occurring), substitute “Chief Executive Officer”.</w:t>
      </w:r>
    </w:p>
    <w:p w:rsidR="00A418DA" w:rsidRPr="00AB6E5D" w:rsidRDefault="00321AEF" w:rsidP="00AB6E5D">
      <w:pPr>
        <w:pStyle w:val="ItemHead"/>
      </w:pPr>
      <w:r w:rsidRPr="00AB6E5D">
        <w:t>23</w:t>
      </w:r>
      <w:r w:rsidR="00A418DA" w:rsidRPr="00AB6E5D">
        <w:t xml:space="preserve">  Transitional provision for Principal</w:t>
      </w:r>
    </w:p>
    <w:p w:rsidR="00A418DA" w:rsidRPr="00AB6E5D" w:rsidRDefault="00A418DA" w:rsidP="00AB6E5D">
      <w:pPr>
        <w:pStyle w:val="Subitem"/>
      </w:pPr>
      <w:r w:rsidRPr="00AB6E5D">
        <w:t>(1)</w:t>
      </w:r>
      <w:r w:rsidRPr="00AB6E5D">
        <w:tab/>
        <w:t>This item applies to the person who was Principal of the Australian Institute of Aboriginal and Torres Strait Islander Studies immediately before the commencement of the amendments of section</w:t>
      </w:r>
      <w:r w:rsidR="00AB6E5D" w:rsidRPr="00AB6E5D">
        <w:t> </w:t>
      </w:r>
      <w:r w:rsidRPr="00AB6E5D">
        <w:t xml:space="preserve">24 of the </w:t>
      </w:r>
      <w:r w:rsidRPr="00AB6E5D">
        <w:rPr>
          <w:i/>
        </w:rPr>
        <w:t>Australian Institute of Aboriginal and Torres Strait Islander Studies Act 1989</w:t>
      </w:r>
      <w:r w:rsidRPr="00AB6E5D">
        <w:t xml:space="preserve"> made by this Schedule.</w:t>
      </w:r>
    </w:p>
    <w:p w:rsidR="00A418DA" w:rsidRPr="00AB6E5D" w:rsidRDefault="00A418DA" w:rsidP="00AB6E5D">
      <w:pPr>
        <w:pStyle w:val="Subitem"/>
      </w:pPr>
      <w:r w:rsidRPr="00AB6E5D">
        <w:t>(2)</w:t>
      </w:r>
      <w:r w:rsidRPr="00AB6E5D">
        <w:tab/>
      </w:r>
      <w:r w:rsidR="00B47F44" w:rsidRPr="00AB6E5D">
        <w:t>T</w:t>
      </w:r>
      <w:r w:rsidRPr="00AB6E5D">
        <w:t>he person is taken to have been appointed</w:t>
      </w:r>
      <w:r w:rsidR="00B47F44" w:rsidRPr="00AB6E5D">
        <w:t xml:space="preserve"> </w:t>
      </w:r>
      <w:r w:rsidRPr="00AB6E5D">
        <w:t>by the Council</w:t>
      </w:r>
      <w:r w:rsidR="00B47F44" w:rsidRPr="00AB6E5D">
        <w:t xml:space="preserve"> under section</w:t>
      </w:r>
      <w:r w:rsidR="00AB6E5D" w:rsidRPr="00AB6E5D">
        <w:t> </w:t>
      </w:r>
      <w:r w:rsidR="00B47F44" w:rsidRPr="00AB6E5D">
        <w:t>25 of that Act</w:t>
      </w:r>
      <w:r w:rsidRPr="00AB6E5D">
        <w:t xml:space="preserve"> on that commencement as Chief Executive Officer</w:t>
      </w:r>
      <w:r w:rsidR="00B47F44" w:rsidRPr="00AB6E5D">
        <w:t xml:space="preserve"> of the Institute,</w:t>
      </w:r>
      <w:r w:rsidRPr="00AB6E5D">
        <w:t xml:space="preserve"> for the</w:t>
      </w:r>
      <w:r w:rsidR="00B47F44" w:rsidRPr="00AB6E5D">
        <w:t xml:space="preserve"> remainder of the period for which the person was appointed as Principal.</w:t>
      </w:r>
    </w:p>
    <w:p w:rsidR="00E45B2D" w:rsidRPr="00AB6E5D" w:rsidRDefault="00321AEF" w:rsidP="00AB6E5D">
      <w:pPr>
        <w:pStyle w:val="ItemHead"/>
      </w:pPr>
      <w:r w:rsidRPr="00AB6E5D">
        <w:lastRenderedPageBreak/>
        <w:t>24</w:t>
      </w:r>
      <w:r w:rsidR="00E45B2D" w:rsidRPr="00AB6E5D">
        <w:t xml:space="preserve">  Subsection</w:t>
      </w:r>
      <w:r w:rsidR="00AB6E5D" w:rsidRPr="00AB6E5D">
        <w:t> </w:t>
      </w:r>
      <w:r w:rsidR="00E45B2D" w:rsidRPr="00AB6E5D">
        <w:t>25(1)</w:t>
      </w:r>
    </w:p>
    <w:p w:rsidR="00E45B2D" w:rsidRPr="00AB6E5D" w:rsidRDefault="00E45B2D" w:rsidP="00AB6E5D">
      <w:pPr>
        <w:pStyle w:val="Item"/>
      </w:pPr>
      <w:r w:rsidRPr="00AB6E5D">
        <w:t>Omit “(1) The Principal”, substitute “The Chief Executive Officer”.</w:t>
      </w:r>
    </w:p>
    <w:p w:rsidR="00E45B2D" w:rsidRPr="00AB6E5D" w:rsidRDefault="00321AEF" w:rsidP="00AB6E5D">
      <w:pPr>
        <w:pStyle w:val="ItemHead"/>
      </w:pPr>
      <w:r w:rsidRPr="00AB6E5D">
        <w:t>25</w:t>
      </w:r>
      <w:r w:rsidR="00E45B2D" w:rsidRPr="00AB6E5D">
        <w:t xml:space="preserve">  Sections</w:t>
      </w:r>
      <w:r w:rsidR="00AB6E5D" w:rsidRPr="00AB6E5D">
        <w:t> </w:t>
      </w:r>
      <w:r w:rsidR="00E45B2D" w:rsidRPr="00AB6E5D">
        <w:t>26, 26A, 27 and 28</w:t>
      </w:r>
    </w:p>
    <w:p w:rsidR="00E45B2D" w:rsidRPr="00AB6E5D" w:rsidRDefault="00E45B2D" w:rsidP="00AB6E5D">
      <w:pPr>
        <w:pStyle w:val="Item"/>
      </w:pPr>
      <w:r w:rsidRPr="00AB6E5D">
        <w:t>Omit “Principal”, substitute “Chief Executive Officer”.</w:t>
      </w:r>
    </w:p>
    <w:p w:rsidR="00E45B2D" w:rsidRPr="00AB6E5D" w:rsidRDefault="00321AEF" w:rsidP="00AB6E5D">
      <w:pPr>
        <w:pStyle w:val="ItemHead"/>
      </w:pPr>
      <w:r w:rsidRPr="00AB6E5D">
        <w:t>26</w:t>
      </w:r>
      <w:r w:rsidR="00E45B2D" w:rsidRPr="00AB6E5D">
        <w:t xml:space="preserve">  Paragraphs 29(2)(a) and (b)</w:t>
      </w:r>
    </w:p>
    <w:p w:rsidR="00E45B2D" w:rsidRPr="00AB6E5D" w:rsidRDefault="00E45B2D" w:rsidP="00AB6E5D">
      <w:pPr>
        <w:pStyle w:val="Item"/>
      </w:pPr>
      <w:r w:rsidRPr="00AB6E5D">
        <w:t>Omit “Principal” (wherever occurring), substitute “Chief Executive Officer”.</w:t>
      </w:r>
    </w:p>
    <w:p w:rsidR="00E45B2D" w:rsidRPr="00AB6E5D" w:rsidRDefault="00321AEF" w:rsidP="00AB6E5D">
      <w:pPr>
        <w:pStyle w:val="ItemHead"/>
      </w:pPr>
      <w:r w:rsidRPr="00AB6E5D">
        <w:t>27</w:t>
      </w:r>
      <w:r w:rsidR="00E45B2D" w:rsidRPr="00AB6E5D">
        <w:t xml:space="preserve">  Subsection</w:t>
      </w:r>
      <w:r w:rsidR="00AB6E5D" w:rsidRPr="00AB6E5D">
        <w:t> </w:t>
      </w:r>
      <w:r w:rsidR="00E45B2D" w:rsidRPr="00AB6E5D">
        <w:t>30(1)</w:t>
      </w:r>
    </w:p>
    <w:p w:rsidR="00E45B2D" w:rsidRPr="00AB6E5D" w:rsidRDefault="00E45B2D" w:rsidP="00AB6E5D">
      <w:pPr>
        <w:pStyle w:val="Item"/>
      </w:pPr>
      <w:r w:rsidRPr="00AB6E5D">
        <w:t>Omit “Principal”, substitute “Chief Executive Officer”.</w:t>
      </w:r>
    </w:p>
    <w:p w:rsidR="00E45B2D" w:rsidRPr="00AB6E5D" w:rsidRDefault="00321AEF" w:rsidP="00AB6E5D">
      <w:pPr>
        <w:pStyle w:val="ItemHead"/>
      </w:pPr>
      <w:r w:rsidRPr="00AB6E5D">
        <w:t>28</w:t>
      </w:r>
      <w:r w:rsidR="00E45B2D" w:rsidRPr="00AB6E5D">
        <w:t xml:space="preserve">  Part</w:t>
      </w:r>
      <w:r w:rsidR="00AB6E5D" w:rsidRPr="00AB6E5D">
        <w:t> </w:t>
      </w:r>
      <w:r w:rsidR="00E45B2D" w:rsidRPr="00AB6E5D">
        <w:t>8</w:t>
      </w:r>
    </w:p>
    <w:p w:rsidR="00E45B2D" w:rsidRPr="00AB6E5D" w:rsidRDefault="00E45B2D" w:rsidP="00AB6E5D">
      <w:pPr>
        <w:pStyle w:val="Item"/>
      </w:pPr>
      <w:r w:rsidRPr="00AB6E5D">
        <w:t>Repeal the Part.</w:t>
      </w:r>
    </w:p>
    <w:p w:rsidR="003F5EB9" w:rsidRPr="00AB6E5D" w:rsidRDefault="00321AEF" w:rsidP="00AB6E5D">
      <w:pPr>
        <w:pStyle w:val="ItemHead"/>
      </w:pPr>
      <w:r w:rsidRPr="00AB6E5D">
        <w:t>29</w:t>
      </w:r>
      <w:r w:rsidR="003F5EB9" w:rsidRPr="00AB6E5D">
        <w:t xml:space="preserve">  Subsection</w:t>
      </w:r>
      <w:r w:rsidR="00AB6E5D" w:rsidRPr="00AB6E5D">
        <w:t> </w:t>
      </w:r>
      <w:r w:rsidR="003F5EB9" w:rsidRPr="00AB6E5D">
        <w:t>43(1)</w:t>
      </w:r>
    </w:p>
    <w:p w:rsidR="003F5EB9" w:rsidRPr="00AB6E5D" w:rsidRDefault="003F5EB9" w:rsidP="00AB6E5D">
      <w:pPr>
        <w:pStyle w:val="Item"/>
      </w:pPr>
      <w:r w:rsidRPr="00AB6E5D">
        <w:t>Omit “Aboriginal persons and Torres Strait Islanders”, substitute “Aboriginal and Torres Strait Islander peoples”.</w:t>
      </w:r>
    </w:p>
    <w:p w:rsidR="00E45B2D" w:rsidRPr="00AB6E5D" w:rsidRDefault="00321AEF" w:rsidP="00AB6E5D">
      <w:pPr>
        <w:pStyle w:val="ItemHead"/>
      </w:pPr>
      <w:r w:rsidRPr="00AB6E5D">
        <w:t>30</w:t>
      </w:r>
      <w:r w:rsidR="008913E2" w:rsidRPr="00AB6E5D">
        <w:t xml:space="preserve">  Section</w:t>
      </w:r>
      <w:r w:rsidR="00AB6E5D" w:rsidRPr="00AB6E5D">
        <w:t> </w:t>
      </w:r>
      <w:r w:rsidR="008913E2" w:rsidRPr="00AB6E5D">
        <w:t>44 (heading)</w:t>
      </w:r>
    </w:p>
    <w:p w:rsidR="008913E2" w:rsidRPr="00AB6E5D" w:rsidRDefault="008913E2" w:rsidP="00AB6E5D">
      <w:pPr>
        <w:pStyle w:val="Item"/>
      </w:pPr>
      <w:r w:rsidRPr="00AB6E5D">
        <w:t>Repeal the heading, substitute:</w:t>
      </w:r>
    </w:p>
    <w:p w:rsidR="008913E2" w:rsidRPr="00AB6E5D" w:rsidRDefault="008913E2" w:rsidP="00AB6E5D">
      <w:pPr>
        <w:pStyle w:val="ActHead5"/>
      </w:pPr>
      <w:bookmarkStart w:id="12" w:name="_Toc443307838"/>
      <w:r w:rsidRPr="00AB6E5D">
        <w:rPr>
          <w:rStyle w:val="CharSectno"/>
        </w:rPr>
        <w:t>44</w:t>
      </w:r>
      <w:r w:rsidRPr="00AB6E5D">
        <w:t xml:space="preserve">  Delegation to Chief Executive Officer or staff</w:t>
      </w:r>
      <w:bookmarkEnd w:id="12"/>
    </w:p>
    <w:p w:rsidR="008913E2" w:rsidRPr="00AB6E5D" w:rsidRDefault="00321AEF" w:rsidP="00AB6E5D">
      <w:pPr>
        <w:pStyle w:val="ItemHead"/>
      </w:pPr>
      <w:r w:rsidRPr="00AB6E5D">
        <w:t>31</w:t>
      </w:r>
      <w:r w:rsidR="008913E2" w:rsidRPr="00AB6E5D">
        <w:t xml:space="preserve">  Section</w:t>
      </w:r>
      <w:r w:rsidR="00AB6E5D" w:rsidRPr="00AB6E5D">
        <w:t> </w:t>
      </w:r>
      <w:r w:rsidR="008913E2" w:rsidRPr="00AB6E5D">
        <w:t>44</w:t>
      </w:r>
    </w:p>
    <w:p w:rsidR="008913E2" w:rsidRPr="00AB6E5D" w:rsidRDefault="008913E2" w:rsidP="00AB6E5D">
      <w:pPr>
        <w:pStyle w:val="Item"/>
      </w:pPr>
      <w:r w:rsidRPr="00AB6E5D">
        <w:t>Omit “Principal”, substitute “Chief Executive Officer”.</w:t>
      </w:r>
    </w:p>
    <w:p w:rsidR="00693EAB" w:rsidRPr="00AB6E5D" w:rsidRDefault="00321AEF" w:rsidP="00AB6E5D">
      <w:pPr>
        <w:pStyle w:val="ItemHead"/>
      </w:pPr>
      <w:r w:rsidRPr="00AB6E5D">
        <w:t>32</w:t>
      </w:r>
      <w:r w:rsidR="00693EAB" w:rsidRPr="00AB6E5D">
        <w:t xml:space="preserve">  Saving of delegations</w:t>
      </w:r>
    </w:p>
    <w:p w:rsidR="00693EAB" w:rsidRPr="00AB6E5D" w:rsidRDefault="00693EAB" w:rsidP="00AB6E5D">
      <w:pPr>
        <w:pStyle w:val="Subitem"/>
      </w:pPr>
      <w:r w:rsidRPr="00AB6E5D">
        <w:t>(1)</w:t>
      </w:r>
      <w:r w:rsidRPr="00AB6E5D">
        <w:tab/>
        <w:t xml:space="preserve">A delegation </w:t>
      </w:r>
      <w:r w:rsidR="00F0629C" w:rsidRPr="00AB6E5D">
        <w:t xml:space="preserve">of powers </w:t>
      </w:r>
      <w:r w:rsidRPr="00AB6E5D">
        <w:t>to the Principal in force under section</w:t>
      </w:r>
      <w:r w:rsidR="00AB6E5D" w:rsidRPr="00AB6E5D">
        <w:t> </w:t>
      </w:r>
      <w:r w:rsidRPr="00AB6E5D">
        <w:t xml:space="preserve">44 of the </w:t>
      </w:r>
      <w:r w:rsidRPr="00AB6E5D">
        <w:rPr>
          <w:i/>
        </w:rPr>
        <w:t>Australian Institute of Aboriginal and Torres Strait Islander Studies Act 1989</w:t>
      </w:r>
      <w:r w:rsidRPr="00AB6E5D">
        <w:t xml:space="preserve"> immediately before the commencement of this Schedule continues in force as a delegation to the Chief Executive Officer.</w:t>
      </w:r>
    </w:p>
    <w:p w:rsidR="00693EAB" w:rsidRPr="00AB6E5D" w:rsidRDefault="00693EAB" w:rsidP="00AB6E5D">
      <w:pPr>
        <w:pStyle w:val="Subitem"/>
      </w:pPr>
      <w:r w:rsidRPr="00AB6E5D">
        <w:t>(2)</w:t>
      </w:r>
      <w:r w:rsidRPr="00AB6E5D">
        <w:tab/>
      </w:r>
      <w:proofErr w:type="spellStart"/>
      <w:r w:rsidR="00AB6E5D" w:rsidRPr="00AB6E5D">
        <w:t>Subitem</w:t>
      </w:r>
      <w:proofErr w:type="spellEnd"/>
      <w:r w:rsidR="00AB6E5D" w:rsidRPr="00AB6E5D">
        <w:t> (</w:t>
      </w:r>
      <w:r w:rsidRPr="00AB6E5D">
        <w:t xml:space="preserve">1) does not prevent </w:t>
      </w:r>
      <w:r w:rsidR="00F0629C" w:rsidRPr="00AB6E5D">
        <w:t xml:space="preserve">an </w:t>
      </w:r>
      <w:r w:rsidRPr="00AB6E5D">
        <w:t>amendment or revocation of the delegation on or after that commencement.</w:t>
      </w:r>
    </w:p>
    <w:p w:rsidR="00B47F44" w:rsidRPr="00AB6E5D" w:rsidRDefault="00321AEF" w:rsidP="00AB6E5D">
      <w:pPr>
        <w:pStyle w:val="ItemHead"/>
      </w:pPr>
      <w:r w:rsidRPr="00AB6E5D">
        <w:lastRenderedPageBreak/>
        <w:t>33</w:t>
      </w:r>
      <w:r w:rsidR="00B47F44" w:rsidRPr="00AB6E5D">
        <w:t xml:space="preserve">  Section</w:t>
      </w:r>
      <w:r w:rsidR="00AB6E5D" w:rsidRPr="00AB6E5D">
        <w:t> </w:t>
      </w:r>
      <w:r w:rsidR="00B47F44" w:rsidRPr="00AB6E5D">
        <w:t xml:space="preserve">50 (definition of </w:t>
      </w:r>
      <w:r w:rsidR="00B47F44" w:rsidRPr="00AB6E5D">
        <w:rPr>
          <w:i/>
        </w:rPr>
        <w:t>authorised officer</w:t>
      </w:r>
      <w:r w:rsidR="00B47F44" w:rsidRPr="00AB6E5D">
        <w:t>)</w:t>
      </w:r>
    </w:p>
    <w:p w:rsidR="00B47F44" w:rsidRPr="00AB6E5D" w:rsidRDefault="00753CC8" w:rsidP="00AB6E5D">
      <w:pPr>
        <w:pStyle w:val="Item"/>
      </w:pPr>
      <w:r w:rsidRPr="00AB6E5D">
        <w:t>Repeal the definition</w:t>
      </w:r>
      <w:r w:rsidR="00B47F44" w:rsidRPr="00AB6E5D">
        <w:t>.</w:t>
      </w:r>
    </w:p>
    <w:p w:rsidR="00B47F44" w:rsidRPr="00AB6E5D" w:rsidRDefault="00321AEF" w:rsidP="00AB6E5D">
      <w:pPr>
        <w:pStyle w:val="ItemHead"/>
      </w:pPr>
      <w:r w:rsidRPr="00AB6E5D">
        <w:t>34</w:t>
      </w:r>
      <w:r w:rsidR="00B47F44" w:rsidRPr="00AB6E5D">
        <w:t xml:space="preserve">  Sections</w:t>
      </w:r>
      <w:r w:rsidR="00AB6E5D" w:rsidRPr="00AB6E5D">
        <w:t> </w:t>
      </w:r>
      <w:r w:rsidR="00753CC8" w:rsidRPr="00AB6E5D">
        <w:t xml:space="preserve">52, </w:t>
      </w:r>
      <w:r w:rsidR="00B47F44" w:rsidRPr="00AB6E5D">
        <w:t>53</w:t>
      </w:r>
      <w:r w:rsidR="00753CC8" w:rsidRPr="00AB6E5D">
        <w:t>, 56,</w:t>
      </w:r>
      <w:r w:rsidR="00B47F44" w:rsidRPr="00AB6E5D">
        <w:t xml:space="preserve"> 57</w:t>
      </w:r>
      <w:r w:rsidR="00753CC8" w:rsidRPr="00AB6E5D">
        <w:t>, 59, 60, 61, 62 and 63</w:t>
      </w:r>
    </w:p>
    <w:p w:rsidR="00B47F44" w:rsidRPr="00AB6E5D" w:rsidRDefault="00B47F44" w:rsidP="00AB6E5D">
      <w:pPr>
        <w:pStyle w:val="Item"/>
      </w:pPr>
      <w:r w:rsidRPr="00AB6E5D">
        <w:t>Repeal the sections.</w:t>
      </w:r>
    </w:p>
    <w:p w:rsidR="00753CC8" w:rsidRPr="00AB6E5D" w:rsidRDefault="00321AEF" w:rsidP="00AB6E5D">
      <w:pPr>
        <w:pStyle w:val="ItemHead"/>
      </w:pPr>
      <w:r w:rsidRPr="00AB6E5D">
        <w:t>35</w:t>
      </w:r>
      <w:r w:rsidR="00753CC8" w:rsidRPr="00AB6E5D">
        <w:t xml:space="preserve">  Section</w:t>
      </w:r>
      <w:r w:rsidR="00AB6E5D" w:rsidRPr="00AB6E5D">
        <w:t> </w:t>
      </w:r>
      <w:r w:rsidR="00753CC8" w:rsidRPr="00AB6E5D">
        <w:t>64 (heading)</w:t>
      </w:r>
    </w:p>
    <w:p w:rsidR="00753CC8" w:rsidRPr="00AB6E5D" w:rsidRDefault="00753CC8" w:rsidP="00AB6E5D">
      <w:pPr>
        <w:pStyle w:val="Item"/>
      </w:pPr>
      <w:r w:rsidRPr="00AB6E5D">
        <w:t>Repeal the heading, substitute:</w:t>
      </w:r>
    </w:p>
    <w:p w:rsidR="00753CC8" w:rsidRPr="00AB6E5D" w:rsidRDefault="00753CC8" w:rsidP="00AB6E5D">
      <w:pPr>
        <w:pStyle w:val="ActHead5"/>
      </w:pPr>
      <w:bookmarkStart w:id="13" w:name="_Toc443307839"/>
      <w:r w:rsidRPr="00AB6E5D">
        <w:rPr>
          <w:rStyle w:val="CharSectno"/>
        </w:rPr>
        <w:t>64</w:t>
      </w:r>
      <w:r w:rsidRPr="00AB6E5D">
        <w:t xml:space="preserve">  Operation of the </w:t>
      </w:r>
      <w:r w:rsidRPr="00AB6E5D">
        <w:rPr>
          <w:i/>
        </w:rPr>
        <w:t>Superannuation (Productivity Benefit) Act 1988</w:t>
      </w:r>
      <w:bookmarkEnd w:id="13"/>
    </w:p>
    <w:p w:rsidR="00753CC8" w:rsidRPr="00AB6E5D" w:rsidRDefault="00321AEF" w:rsidP="00AB6E5D">
      <w:pPr>
        <w:pStyle w:val="ItemHead"/>
      </w:pPr>
      <w:r w:rsidRPr="00AB6E5D">
        <w:t>36</w:t>
      </w:r>
      <w:r w:rsidR="00753CC8" w:rsidRPr="00AB6E5D">
        <w:t xml:space="preserve">  Subsection</w:t>
      </w:r>
      <w:r w:rsidR="00AB6E5D" w:rsidRPr="00AB6E5D">
        <w:t> </w:t>
      </w:r>
      <w:r w:rsidR="00753CC8" w:rsidRPr="00AB6E5D">
        <w:t xml:space="preserve">64(2) (definition of </w:t>
      </w:r>
      <w:r w:rsidR="00753CC8" w:rsidRPr="00AB6E5D">
        <w:rPr>
          <w:i/>
        </w:rPr>
        <w:t>Superannuation Act</w:t>
      </w:r>
      <w:r w:rsidR="00753CC8" w:rsidRPr="00AB6E5D">
        <w:t>)</w:t>
      </w:r>
    </w:p>
    <w:p w:rsidR="00753CC8" w:rsidRPr="00AB6E5D" w:rsidRDefault="00753CC8" w:rsidP="00AB6E5D">
      <w:pPr>
        <w:pStyle w:val="Item"/>
      </w:pPr>
      <w:r w:rsidRPr="00AB6E5D">
        <w:t>Omit “</w:t>
      </w:r>
      <w:r w:rsidRPr="00AB6E5D">
        <w:rPr>
          <w:i/>
        </w:rPr>
        <w:t>Superannuation Benefit (Interim Arrangement) Act 1988</w:t>
      </w:r>
      <w:r w:rsidRPr="00AB6E5D">
        <w:t>”, substitute “</w:t>
      </w:r>
      <w:r w:rsidRPr="00AB6E5D">
        <w:rPr>
          <w:i/>
        </w:rPr>
        <w:t>Superannuation (Productivity Benefit) Act 1988</w:t>
      </w:r>
      <w:r w:rsidRPr="00AB6E5D">
        <w:t>”.</w:t>
      </w:r>
    </w:p>
    <w:p w:rsidR="00753CC8" w:rsidRPr="00AB6E5D" w:rsidRDefault="00321AEF" w:rsidP="00AB6E5D">
      <w:pPr>
        <w:pStyle w:val="ItemHead"/>
      </w:pPr>
      <w:r w:rsidRPr="00AB6E5D">
        <w:t>37</w:t>
      </w:r>
      <w:r w:rsidR="00753CC8" w:rsidRPr="00AB6E5D">
        <w:t xml:space="preserve">  Section</w:t>
      </w:r>
      <w:r w:rsidR="00AB6E5D" w:rsidRPr="00AB6E5D">
        <w:t> </w:t>
      </w:r>
      <w:r w:rsidR="00753CC8" w:rsidRPr="00AB6E5D">
        <w:t>65</w:t>
      </w:r>
    </w:p>
    <w:p w:rsidR="007F5072" w:rsidRDefault="00753CC8" w:rsidP="00AB6E5D">
      <w:pPr>
        <w:pStyle w:val="Item"/>
      </w:pPr>
      <w:r w:rsidRPr="00AB6E5D">
        <w:t>Repeal the section.</w:t>
      </w:r>
    </w:p>
    <w:p w:rsidR="00366401" w:rsidRDefault="00366401" w:rsidP="008655A6"/>
    <w:p w:rsidR="00366401" w:rsidRDefault="00366401" w:rsidP="00027C40">
      <w:pPr>
        <w:pStyle w:val="AssentBk"/>
        <w:keepNext/>
      </w:pPr>
    </w:p>
    <w:p w:rsidR="00366401" w:rsidRDefault="00366401" w:rsidP="00027C40">
      <w:pPr>
        <w:pStyle w:val="AssentBk"/>
        <w:keepNext/>
      </w:pPr>
    </w:p>
    <w:p w:rsidR="008655A6" w:rsidRDefault="008655A6" w:rsidP="000C5962">
      <w:pPr>
        <w:pStyle w:val="2ndRd"/>
        <w:keepNext/>
        <w:pBdr>
          <w:top w:val="single" w:sz="2" w:space="1" w:color="auto"/>
        </w:pBdr>
      </w:pPr>
    </w:p>
    <w:p w:rsidR="008655A6" w:rsidRDefault="008655A6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655A6" w:rsidRDefault="008655A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12 November 2015</w:t>
      </w:r>
    </w:p>
    <w:p w:rsidR="008655A6" w:rsidRDefault="008655A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 December 2015</w:t>
      </w:r>
      <w:r>
        <w:t>]</w:t>
      </w:r>
    </w:p>
    <w:p w:rsidR="008655A6" w:rsidRDefault="008655A6" w:rsidP="000C5962"/>
    <w:p w:rsidR="00366401" w:rsidRPr="008655A6" w:rsidRDefault="008655A6" w:rsidP="008655A6">
      <w:pPr>
        <w:framePr w:hSpace="180" w:wrap="around" w:vAnchor="text" w:hAnchor="page" w:x="2446" w:y="3441"/>
      </w:pPr>
      <w:r>
        <w:t>(194/15)</w:t>
      </w:r>
    </w:p>
    <w:p w:rsidR="008655A6" w:rsidRDefault="008655A6"/>
    <w:sectPr w:rsidR="008655A6" w:rsidSect="0036640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98" w:rsidRDefault="00403998" w:rsidP="0048364F">
      <w:pPr>
        <w:spacing w:line="240" w:lineRule="auto"/>
      </w:pPr>
      <w:r>
        <w:separator/>
      </w:r>
    </w:p>
  </w:endnote>
  <w:endnote w:type="continuationSeparator" w:id="0">
    <w:p w:rsidR="00403998" w:rsidRDefault="004039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98" w:rsidRPr="005F1388" w:rsidRDefault="00403998" w:rsidP="00AB6E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A6" w:rsidRDefault="008655A6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403998" w:rsidRDefault="00403998" w:rsidP="00AB6E5D">
    <w:pPr>
      <w:pStyle w:val="Footer"/>
      <w:spacing w:before="120"/>
    </w:pPr>
  </w:p>
  <w:p w:rsidR="00403998" w:rsidRPr="005F1388" w:rsidRDefault="0040399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98" w:rsidRPr="00ED79B6" w:rsidRDefault="00403998" w:rsidP="00AB6E5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98" w:rsidRDefault="00403998" w:rsidP="00AB6E5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03998" w:rsidTr="00A65DF1">
      <w:tc>
        <w:tcPr>
          <w:tcW w:w="646" w:type="dxa"/>
        </w:tcPr>
        <w:p w:rsidR="00403998" w:rsidRDefault="00403998" w:rsidP="00A65DF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5F6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03998" w:rsidRDefault="00E85D4E" w:rsidP="00A65DF1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Institute of Aboriginal and Torres Strait Islander Studies Amendment Act 2016</w:t>
          </w:r>
        </w:p>
      </w:tc>
      <w:tc>
        <w:tcPr>
          <w:tcW w:w="1270" w:type="dxa"/>
        </w:tcPr>
        <w:p w:rsidR="00403998" w:rsidRDefault="00E85D4E" w:rsidP="00A65DF1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403998" w:rsidRDefault="0040399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98" w:rsidRDefault="00403998" w:rsidP="00AB6E5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03998" w:rsidTr="00A65DF1">
      <w:tc>
        <w:tcPr>
          <w:tcW w:w="1247" w:type="dxa"/>
        </w:tcPr>
        <w:p w:rsidR="00403998" w:rsidRDefault="00E85D4E" w:rsidP="00A65DF1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8655A6">
            <w:rPr>
              <w:i/>
              <w:sz w:val="18"/>
            </w:rPr>
            <w:t>6</w:t>
          </w:r>
          <w:r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403998" w:rsidRDefault="00E85D4E" w:rsidP="00A65DF1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Australian Institute of Aboriginal and Torres Strait Islander Studies Amendment Act 2016</w:t>
          </w:r>
        </w:p>
      </w:tc>
      <w:tc>
        <w:tcPr>
          <w:tcW w:w="669" w:type="dxa"/>
        </w:tcPr>
        <w:p w:rsidR="00403998" w:rsidRDefault="00403998" w:rsidP="00A65DF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5F6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03998" w:rsidRPr="00ED79B6" w:rsidRDefault="00403998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98" w:rsidRPr="00A961C4" w:rsidRDefault="00403998" w:rsidP="00AB6E5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03998" w:rsidTr="009F6A17">
      <w:tc>
        <w:tcPr>
          <w:tcW w:w="646" w:type="dxa"/>
        </w:tcPr>
        <w:p w:rsidR="00403998" w:rsidRDefault="00403998" w:rsidP="00A65DF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55F66">
            <w:rPr>
              <w:i/>
              <w:noProof/>
              <w:sz w:val="18"/>
            </w:rPr>
            <w:t>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03998" w:rsidRDefault="00E85D4E" w:rsidP="00A65DF1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Institute of Aboriginal and Torres Strait Islander Studies Amendment Act 2016</w:t>
          </w:r>
        </w:p>
      </w:tc>
      <w:tc>
        <w:tcPr>
          <w:tcW w:w="1270" w:type="dxa"/>
        </w:tcPr>
        <w:p w:rsidR="00403998" w:rsidRDefault="008655A6" w:rsidP="00A65DF1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6, 2016</w:t>
          </w:r>
        </w:p>
      </w:tc>
    </w:tr>
  </w:tbl>
  <w:p w:rsidR="00403998" w:rsidRPr="00A961C4" w:rsidRDefault="00403998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98" w:rsidRPr="00A961C4" w:rsidRDefault="00403998" w:rsidP="00AB6E5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03998" w:rsidTr="009F6A17">
      <w:tc>
        <w:tcPr>
          <w:tcW w:w="1247" w:type="dxa"/>
        </w:tcPr>
        <w:p w:rsidR="00403998" w:rsidRDefault="008655A6" w:rsidP="00A65DF1">
          <w:pPr>
            <w:rPr>
              <w:sz w:val="18"/>
            </w:rPr>
          </w:pPr>
          <w:r>
            <w:rPr>
              <w:i/>
              <w:sz w:val="18"/>
            </w:rPr>
            <w:t>No. 6, 2016</w:t>
          </w:r>
        </w:p>
      </w:tc>
      <w:tc>
        <w:tcPr>
          <w:tcW w:w="5387" w:type="dxa"/>
        </w:tcPr>
        <w:p w:rsidR="00403998" w:rsidRDefault="00E85D4E" w:rsidP="00A65DF1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Institute of Aboriginal and Torres Strait Islander Studies Amendment Act 2016</w:t>
          </w:r>
        </w:p>
      </w:tc>
      <w:tc>
        <w:tcPr>
          <w:tcW w:w="669" w:type="dxa"/>
        </w:tcPr>
        <w:p w:rsidR="00403998" w:rsidRDefault="00403998" w:rsidP="00A65DF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55F66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03998" w:rsidRPr="00055B5C" w:rsidRDefault="00403998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98" w:rsidRPr="00A961C4" w:rsidRDefault="00403998" w:rsidP="00AB6E5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03998" w:rsidTr="009F6A17">
      <w:tc>
        <w:tcPr>
          <w:tcW w:w="1247" w:type="dxa"/>
        </w:tcPr>
        <w:p w:rsidR="00403998" w:rsidRDefault="008655A6" w:rsidP="00A65DF1">
          <w:pPr>
            <w:rPr>
              <w:sz w:val="18"/>
            </w:rPr>
          </w:pPr>
          <w:r>
            <w:rPr>
              <w:i/>
              <w:sz w:val="18"/>
            </w:rPr>
            <w:t>No. 6, 2016</w:t>
          </w:r>
        </w:p>
      </w:tc>
      <w:tc>
        <w:tcPr>
          <w:tcW w:w="5387" w:type="dxa"/>
        </w:tcPr>
        <w:p w:rsidR="00403998" w:rsidRDefault="00E85D4E" w:rsidP="00A65DF1">
          <w:pPr>
            <w:jc w:val="center"/>
            <w:rPr>
              <w:sz w:val="18"/>
            </w:rPr>
          </w:pPr>
          <w:r>
            <w:rPr>
              <w:i/>
              <w:sz w:val="18"/>
            </w:rPr>
            <w:t>Australian Institute of Aboriginal and Torres Strait Islander Studies Amendment Act 2016</w:t>
          </w:r>
        </w:p>
      </w:tc>
      <w:tc>
        <w:tcPr>
          <w:tcW w:w="669" w:type="dxa"/>
        </w:tcPr>
        <w:p w:rsidR="00403998" w:rsidRDefault="00403998" w:rsidP="00A65DF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55F6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03998" w:rsidRPr="00A961C4" w:rsidRDefault="00403998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98" w:rsidRDefault="00403998" w:rsidP="0048364F">
      <w:pPr>
        <w:spacing w:line="240" w:lineRule="auto"/>
      </w:pPr>
      <w:r>
        <w:separator/>
      </w:r>
    </w:p>
  </w:footnote>
  <w:footnote w:type="continuationSeparator" w:id="0">
    <w:p w:rsidR="00403998" w:rsidRDefault="004039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98" w:rsidRPr="005F1388" w:rsidRDefault="0040399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98" w:rsidRPr="005F1388" w:rsidRDefault="0040399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98" w:rsidRPr="005F1388" w:rsidRDefault="0040399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98" w:rsidRPr="00ED79B6" w:rsidRDefault="00403998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98" w:rsidRPr="00ED79B6" w:rsidRDefault="00403998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98" w:rsidRPr="00ED79B6" w:rsidRDefault="0040399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98" w:rsidRPr="00A961C4" w:rsidRDefault="0040399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55F66">
      <w:rPr>
        <w:b/>
        <w:sz w:val="20"/>
      </w:rPr>
      <w:fldChar w:fldCharType="separate"/>
    </w:r>
    <w:r w:rsidR="00755F6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55F66">
      <w:rPr>
        <w:sz w:val="20"/>
      </w:rPr>
      <w:fldChar w:fldCharType="separate"/>
    </w:r>
    <w:r w:rsidR="00755F66">
      <w:rPr>
        <w:noProof/>
        <w:sz w:val="20"/>
      </w:rPr>
      <w:t>Amendments</w:t>
    </w:r>
    <w:r>
      <w:rPr>
        <w:sz w:val="20"/>
      </w:rPr>
      <w:fldChar w:fldCharType="end"/>
    </w:r>
  </w:p>
  <w:p w:rsidR="00403998" w:rsidRPr="00A961C4" w:rsidRDefault="0040399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03998" w:rsidRPr="00A961C4" w:rsidRDefault="00403998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98" w:rsidRPr="00A961C4" w:rsidRDefault="0040399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55F66">
      <w:rPr>
        <w:sz w:val="20"/>
      </w:rPr>
      <w:fldChar w:fldCharType="separate"/>
    </w:r>
    <w:r w:rsidR="00755F6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55F66">
      <w:rPr>
        <w:b/>
        <w:sz w:val="20"/>
      </w:rPr>
      <w:fldChar w:fldCharType="separate"/>
    </w:r>
    <w:r w:rsidR="00755F6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03998" w:rsidRPr="00A961C4" w:rsidRDefault="0040399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03998" w:rsidRPr="00A961C4" w:rsidRDefault="00403998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98" w:rsidRPr="00A961C4" w:rsidRDefault="00403998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6F"/>
    <w:rsid w:val="000113BC"/>
    <w:rsid w:val="000136AF"/>
    <w:rsid w:val="00037CB4"/>
    <w:rsid w:val="000417C9"/>
    <w:rsid w:val="00051974"/>
    <w:rsid w:val="00055B5C"/>
    <w:rsid w:val="00060FF9"/>
    <w:rsid w:val="000614BF"/>
    <w:rsid w:val="00082EDB"/>
    <w:rsid w:val="0009797F"/>
    <w:rsid w:val="000B1FD2"/>
    <w:rsid w:val="000D05EF"/>
    <w:rsid w:val="000D0B6C"/>
    <w:rsid w:val="000E44FB"/>
    <w:rsid w:val="000F21C1"/>
    <w:rsid w:val="000F3231"/>
    <w:rsid w:val="000F4765"/>
    <w:rsid w:val="00101D90"/>
    <w:rsid w:val="0010745C"/>
    <w:rsid w:val="00113BD1"/>
    <w:rsid w:val="00122206"/>
    <w:rsid w:val="00126048"/>
    <w:rsid w:val="00143616"/>
    <w:rsid w:val="0015646E"/>
    <w:rsid w:val="001643C9"/>
    <w:rsid w:val="001646B6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1F131C"/>
    <w:rsid w:val="00201D27"/>
    <w:rsid w:val="00202618"/>
    <w:rsid w:val="00215997"/>
    <w:rsid w:val="00232F68"/>
    <w:rsid w:val="00240749"/>
    <w:rsid w:val="0025680A"/>
    <w:rsid w:val="00263820"/>
    <w:rsid w:val="00276DE5"/>
    <w:rsid w:val="00293B89"/>
    <w:rsid w:val="00297ECB"/>
    <w:rsid w:val="002B5A30"/>
    <w:rsid w:val="002D043A"/>
    <w:rsid w:val="002D2BAE"/>
    <w:rsid w:val="002D395A"/>
    <w:rsid w:val="002F2A38"/>
    <w:rsid w:val="00321AEF"/>
    <w:rsid w:val="00331AE8"/>
    <w:rsid w:val="003415D3"/>
    <w:rsid w:val="00350417"/>
    <w:rsid w:val="00352B0F"/>
    <w:rsid w:val="00361690"/>
    <w:rsid w:val="00366401"/>
    <w:rsid w:val="00375C6C"/>
    <w:rsid w:val="003C51C4"/>
    <w:rsid w:val="003C5F2B"/>
    <w:rsid w:val="003C733E"/>
    <w:rsid w:val="003D0BFE"/>
    <w:rsid w:val="003D5700"/>
    <w:rsid w:val="003E7626"/>
    <w:rsid w:val="003F5EB9"/>
    <w:rsid w:val="00403998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577D"/>
    <w:rsid w:val="004624B9"/>
    <w:rsid w:val="0048196B"/>
    <w:rsid w:val="0048364F"/>
    <w:rsid w:val="00496F97"/>
    <w:rsid w:val="004B7446"/>
    <w:rsid w:val="004C7C8C"/>
    <w:rsid w:val="004D112A"/>
    <w:rsid w:val="004D4BD8"/>
    <w:rsid w:val="004E2A4A"/>
    <w:rsid w:val="004F0D23"/>
    <w:rsid w:val="004F1FAC"/>
    <w:rsid w:val="00516B8D"/>
    <w:rsid w:val="0051758D"/>
    <w:rsid w:val="00524FDE"/>
    <w:rsid w:val="00532CD6"/>
    <w:rsid w:val="00537FBC"/>
    <w:rsid w:val="00543469"/>
    <w:rsid w:val="00551B54"/>
    <w:rsid w:val="00580F43"/>
    <w:rsid w:val="00584811"/>
    <w:rsid w:val="0058511D"/>
    <w:rsid w:val="00593AA6"/>
    <w:rsid w:val="00594161"/>
    <w:rsid w:val="00594749"/>
    <w:rsid w:val="005A0D92"/>
    <w:rsid w:val="005B1BDC"/>
    <w:rsid w:val="005B4067"/>
    <w:rsid w:val="005C3F41"/>
    <w:rsid w:val="005E152A"/>
    <w:rsid w:val="00600219"/>
    <w:rsid w:val="00617C7D"/>
    <w:rsid w:val="006205EE"/>
    <w:rsid w:val="00620D6F"/>
    <w:rsid w:val="00627118"/>
    <w:rsid w:val="00641DE5"/>
    <w:rsid w:val="00651E21"/>
    <w:rsid w:val="0065219C"/>
    <w:rsid w:val="00656F0C"/>
    <w:rsid w:val="00677CC2"/>
    <w:rsid w:val="00681F92"/>
    <w:rsid w:val="006842C2"/>
    <w:rsid w:val="00685F42"/>
    <w:rsid w:val="0069207B"/>
    <w:rsid w:val="00693EAB"/>
    <w:rsid w:val="00694132"/>
    <w:rsid w:val="006A3269"/>
    <w:rsid w:val="006B1350"/>
    <w:rsid w:val="006C2874"/>
    <w:rsid w:val="006C7F8C"/>
    <w:rsid w:val="006D380D"/>
    <w:rsid w:val="006D4AEB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53CC8"/>
    <w:rsid w:val="00755F66"/>
    <w:rsid w:val="00756BBE"/>
    <w:rsid w:val="007634AD"/>
    <w:rsid w:val="00763A21"/>
    <w:rsid w:val="007715C9"/>
    <w:rsid w:val="00774EDD"/>
    <w:rsid w:val="007757EC"/>
    <w:rsid w:val="00786A09"/>
    <w:rsid w:val="00792095"/>
    <w:rsid w:val="007D7A29"/>
    <w:rsid w:val="007E1949"/>
    <w:rsid w:val="007E7D4A"/>
    <w:rsid w:val="007F5072"/>
    <w:rsid w:val="008006CC"/>
    <w:rsid w:val="00807F18"/>
    <w:rsid w:val="00831E8D"/>
    <w:rsid w:val="00856A31"/>
    <w:rsid w:val="00857D6B"/>
    <w:rsid w:val="008655A6"/>
    <w:rsid w:val="0086575C"/>
    <w:rsid w:val="008754D0"/>
    <w:rsid w:val="00877D48"/>
    <w:rsid w:val="00883781"/>
    <w:rsid w:val="00885570"/>
    <w:rsid w:val="008913E2"/>
    <w:rsid w:val="00893958"/>
    <w:rsid w:val="008A2E77"/>
    <w:rsid w:val="008A39B3"/>
    <w:rsid w:val="008C6F6F"/>
    <w:rsid w:val="008D0EE0"/>
    <w:rsid w:val="008E3E0D"/>
    <w:rsid w:val="008F4F1C"/>
    <w:rsid w:val="008F6F6B"/>
    <w:rsid w:val="008F77C4"/>
    <w:rsid w:val="009103F3"/>
    <w:rsid w:val="00910F25"/>
    <w:rsid w:val="00932377"/>
    <w:rsid w:val="00966C65"/>
    <w:rsid w:val="00967042"/>
    <w:rsid w:val="00967EAB"/>
    <w:rsid w:val="0097266B"/>
    <w:rsid w:val="0098255A"/>
    <w:rsid w:val="009845BE"/>
    <w:rsid w:val="009969C9"/>
    <w:rsid w:val="009D529F"/>
    <w:rsid w:val="009F6A17"/>
    <w:rsid w:val="00A01170"/>
    <w:rsid w:val="00A10775"/>
    <w:rsid w:val="00A231E2"/>
    <w:rsid w:val="00A31B7F"/>
    <w:rsid w:val="00A36C48"/>
    <w:rsid w:val="00A418DA"/>
    <w:rsid w:val="00A41E0B"/>
    <w:rsid w:val="00A443D8"/>
    <w:rsid w:val="00A466F6"/>
    <w:rsid w:val="00A53A12"/>
    <w:rsid w:val="00A55631"/>
    <w:rsid w:val="00A64912"/>
    <w:rsid w:val="00A65DF1"/>
    <w:rsid w:val="00A70A74"/>
    <w:rsid w:val="00A71A05"/>
    <w:rsid w:val="00AA07B2"/>
    <w:rsid w:val="00AA3795"/>
    <w:rsid w:val="00AA480B"/>
    <w:rsid w:val="00AB6E5D"/>
    <w:rsid w:val="00AC1E75"/>
    <w:rsid w:val="00AD5641"/>
    <w:rsid w:val="00AE1088"/>
    <w:rsid w:val="00AE5B3C"/>
    <w:rsid w:val="00AF1BA4"/>
    <w:rsid w:val="00B032D8"/>
    <w:rsid w:val="00B33B3C"/>
    <w:rsid w:val="00B47F44"/>
    <w:rsid w:val="00B6382D"/>
    <w:rsid w:val="00B870D6"/>
    <w:rsid w:val="00BA5026"/>
    <w:rsid w:val="00BB1F15"/>
    <w:rsid w:val="00BB40BF"/>
    <w:rsid w:val="00BC0CD1"/>
    <w:rsid w:val="00BC4995"/>
    <w:rsid w:val="00BD3228"/>
    <w:rsid w:val="00BD7A80"/>
    <w:rsid w:val="00BE719A"/>
    <w:rsid w:val="00BE720A"/>
    <w:rsid w:val="00BF0461"/>
    <w:rsid w:val="00BF4944"/>
    <w:rsid w:val="00C04409"/>
    <w:rsid w:val="00C067E5"/>
    <w:rsid w:val="00C164CA"/>
    <w:rsid w:val="00C176CF"/>
    <w:rsid w:val="00C265C6"/>
    <w:rsid w:val="00C31640"/>
    <w:rsid w:val="00C40FBB"/>
    <w:rsid w:val="00C42BF8"/>
    <w:rsid w:val="00C45B87"/>
    <w:rsid w:val="00C460AE"/>
    <w:rsid w:val="00C50043"/>
    <w:rsid w:val="00C54E84"/>
    <w:rsid w:val="00C75648"/>
    <w:rsid w:val="00C7573B"/>
    <w:rsid w:val="00C76CF3"/>
    <w:rsid w:val="00C9650B"/>
    <w:rsid w:val="00CE1E31"/>
    <w:rsid w:val="00CF0BB2"/>
    <w:rsid w:val="00D00EAA"/>
    <w:rsid w:val="00D02A95"/>
    <w:rsid w:val="00D13441"/>
    <w:rsid w:val="00D243A3"/>
    <w:rsid w:val="00D477C3"/>
    <w:rsid w:val="00D52EFE"/>
    <w:rsid w:val="00D63EF6"/>
    <w:rsid w:val="00D7083F"/>
    <w:rsid w:val="00D70DFB"/>
    <w:rsid w:val="00D73029"/>
    <w:rsid w:val="00D766DF"/>
    <w:rsid w:val="00DB5382"/>
    <w:rsid w:val="00DB7429"/>
    <w:rsid w:val="00DC1D55"/>
    <w:rsid w:val="00DF6E41"/>
    <w:rsid w:val="00DF7AE9"/>
    <w:rsid w:val="00E05704"/>
    <w:rsid w:val="00E24D66"/>
    <w:rsid w:val="00E40377"/>
    <w:rsid w:val="00E45B2D"/>
    <w:rsid w:val="00E54292"/>
    <w:rsid w:val="00E66AC9"/>
    <w:rsid w:val="00E74DC7"/>
    <w:rsid w:val="00E85D4E"/>
    <w:rsid w:val="00E87699"/>
    <w:rsid w:val="00E92736"/>
    <w:rsid w:val="00EA2146"/>
    <w:rsid w:val="00EA29E2"/>
    <w:rsid w:val="00EB51DE"/>
    <w:rsid w:val="00EC4D6E"/>
    <w:rsid w:val="00ED492F"/>
    <w:rsid w:val="00EF2E3A"/>
    <w:rsid w:val="00F047E2"/>
    <w:rsid w:val="00F0629C"/>
    <w:rsid w:val="00F078DC"/>
    <w:rsid w:val="00F13E86"/>
    <w:rsid w:val="00F17B00"/>
    <w:rsid w:val="00F17B87"/>
    <w:rsid w:val="00F43BAE"/>
    <w:rsid w:val="00F45238"/>
    <w:rsid w:val="00F677A9"/>
    <w:rsid w:val="00F81739"/>
    <w:rsid w:val="00F84CF5"/>
    <w:rsid w:val="00F92D35"/>
    <w:rsid w:val="00FA420B"/>
    <w:rsid w:val="00FA4B0E"/>
    <w:rsid w:val="00FC0412"/>
    <w:rsid w:val="00FC3635"/>
    <w:rsid w:val="00FC62A3"/>
    <w:rsid w:val="00FD1E13"/>
    <w:rsid w:val="00FE41C9"/>
    <w:rsid w:val="00FE613C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6E5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E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E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E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E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E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E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E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E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E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B6E5D"/>
  </w:style>
  <w:style w:type="paragraph" w:customStyle="1" w:styleId="OPCParaBase">
    <w:name w:val="OPCParaBase"/>
    <w:link w:val="OPCParaBaseChar"/>
    <w:qFormat/>
    <w:rsid w:val="00AB6E5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B6E5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B6E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B6E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B6E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B6E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B6E5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B6E5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B6E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B6E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B6E5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B6E5D"/>
  </w:style>
  <w:style w:type="paragraph" w:customStyle="1" w:styleId="Blocks">
    <w:name w:val="Blocks"/>
    <w:aliases w:val="bb"/>
    <w:basedOn w:val="OPCParaBase"/>
    <w:qFormat/>
    <w:rsid w:val="00AB6E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B6E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B6E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B6E5D"/>
    <w:rPr>
      <w:i/>
    </w:rPr>
  </w:style>
  <w:style w:type="paragraph" w:customStyle="1" w:styleId="BoxList">
    <w:name w:val="BoxList"/>
    <w:aliases w:val="bl"/>
    <w:basedOn w:val="BoxText"/>
    <w:qFormat/>
    <w:rsid w:val="00AB6E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B6E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B6E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B6E5D"/>
    <w:pPr>
      <w:ind w:left="1985" w:hanging="851"/>
    </w:pPr>
  </w:style>
  <w:style w:type="character" w:customStyle="1" w:styleId="CharAmPartNo">
    <w:name w:val="CharAmPartNo"/>
    <w:basedOn w:val="OPCCharBase"/>
    <w:qFormat/>
    <w:rsid w:val="00AB6E5D"/>
  </w:style>
  <w:style w:type="character" w:customStyle="1" w:styleId="CharAmPartText">
    <w:name w:val="CharAmPartText"/>
    <w:basedOn w:val="OPCCharBase"/>
    <w:qFormat/>
    <w:rsid w:val="00AB6E5D"/>
  </w:style>
  <w:style w:type="character" w:customStyle="1" w:styleId="CharAmSchNo">
    <w:name w:val="CharAmSchNo"/>
    <w:basedOn w:val="OPCCharBase"/>
    <w:qFormat/>
    <w:rsid w:val="00AB6E5D"/>
  </w:style>
  <w:style w:type="character" w:customStyle="1" w:styleId="CharAmSchText">
    <w:name w:val="CharAmSchText"/>
    <w:basedOn w:val="OPCCharBase"/>
    <w:qFormat/>
    <w:rsid w:val="00AB6E5D"/>
  </w:style>
  <w:style w:type="character" w:customStyle="1" w:styleId="CharBoldItalic">
    <w:name w:val="CharBoldItalic"/>
    <w:basedOn w:val="OPCCharBase"/>
    <w:uiPriority w:val="1"/>
    <w:qFormat/>
    <w:rsid w:val="00AB6E5D"/>
    <w:rPr>
      <w:b/>
      <w:i/>
    </w:rPr>
  </w:style>
  <w:style w:type="character" w:customStyle="1" w:styleId="CharChapNo">
    <w:name w:val="CharChapNo"/>
    <w:basedOn w:val="OPCCharBase"/>
    <w:uiPriority w:val="1"/>
    <w:qFormat/>
    <w:rsid w:val="00AB6E5D"/>
  </w:style>
  <w:style w:type="character" w:customStyle="1" w:styleId="CharChapText">
    <w:name w:val="CharChapText"/>
    <w:basedOn w:val="OPCCharBase"/>
    <w:uiPriority w:val="1"/>
    <w:qFormat/>
    <w:rsid w:val="00AB6E5D"/>
  </w:style>
  <w:style w:type="character" w:customStyle="1" w:styleId="CharDivNo">
    <w:name w:val="CharDivNo"/>
    <w:basedOn w:val="OPCCharBase"/>
    <w:uiPriority w:val="1"/>
    <w:qFormat/>
    <w:rsid w:val="00AB6E5D"/>
  </w:style>
  <w:style w:type="character" w:customStyle="1" w:styleId="CharDivText">
    <w:name w:val="CharDivText"/>
    <w:basedOn w:val="OPCCharBase"/>
    <w:uiPriority w:val="1"/>
    <w:qFormat/>
    <w:rsid w:val="00AB6E5D"/>
  </w:style>
  <w:style w:type="character" w:customStyle="1" w:styleId="CharItalic">
    <w:name w:val="CharItalic"/>
    <w:basedOn w:val="OPCCharBase"/>
    <w:uiPriority w:val="1"/>
    <w:qFormat/>
    <w:rsid w:val="00AB6E5D"/>
    <w:rPr>
      <w:i/>
    </w:rPr>
  </w:style>
  <w:style w:type="character" w:customStyle="1" w:styleId="CharPartNo">
    <w:name w:val="CharPartNo"/>
    <w:basedOn w:val="OPCCharBase"/>
    <w:uiPriority w:val="1"/>
    <w:qFormat/>
    <w:rsid w:val="00AB6E5D"/>
  </w:style>
  <w:style w:type="character" w:customStyle="1" w:styleId="CharPartText">
    <w:name w:val="CharPartText"/>
    <w:basedOn w:val="OPCCharBase"/>
    <w:uiPriority w:val="1"/>
    <w:qFormat/>
    <w:rsid w:val="00AB6E5D"/>
  </w:style>
  <w:style w:type="character" w:customStyle="1" w:styleId="CharSectno">
    <w:name w:val="CharSectno"/>
    <w:basedOn w:val="OPCCharBase"/>
    <w:qFormat/>
    <w:rsid w:val="00AB6E5D"/>
  </w:style>
  <w:style w:type="character" w:customStyle="1" w:styleId="CharSubdNo">
    <w:name w:val="CharSubdNo"/>
    <w:basedOn w:val="OPCCharBase"/>
    <w:uiPriority w:val="1"/>
    <w:qFormat/>
    <w:rsid w:val="00AB6E5D"/>
  </w:style>
  <w:style w:type="character" w:customStyle="1" w:styleId="CharSubdText">
    <w:name w:val="CharSubdText"/>
    <w:basedOn w:val="OPCCharBase"/>
    <w:uiPriority w:val="1"/>
    <w:qFormat/>
    <w:rsid w:val="00AB6E5D"/>
  </w:style>
  <w:style w:type="paragraph" w:customStyle="1" w:styleId="CTA--">
    <w:name w:val="CTA --"/>
    <w:basedOn w:val="OPCParaBase"/>
    <w:next w:val="Normal"/>
    <w:rsid w:val="00AB6E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B6E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B6E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B6E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B6E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B6E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B6E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B6E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B6E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B6E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B6E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B6E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B6E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B6E5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B6E5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B6E5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B6E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B6E5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B6E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B6E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B6E5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B6E5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B6E5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B6E5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B6E5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B6E5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B6E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B6E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B6E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B6E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B6E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B6E5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B6E5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B6E5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B6E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B6E5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B6E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B6E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B6E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B6E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B6E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B6E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B6E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B6E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B6E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B6E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B6E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B6E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B6E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B6E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B6E5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B6E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B6E5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B6E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B6E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B6E5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B6E5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B6E5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B6E5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B6E5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B6E5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B6E5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B6E5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B6E5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B6E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B6E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B6E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B6E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B6E5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B6E5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B6E5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B6E5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B6E5D"/>
    <w:rPr>
      <w:sz w:val="16"/>
    </w:rPr>
  </w:style>
  <w:style w:type="table" w:customStyle="1" w:styleId="CFlag">
    <w:name w:val="CFlag"/>
    <w:basedOn w:val="TableNormal"/>
    <w:uiPriority w:val="99"/>
    <w:rsid w:val="00AB6E5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B6E5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B6E5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B6E5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B6E5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B6E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B6E5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B6E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B6E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B6E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B6E5D"/>
    <w:pPr>
      <w:spacing w:before="120"/>
    </w:pPr>
  </w:style>
  <w:style w:type="paragraph" w:customStyle="1" w:styleId="TableTextEndNotes">
    <w:name w:val="TableTextEndNotes"/>
    <w:aliases w:val="Tten"/>
    <w:basedOn w:val="Normal"/>
    <w:rsid w:val="00AB6E5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B6E5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B6E5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B6E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B6E5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B6E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B6E5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B6E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B6E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B6E5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B6E5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B6E5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B6E5D"/>
  </w:style>
  <w:style w:type="character" w:customStyle="1" w:styleId="CharSubPartNoCASA">
    <w:name w:val="CharSubPartNo(CASA)"/>
    <w:basedOn w:val="OPCCharBase"/>
    <w:uiPriority w:val="1"/>
    <w:rsid w:val="00AB6E5D"/>
  </w:style>
  <w:style w:type="paragraph" w:customStyle="1" w:styleId="ENoteTTIndentHeadingSub">
    <w:name w:val="ENoteTTIndentHeadingSub"/>
    <w:aliases w:val="enTTHis"/>
    <w:basedOn w:val="OPCParaBase"/>
    <w:rsid w:val="00AB6E5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B6E5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B6E5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B6E5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B6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B6E5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B6E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B6E5D"/>
    <w:rPr>
      <w:sz w:val="22"/>
    </w:rPr>
  </w:style>
  <w:style w:type="paragraph" w:customStyle="1" w:styleId="SOTextNote">
    <w:name w:val="SO TextNote"/>
    <w:aliases w:val="sont"/>
    <w:basedOn w:val="SOText"/>
    <w:qFormat/>
    <w:rsid w:val="00AB6E5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B6E5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B6E5D"/>
    <w:rPr>
      <w:sz w:val="22"/>
    </w:rPr>
  </w:style>
  <w:style w:type="paragraph" w:customStyle="1" w:styleId="FileName">
    <w:name w:val="FileName"/>
    <w:basedOn w:val="Normal"/>
    <w:rsid w:val="00AB6E5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B6E5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B6E5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B6E5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B6E5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B6E5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B6E5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B6E5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B6E5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B6E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B6E5D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2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ED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ED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ED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ED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ED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E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E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6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B6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36640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6640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6640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6640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6640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6640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6640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66401"/>
  </w:style>
  <w:style w:type="character" w:customStyle="1" w:styleId="ShortTCPChar">
    <w:name w:val="ShortTCP Char"/>
    <w:basedOn w:val="ShortTChar"/>
    <w:link w:val="ShortTCP"/>
    <w:rsid w:val="0036640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66401"/>
    <w:pPr>
      <w:spacing w:before="400"/>
    </w:pPr>
  </w:style>
  <w:style w:type="character" w:customStyle="1" w:styleId="ActNoCPChar">
    <w:name w:val="ActNoCP Char"/>
    <w:basedOn w:val="ActnoChar"/>
    <w:link w:val="ActNoCP"/>
    <w:rsid w:val="0036640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664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655A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655A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655A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6E5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E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E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E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E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E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E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E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E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E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B6E5D"/>
  </w:style>
  <w:style w:type="paragraph" w:customStyle="1" w:styleId="OPCParaBase">
    <w:name w:val="OPCParaBase"/>
    <w:link w:val="OPCParaBaseChar"/>
    <w:qFormat/>
    <w:rsid w:val="00AB6E5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B6E5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B6E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B6E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B6E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B6E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B6E5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B6E5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B6E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B6E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B6E5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B6E5D"/>
  </w:style>
  <w:style w:type="paragraph" w:customStyle="1" w:styleId="Blocks">
    <w:name w:val="Blocks"/>
    <w:aliases w:val="bb"/>
    <w:basedOn w:val="OPCParaBase"/>
    <w:qFormat/>
    <w:rsid w:val="00AB6E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B6E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B6E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B6E5D"/>
    <w:rPr>
      <w:i/>
    </w:rPr>
  </w:style>
  <w:style w:type="paragraph" w:customStyle="1" w:styleId="BoxList">
    <w:name w:val="BoxList"/>
    <w:aliases w:val="bl"/>
    <w:basedOn w:val="BoxText"/>
    <w:qFormat/>
    <w:rsid w:val="00AB6E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B6E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B6E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B6E5D"/>
    <w:pPr>
      <w:ind w:left="1985" w:hanging="851"/>
    </w:pPr>
  </w:style>
  <w:style w:type="character" w:customStyle="1" w:styleId="CharAmPartNo">
    <w:name w:val="CharAmPartNo"/>
    <w:basedOn w:val="OPCCharBase"/>
    <w:qFormat/>
    <w:rsid w:val="00AB6E5D"/>
  </w:style>
  <w:style w:type="character" w:customStyle="1" w:styleId="CharAmPartText">
    <w:name w:val="CharAmPartText"/>
    <w:basedOn w:val="OPCCharBase"/>
    <w:qFormat/>
    <w:rsid w:val="00AB6E5D"/>
  </w:style>
  <w:style w:type="character" w:customStyle="1" w:styleId="CharAmSchNo">
    <w:name w:val="CharAmSchNo"/>
    <w:basedOn w:val="OPCCharBase"/>
    <w:qFormat/>
    <w:rsid w:val="00AB6E5D"/>
  </w:style>
  <w:style w:type="character" w:customStyle="1" w:styleId="CharAmSchText">
    <w:name w:val="CharAmSchText"/>
    <w:basedOn w:val="OPCCharBase"/>
    <w:qFormat/>
    <w:rsid w:val="00AB6E5D"/>
  </w:style>
  <w:style w:type="character" w:customStyle="1" w:styleId="CharBoldItalic">
    <w:name w:val="CharBoldItalic"/>
    <w:basedOn w:val="OPCCharBase"/>
    <w:uiPriority w:val="1"/>
    <w:qFormat/>
    <w:rsid w:val="00AB6E5D"/>
    <w:rPr>
      <w:b/>
      <w:i/>
    </w:rPr>
  </w:style>
  <w:style w:type="character" w:customStyle="1" w:styleId="CharChapNo">
    <w:name w:val="CharChapNo"/>
    <w:basedOn w:val="OPCCharBase"/>
    <w:uiPriority w:val="1"/>
    <w:qFormat/>
    <w:rsid w:val="00AB6E5D"/>
  </w:style>
  <w:style w:type="character" w:customStyle="1" w:styleId="CharChapText">
    <w:name w:val="CharChapText"/>
    <w:basedOn w:val="OPCCharBase"/>
    <w:uiPriority w:val="1"/>
    <w:qFormat/>
    <w:rsid w:val="00AB6E5D"/>
  </w:style>
  <w:style w:type="character" w:customStyle="1" w:styleId="CharDivNo">
    <w:name w:val="CharDivNo"/>
    <w:basedOn w:val="OPCCharBase"/>
    <w:uiPriority w:val="1"/>
    <w:qFormat/>
    <w:rsid w:val="00AB6E5D"/>
  </w:style>
  <w:style w:type="character" w:customStyle="1" w:styleId="CharDivText">
    <w:name w:val="CharDivText"/>
    <w:basedOn w:val="OPCCharBase"/>
    <w:uiPriority w:val="1"/>
    <w:qFormat/>
    <w:rsid w:val="00AB6E5D"/>
  </w:style>
  <w:style w:type="character" w:customStyle="1" w:styleId="CharItalic">
    <w:name w:val="CharItalic"/>
    <w:basedOn w:val="OPCCharBase"/>
    <w:uiPriority w:val="1"/>
    <w:qFormat/>
    <w:rsid w:val="00AB6E5D"/>
    <w:rPr>
      <w:i/>
    </w:rPr>
  </w:style>
  <w:style w:type="character" w:customStyle="1" w:styleId="CharPartNo">
    <w:name w:val="CharPartNo"/>
    <w:basedOn w:val="OPCCharBase"/>
    <w:uiPriority w:val="1"/>
    <w:qFormat/>
    <w:rsid w:val="00AB6E5D"/>
  </w:style>
  <w:style w:type="character" w:customStyle="1" w:styleId="CharPartText">
    <w:name w:val="CharPartText"/>
    <w:basedOn w:val="OPCCharBase"/>
    <w:uiPriority w:val="1"/>
    <w:qFormat/>
    <w:rsid w:val="00AB6E5D"/>
  </w:style>
  <w:style w:type="character" w:customStyle="1" w:styleId="CharSectno">
    <w:name w:val="CharSectno"/>
    <w:basedOn w:val="OPCCharBase"/>
    <w:qFormat/>
    <w:rsid w:val="00AB6E5D"/>
  </w:style>
  <w:style w:type="character" w:customStyle="1" w:styleId="CharSubdNo">
    <w:name w:val="CharSubdNo"/>
    <w:basedOn w:val="OPCCharBase"/>
    <w:uiPriority w:val="1"/>
    <w:qFormat/>
    <w:rsid w:val="00AB6E5D"/>
  </w:style>
  <w:style w:type="character" w:customStyle="1" w:styleId="CharSubdText">
    <w:name w:val="CharSubdText"/>
    <w:basedOn w:val="OPCCharBase"/>
    <w:uiPriority w:val="1"/>
    <w:qFormat/>
    <w:rsid w:val="00AB6E5D"/>
  </w:style>
  <w:style w:type="paragraph" w:customStyle="1" w:styleId="CTA--">
    <w:name w:val="CTA --"/>
    <w:basedOn w:val="OPCParaBase"/>
    <w:next w:val="Normal"/>
    <w:rsid w:val="00AB6E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B6E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B6E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B6E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B6E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B6E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B6E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B6E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B6E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B6E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B6E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B6E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B6E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B6E5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B6E5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B6E5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B6E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B6E5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B6E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B6E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B6E5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B6E5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B6E5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B6E5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B6E5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B6E5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B6E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B6E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B6E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B6E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B6E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B6E5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B6E5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B6E5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B6E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B6E5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B6E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B6E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B6E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B6E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B6E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B6E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B6E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B6E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B6E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B6E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B6E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B6E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B6E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B6E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B6E5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B6E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B6E5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B6E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B6E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B6E5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B6E5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B6E5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B6E5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B6E5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B6E5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B6E5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B6E5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B6E5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B6E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B6E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B6E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B6E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B6E5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B6E5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B6E5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B6E5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B6E5D"/>
    <w:rPr>
      <w:sz w:val="16"/>
    </w:rPr>
  </w:style>
  <w:style w:type="table" w:customStyle="1" w:styleId="CFlag">
    <w:name w:val="CFlag"/>
    <w:basedOn w:val="TableNormal"/>
    <w:uiPriority w:val="99"/>
    <w:rsid w:val="00AB6E5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B6E5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B6E5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B6E5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B6E5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B6E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B6E5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B6E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B6E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B6E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B6E5D"/>
    <w:pPr>
      <w:spacing w:before="120"/>
    </w:pPr>
  </w:style>
  <w:style w:type="paragraph" w:customStyle="1" w:styleId="TableTextEndNotes">
    <w:name w:val="TableTextEndNotes"/>
    <w:aliases w:val="Tten"/>
    <w:basedOn w:val="Normal"/>
    <w:rsid w:val="00AB6E5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B6E5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B6E5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B6E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B6E5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B6E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B6E5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B6E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B6E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B6E5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B6E5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B6E5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B6E5D"/>
  </w:style>
  <w:style w:type="character" w:customStyle="1" w:styleId="CharSubPartNoCASA">
    <w:name w:val="CharSubPartNo(CASA)"/>
    <w:basedOn w:val="OPCCharBase"/>
    <w:uiPriority w:val="1"/>
    <w:rsid w:val="00AB6E5D"/>
  </w:style>
  <w:style w:type="paragraph" w:customStyle="1" w:styleId="ENoteTTIndentHeadingSub">
    <w:name w:val="ENoteTTIndentHeadingSub"/>
    <w:aliases w:val="enTTHis"/>
    <w:basedOn w:val="OPCParaBase"/>
    <w:rsid w:val="00AB6E5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B6E5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B6E5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B6E5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B6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B6E5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B6E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B6E5D"/>
    <w:rPr>
      <w:sz w:val="22"/>
    </w:rPr>
  </w:style>
  <w:style w:type="paragraph" w:customStyle="1" w:styleId="SOTextNote">
    <w:name w:val="SO TextNote"/>
    <w:aliases w:val="sont"/>
    <w:basedOn w:val="SOText"/>
    <w:qFormat/>
    <w:rsid w:val="00AB6E5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B6E5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B6E5D"/>
    <w:rPr>
      <w:sz w:val="22"/>
    </w:rPr>
  </w:style>
  <w:style w:type="paragraph" w:customStyle="1" w:styleId="FileName">
    <w:name w:val="FileName"/>
    <w:basedOn w:val="Normal"/>
    <w:rsid w:val="00AB6E5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B6E5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B6E5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B6E5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B6E5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B6E5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B6E5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B6E5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B6E5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B6E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B6E5D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2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ED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ED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ED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ED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ED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E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E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6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B6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36640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6640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6640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6640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6640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6640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6640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66401"/>
  </w:style>
  <w:style w:type="character" w:customStyle="1" w:styleId="ShortTCPChar">
    <w:name w:val="ShortTCP Char"/>
    <w:basedOn w:val="ShortTChar"/>
    <w:link w:val="ShortTCP"/>
    <w:rsid w:val="0036640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66401"/>
    <w:pPr>
      <w:spacing w:before="400"/>
    </w:pPr>
  </w:style>
  <w:style w:type="character" w:customStyle="1" w:styleId="ActNoCPChar">
    <w:name w:val="ActNoCP Char"/>
    <w:basedOn w:val="ActnoChar"/>
    <w:link w:val="ActNoCP"/>
    <w:rsid w:val="0036640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664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655A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655A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655A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1622</Words>
  <Characters>9247</Characters>
  <Application>Microsoft Office Word</Application>
  <DocSecurity>0</DocSecurity>
  <PresentationFormat/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2016-02-15T00:02:00Z</dcterms:created>
  <dcterms:modified xsi:type="dcterms:W3CDTF">2016-02-15T03:09:00Z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Australian Institute of Aboriginal and Torres Strait Islander Studies Amendment Act 2016</vt:lpwstr>
  </property>
  <property fmtid="{D5CDD505-2E9C-101B-9397-08002B2CF9AE}" pid="3" name="Actno">
    <vt:lpwstr>No. 6, 2016</vt:lpwstr>
  </property>
</Properties>
</file>