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AB" w:rsidRPr="00F62A86" w:rsidRDefault="008304AB" w:rsidP="002F7B4B">
      <w:pPr>
        <w:spacing w:after="120"/>
        <w:jc w:val="both"/>
        <w:rPr>
          <w:b/>
          <w:i/>
          <w:sz w:val="26"/>
          <w:szCs w:val="26"/>
        </w:rPr>
      </w:pPr>
      <w:bookmarkStart w:id="0" w:name="_GoBack"/>
      <w:bookmarkEnd w:id="0"/>
    </w:p>
    <w:p w:rsidR="002F7B4B" w:rsidRPr="00BF28DF" w:rsidRDefault="002F7B4B" w:rsidP="00E97A2E">
      <w:pPr>
        <w:spacing w:after="120"/>
        <w:jc w:val="center"/>
        <w:rPr>
          <w:color w:val="000000" w:themeColor="text1"/>
        </w:rPr>
      </w:pPr>
      <w:r w:rsidRPr="00BF28DF">
        <w:rPr>
          <w:b/>
          <w:i/>
          <w:color w:val="000000" w:themeColor="text1"/>
          <w:sz w:val="26"/>
          <w:szCs w:val="26"/>
        </w:rPr>
        <w:t xml:space="preserve">Aboriginal and Torres Strait Islander Heritage Protection Act 1984 </w:t>
      </w:r>
      <w:r w:rsidRPr="00BF28DF">
        <w:rPr>
          <w:b/>
          <w:color w:val="000000" w:themeColor="text1"/>
          <w:sz w:val="26"/>
          <w:szCs w:val="26"/>
        </w:rPr>
        <w:t>(Cth)</w:t>
      </w:r>
    </w:p>
    <w:p w:rsidR="002F7B4B" w:rsidRPr="007818F6" w:rsidRDefault="002F7B4B" w:rsidP="00E97A2E">
      <w:pPr>
        <w:spacing w:after="120"/>
        <w:jc w:val="center"/>
        <w:rPr>
          <w:b/>
          <w:color w:val="000000" w:themeColor="text1"/>
          <w:sz w:val="26"/>
          <w:szCs w:val="26"/>
        </w:rPr>
      </w:pPr>
      <w:r w:rsidRPr="00BF28DF">
        <w:rPr>
          <w:b/>
          <w:color w:val="000000" w:themeColor="text1"/>
          <w:sz w:val="26"/>
          <w:szCs w:val="26"/>
        </w:rPr>
        <w:t xml:space="preserve">Notice of an application for the </w:t>
      </w:r>
      <w:r w:rsidRPr="007818F6">
        <w:rPr>
          <w:b/>
          <w:color w:val="000000" w:themeColor="text1"/>
          <w:sz w:val="26"/>
          <w:szCs w:val="26"/>
        </w:rPr>
        <w:t xml:space="preserve">protection of </w:t>
      </w:r>
      <w:r w:rsidR="007818F6" w:rsidRPr="007818F6">
        <w:rPr>
          <w:b/>
          <w:color w:val="000000" w:themeColor="text1"/>
          <w:sz w:val="26"/>
          <w:szCs w:val="26"/>
        </w:rPr>
        <w:t xml:space="preserve">North Lake and Bibra Lake known as Coolbellup and Walliabup </w:t>
      </w:r>
      <w:r w:rsidR="00E524EE" w:rsidRPr="007818F6">
        <w:rPr>
          <w:b/>
          <w:color w:val="000000" w:themeColor="text1"/>
          <w:sz w:val="26"/>
          <w:szCs w:val="26"/>
        </w:rPr>
        <w:t xml:space="preserve">in </w:t>
      </w:r>
      <w:r w:rsidR="007818F6" w:rsidRPr="007818F6">
        <w:rPr>
          <w:b/>
          <w:color w:val="000000" w:themeColor="text1"/>
          <w:sz w:val="26"/>
          <w:szCs w:val="26"/>
        </w:rPr>
        <w:t>Perth</w:t>
      </w:r>
      <w:r w:rsidR="00E524EE" w:rsidRPr="007818F6">
        <w:rPr>
          <w:b/>
          <w:color w:val="000000" w:themeColor="text1"/>
          <w:sz w:val="26"/>
          <w:szCs w:val="26"/>
        </w:rPr>
        <w:t>,</w:t>
      </w:r>
      <w:r w:rsidR="00E97A2E" w:rsidRPr="007818F6">
        <w:rPr>
          <w:b/>
          <w:color w:val="000000" w:themeColor="text1"/>
          <w:sz w:val="26"/>
          <w:szCs w:val="26"/>
        </w:rPr>
        <w:t xml:space="preserve"> </w:t>
      </w:r>
      <w:r w:rsidR="007818F6" w:rsidRPr="007818F6">
        <w:rPr>
          <w:b/>
          <w:color w:val="000000" w:themeColor="text1"/>
          <w:sz w:val="26"/>
          <w:szCs w:val="26"/>
        </w:rPr>
        <w:t>Western Australia</w:t>
      </w:r>
    </w:p>
    <w:p w:rsidR="002F7B4B" w:rsidRPr="00BF28DF" w:rsidRDefault="002F7B4B" w:rsidP="008304AB">
      <w:pPr>
        <w:spacing w:after="120"/>
        <w:jc w:val="center"/>
        <w:rPr>
          <w:b/>
          <w:color w:val="000000" w:themeColor="text1"/>
          <w:sz w:val="26"/>
          <w:szCs w:val="26"/>
        </w:rPr>
      </w:pPr>
      <w:r w:rsidRPr="00BF28DF">
        <w:rPr>
          <w:b/>
          <w:color w:val="000000" w:themeColor="text1"/>
          <w:sz w:val="26"/>
          <w:szCs w:val="26"/>
        </w:rPr>
        <w:t>Invitation to make representations</w:t>
      </w:r>
    </w:p>
    <w:p w:rsidR="002F7B4B" w:rsidRPr="00BF28DF" w:rsidRDefault="002F7B4B" w:rsidP="002F7B4B">
      <w:pPr>
        <w:jc w:val="both"/>
        <w:rPr>
          <w:color w:val="000000" w:themeColor="text1"/>
        </w:rPr>
      </w:pPr>
      <w:r w:rsidRPr="00BF28DF">
        <w:rPr>
          <w:color w:val="000000" w:themeColor="text1"/>
        </w:rPr>
        <w:t>I,</w:t>
      </w:r>
      <w:r w:rsidR="009000BE" w:rsidRPr="00BF28DF">
        <w:rPr>
          <w:color w:val="000000" w:themeColor="text1"/>
        </w:rPr>
        <w:t xml:space="preserve"> </w:t>
      </w:r>
      <w:r w:rsidR="002E2D0D">
        <w:rPr>
          <w:color w:val="000000" w:themeColor="text1"/>
        </w:rPr>
        <w:t>John Waters,</w:t>
      </w:r>
      <w:r w:rsidR="002E2D0D" w:rsidRPr="00BF28DF">
        <w:rPr>
          <w:color w:val="000000" w:themeColor="text1"/>
        </w:rPr>
        <w:t xml:space="preserve"> </w:t>
      </w:r>
      <w:r w:rsidRPr="00BF28DF">
        <w:rPr>
          <w:color w:val="000000" w:themeColor="text1"/>
        </w:rPr>
        <w:t>hereby give notice as follows:</w:t>
      </w:r>
    </w:p>
    <w:p w:rsidR="002F7B4B" w:rsidRPr="00F62A86" w:rsidRDefault="002F7B4B" w:rsidP="002F7B4B">
      <w:pPr>
        <w:jc w:val="both"/>
      </w:pPr>
      <w:r w:rsidRPr="00BF28DF">
        <w:rPr>
          <w:color w:val="000000" w:themeColor="text1"/>
        </w:rPr>
        <w:t xml:space="preserve">The Minister for the Environment, responsible for the </w:t>
      </w:r>
      <w:r w:rsidRPr="00BF28DF">
        <w:rPr>
          <w:i/>
          <w:color w:val="000000" w:themeColor="text1"/>
        </w:rPr>
        <w:t xml:space="preserve">Aboriginal and Torres Strait Islander Heritage Protection Act 1984 </w:t>
      </w:r>
      <w:r w:rsidRPr="00BF28DF">
        <w:rPr>
          <w:color w:val="000000" w:themeColor="text1"/>
        </w:rPr>
        <w:t>(Cth)</w:t>
      </w:r>
      <w:r w:rsidRPr="00BF28DF">
        <w:rPr>
          <w:i/>
          <w:color w:val="000000" w:themeColor="text1"/>
        </w:rPr>
        <w:t xml:space="preserve"> </w:t>
      </w:r>
      <w:r w:rsidRPr="00BF28DF">
        <w:rPr>
          <w:color w:val="000000" w:themeColor="text1"/>
        </w:rPr>
        <w:t xml:space="preserve">(the </w:t>
      </w:r>
      <w:r w:rsidRPr="00BF28DF">
        <w:rPr>
          <w:b/>
          <w:color w:val="000000" w:themeColor="text1"/>
        </w:rPr>
        <w:t>Act</w:t>
      </w:r>
      <w:r w:rsidRPr="00BF28DF">
        <w:rPr>
          <w:color w:val="000000" w:themeColor="text1"/>
        </w:rPr>
        <w:t xml:space="preserve">), has received an application made under section 10 of </w:t>
      </w:r>
      <w:r w:rsidR="00FF25BB" w:rsidRPr="00BF28DF">
        <w:rPr>
          <w:color w:val="000000" w:themeColor="text1"/>
        </w:rPr>
        <w:t>the Act seeki</w:t>
      </w:r>
      <w:r w:rsidR="00E97A2E" w:rsidRPr="00BF28DF">
        <w:rPr>
          <w:color w:val="000000" w:themeColor="text1"/>
        </w:rPr>
        <w:t xml:space="preserve">ng to protect an area </w:t>
      </w:r>
      <w:r w:rsidR="002E2D0D">
        <w:rPr>
          <w:color w:val="000000" w:themeColor="text1"/>
        </w:rPr>
        <w:t>that includes</w:t>
      </w:r>
      <w:r w:rsidR="00E97A2E" w:rsidRPr="00BF28DF">
        <w:rPr>
          <w:color w:val="FF0000"/>
        </w:rPr>
        <w:t xml:space="preserve"> </w:t>
      </w:r>
      <w:r w:rsidR="007818F6" w:rsidRPr="007818F6">
        <w:rPr>
          <w:color w:val="000000" w:themeColor="text1"/>
        </w:rPr>
        <w:t>North Lake and Bibra Lake in Perth, Western Australia</w:t>
      </w:r>
      <w:r w:rsidR="00E97A2E" w:rsidRPr="007818F6">
        <w:rPr>
          <w:color w:val="000000" w:themeColor="text1"/>
        </w:rPr>
        <w:t>,</w:t>
      </w:r>
      <w:r w:rsidRPr="007818F6">
        <w:rPr>
          <w:color w:val="000000" w:themeColor="text1"/>
        </w:rPr>
        <w:t xml:space="preserve"> and appointed me to provide a report to him under section 10(1)(c) of the Act.</w:t>
      </w:r>
      <w:r w:rsidRPr="00F62A86">
        <w:t xml:space="preserve"> </w:t>
      </w:r>
    </w:p>
    <w:p w:rsidR="002F7B4B" w:rsidRPr="00BA25D1" w:rsidRDefault="00E97A2E" w:rsidP="002F7B4B">
      <w:pPr>
        <w:pStyle w:val="Heading3"/>
        <w:spacing w:before="0"/>
        <w:jc w:val="both"/>
        <w:rPr>
          <w:color w:val="000000" w:themeColor="text1"/>
        </w:rPr>
      </w:pPr>
      <w:r w:rsidRPr="00BA25D1">
        <w:rPr>
          <w:color w:val="000000" w:themeColor="text1"/>
        </w:rPr>
        <w:t>The applicant</w:t>
      </w:r>
      <w:r w:rsidR="002E2D0D">
        <w:rPr>
          <w:color w:val="000000" w:themeColor="text1"/>
        </w:rPr>
        <w:t>s</w:t>
      </w:r>
    </w:p>
    <w:p w:rsidR="002F7B4B" w:rsidRPr="00F62A86" w:rsidRDefault="002F7B4B" w:rsidP="002F7B4B">
      <w:pPr>
        <w:jc w:val="both"/>
      </w:pPr>
      <w:r w:rsidRPr="003C7649">
        <w:rPr>
          <w:color w:val="000000" w:themeColor="text1"/>
        </w:rPr>
        <w:t>The application is made</w:t>
      </w:r>
      <w:r w:rsidR="00FF25BB" w:rsidRPr="003C7649">
        <w:rPr>
          <w:color w:val="000000" w:themeColor="text1"/>
        </w:rPr>
        <w:t xml:space="preserve"> by </w:t>
      </w:r>
      <w:r w:rsidR="009000BE" w:rsidRPr="003C7649">
        <w:rPr>
          <w:color w:val="000000" w:themeColor="text1"/>
        </w:rPr>
        <w:t xml:space="preserve">the </w:t>
      </w:r>
      <w:r w:rsidR="003C7649" w:rsidRPr="003C7649">
        <w:rPr>
          <w:color w:val="000000" w:themeColor="text1"/>
        </w:rPr>
        <w:t xml:space="preserve">South West Aboriginal Land &amp; Sea </w:t>
      </w:r>
      <w:r w:rsidR="00E12C99" w:rsidRPr="003C7649">
        <w:rPr>
          <w:color w:val="000000" w:themeColor="text1"/>
        </w:rPr>
        <w:t>Council on</w:t>
      </w:r>
      <w:r w:rsidR="001C65DC" w:rsidRPr="003C7649">
        <w:rPr>
          <w:color w:val="000000" w:themeColor="text1"/>
        </w:rPr>
        <w:t xml:space="preserve"> behalf of </w:t>
      </w:r>
      <w:r w:rsidR="003C7649" w:rsidRPr="003C7649">
        <w:rPr>
          <w:color w:val="000000" w:themeColor="text1"/>
        </w:rPr>
        <w:t>the Whadjuk Native Title Claimants</w:t>
      </w:r>
      <w:r w:rsidR="00FF25BB" w:rsidRPr="003C7649">
        <w:rPr>
          <w:color w:val="000000" w:themeColor="text1"/>
        </w:rPr>
        <w:t>.</w:t>
      </w:r>
      <w:r w:rsidR="00FF25BB" w:rsidRPr="00F62A86">
        <w:t xml:space="preserve"> </w:t>
      </w:r>
    </w:p>
    <w:p w:rsidR="002F7B4B" w:rsidRPr="00BA25D1" w:rsidRDefault="002F7B4B" w:rsidP="002F7B4B">
      <w:pPr>
        <w:pStyle w:val="Heading3"/>
        <w:spacing w:before="0"/>
        <w:jc w:val="both"/>
        <w:rPr>
          <w:color w:val="000000" w:themeColor="text1"/>
        </w:rPr>
      </w:pPr>
      <w:r w:rsidRPr="00BA25D1">
        <w:rPr>
          <w:color w:val="000000" w:themeColor="text1"/>
        </w:rPr>
        <w:t>The purpose of the application</w:t>
      </w:r>
    </w:p>
    <w:p w:rsidR="002F7B4B" w:rsidRPr="00BA25D1" w:rsidRDefault="002F7B4B" w:rsidP="002F7B4B">
      <w:pPr>
        <w:jc w:val="both"/>
        <w:rPr>
          <w:color w:val="000000" w:themeColor="text1"/>
        </w:rPr>
      </w:pPr>
      <w:r w:rsidRPr="00BA25D1">
        <w:rPr>
          <w:color w:val="000000" w:themeColor="text1"/>
        </w:rPr>
        <w:t xml:space="preserve">The application seeks the preservation or protection of </w:t>
      </w:r>
      <w:r w:rsidR="00E97A2E" w:rsidRPr="00BA25D1">
        <w:rPr>
          <w:color w:val="000000" w:themeColor="text1"/>
        </w:rPr>
        <w:t xml:space="preserve">the area specified in the application </w:t>
      </w:r>
      <w:r w:rsidR="003C6343" w:rsidRPr="00BA25D1">
        <w:rPr>
          <w:color w:val="000000" w:themeColor="text1"/>
        </w:rPr>
        <w:t>from injury or desecration</w:t>
      </w:r>
      <w:r w:rsidR="00E97A2E" w:rsidRPr="00BA25D1">
        <w:rPr>
          <w:color w:val="000000" w:themeColor="text1"/>
        </w:rPr>
        <w:t xml:space="preserve">. </w:t>
      </w:r>
      <w:r w:rsidR="00461594" w:rsidRPr="00BA25D1">
        <w:rPr>
          <w:color w:val="000000" w:themeColor="text1"/>
        </w:rPr>
        <w:t>Section 10 of t</w:t>
      </w:r>
      <w:r w:rsidR="00E97A2E" w:rsidRPr="00BA25D1">
        <w:rPr>
          <w:color w:val="000000" w:themeColor="text1"/>
        </w:rPr>
        <w:t xml:space="preserve">he Act enables the Minister to </w:t>
      </w:r>
      <w:r w:rsidR="00461594" w:rsidRPr="00BA25D1">
        <w:rPr>
          <w:color w:val="000000" w:themeColor="text1"/>
        </w:rPr>
        <w:t>decid</w:t>
      </w:r>
      <w:r w:rsidR="0025241A" w:rsidRPr="00BA25D1">
        <w:rPr>
          <w:color w:val="000000" w:themeColor="text1"/>
        </w:rPr>
        <w:t>e</w:t>
      </w:r>
      <w:r w:rsidR="00461594" w:rsidRPr="00BA25D1">
        <w:rPr>
          <w:color w:val="000000" w:themeColor="text1"/>
        </w:rPr>
        <w:t xml:space="preserve"> whether to </w:t>
      </w:r>
      <w:r w:rsidR="00E97A2E" w:rsidRPr="00BA25D1">
        <w:rPr>
          <w:color w:val="000000" w:themeColor="text1"/>
        </w:rPr>
        <w:t>make a declaration to preserve and protect the specified area</w:t>
      </w:r>
      <w:r w:rsidR="0025241A" w:rsidRPr="00BA25D1">
        <w:rPr>
          <w:color w:val="000000" w:themeColor="text1"/>
        </w:rPr>
        <w:t>, if</w:t>
      </w:r>
      <w:r w:rsidR="00461594" w:rsidRPr="00BA25D1">
        <w:rPr>
          <w:color w:val="000000" w:themeColor="text1"/>
        </w:rPr>
        <w:t xml:space="preserve"> the Minister </w:t>
      </w:r>
      <w:r w:rsidR="0025241A" w:rsidRPr="00BA25D1">
        <w:rPr>
          <w:color w:val="000000" w:themeColor="text1"/>
        </w:rPr>
        <w:t>is</w:t>
      </w:r>
      <w:r w:rsidR="00461594" w:rsidRPr="00BA25D1">
        <w:rPr>
          <w:color w:val="000000" w:themeColor="text1"/>
        </w:rPr>
        <w:t xml:space="preserve"> satisfied</w:t>
      </w:r>
      <w:r w:rsidR="00E97A2E" w:rsidRPr="00BA25D1">
        <w:rPr>
          <w:color w:val="000000" w:themeColor="text1"/>
        </w:rPr>
        <w:t xml:space="preserve"> that the area is a significant Aboriginal area and is under threat of injury or desecration. </w:t>
      </w:r>
      <w:r w:rsidR="00461594" w:rsidRPr="00BA25D1">
        <w:rPr>
          <w:color w:val="000000" w:themeColor="text1"/>
        </w:rPr>
        <w:t xml:space="preserve">In the Act, the term ‘significant Aboriginal area’ </w:t>
      </w:r>
      <w:r w:rsidR="007F1A91" w:rsidRPr="00BA25D1">
        <w:rPr>
          <w:color w:val="000000" w:themeColor="text1"/>
        </w:rPr>
        <w:t>refers to</w:t>
      </w:r>
      <w:r w:rsidR="00461594" w:rsidRPr="00BA25D1">
        <w:rPr>
          <w:color w:val="000000" w:themeColor="text1"/>
        </w:rPr>
        <w:t xml:space="preserve"> an area that is of particular significance to Aboriginals in accordance with Aboriginal tradition.</w:t>
      </w:r>
      <w:r w:rsidR="00F2101D" w:rsidRPr="00BA25D1">
        <w:rPr>
          <w:color w:val="000000" w:themeColor="text1"/>
        </w:rPr>
        <w:t xml:space="preserve"> </w:t>
      </w:r>
      <w:r w:rsidR="007F1A91" w:rsidRPr="00BA25D1">
        <w:rPr>
          <w:color w:val="000000" w:themeColor="text1"/>
        </w:rPr>
        <w:t>Section 3 of the Act provides d</w:t>
      </w:r>
      <w:r w:rsidR="00F2101D" w:rsidRPr="00BA25D1">
        <w:rPr>
          <w:color w:val="000000" w:themeColor="text1"/>
        </w:rPr>
        <w:t xml:space="preserve">efinitions of </w:t>
      </w:r>
      <w:r w:rsidR="007F1A91" w:rsidRPr="00BA25D1">
        <w:rPr>
          <w:color w:val="000000" w:themeColor="text1"/>
        </w:rPr>
        <w:t xml:space="preserve">‘significant Aboriginal area’ and other relevant terms including </w:t>
      </w:r>
      <w:r w:rsidR="00F2101D" w:rsidRPr="00BA25D1">
        <w:rPr>
          <w:color w:val="000000" w:themeColor="text1"/>
        </w:rPr>
        <w:t xml:space="preserve">‘Aboriginal tradition’ </w:t>
      </w:r>
      <w:r w:rsidR="007F1A91" w:rsidRPr="00BA25D1">
        <w:rPr>
          <w:color w:val="000000" w:themeColor="text1"/>
        </w:rPr>
        <w:t>and ‘injured or desecrated’</w:t>
      </w:r>
      <w:r w:rsidR="00F2101D" w:rsidRPr="00BA25D1">
        <w:rPr>
          <w:color w:val="000000" w:themeColor="text1"/>
        </w:rPr>
        <w:t xml:space="preserve">. </w:t>
      </w:r>
      <w:r w:rsidR="00E97A2E" w:rsidRPr="00BA25D1">
        <w:rPr>
          <w:color w:val="000000" w:themeColor="text1"/>
        </w:rPr>
        <w:t>The area specified for protection, the claimed significance of the area, and the claimed nature of the</w:t>
      </w:r>
      <w:r w:rsidR="00461594" w:rsidRPr="00BA25D1">
        <w:rPr>
          <w:color w:val="000000" w:themeColor="text1"/>
        </w:rPr>
        <w:t xml:space="preserve"> threat of</w:t>
      </w:r>
      <w:r w:rsidR="00E97A2E" w:rsidRPr="00BA25D1">
        <w:rPr>
          <w:color w:val="000000" w:themeColor="text1"/>
        </w:rPr>
        <w:t xml:space="preserve"> injury or desecration are summarised below</w:t>
      </w:r>
      <w:r w:rsidR="003C6343" w:rsidRPr="00BA25D1">
        <w:rPr>
          <w:color w:val="000000" w:themeColor="text1"/>
        </w:rPr>
        <w:t>.</w:t>
      </w:r>
    </w:p>
    <w:p w:rsidR="002F7B4B" w:rsidRPr="00BF28DF" w:rsidRDefault="002F7B4B" w:rsidP="002F7B4B">
      <w:pPr>
        <w:pStyle w:val="Heading3"/>
        <w:spacing w:before="0"/>
        <w:jc w:val="both"/>
        <w:rPr>
          <w:color w:val="000000" w:themeColor="text1"/>
        </w:rPr>
      </w:pPr>
      <w:r w:rsidRPr="00BF28DF">
        <w:rPr>
          <w:color w:val="000000" w:themeColor="text1"/>
        </w:rPr>
        <w:t>Matters the report is required to deal with</w:t>
      </w:r>
    </w:p>
    <w:p w:rsidR="002F7B4B" w:rsidRPr="00BF28DF" w:rsidRDefault="002F7B4B" w:rsidP="002F7B4B">
      <w:pPr>
        <w:jc w:val="both"/>
        <w:rPr>
          <w:color w:val="000000" w:themeColor="text1"/>
        </w:rPr>
      </w:pPr>
      <w:r w:rsidRPr="00BF28DF">
        <w:rPr>
          <w:color w:val="000000" w:themeColor="text1"/>
        </w:rPr>
        <w:t>The Minister will consider my report under section 10 of the Act in relation to the area specified for protection before deciding whether to make a declaration under section 10 of the Act. Under section 10(4) of the Act, the report is required to deal with the following matters:</w:t>
      </w:r>
    </w:p>
    <w:p w:rsidR="002F7B4B" w:rsidRPr="00BF28DF" w:rsidRDefault="002F7B4B" w:rsidP="0025241A">
      <w:pPr>
        <w:numPr>
          <w:ilvl w:val="0"/>
          <w:numId w:val="2"/>
        </w:numPr>
        <w:spacing w:after="120"/>
        <w:ind w:hanging="573"/>
        <w:jc w:val="both"/>
        <w:rPr>
          <w:color w:val="000000" w:themeColor="text1"/>
          <w:lang w:val="en-US"/>
        </w:rPr>
      </w:pPr>
      <w:r w:rsidRPr="00BF28DF">
        <w:rPr>
          <w:color w:val="000000" w:themeColor="text1"/>
          <w:lang w:val="en-US"/>
        </w:rPr>
        <w:t>the particular significance of the area to Aboriginals;</w:t>
      </w:r>
    </w:p>
    <w:p w:rsidR="002F7B4B" w:rsidRPr="00BF28DF" w:rsidRDefault="002F7B4B" w:rsidP="0025241A">
      <w:pPr>
        <w:numPr>
          <w:ilvl w:val="0"/>
          <w:numId w:val="2"/>
        </w:numPr>
        <w:spacing w:after="120"/>
        <w:ind w:hanging="573"/>
        <w:jc w:val="both"/>
        <w:rPr>
          <w:color w:val="000000" w:themeColor="text1"/>
          <w:lang w:val="en-US"/>
        </w:rPr>
      </w:pPr>
      <w:r w:rsidRPr="00BF28DF">
        <w:rPr>
          <w:color w:val="000000" w:themeColor="text1"/>
          <w:lang w:val="en-US"/>
        </w:rPr>
        <w:t>the nature and extent of the threat of injury to, or desecration of, the area;</w:t>
      </w:r>
    </w:p>
    <w:p w:rsidR="002F7B4B" w:rsidRPr="00BF28DF" w:rsidRDefault="002F7B4B" w:rsidP="0025241A">
      <w:pPr>
        <w:numPr>
          <w:ilvl w:val="0"/>
          <w:numId w:val="1"/>
        </w:numPr>
        <w:spacing w:after="120"/>
        <w:ind w:hanging="573"/>
        <w:jc w:val="both"/>
        <w:rPr>
          <w:color w:val="000000" w:themeColor="text1"/>
          <w:lang w:val="en-US"/>
        </w:rPr>
      </w:pPr>
      <w:r w:rsidRPr="00BF28DF">
        <w:rPr>
          <w:color w:val="000000" w:themeColor="text1"/>
          <w:lang w:val="en-US"/>
        </w:rPr>
        <w:t>the extent of the area that should be protected;</w:t>
      </w:r>
    </w:p>
    <w:p w:rsidR="002F7B4B" w:rsidRPr="00BF28DF" w:rsidRDefault="002F7B4B" w:rsidP="0025241A">
      <w:pPr>
        <w:numPr>
          <w:ilvl w:val="0"/>
          <w:numId w:val="1"/>
        </w:numPr>
        <w:spacing w:after="120"/>
        <w:ind w:hanging="573"/>
        <w:jc w:val="both"/>
        <w:rPr>
          <w:color w:val="000000" w:themeColor="text1"/>
          <w:lang w:val="en-US"/>
        </w:rPr>
      </w:pPr>
      <w:r w:rsidRPr="00BF28DF">
        <w:rPr>
          <w:color w:val="000000" w:themeColor="text1"/>
          <w:lang w:val="en-US"/>
        </w:rPr>
        <w:t>the prohibitions and restrictions to be made with respect to the area;</w:t>
      </w:r>
    </w:p>
    <w:p w:rsidR="002F7B4B" w:rsidRPr="00BF28DF" w:rsidRDefault="002F7B4B" w:rsidP="0025241A">
      <w:pPr>
        <w:numPr>
          <w:ilvl w:val="0"/>
          <w:numId w:val="1"/>
        </w:numPr>
        <w:spacing w:after="120"/>
        <w:ind w:hanging="573"/>
        <w:jc w:val="both"/>
        <w:rPr>
          <w:color w:val="000000" w:themeColor="text1"/>
          <w:lang w:val="en-US"/>
        </w:rPr>
      </w:pPr>
      <w:r w:rsidRPr="00BF28DF">
        <w:rPr>
          <w:color w:val="000000" w:themeColor="text1"/>
          <w:lang w:val="en-US"/>
        </w:rPr>
        <w:t>the effects the making of a declaration may have on the proprietary or pecuniary interests of persons other than the Aboriginal or Aboriginals on whose behalf the application is made;</w:t>
      </w:r>
    </w:p>
    <w:p w:rsidR="002F7B4B" w:rsidRPr="00BF28DF" w:rsidRDefault="002F7B4B" w:rsidP="0025241A">
      <w:pPr>
        <w:numPr>
          <w:ilvl w:val="0"/>
          <w:numId w:val="1"/>
        </w:numPr>
        <w:spacing w:after="120"/>
        <w:ind w:hanging="573"/>
        <w:jc w:val="both"/>
        <w:rPr>
          <w:color w:val="000000" w:themeColor="text1"/>
          <w:lang w:val="en-US"/>
        </w:rPr>
      </w:pPr>
      <w:r w:rsidRPr="00BF28DF">
        <w:rPr>
          <w:color w:val="000000" w:themeColor="text1"/>
          <w:lang w:val="en-US"/>
        </w:rPr>
        <w:t>the duration of any declaration; and</w:t>
      </w:r>
    </w:p>
    <w:p w:rsidR="002F7B4B" w:rsidRPr="00BF28DF" w:rsidRDefault="002F7B4B" w:rsidP="0025241A">
      <w:pPr>
        <w:numPr>
          <w:ilvl w:val="0"/>
          <w:numId w:val="1"/>
        </w:numPr>
        <w:spacing w:after="120"/>
        <w:ind w:hanging="573"/>
        <w:jc w:val="both"/>
        <w:rPr>
          <w:color w:val="000000" w:themeColor="text1"/>
          <w:lang w:val="en-US"/>
        </w:rPr>
      </w:pPr>
      <w:r w:rsidRPr="00BF28DF">
        <w:rPr>
          <w:color w:val="000000" w:themeColor="text1"/>
          <w:lang w:val="en-US"/>
        </w:rPr>
        <w:t>the extent to which the area is or may be protected by or under a law of the State of Western Australia, and the effectiveness of any remedies available under any such law.</w:t>
      </w:r>
    </w:p>
    <w:p w:rsidR="00D72293" w:rsidRPr="00F62A86" w:rsidRDefault="00D72293" w:rsidP="00D72293">
      <w:pPr>
        <w:spacing w:after="0"/>
        <w:ind w:left="357"/>
        <w:jc w:val="both"/>
        <w:rPr>
          <w:lang w:val="en-US"/>
        </w:rPr>
      </w:pPr>
    </w:p>
    <w:p w:rsidR="00DF1CE5" w:rsidRPr="00BF28DF" w:rsidRDefault="002F7B4B" w:rsidP="00D72293">
      <w:pPr>
        <w:pStyle w:val="Heading3"/>
        <w:spacing w:before="0"/>
        <w:jc w:val="both"/>
        <w:rPr>
          <w:color w:val="000000" w:themeColor="text1"/>
        </w:rPr>
      </w:pPr>
      <w:r w:rsidRPr="00BF28DF">
        <w:rPr>
          <w:color w:val="000000" w:themeColor="text1"/>
        </w:rPr>
        <w:lastRenderedPageBreak/>
        <w:t>The area</w:t>
      </w:r>
      <w:r w:rsidR="00231364" w:rsidRPr="00BF28DF">
        <w:rPr>
          <w:color w:val="000000" w:themeColor="text1"/>
        </w:rPr>
        <w:t xml:space="preserve"> sought to be protected (the '</w:t>
      </w:r>
      <w:r w:rsidRPr="00BF28DF">
        <w:rPr>
          <w:color w:val="000000" w:themeColor="text1"/>
        </w:rPr>
        <w:t>specified area</w:t>
      </w:r>
      <w:r w:rsidR="00231364" w:rsidRPr="00BF28DF">
        <w:rPr>
          <w:color w:val="000000" w:themeColor="text1"/>
        </w:rPr>
        <w:t>'</w:t>
      </w:r>
      <w:r w:rsidRPr="00BF28DF">
        <w:rPr>
          <w:color w:val="000000" w:themeColor="text1"/>
        </w:rPr>
        <w:t>)</w:t>
      </w:r>
    </w:p>
    <w:p w:rsidR="002F7B4B" w:rsidRPr="00D242EA" w:rsidRDefault="008304AB" w:rsidP="008F7F33">
      <w:pPr>
        <w:jc w:val="both"/>
        <w:rPr>
          <w:color w:val="000000" w:themeColor="text1"/>
        </w:rPr>
      </w:pPr>
      <w:r w:rsidRPr="00D242EA">
        <w:rPr>
          <w:color w:val="000000" w:themeColor="text1"/>
        </w:rPr>
        <w:t>The applicant</w:t>
      </w:r>
      <w:r w:rsidR="002E2D0D">
        <w:rPr>
          <w:color w:val="000000" w:themeColor="text1"/>
        </w:rPr>
        <w:t>s</w:t>
      </w:r>
      <w:r w:rsidR="001C65DC" w:rsidRPr="00D242EA">
        <w:rPr>
          <w:color w:val="000000" w:themeColor="text1"/>
        </w:rPr>
        <w:t xml:space="preserve"> </w:t>
      </w:r>
      <w:r w:rsidR="002E2D0D" w:rsidRPr="00D242EA">
        <w:rPr>
          <w:color w:val="000000" w:themeColor="text1"/>
        </w:rPr>
        <w:t>specif</w:t>
      </w:r>
      <w:r w:rsidR="002E2D0D">
        <w:rPr>
          <w:color w:val="000000" w:themeColor="text1"/>
        </w:rPr>
        <w:t>y</w:t>
      </w:r>
      <w:r w:rsidR="002E2D0D" w:rsidRPr="00D242EA">
        <w:rPr>
          <w:color w:val="000000" w:themeColor="text1"/>
        </w:rPr>
        <w:t xml:space="preserve"> </w:t>
      </w:r>
      <w:r w:rsidR="00D72293" w:rsidRPr="00D242EA">
        <w:rPr>
          <w:color w:val="000000" w:themeColor="text1"/>
        </w:rPr>
        <w:t xml:space="preserve">the area for which </w:t>
      </w:r>
      <w:r w:rsidR="006C680E" w:rsidRPr="00D242EA">
        <w:rPr>
          <w:color w:val="000000" w:themeColor="text1"/>
        </w:rPr>
        <w:t xml:space="preserve">protection </w:t>
      </w:r>
      <w:r w:rsidR="00D72293" w:rsidRPr="00D242EA">
        <w:rPr>
          <w:color w:val="000000" w:themeColor="text1"/>
        </w:rPr>
        <w:t xml:space="preserve">is sought </w:t>
      </w:r>
      <w:r w:rsidR="004F0BA4" w:rsidRPr="00D242EA">
        <w:rPr>
          <w:color w:val="000000" w:themeColor="text1"/>
        </w:rPr>
        <w:t>as '</w:t>
      </w:r>
      <w:r w:rsidR="006D74D9" w:rsidRPr="00D242EA">
        <w:rPr>
          <w:color w:val="000000" w:themeColor="text1"/>
        </w:rPr>
        <w:t>bounded by Progress Drive in the West, Bibra D</w:t>
      </w:r>
      <w:r w:rsidR="00D242EA" w:rsidRPr="00D242EA">
        <w:rPr>
          <w:color w:val="000000" w:themeColor="text1"/>
        </w:rPr>
        <w:t>rive in the South and East, and F</w:t>
      </w:r>
      <w:r w:rsidR="006D74D9" w:rsidRPr="00D242EA">
        <w:rPr>
          <w:color w:val="000000" w:themeColor="text1"/>
        </w:rPr>
        <w:t xml:space="preserve">arrington Road in the north </w:t>
      </w:r>
      <w:r w:rsidR="004F0BA4" w:rsidRPr="00D242EA">
        <w:rPr>
          <w:color w:val="000000" w:themeColor="text1"/>
        </w:rPr>
        <w:t>'.</w:t>
      </w:r>
      <w:r w:rsidR="00916867" w:rsidRPr="00D242EA">
        <w:rPr>
          <w:color w:val="000000" w:themeColor="text1"/>
        </w:rPr>
        <w:t xml:space="preserve"> The area is shown on the m</w:t>
      </w:r>
      <w:r w:rsidR="001C65DC" w:rsidRPr="00D242EA">
        <w:rPr>
          <w:color w:val="000000" w:themeColor="text1"/>
        </w:rPr>
        <w:t xml:space="preserve">ap </w:t>
      </w:r>
      <w:r w:rsidR="00916867" w:rsidRPr="00D242EA">
        <w:rPr>
          <w:color w:val="000000" w:themeColor="text1"/>
        </w:rPr>
        <w:t>below</w:t>
      </w:r>
      <w:r w:rsidR="001C65DC" w:rsidRPr="00D242EA">
        <w:rPr>
          <w:color w:val="000000" w:themeColor="text1"/>
        </w:rPr>
        <w:t>.</w:t>
      </w:r>
      <w:r w:rsidR="002E2D0D">
        <w:rPr>
          <w:color w:val="000000" w:themeColor="text1"/>
        </w:rPr>
        <w:t xml:space="preserve"> The applicants refer to the area as the Coolbellup and W</w:t>
      </w:r>
      <w:r w:rsidR="002E2D0D" w:rsidRPr="008A3470">
        <w:rPr>
          <w:color w:val="000000" w:themeColor="text1"/>
        </w:rPr>
        <w:t>alliabup area</w:t>
      </w:r>
      <w:r w:rsidR="002E2D0D">
        <w:rPr>
          <w:color w:val="000000" w:themeColor="text1"/>
        </w:rPr>
        <w:t>.</w:t>
      </w:r>
    </w:p>
    <w:p w:rsidR="008618B6" w:rsidRDefault="00BF28DF" w:rsidP="008618B6">
      <w:pPr>
        <w:keepNext/>
        <w:jc w:val="center"/>
      </w:pPr>
      <w:r>
        <w:rPr>
          <w:noProof/>
          <w:color w:val="FF0000"/>
          <w:lang w:eastAsia="en-AU"/>
        </w:rPr>
        <w:drawing>
          <wp:inline distT="0" distB="0" distL="0" distR="0">
            <wp:extent cx="4610100" cy="4610100"/>
            <wp:effectExtent l="0" t="0" r="0" b="0"/>
            <wp:docPr id="2" name="Picture 1" descr="This map specifies the area for which protection is sought as bounded by Progress Drive in the West, Bibra Drive in the South and East, and Farrington Road in the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606754" cy="4606754"/>
                    </a:xfrm>
                    <a:prstGeom prst="rect">
                      <a:avLst/>
                    </a:prstGeom>
                  </pic:spPr>
                </pic:pic>
              </a:graphicData>
            </a:graphic>
          </wp:inline>
        </w:drawing>
      </w:r>
    </w:p>
    <w:p w:rsidR="00DF1CE5" w:rsidRPr="008618B6" w:rsidRDefault="008618B6" w:rsidP="008618B6">
      <w:pPr>
        <w:pStyle w:val="Caption"/>
        <w:jc w:val="center"/>
        <w:rPr>
          <w:color w:val="000000" w:themeColor="text1"/>
        </w:rPr>
      </w:pPr>
      <w:r w:rsidRPr="008618B6">
        <w:rPr>
          <w:color w:val="000000" w:themeColor="text1"/>
        </w:rPr>
        <w:t xml:space="preserve">Figure </w:t>
      </w:r>
      <w:r w:rsidR="00DC36AD" w:rsidRPr="008618B6">
        <w:rPr>
          <w:color w:val="000000" w:themeColor="text1"/>
        </w:rPr>
        <w:fldChar w:fldCharType="begin"/>
      </w:r>
      <w:r w:rsidRPr="008618B6">
        <w:rPr>
          <w:color w:val="000000" w:themeColor="text1"/>
        </w:rPr>
        <w:instrText xml:space="preserve"> SEQ Figure \* ARABIC </w:instrText>
      </w:r>
      <w:r w:rsidR="00DC36AD" w:rsidRPr="008618B6">
        <w:rPr>
          <w:color w:val="000000" w:themeColor="text1"/>
        </w:rPr>
        <w:fldChar w:fldCharType="separate"/>
      </w:r>
      <w:r w:rsidRPr="008618B6">
        <w:rPr>
          <w:noProof/>
          <w:color w:val="000000" w:themeColor="text1"/>
        </w:rPr>
        <w:t>1</w:t>
      </w:r>
      <w:r w:rsidR="00DC36AD" w:rsidRPr="008618B6">
        <w:rPr>
          <w:color w:val="000000" w:themeColor="text1"/>
        </w:rPr>
        <w:fldChar w:fldCharType="end"/>
      </w:r>
      <w:r w:rsidRPr="008618B6">
        <w:rPr>
          <w:color w:val="000000" w:themeColor="text1"/>
        </w:rPr>
        <w:t xml:space="preserve"> This map specifies the area for which protection is sought as bounded by Progress Drive in the West, </w:t>
      </w:r>
      <w:proofErr w:type="spellStart"/>
      <w:r w:rsidRPr="008618B6">
        <w:rPr>
          <w:color w:val="000000" w:themeColor="text1"/>
        </w:rPr>
        <w:t>Bibra</w:t>
      </w:r>
      <w:proofErr w:type="spellEnd"/>
      <w:r w:rsidRPr="008618B6">
        <w:rPr>
          <w:color w:val="000000" w:themeColor="text1"/>
        </w:rPr>
        <w:t xml:space="preserve"> Drive in the South and East, and Farrington Road in the north.</w:t>
      </w:r>
    </w:p>
    <w:p w:rsidR="002F7B4B" w:rsidRPr="00BF28DF" w:rsidRDefault="002F7B4B" w:rsidP="00D72293">
      <w:pPr>
        <w:pStyle w:val="Heading3"/>
        <w:spacing w:before="0"/>
        <w:jc w:val="both"/>
        <w:rPr>
          <w:color w:val="000000" w:themeColor="text1"/>
        </w:rPr>
      </w:pPr>
      <w:r w:rsidRPr="00BF28DF">
        <w:rPr>
          <w:color w:val="000000" w:themeColor="text1"/>
        </w:rPr>
        <w:t>Claimed nature of particular significance</w:t>
      </w:r>
    </w:p>
    <w:p w:rsidR="008B1DD3" w:rsidRPr="00BF28DF" w:rsidRDefault="002F7B4B" w:rsidP="002F7B4B">
      <w:pPr>
        <w:spacing w:after="120"/>
        <w:jc w:val="both"/>
        <w:rPr>
          <w:color w:val="000000" w:themeColor="text1"/>
        </w:rPr>
      </w:pPr>
      <w:r w:rsidRPr="00BF28DF">
        <w:rPr>
          <w:color w:val="000000" w:themeColor="text1"/>
        </w:rPr>
        <w:t xml:space="preserve">The application indicates that the particular significance of the specified area arises </w:t>
      </w:r>
      <w:r w:rsidR="002E2D0D">
        <w:rPr>
          <w:color w:val="000000" w:themeColor="text1"/>
        </w:rPr>
        <w:t>b</w:t>
      </w:r>
      <w:r w:rsidR="00C80388">
        <w:rPr>
          <w:color w:val="000000" w:themeColor="text1"/>
        </w:rPr>
        <w:t>e</w:t>
      </w:r>
      <w:r w:rsidR="002E2D0D">
        <w:rPr>
          <w:color w:val="000000" w:themeColor="text1"/>
        </w:rPr>
        <w:t>cause the area is</w:t>
      </w:r>
      <w:r w:rsidR="008B1DD3" w:rsidRPr="00BF28DF">
        <w:rPr>
          <w:color w:val="000000" w:themeColor="text1"/>
        </w:rPr>
        <w:t>:</w:t>
      </w:r>
    </w:p>
    <w:p w:rsidR="009C4511" w:rsidRPr="008A3470" w:rsidRDefault="002E2D0D" w:rsidP="00D72293">
      <w:pPr>
        <w:pStyle w:val="ListParagraph"/>
        <w:numPr>
          <w:ilvl w:val="0"/>
          <w:numId w:val="3"/>
        </w:numPr>
        <w:jc w:val="both"/>
        <w:rPr>
          <w:rFonts w:asciiTheme="minorHAnsi" w:eastAsiaTheme="minorHAnsi" w:hAnsiTheme="minorHAnsi" w:cstheme="minorBidi"/>
          <w:color w:val="000000" w:themeColor="text1"/>
          <w:sz w:val="22"/>
        </w:rPr>
      </w:pPr>
      <w:r>
        <w:rPr>
          <w:rFonts w:asciiTheme="minorHAnsi" w:eastAsiaTheme="minorHAnsi" w:hAnsiTheme="minorHAnsi" w:cstheme="minorBidi"/>
          <w:color w:val="000000" w:themeColor="text1"/>
          <w:sz w:val="22"/>
        </w:rPr>
        <w:t>A</w:t>
      </w:r>
      <w:r w:rsidR="00225CCA">
        <w:rPr>
          <w:rFonts w:asciiTheme="minorHAnsi" w:eastAsiaTheme="minorHAnsi" w:hAnsiTheme="minorHAnsi" w:cstheme="minorBidi"/>
          <w:color w:val="000000" w:themeColor="text1"/>
          <w:sz w:val="22"/>
        </w:rPr>
        <w:t xml:space="preserve">  </w:t>
      </w:r>
      <w:r w:rsidR="009C4511" w:rsidRPr="008A3470">
        <w:rPr>
          <w:rFonts w:asciiTheme="minorHAnsi" w:eastAsiaTheme="minorHAnsi" w:hAnsiTheme="minorHAnsi" w:cstheme="minorBidi"/>
          <w:color w:val="000000" w:themeColor="text1"/>
          <w:sz w:val="22"/>
        </w:rPr>
        <w:t xml:space="preserve">registered </w:t>
      </w:r>
      <w:r w:rsidR="00235604" w:rsidRPr="008A3470">
        <w:rPr>
          <w:rFonts w:asciiTheme="minorHAnsi" w:eastAsiaTheme="minorHAnsi" w:hAnsiTheme="minorHAnsi" w:cstheme="minorBidi"/>
          <w:color w:val="000000" w:themeColor="text1"/>
          <w:sz w:val="22"/>
        </w:rPr>
        <w:t xml:space="preserve">mythological site under the </w:t>
      </w:r>
      <w:r w:rsidR="00CB42CE" w:rsidRPr="00CB42CE">
        <w:rPr>
          <w:rFonts w:asciiTheme="minorHAnsi" w:eastAsiaTheme="minorHAnsi" w:hAnsiTheme="minorHAnsi" w:cstheme="minorBidi"/>
          <w:i/>
          <w:color w:val="000000" w:themeColor="text1"/>
          <w:sz w:val="22"/>
        </w:rPr>
        <w:t>Aboriginal Heritage Act 1972</w:t>
      </w:r>
      <w:r>
        <w:rPr>
          <w:rFonts w:asciiTheme="minorHAnsi" w:eastAsiaTheme="minorHAnsi" w:hAnsiTheme="minorHAnsi" w:cstheme="minorBidi"/>
          <w:color w:val="000000" w:themeColor="text1"/>
          <w:sz w:val="22"/>
        </w:rPr>
        <w:t xml:space="preserve"> </w:t>
      </w:r>
      <w:r w:rsidR="00235604" w:rsidRPr="008A3470">
        <w:rPr>
          <w:rFonts w:asciiTheme="minorHAnsi" w:eastAsiaTheme="minorHAnsi" w:hAnsiTheme="minorHAnsi" w:cstheme="minorBidi"/>
          <w:color w:val="000000" w:themeColor="text1"/>
          <w:sz w:val="22"/>
        </w:rPr>
        <w:t>(WA)</w:t>
      </w:r>
      <w:r w:rsidR="00AE630B">
        <w:rPr>
          <w:rFonts w:asciiTheme="minorHAnsi" w:eastAsiaTheme="minorHAnsi" w:hAnsiTheme="minorHAnsi" w:cstheme="minorBidi"/>
          <w:color w:val="000000" w:themeColor="text1"/>
          <w:sz w:val="22"/>
        </w:rPr>
        <w:t>.</w:t>
      </w:r>
    </w:p>
    <w:p w:rsidR="008B1DD3" w:rsidRPr="008A3470" w:rsidRDefault="002E2D0D" w:rsidP="00D72293">
      <w:pPr>
        <w:pStyle w:val="ListParagraph"/>
        <w:numPr>
          <w:ilvl w:val="0"/>
          <w:numId w:val="3"/>
        </w:numPr>
        <w:jc w:val="both"/>
        <w:rPr>
          <w:rFonts w:asciiTheme="minorHAnsi" w:eastAsiaTheme="minorHAnsi" w:hAnsiTheme="minorHAnsi" w:cstheme="minorBidi"/>
          <w:color w:val="000000" w:themeColor="text1"/>
          <w:sz w:val="22"/>
        </w:rPr>
      </w:pPr>
      <w:r>
        <w:rPr>
          <w:rFonts w:asciiTheme="minorHAnsi" w:eastAsiaTheme="minorHAnsi" w:hAnsiTheme="minorHAnsi" w:cstheme="minorBidi"/>
          <w:color w:val="000000" w:themeColor="text1"/>
          <w:sz w:val="22"/>
        </w:rPr>
        <w:t xml:space="preserve">Part of a complex that includes </w:t>
      </w:r>
      <w:r w:rsidR="008A3470" w:rsidRPr="008A3470">
        <w:rPr>
          <w:rFonts w:asciiTheme="minorHAnsi" w:eastAsiaTheme="minorHAnsi" w:hAnsiTheme="minorHAnsi" w:cstheme="minorBidi"/>
          <w:color w:val="000000" w:themeColor="text1"/>
          <w:sz w:val="22"/>
        </w:rPr>
        <w:t xml:space="preserve">six registered </w:t>
      </w:r>
      <w:r w:rsidR="005405F7" w:rsidRPr="008A3470">
        <w:rPr>
          <w:rFonts w:asciiTheme="minorHAnsi" w:eastAsiaTheme="minorHAnsi" w:hAnsiTheme="minorHAnsi" w:cstheme="minorBidi"/>
          <w:color w:val="000000" w:themeColor="text1"/>
          <w:sz w:val="22"/>
        </w:rPr>
        <w:t>archaeological</w:t>
      </w:r>
      <w:r w:rsidR="008A3470" w:rsidRPr="008A3470">
        <w:rPr>
          <w:rFonts w:asciiTheme="minorHAnsi" w:eastAsiaTheme="minorHAnsi" w:hAnsiTheme="minorHAnsi" w:cstheme="minorBidi"/>
          <w:color w:val="000000" w:themeColor="text1"/>
          <w:sz w:val="22"/>
        </w:rPr>
        <w:t xml:space="preserve"> sites surrounding this </w:t>
      </w:r>
      <w:r w:rsidR="005405F7" w:rsidRPr="008A3470">
        <w:rPr>
          <w:rFonts w:asciiTheme="minorHAnsi" w:eastAsiaTheme="minorHAnsi" w:hAnsiTheme="minorHAnsi" w:cstheme="minorBidi"/>
          <w:color w:val="000000" w:themeColor="text1"/>
          <w:sz w:val="22"/>
        </w:rPr>
        <w:t>mytholo</w:t>
      </w:r>
      <w:r w:rsidR="005405F7">
        <w:rPr>
          <w:rFonts w:asciiTheme="minorHAnsi" w:eastAsiaTheme="minorHAnsi" w:hAnsiTheme="minorHAnsi" w:cstheme="minorBidi"/>
          <w:color w:val="000000" w:themeColor="text1"/>
          <w:sz w:val="22"/>
        </w:rPr>
        <w:t>gi</w:t>
      </w:r>
      <w:r w:rsidR="005405F7" w:rsidRPr="008A3470">
        <w:rPr>
          <w:rFonts w:asciiTheme="minorHAnsi" w:eastAsiaTheme="minorHAnsi" w:hAnsiTheme="minorHAnsi" w:cstheme="minorBidi"/>
          <w:color w:val="000000" w:themeColor="text1"/>
          <w:sz w:val="22"/>
        </w:rPr>
        <w:t>cal</w:t>
      </w:r>
      <w:r w:rsidR="008A3470" w:rsidRPr="008A3470">
        <w:rPr>
          <w:rFonts w:asciiTheme="minorHAnsi" w:eastAsiaTheme="minorHAnsi" w:hAnsiTheme="minorHAnsi" w:cstheme="minorBidi"/>
          <w:color w:val="000000" w:themeColor="text1"/>
          <w:sz w:val="22"/>
        </w:rPr>
        <w:t xml:space="preserve"> site</w:t>
      </w:r>
      <w:r>
        <w:rPr>
          <w:rFonts w:asciiTheme="minorHAnsi" w:eastAsiaTheme="minorHAnsi" w:hAnsiTheme="minorHAnsi" w:cstheme="minorBidi"/>
          <w:color w:val="000000" w:themeColor="text1"/>
          <w:sz w:val="22"/>
        </w:rPr>
        <w:t xml:space="preserve">, where the </w:t>
      </w:r>
      <w:r w:rsidR="008A3470">
        <w:rPr>
          <w:rFonts w:asciiTheme="minorHAnsi" w:eastAsiaTheme="minorHAnsi" w:hAnsiTheme="minorHAnsi" w:cstheme="minorBidi"/>
          <w:color w:val="000000" w:themeColor="text1"/>
          <w:sz w:val="22"/>
        </w:rPr>
        <w:t>complex is greater than the sum of its parts</w:t>
      </w:r>
      <w:r w:rsidR="00AE630B">
        <w:rPr>
          <w:rFonts w:asciiTheme="minorHAnsi" w:eastAsiaTheme="minorHAnsi" w:hAnsiTheme="minorHAnsi" w:cstheme="minorBidi"/>
          <w:color w:val="000000" w:themeColor="text1"/>
          <w:sz w:val="22"/>
        </w:rPr>
        <w:t>.</w:t>
      </w:r>
    </w:p>
    <w:p w:rsidR="008A3470" w:rsidRPr="008A3470" w:rsidRDefault="002E2D0D" w:rsidP="00D72293">
      <w:pPr>
        <w:pStyle w:val="ListParagraph"/>
        <w:numPr>
          <w:ilvl w:val="0"/>
          <w:numId w:val="3"/>
        </w:numPr>
        <w:jc w:val="both"/>
        <w:rPr>
          <w:rFonts w:asciiTheme="minorHAnsi" w:eastAsiaTheme="minorHAnsi" w:hAnsiTheme="minorHAnsi" w:cstheme="minorBidi"/>
          <w:color w:val="000000" w:themeColor="text1"/>
          <w:sz w:val="22"/>
        </w:rPr>
      </w:pPr>
      <w:r>
        <w:rPr>
          <w:rFonts w:asciiTheme="minorHAnsi" w:eastAsiaTheme="minorHAnsi" w:hAnsiTheme="minorHAnsi" w:cstheme="minorBidi"/>
          <w:color w:val="000000" w:themeColor="text1"/>
          <w:sz w:val="22"/>
        </w:rPr>
        <w:t>O</w:t>
      </w:r>
      <w:r w:rsidR="008A3470" w:rsidRPr="008A3470">
        <w:rPr>
          <w:rFonts w:asciiTheme="minorHAnsi" w:eastAsiaTheme="minorHAnsi" w:hAnsiTheme="minorHAnsi" w:cstheme="minorBidi"/>
          <w:color w:val="000000" w:themeColor="text1"/>
          <w:sz w:val="22"/>
        </w:rPr>
        <w:t xml:space="preserve">f immense spiritual and cultural </w:t>
      </w:r>
      <w:r w:rsidR="005405F7" w:rsidRPr="008A3470">
        <w:rPr>
          <w:rFonts w:asciiTheme="minorHAnsi" w:eastAsiaTheme="minorHAnsi" w:hAnsiTheme="minorHAnsi" w:cstheme="minorBidi"/>
          <w:color w:val="000000" w:themeColor="text1"/>
          <w:sz w:val="22"/>
        </w:rPr>
        <w:t>significance</w:t>
      </w:r>
      <w:r w:rsidR="008A3470" w:rsidRPr="008A3470">
        <w:rPr>
          <w:rFonts w:asciiTheme="minorHAnsi" w:eastAsiaTheme="minorHAnsi" w:hAnsiTheme="minorHAnsi" w:cstheme="minorBidi"/>
          <w:color w:val="000000" w:themeColor="text1"/>
          <w:sz w:val="22"/>
        </w:rPr>
        <w:t xml:space="preserve"> to the </w:t>
      </w:r>
      <w:r w:rsidR="005405F7">
        <w:rPr>
          <w:rFonts w:asciiTheme="minorHAnsi" w:eastAsiaTheme="minorHAnsi" w:hAnsiTheme="minorHAnsi" w:cstheme="minorBidi"/>
          <w:color w:val="000000" w:themeColor="text1"/>
          <w:sz w:val="22"/>
        </w:rPr>
        <w:t>Whadjuk</w:t>
      </w:r>
      <w:r w:rsidR="008A3470" w:rsidRPr="008A3470">
        <w:rPr>
          <w:rFonts w:asciiTheme="minorHAnsi" w:eastAsiaTheme="minorHAnsi" w:hAnsiTheme="minorHAnsi" w:cstheme="minorBidi"/>
          <w:color w:val="000000" w:themeColor="text1"/>
          <w:sz w:val="22"/>
        </w:rPr>
        <w:t xml:space="preserve"> Noongars</w:t>
      </w:r>
      <w:r w:rsidR="00AE630B">
        <w:rPr>
          <w:rFonts w:asciiTheme="minorHAnsi" w:eastAsiaTheme="minorHAnsi" w:hAnsiTheme="minorHAnsi" w:cstheme="minorBidi"/>
          <w:color w:val="000000" w:themeColor="text1"/>
          <w:sz w:val="22"/>
        </w:rPr>
        <w:t>.</w:t>
      </w:r>
    </w:p>
    <w:p w:rsidR="00D060CF" w:rsidRPr="00D060CF" w:rsidRDefault="00542DEC" w:rsidP="00D72293">
      <w:pPr>
        <w:pStyle w:val="ListParagraph"/>
        <w:numPr>
          <w:ilvl w:val="0"/>
          <w:numId w:val="3"/>
        </w:numPr>
        <w:jc w:val="both"/>
        <w:rPr>
          <w:rFonts w:asciiTheme="minorHAnsi" w:eastAsiaTheme="minorHAnsi" w:hAnsiTheme="minorHAnsi" w:cstheme="minorBidi"/>
          <w:color w:val="000000" w:themeColor="text1"/>
          <w:sz w:val="22"/>
        </w:rPr>
      </w:pPr>
      <w:r>
        <w:rPr>
          <w:rFonts w:asciiTheme="minorHAnsi" w:eastAsiaTheme="minorHAnsi" w:hAnsiTheme="minorHAnsi" w:cstheme="minorBidi"/>
          <w:color w:val="000000" w:themeColor="text1"/>
          <w:sz w:val="22"/>
        </w:rPr>
        <w:t>U</w:t>
      </w:r>
      <w:r w:rsidR="00D060CF" w:rsidRPr="00D060CF">
        <w:rPr>
          <w:rFonts w:asciiTheme="minorHAnsi" w:eastAsiaTheme="minorHAnsi" w:hAnsiTheme="minorHAnsi" w:cstheme="minorBidi"/>
          <w:color w:val="000000" w:themeColor="text1"/>
          <w:sz w:val="22"/>
        </w:rPr>
        <w:t>sed by the Whadjuk</w:t>
      </w:r>
      <w:r>
        <w:rPr>
          <w:rFonts w:asciiTheme="minorHAnsi" w:eastAsiaTheme="minorHAnsi" w:hAnsiTheme="minorHAnsi" w:cstheme="minorBidi"/>
          <w:color w:val="000000" w:themeColor="text1"/>
          <w:sz w:val="22"/>
        </w:rPr>
        <w:t xml:space="preserve"> Noongars</w:t>
      </w:r>
      <w:r w:rsidR="00D060CF" w:rsidRPr="00D060CF">
        <w:rPr>
          <w:rFonts w:asciiTheme="minorHAnsi" w:eastAsiaTheme="minorHAnsi" w:hAnsiTheme="minorHAnsi" w:cstheme="minorBidi"/>
          <w:color w:val="000000" w:themeColor="text1"/>
          <w:sz w:val="22"/>
        </w:rPr>
        <w:t xml:space="preserve"> for religious ceremonies</w:t>
      </w:r>
      <w:r w:rsidR="00AE630B">
        <w:rPr>
          <w:rFonts w:asciiTheme="minorHAnsi" w:eastAsiaTheme="minorHAnsi" w:hAnsiTheme="minorHAnsi" w:cstheme="minorBidi"/>
          <w:color w:val="000000" w:themeColor="text1"/>
          <w:sz w:val="22"/>
        </w:rPr>
        <w:t>.</w:t>
      </w:r>
    </w:p>
    <w:p w:rsidR="00D060CF" w:rsidRPr="00D060CF" w:rsidRDefault="00542DEC" w:rsidP="00D72293">
      <w:pPr>
        <w:pStyle w:val="ListParagraph"/>
        <w:numPr>
          <w:ilvl w:val="0"/>
          <w:numId w:val="3"/>
        </w:numPr>
        <w:jc w:val="both"/>
        <w:rPr>
          <w:rFonts w:asciiTheme="minorHAnsi" w:eastAsiaTheme="minorHAnsi" w:hAnsiTheme="minorHAnsi" w:cstheme="minorBidi"/>
          <w:color w:val="000000" w:themeColor="text1"/>
          <w:sz w:val="22"/>
        </w:rPr>
      </w:pPr>
      <w:r>
        <w:rPr>
          <w:rFonts w:asciiTheme="minorHAnsi" w:eastAsiaTheme="minorHAnsi" w:hAnsiTheme="minorHAnsi" w:cstheme="minorBidi"/>
          <w:color w:val="000000" w:themeColor="text1"/>
          <w:sz w:val="22"/>
        </w:rPr>
        <w:t xml:space="preserve">A </w:t>
      </w:r>
      <w:r w:rsidR="00D060CF" w:rsidRPr="00D060CF">
        <w:rPr>
          <w:rFonts w:asciiTheme="minorHAnsi" w:eastAsiaTheme="minorHAnsi" w:hAnsiTheme="minorHAnsi" w:cstheme="minorBidi"/>
          <w:color w:val="000000" w:themeColor="text1"/>
          <w:sz w:val="22"/>
        </w:rPr>
        <w:t>Dreaming site</w:t>
      </w:r>
      <w:r w:rsidR="00AE630B">
        <w:rPr>
          <w:rFonts w:asciiTheme="minorHAnsi" w:eastAsiaTheme="minorHAnsi" w:hAnsiTheme="minorHAnsi" w:cstheme="minorBidi"/>
          <w:color w:val="000000" w:themeColor="text1"/>
          <w:sz w:val="22"/>
        </w:rPr>
        <w:t>.</w:t>
      </w:r>
    </w:p>
    <w:p w:rsidR="00D060CF" w:rsidRDefault="00542DEC" w:rsidP="00D72293">
      <w:pPr>
        <w:pStyle w:val="ListParagraph"/>
        <w:numPr>
          <w:ilvl w:val="0"/>
          <w:numId w:val="3"/>
        </w:numPr>
        <w:jc w:val="both"/>
        <w:rPr>
          <w:rFonts w:asciiTheme="minorHAnsi" w:eastAsiaTheme="minorHAnsi" w:hAnsiTheme="minorHAnsi" w:cstheme="minorBidi"/>
          <w:color w:val="000000" w:themeColor="text1"/>
          <w:sz w:val="22"/>
        </w:rPr>
      </w:pPr>
      <w:r>
        <w:rPr>
          <w:rFonts w:asciiTheme="minorHAnsi" w:eastAsiaTheme="minorHAnsi" w:hAnsiTheme="minorHAnsi" w:cstheme="minorBidi"/>
          <w:color w:val="000000" w:themeColor="text1"/>
          <w:sz w:val="22"/>
        </w:rPr>
        <w:t>H</w:t>
      </w:r>
      <w:r w:rsidR="00D060CF" w:rsidRPr="00D060CF">
        <w:rPr>
          <w:rFonts w:asciiTheme="minorHAnsi" w:eastAsiaTheme="minorHAnsi" w:hAnsiTheme="minorHAnsi" w:cstheme="minorBidi"/>
          <w:color w:val="000000" w:themeColor="text1"/>
          <w:sz w:val="22"/>
        </w:rPr>
        <w:t xml:space="preserve">ome to wildlife with religious </w:t>
      </w:r>
      <w:r w:rsidR="005405F7" w:rsidRPr="00D060CF">
        <w:rPr>
          <w:rFonts w:asciiTheme="minorHAnsi" w:eastAsiaTheme="minorHAnsi" w:hAnsiTheme="minorHAnsi" w:cstheme="minorBidi"/>
          <w:color w:val="000000" w:themeColor="text1"/>
          <w:sz w:val="22"/>
        </w:rPr>
        <w:t>significance</w:t>
      </w:r>
      <w:r w:rsidR="00D060CF" w:rsidRPr="00D060CF">
        <w:rPr>
          <w:rFonts w:asciiTheme="minorHAnsi" w:eastAsiaTheme="minorHAnsi" w:hAnsiTheme="minorHAnsi" w:cstheme="minorBidi"/>
          <w:color w:val="000000" w:themeColor="text1"/>
          <w:sz w:val="22"/>
        </w:rPr>
        <w:t xml:space="preserve"> to the Whadjuk Noongars</w:t>
      </w:r>
      <w:r w:rsidR="00AE630B">
        <w:rPr>
          <w:rFonts w:asciiTheme="minorHAnsi" w:eastAsiaTheme="minorHAnsi" w:hAnsiTheme="minorHAnsi" w:cstheme="minorBidi"/>
          <w:color w:val="000000" w:themeColor="text1"/>
          <w:sz w:val="22"/>
        </w:rPr>
        <w:t>.</w:t>
      </w:r>
    </w:p>
    <w:p w:rsidR="00D060CF" w:rsidRDefault="00AE630B" w:rsidP="00D060CF">
      <w:pPr>
        <w:pStyle w:val="ListParagraph"/>
        <w:numPr>
          <w:ilvl w:val="0"/>
          <w:numId w:val="3"/>
        </w:numPr>
        <w:jc w:val="both"/>
        <w:rPr>
          <w:rFonts w:asciiTheme="minorHAnsi" w:eastAsiaTheme="minorHAnsi" w:hAnsiTheme="minorHAnsi" w:cstheme="minorBidi"/>
          <w:color w:val="000000" w:themeColor="text1"/>
          <w:sz w:val="22"/>
        </w:rPr>
      </w:pPr>
      <w:r>
        <w:rPr>
          <w:rFonts w:asciiTheme="minorHAnsi" w:eastAsiaTheme="minorHAnsi" w:hAnsiTheme="minorHAnsi" w:cstheme="minorBidi"/>
          <w:color w:val="000000" w:themeColor="text1"/>
          <w:sz w:val="22"/>
        </w:rPr>
        <w:t>H</w:t>
      </w:r>
      <w:r w:rsidR="00D060CF" w:rsidRPr="00D060CF">
        <w:rPr>
          <w:rFonts w:asciiTheme="minorHAnsi" w:eastAsiaTheme="minorHAnsi" w:hAnsiTheme="minorHAnsi" w:cstheme="minorBidi"/>
          <w:color w:val="000000" w:themeColor="text1"/>
          <w:sz w:val="22"/>
        </w:rPr>
        <w:t xml:space="preserve">ome to </w:t>
      </w:r>
      <w:r w:rsidR="00D060CF">
        <w:rPr>
          <w:rFonts w:asciiTheme="minorHAnsi" w:eastAsiaTheme="minorHAnsi" w:hAnsiTheme="minorHAnsi" w:cstheme="minorBidi"/>
          <w:color w:val="000000" w:themeColor="text1"/>
          <w:sz w:val="22"/>
        </w:rPr>
        <w:t>flora and fauna that are traditional food sources for the Whadjuk</w:t>
      </w:r>
      <w:r>
        <w:rPr>
          <w:rFonts w:asciiTheme="minorHAnsi" w:eastAsiaTheme="minorHAnsi" w:hAnsiTheme="minorHAnsi" w:cstheme="minorBidi"/>
          <w:color w:val="000000" w:themeColor="text1"/>
          <w:sz w:val="22"/>
        </w:rPr>
        <w:t xml:space="preserve"> Noongars.</w:t>
      </w:r>
    </w:p>
    <w:p w:rsidR="00D72293" w:rsidRPr="00CB0D06" w:rsidRDefault="00AE630B" w:rsidP="00225CCA">
      <w:pPr>
        <w:pStyle w:val="ListParagraph"/>
        <w:numPr>
          <w:ilvl w:val="0"/>
          <w:numId w:val="3"/>
        </w:numPr>
        <w:jc w:val="both"/>
        <w:rPr>
          <w:color w:val="000000" w:themeColor="text1"/>
        </w:rPr>
      </w:pPr>
      <w:r>
        <w:rPr>
          <w:rFonts w:asciiTheme="minorHAnsi" w:eastAsiaTheme="minorHAnsi" w:hAnsiTheme="minorHAnsi" w:cstheme="minorBidi"/>
          <w:color w:val="000000" w:themeColor="text1"/>
          <w:sz w:val="22"/>
        </w:rPr>
        <w:t>U</w:t>
      </w:r>
      <w:r w:rsidR="00D060CF" w:rsidRPr="00CB0D06">
        <w:rPr>
          <w:rFonts w:asciiTheme="minorHAnsi" w:eastAsiaTheme="minorHAnsi" w:hAnsiTheme="minorHAnsi" w:cstheme="minorBidi"/>
          <w:color w:val="000000" w:themeColor="text1"/>
          <w:sz w:val="22"/>
        </w:rPr>
        <w:t xml:space="preserve">sed for </w:t>
      </w:r>
      <w:r>
        <w:rPr>
          <w:rFonts w:asciiTheme="minorHAnsi" w:eastAsiaTheme="minorHAnsi" w:hAnsiTheme="minorHAnsi" w:cstheme="minorBidi"/>
          <w:color w:val="000000" w:themeColor="text1"/>
          <w:sz w:val="22"/>
        </w:rPr>
        <w:t xml:space="preserve">the </w:t>
      </w:r>
      <w:r w:rsidR="00D060CF" w:rsidRPr="00CB0D06">
        <w:rPr>
          <w:rFonts w:asciiTheme="minorHAnsi" w:eastAsiaTheme="minorHAnsi" w:hAnsiTheme="minorHAnsi" w:cstheme="minorBidi"/>
          <w:color w:val="000000" w:themeColor="text1"/>
          <w:sz w:val="22"/>
        </w:rPr>
        <w:t>cultural education of Noongar children</w:t>
      </w:r>
      <w:r>
        <w:rPr>
          <w:rFonts w:asciiTheme="minorHAnsi" w:eastAsiaTheme="minorHAnsi" w:hAnsiTheme="minorHAnsi" w:cstheme="minorBidi"/>
          <w:color w:val="000000" w:themeColor="text1"/>
          <w:sz w:val="22"/>
        </w:rPr>
        <w:t>.</w:t>
      </w:r>
    </w:p>
    <w:p w:rsidR="00C80388" w:rsidRDefault="00C80388" w:rsidP="00D72293">
      <w:pPr>
        <w:pStyle w:val="Heading3"/>
        <w:spacing w:before="0"/>
        <w:jc w:val="both"/>
        <w:rPr>
          <w:color w:val="000000" w:themeColor="text1"/>
        </w:rPr>
      </w:pPr>
    </w:p>
    <w:p w:rsidR="002F7B4B" w:rsidRPr="00BF28DF" w:rsidRDefault="002F7B4B" w:rsidP="00D72293">
      <w:pPr>
        <w:pStyle w:val="Heading3"/>
        <w:spacing w:before="0"/>
        <w:jc w:val="both"/>
        <w:rPr>
          <w:color w:val="000000" w:themeColor="text1"/>
        </w:rPr>
      </w:pPr>
      <w:r w:rsidRPr="00BF28DF">
        <w:rPr>
          <w:color w:val="000000" w:themeColor="text1"/>
        </w:rPr>
        <w:t>Claimed threat of injury or desecration</w:t>
      </w:r>
    </w:p>
    <w:p w:rsidR="005405F7" w:rsidRPr="005405F7" w:rsidRDefault="002F7B4B" w:rsidP="002F7B4B">
      <w:pPr>
        <w:jc w:val="both"/>
      </w:pPr>
      <w:r w:rsidRPr="005405F7">
        <w:t xml:space="preserve">The application indicates that the threat of injury or desecration to the specified area arises </w:t>
      </w:r>
      <w:r w:rsidR="002B78A7" w:rsidRPr="005405F7">
        <w:t xml:space="preserve">from the </w:t>
      </w:r>
      <w:r w:rsidR="00570DCE" w:rsidRPr="005405F7">
        <w:t>planned extension of the Roe Highway through the middle of the area.</w:t>
      </w:r>
      <w:r w:rsidR="00AE630B">
        <w:t xml:space="preserve"> </w:t>
      </w:r>
      <w:r w:rsidR="005405F7" w:rsidRPr="005405F7">
        <w:t xml:space="preserve">The </w:t>
      </w:r>
      <w:r w:rsidR="00AE630B">
        <w:t xml:space="preserve">application indicates that the </w:t>
      </w:r>
      <w:r w:rsidR="005405F7" w:rsidRPr="005405F7">
        <w:t xml:space="preserve">extension of </w:t>
      </w:r>
      <w:r w:rsidR="00AE630B">
        <w:t xml:space="preserve">the </w:t>
      </w:r>
      <w:r w:rsidR="005405F7" w:rsidRPr="005405F7">
        <w:t xml:space="preserve">Roe Highway </w:t>
      </w:r>
      <w:r w:rsidR="00AE630B">
        <w:t xml:space="preserve">through this area </w:t>
      </w:r>
      <w:r w:rsidR="005405F7">
        <w:t xml:space="preserve">would be inconsistent with Whadjuk Noongar tradition and would </w:t>
      </w:r>
      <w:r w:rsidR="005405F7" w:rsidRPr="005405F7">
        <w:t xml:space="preserve">adversely affect the use of the area in accordance with </w:t>
      </w:r>
      <w:r w:rsidR="00AE630B">
        <w:t xml:space="preserve">the </w:t>
      </w:r>
      <w:r w:rsidR="005405F7" w:rsidRPr="005405F7">
        <w:t>tradition as a site for ceremonial activity, camping, hunting, education and spiritual reflection.</w:t>
      </w:r>
    </w:p>
    <w:p w:rsidR="002F7B4B" w:rsidRPr="00112D7E" w:rsidRDefault="002F7B4B" w:rsidP="00D72293">
      <w:pPr>
        <w:pStyle w:val="Heading3"/>
        <w:spacing w:before="0"/>
        <w:jc w:val="both"/>
        <w:rPr>
          <w:color w:val="000000" w:themeColor="text1"/>
        </w:rPr>
      </w:pPr>
      <w:r w:rsidRPr="00112D7E">
        <w:rPr>
          <w:color w:val="000000" w:themeColor="text1"/>
        </w:rPr>
        <w:t>Invitation to make representations</w:t>
      </w:r>
    </w:p>
    <w:p w:rsidR="002F7B4B" w:rsidRPr="00112D7E" w:rsidRDefault="002F7B4B" w:rsidP="002F7B4B">
      <w:pPr>
        <w:jc w:val="both"/>
        <w:rPr>
          <w:color w:val="000000" w:themeColor="text1"/>
        </w:rPr>
      </w:pPr>
      <w:r w:rsidRPr="00112D7E">
        <w:rPr>
          <w:color w:val="000000" w:themeColor="text1"/>
        </w:rPr>
        <w:t>Interested persons are invited to furnish representations in connection with my report to:</w:t>
      </w:r>
    </w:p>
    <w:p w:rsidR="00E024D6" w:rsidRPr="00E024D6" w:rsidRDefault="00E024D6" w:rsidP="00E024D6">
      <w:pPr>
        <w:spacing w:after="0"/>
      </w:pPr>
      <w:r w:rsidRPr="00E024D6">
        <w:t>John Waters</w:t>
      </w:r>
      <w:r w:rsidR="00D72293" w:rsidRPr="00E024D6">
        <w:br/>
      </w:r>
      <w:r w:rsidRPr="00E024D6">
        <w:t>Solicitor</w:t>
      </w:r>
      <w:r w:rsidR="00D72293" w:rsidRPr="00E024D6">
        <w:br/>
      </w:r>
      <w:r w:rsidRPr="00E024D6">
        <w:t>6th Floor, Windeyer Chambers</w:t>
      </w:r>
      <w:r w:rsidR="00D72293" w:rsidRPr="00E024D6">
        <w:br/>
      </w:r>
      <w:r w:rsidRPr="00E024D6">
        <w:t>225 Macquarie Street</w:t>
      </w:r>
    </w:p>
    <w:p w:rsidR="00E024D6" w:rsidRPr="00E024D6" w:rsidRDefault="00E024D6" w:rsidP="00D72293">
      <w:r w:rsidRPr="00E024D6">
        <w:t>Sydney NSW 2000</w:t>
      </w:r>
    </w:p>
    <w:p w:rsidR="00E024D6" w:rsidRPr="00E024D6" w:rsidRDefault="00D72293" w:rsidP="00D72293">
      <w:r w:rsidRPr="00E024D6">
        <w:t xml:space="preserve">Telephone: </w:t>
      </w:r>
      <w:r w:rsidR="00E024D6" w:rsidRPr="00E024D6">
        <w:t>(02) 9235 3100</w:t>
      </w:r>
    </w:p>
    <w:p w:rsidR="002F7B4B" w:rsidRPr="00E024D6" w:rsidRDefault="00E024D6" w:rsidP="00D72293">
      <w:r w:rsidRPr="00E024D6">
        <w:t>Email</w:t>
      </w:r>
      <w:r w:rsidR="00D72293" w:rsidRPr="00E024D6">
        <w:t xml:space="preserve">: </w:t>
      </w:r>
      <w:hyperlink r:id="rId9" w:history="1">
        <w:r w:rsidRPr="00D26F24">
          <w:rPr>
            <w:rStyle w:val="Hyperlink"/>
          </w:rPr>
          <w:t>johnwaters@windeyerchambers.com.au</w:t>
        </w:r>
      </w:hyperlink>
      <w:r>
        <w:t xml:space="preserve"> </w:t>
      </w:r>
    </w:p>
    <w:p w:rsidR="004D66A5" w:rsidRPr="00112D7E" w:rsidRDefault="002F7B4B" w:rsidP="004D66A5">
      <w:pPr>
        <w:jc w:val="both"/>
        <w:rPr>
          <w:iCs/>
          <w:color w:val="000000" w:themeColor="text1"/>
        </w:rPr>
      </w:pPr>
      <w:r w:rsidRPr="00112D7E">
        <w:rPr>
          <w:color w:val="000000" w:themeColor="text1"/>
        </w:rPr>
        <w:t xml:space="preserve">Representations must be made in writing by close of business by </w:t>
      </w:r>
      <w:r w:rsidR="00E71660">
        <w:rPr>
          <w:color w:val="000000" w:themeColor="text1"/>
        </w:rPr>
        <w:t>2 June</w:t>
      </w:r>
      <w:r w:rsidR="004A1E76">
        <w:rPr>
          <w:color w:val="000000" w:themeColor="text1"/>
        </w:rPr>
        <w:t xml:space="preserve"> 2016</w:t>
      </w:r>
      <w:r w:rsidRPr="00112D7E">
        <w:rPr>
          <w:color w:val="000000" w:themeColor="text1"/>
        </w:rPr>
        <w:t xml:space="preserve"> or within such further period as may be allowed. </w:t>
      </w:r>
      <w:r w:rsidRPr="00112D7E">
        <w:rPr>
          <w:b/>
          <w:color w:val="000000" w:themeColor="text1"/>
        </w:rPr>
        <w:t>You should not send your representations directly to the Minister.</w:t>
      </w:r>
      <w:r w:rsidR="00512353" w:rsidRPr="00112D7E">
        <w:rPr>
          <w:color w:val="000000" w:themeColor="text1"/>
        </w:rPr>
        <w:t xml:space="preserve"> </w:t>
      </w:r>
      <w:r w:rsidR="009B0F5F" w:rsidRPr="00112D7E">
        <w:rPr>
          <w:color w:val="000000" w:themeColor="text1"/>
        </w:rPr>
        <w:t>Representations will be provided to the Minister for Environment, and Department of the Environment</w:t>
      </w:r>
      <w:r w:rsidR="00151D16" w:rsidRPr="00112D7E">
        <w:rPr>
          <w:color w:val="000000" w:themeColor="text1"/>
        </w:rPr>
        <w:t>, along with the section 10 report</w:t>
      </w:r>
      <w:r w:rsidR="00DF06E2" w:rsidRPr="00112D7E">
        <w:rPr>
          <w:color w:val="000000" w:themeColor="text1"/>
        </w:rPr>
        <w:t>. Representations</w:t>
      </w:r>
      <w:r w:rsidR="009B0F5F" w:rsidRPr="00112D7E">
        <w:rPr>
          <w:color w:val="000000" w:themeColor="text1"/>
        </w:rPr>
        <w:t xml:space="preserve"> </w:t>
      </w:r>
      <w:r w:rsidR="00DF06E2" w:rsidRPr="00112D7E">
        <w:rPr>
          <w:color w:val="000000" w:themeColor="text1"/>
        </w:rPr>
        <w:t xml:space="preserve">may be disclosed where </w:t>
      </w:r>
      <w:r w:rsidR="00477AE3" w:rsidRPr="00112D7E">
        <w:rPr>
          <w:color w:val="000000" w:themeColor="text1"/>
        </w:rPr>
        <w:t xml:space="preserve">it is </w:t>
      </w:r>
      <w:r w:rsidR="00DF06E2" w:rsidRPr="00112D7E">
        <w:rPr>
          <w:color w:val="000000" w:themeColor="text1"/>
        </w:rPr>
        <w:t>authorised or required by law</w:t>
      </w:r>
      <w:r w:rsidR="00477AE3" w:rsidRPr="00112D7E">
        <w:rPr>
          <w:color w:val="000000" w:themeColor="text1"/>
        </w:rPr>
        <w:t xml:space="preserve">, </w:t>
      </w:r>
      <w:r w:rsidR="00DF06E2" w:rsidRPr="00112D7E">
        <w:rPr>
          <w:color w:val="000000" w:themeColor="text1"/>
        </w:rPr>
        <w:t>to meet p</w:t>
      </w:r>
      <w:r w:rsidR="00477AE3" w:rsidRPr="00112D7E">
        <w:rPr>
          <w:color w:val="000000" w:themeColor="text1"/>
        </w:rPr>
        <w:t xml:space="preserve">rocedural fairness requirements, </w:t>
      </w:r>
      <w:r w:rsidR="00DF06E2" w:rsidRPr="00112D7E">
        <w:rPr>
          <w:color w:val="000000" w:themeColor="text1"/>
        </w:rPr>
        <w:t>and in response to a request by</w:t>
      </w:r>
      <w:r w:rsidR="009B0F5F" w:rsidRPr="00112D7E">
        <w:rPr>
          <w:color w:val="000000" w:themeColor="text1"/>
        </w:rPr>
        <w:t xml:space="preserve"> a House or Committee of the Parliament of the Commonwealth.</w:t>
      </w:r>
      <w:r w:rsidR="004D66A5" w:rsidRPr="00112D7E">
        <w:rPr>
          <w:color w:val="000000" w:themeColor="text1"/>
        </w:rPr>
        <w:t xml:space="preserve"> </w:t>
      </w:r>
      <w:r w:rsidR="00DF06E2" w:rsidRPr="00112D7E">
        <w:rPr>
          <w:color w:val="000000" w:themeColor="text1"/>
        </w:rPr>
        <w:t xml:space="preserve"> </w:t>
      </w:r>
    </w:p>
    <w:p w:rsidR="004B2753" w:rsidRPr="00821478" w:rsidRDefault="00132583" w:rsidP="00112D7E">
      <w:pPr>
        <w:jc w:val="both"/>
      </w:pPr>
      <w:r w:rsidRPr="00112D7E">
        <w:rPr>
          <w:iCs/>
          <w:color w:val="000000" w:themeColor="text1"/>
        </w:rPr>
        <w:t xml:space="preserve">If you </w:t>
      </w:r>
      <w:r w:rsidR="002F7B4B" w:rsidRPr="00112D7E">
        <w:rPr>
          <w:iCs/>
          <w:color w:val="000000" w:themeColor="text1"/>
        </w:rPr>
        <w:t xml:space="preserve">wish to claim confidentiality </w:t>
      </w:r>
      <w:r w:rsidRPr="00112D7E">
        <w:rPr>
          <w:iCs/>
          <w:color w:val="000000" w:themeColor="text1"/>
        </w:rPr>
        <w:t xml:space="preserve">over </w:t>
      </w:r>
      <w:r w:rsidR="002F7B4B" w:rsidRPr="00112D7E">
        <w:rPr>
          <w:iCs/>
          <w:color w:val="000000" w:themeColor="text1"/>
        </w:rPr>
        <w:t xml:space="preserve">any part of </w:t>
      </w:r>
      <w:r w:rsidRPr="00112D7E">
        <w:rPr>
          <w:iCs/>
          <w:color w:val="000000" w:themeColor="text1"/>
        </w:rPr>
        <w:t xml:space="preserve">your </w:t>
      </w:r>
      <w:r w:rsidR="002F7B4B" w:rsidRPr="00112D7E">
        <w:rPr>
          <w:iCs/>
          <w:color w:val="000000" w:themeColor="text1"/>
        </w:rPr>
        <w:t>representation</w:t>
      </w:r>
      <w:r w:rsidRPr="00112D7E">
        <w:rPr>
          <w:iCs/>
          <w:color w:val="000000" w:themeColor="text1"/>
        </w:rPr>
        <w:t>,</w:t>
      </w:r>
      <w:r w:rsidR="002F7B4B" w:rsidRPr="00112D7E">
        <w:rPr>
          <w:iCs/>
          <w:color w:val="000000" w:themeColor="text1"/>
        </w:rPr>
        <w:t xml:space="preserve"> </w:t>
      </w:r>
      <w:r w:rsidRPr="00112D7E">
        <w:rPr>
          <w:iCs/>
          <w:color w:val="000000" w:themeColor="text1"/>
        </w:rPr>
        <w:t xml:space="preserve">please </w:t>
      </w:r>
      <w:r w:rsidR="002F7B4B" w:rsidRPr="00112D7E">
        <w:rPr>
          <w:iCs/>
          <w:color w:val="000000" w:themeColor="text1"/>
        </w:rPr>
        <w:t xml:space="preserve">identify </w:t>
      </w:r>
      <w:r w:rsidRPr="00112D7E">
        <w:rPr>
          <w:iCs/>
          <w:color w:val="000000" w:themeColor="text1"/>
        </w:rPr>
        <w:t xml:space="preserve">why you are claiming confidentiality </w:t>
      </w:r>
      <w:r w:rsidR="002F7B4B" w:rsidRPr="00112D7E">
        <w:rPr>
          <w:iCs/>
          <w:color w:val="000000" w:themeColor="text1"/>
        </w:rPr>
        <w:t xml:space="preserve">and </w:t>
      </w:r>
      <w:r w:rsidRPr="00112D7E">
        <w:rPr>
          <w:iCs/>
          <w:color w:val="000000" w:themeColor="text1"/>
        </w:rPr>
        <w:t>how you want confidentiality to apply</w:t>
      </w:r>
      <w:r w:rsidR="002F7B4B" w:rsidRPr="00112D7E">
        <w:rPr>
          <w:iCs/>
          <w:color w:val="000000" w:themeColor="text1"/>
        </w:rPr>
        <w:t>.</w:t>
      </w:r>
      <w:r w:rsidR="004175F4" w:rsidRPr="00112D7E">
        <w:rPr>
          <w:iCs/>
          <w:color w:val="000000" w:themeColor="text1"/>
        </w:rPr>
        <w:t xml:space="preserve"> </w:t>
      </w:r>
      <w:r w:rsidRPr="00112D7E">
        <w:rPr>
          <w:iCs/>
          <w:color w:val="000000" w:themeColor="text1"/>
        </w:rPr>
        <w:t>E</w:t>
      </w:r>
      <w:r w:rsidR="00366196" w:rsidRPr="00112D7E">
        <w:rPr>
          <w:iCs/>
          <w:color w:val="000000" w:themeColor="text1"/>
        </w:rPr>
        <w:t xml:space="preserve">ven if your claim is accepted, </w:t>
      </w:r>
      <w:r w:rsidR="002D7252" w:rsidRPr="00112D7E">
        <w:rPr>
          <w:iCs/>
          <w:color w:val="000000" w:themeColor="text1"/>
        </w:rPr>
        <w:t>a</w:t>
      </w:r>
      <w:r w:rsidR="00B94E43" w:rsidRPr="00112D7E">
        <w:rPr>
          <w:iCs/>
          <w:color w:val="000000" w:themeColor="text1"/>
        </w:rPr>
        <w:t xml:space="preserve">ny part of your representation </w:t>
      </w:r>
      <w:r w:rsidR="002D7252" w:rsidRPr="00112D7E">
        <w:rPr>
          <w:iCs/>
          <w:color w:val="000000" w:themeColor="text1"/>
        </w:rPr>
        <w:t xml:space="preserve">could </w:t>
      </w:r>
      <w:r w:rsidR="00366196" w:rsidRPr="00112D7E">
        <w:rPr>
          <w:iCs/>
          <w:color w:val="000000" w:themeColor="text1"/>
        </w:rPr>
        <w:t xml:space="preserve">still </w:t>
      </w:r>
      <w:r w:rsidR="002D7252" w:rsidRPr="00112D7E">
        <w:rPr>
          <w:iCs/>
          <w:color w:val="000000" w:themeColor="text1"/>
        </w:rPr>
        <w:t>be</w:t>
      </w:r>
      <w:r w:rsidR="0075180A" w:rsidRPr="00112D7E">
        <w:rPr>
          <w:iCs/>
          <w:color w:val="000000" w:themeColor="text1"/>
        </w:rPr>
        <w:t xml:space="preserve"> </w:t>
      </w:r>
      <w:r w:rsidR="005A3AEB" w:rsidRPr="00112D7E">
        <w:rPr>
          <w:iCs/>
          <w:color w:val="000000" w:themeColor="text1"/>
        </w:rPr>
        <w:t>disclosed</w:t>
      </w:r>
      <w:r w:rsidR="00956799" w:rsidRPr="00112D7E">
        <w:rPr>
          <w:iCs/>
          <w:color w:val="000000" w:themeColor="text1"/>
        </w:rPr>
        <w:t xml:space="preserve"> to </w:t>
      </w:r>
      <w:r w:rsidR="00A772B4" w:rsidRPr="00112D7E">
        <w:rPr>
          <w:iCs/>
          <w:color w:val="000000" w:themeColor="text1"/>
        </w:rPr>
        <w:t>other persons</w:t>
      </w:r>
      <w:r w:rsidRPr="00112D7E">
        <w:rPr>
          <w:iCs/>
          <w:color w:val="000000" w:themeColor="text1"/>
        </w:rPr>
        <w:t>,</w:t>
      </w:r>
      <w:r w:rsidR="005A3AEB" w:rsidRPr="00112D7E">
        <w:rPr>
          <w:iCs/>
          <w:color w:val="000000" w:themeColor="text1"/>
        </w:rPr>
        <w:t xml:space="preserve"> </w:t>
      </w:r>
      <w:r w:rsidRPr="00112D7E">
        <w:rPr>
          <w:iCs/>
          <w:color w:val="000000" w:themeColor="text1"/>
        </w:rPr>
        <w:t>such as in t</w:t>
      </w:r>
      <w:r w:rsidR="005A3AEB" w:rsidRPr="00112D7E">
        <w:rPr>
          <w:iCs/>
          <w:color w:val="000000" w:themeColor="text1"/>
        </w:rPr>
        <w:t xml:space="preserve">he circumstances set out above. </w:t>
      </w:r>
      <w:r w:rsidR="002D7252" w:rsidRPr="00112D7E">
        <w:rPr>
          <w:iCs/>
          <w:color w:val="000000" w:themeColor="text1"/>
        </w:rPr>
        <w:t xml:space="preserve"> </w:t>
      </w:r>
    </w:p>
    <w:sectPr w:rsidR="004B2753" w:rsidRPr="00821478"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B3" w:rsidRDefault="00846DB3" w:rsidP="003A707F">
      <w:pPr>
        <w:spacing w:after="0" w:line="240" w:lineRule="auto"/>
      </w:pPr>
      <w:r>
        <w:separator/>
      </w:r>
    </w:p>
  </w:endnote>
  <w:endnote w:type="continuationSeparator" w:id="0">
    <w:p w:rsidR="00846DB3" w:rsidRDefault="00846DB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B3" w:rsidRDefault="00846DB3" w:rsidP="003A707F">
      <w:pPr>
        <w:spacing w:after="0" w:line="240" w:lineRule="auto"/>
      </w:pPr>
      <w:r>
        <w:separator/>
      </w:r>
    </w:p>
  </w:footnote>
  <w:footnote w:type="continuationSeparator" w:id="0">
    <w:p w:rsidR="00846DB3" w:rsidRDefault="00846DB3"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C80388" w:rsidRPr="00CE796A" w:rsidTr="00E524EE">
      <w:trPr>
        <w:trHeight w:val="984"/>
      </w:trPr>
      <w:tc>
        <w:tcPr>
          <w:tcW w:w="1263" w:type="dxa"/>
          <w:tcBorders>
            <w:top w:val="single" w:sz="4" w:space="0" w:color="auto"/>
            <w:left w:val="nil"/>
            <w:bottom w:val="single" w:sz="4" w:space="0" w:color="auto"/>
            <w:right w:val="nil"/>
            <w:tl2br w:val="nil"/>
            <w:tr2bl w:val="nil"/>
          </w:tcBorders>
          <w:shd w:val="clear" w:color="auto" w:fill="auto"/>
        </w:tcPr>
        <w:p w:rsidR="00C80388" w:rsidRPr="00CE796A" w:rsidRDefault="00C80388"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C80388" w:rsidRPr="00CE796A" w:rsidRDefault="00C80388"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C80388" w:rsidRPr="00CE796A" w:rsidRDefault="00C80388"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80388"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C80388" w:rsidRPr="00CE796A" w:rsidRDefault="00C80388"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C80388" w:rsidRPr="00840A06" w:rsidRDefault="00A20AE6" w:rsidP="00840A06">
          <w:pPr>
            <w:spacing w:after="0"/>
            <w:jc w:val="right"/>
            <w:rPr>
              <w:rFonts w:ascii="Arial" w:hAnsi="Arial" w:cs="Arial"/>
              <w:b/>
              <w:sz w:val="24"/>
              <w:szCs w:val="24"/>
            </w:rPr>
          </w:pPr>
          <w:r>
            <w:rPr>
              <w:rFonts w:ascii="Arial" w:eastAsia="Arial" w:hAnsi="Arial" w:cs="Arial"/>
              <w:b/>
              <w:bCs/>
              <w:color w:val="FFFFFF"/>
              <w:position w:val="4"/>
              <w:sz w:val="24"/>
              <w:szCs w:val="24"/>
            </w:rPr>
            <w:t>GOVE</w:t>
          </w:r>
          <w:r>
            <w:rPr>
              <w:rFonts w:ascii="Arial" w:eastAsia="Arial" w:hAnsi="Arial" w:cs="Arial"/>
              <w:b/>
              <w:bCs/>
              <w:color w:val="FFFFFF"/>
              <w:spacing w:val="-1"/>
              <w:position w:val="4"/>
              <w:sz w:val="24"/>
              <w:szCs w:val="24"/>
            </w:rPr>
            <w:t>RNM</w:t>
          </w:r>
          <w:r>
            <w:rPr>
              <w:rFonts w:ascii="Arial" w:eastAsia="Arial" w:hAnsi="Arial" w:cs="Arial"/>
              <w:b/>
              <w:bCs/>
              <w:color w:val="FFFFFF"/>
              <w:position w:val="4"/>
              <w:sz w:val="24"/>
              <w:szCs w:val="24"/>
            </w:rPr>
            <w:t>E</w:t>
          </w:r>
          <w:r>
            <w:rPr>
              <w:rFonts w:ascii="Arial" w:eastAsia="Arial" w:hAnsi="Arial" w:cs="Arial"/>
              <w:b/>
              <w:bCs/>
              <w:color w:val="FFFFFF"/>
              <w:spacing w:val="-1"/>
              <w:position w:val="4"/>
              <w:sz w:val="24"/>
              <w:szCs w:val="24"/>
            </w:rPr>
            <w:t>N</w:t>
          </w:r>
          <w:r>
            <w:rPr>
              <w:rFonts w:ascii="Arial" w:eastAsia="Arial" w:hAnsi="Arial" w:cs="Arial"/>
              <w:b/>
              <w:bCs/>
              <w:color w:val="FFFFFF"/>
              <w:position w:val="4"/>
              <w:sz w:val="24"/>
              <w:szCs w:val="24"/>
            </w:rPr>
            <w:t xml:space="preserve">T </w:t>
          </w:r>
          <w:r>
            <w:rPr>
              <w:rFonts w:ascii="Arial" w:eastAsia="Arial" w:hAnsi="Arial" w:cs="Arial"/>
              <w:b/>
              <w:bCs/>
              <w:color w:val="FFFFFF"/>
              <w:spacing w:val="-1"/>
              <w:position w:val="4"/>
              <w:sz w:val="24"/>
              <w:szCs w:val="24"/>
            </w:rPr>
            <w:t>N</w:t>
          </w:r>
          <w:r>
            <w:rPr>
              <w:rFonts w:ascii="Arial" w:eastAsia="Arial" w:hAnsi="Arial" w:cs="Arial"/>
              <w:b/>
              <w:bCs/>
              <w:color w:val="FFFFFF"/>
              <w:position w:val="4"/>
              <w:sz w:val="24"/>
              <w:szCs w:val="24"/>
            </w:rPr>
            <w:t>O</w:t>
          </w:r>
          <w:r>
            <w:rPr>
              <w:rFonts w:ascii="Arial" w:eastAsia="Arial" w:hAnsi="Arial" w:cs="Arial"/>
              <w:b/>
              <w:bCs/>
              <w:color w:val="FFFFFF"/>
              <w:spacing w:val="-1"/>
              <w:position w:val="4"/>
              <w:sz w:val="24"/>
              <w:szCs w:val="24"/>
            </w:rPr>
            <w:t>T</w:t>
          </w:r>
          <w:r>
            <w:rPr>
              <w:rFonts w:ascii="Arial" w:eastAsia="Arial" w:hAnsi="Arial" w:cs="Arial"/>
              <w:b/>
              <w:bCs/>
              <w:color w:val="FFFFFF"/>
              <w:spacing w:val="-2"/>
              <w:position w:val="4"/>
              <w:sz w:val="24"/>
              <w:szCs w:val="24"/>
            </w:rPr>
            <w:t>I</w:t>
          </w:r>
          <w:r>
            <w:rPr>
              <w:rFonts w:ascii="Arial" w:eastAsia="Arial" w:hAnsi="Arial" w:cs="Arial"/>
              <w:b/>
              <w:bCs/>
              <w:color w:val="FFFFFF"/>
              <w:spacing w:val="-1"/>
              <w:position w:val="4"/>
              <w:sz w:val="24"/>
              <w:szCs w:val="24"/>
            </w:rPr>
            <w:t>C</w:t>
          </w:r>
          <w:r>
            <w:rPr>
              <w:rFonts w:ascii="Arial" w:eastAsia="Arial" w:hAnsi="Arial" w:cs="Arial"/>
              <w:b/>
              <w:bCs/>
              <w:color w:val="FFFFFF"/>
              <w:position w:val="4"/>
              <w:sz w:val="24"/>
              <w:szCs w:val="24"/>
            </w:rPr>
            <w:t>ES</w:t>
          </w:r>
        </w:p>
      </w:tc>
    </w:tr>
    <w:bookmarkEnd w:id="1"/>
  </w:tbl>
  <w:p w:rsidR="00C80388" w:rsidRPr="003A707F" w:rsidRDefault="00C80388" w:rsidP="00F40885">
    <w:pPr>
      <w:pStyle w:val="Header"/>
      <w:rPr>
        <w:sz w:val="2"/>
        <w:szCs w:val="2"/>
      </w:rPr>
    </w:pPr>
  </w:p>
  <w:p w:rsidR="00C80388" w:rsidRPr="00F40885" w:rsidRDefault="00C8038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A230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D07DA1"/>
    <w:multiLevelType w:val="hybridMultilevel"/>
    <w:tmpl w:val="485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24A83"/>
    <w:multiLevelType w:val="hybridMultilevel"/>
    <w:tmpl w:val="5B4853C4"/>
    <w:lvl w:ilvl="0" w:tplc="4C98B800">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FAB5E05"/>
    <w:multiLevelType w:val="hybridMultilevel"/>
    <w:tmpl w:val="56707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3F86AB7"/>
    <w:multiLevelType w:val="hybridMultilevel"/>
    <w:tmpl w:val="7C38D6EA"/>
    <w:lvl w:ilvl="0" w:tplc="0E04146A">
      <w:start w:val="3"/>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5CB677E"/>
    <w:multiLevelType w:val="hybridMultilevel"/>
    <w:tmpl w:val="30B0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F12E70"/>
    <w:multiLevelType w:val="hybridMultilevel"/>
    <w:tmpl w:val="5992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E4F6C"/>
    <w:rsid w:val="00017B78"/>
    <w:rsid w:val="0002619F"/>
    <w:rsid w:val="00065B4E"/>
    <w:rsid w:val="000A3152"/>
    <w:rsid w:val="000E1F2B"/>
    <w:rsid w:val="00106D58"/>
    <w:rsid w:val="00112D7E"/>
    <w:rsid w:val="00132583"/>
    <w:rsid w:val="001330D7"/>
    <w:rsid w:val="00134080"/>
    <w:rsid w:val="00151D16"/>
    <w:rsid w:val="00152D24"/>
    <w:rsid w:val="00170EFC"/>
    <w:rsid w:val="001C2AAD"/>
    <w:rsid w:val="001C65DC"/>
    <w:rsid w:val="001D020E"/>
    <w:rsid w:val="001D79EE"/>
    <w:rsid w:val="001F6E54"/>
    <w:rsid w:val="00204227"/>
    <w:rsid w:val="00222494"/>
    <w:rsid w:val="00225CCA"/>
    <w:rsid w:val="00231364"/>
    <w:rsid w:val="00232D72"/>
    <w:rsid w:val="00235604"/>
    <w:rsid w:val="0025241A"/>
    <w:rsid w:val="00260FBB"/>
    <w:rsid w:val="002702E9"/>
    <w:rsid w:val="00270C03"/>
    <w:rsid w:val="00280BCD"/>
    <w:rsid w:val="002B78A7"/>
    <w:rsid w:val="002D1CDB"/>
    <w:rsid w:val="002D54EC"/>
    <w:rsid w:val="002D7252"/>
    <w:rsid w:val="002E2D0D"/>
    <w:rsid w:val="002F7B4B"/>
    <w:rsid w:val="003264E5"/>
    <w:rsid w:val="00330845"/>
    <w:rsid w:val="0033761F"/>
    <w:rsid w:val="00346503"/>
    <w:rsid w:val="00366196"/>
    <w:rsid w:val="003A707F"/>
    <w:rsid w:val="003A737F"/>
    <w:rsid w:val="003B0EC1"/>
    <w:rsid w:val="003B573B"/>
    <w:rsid w:val="003C6343"/>
    <w:rsid w:val="003C7649"/>
    <w:rsid w:val="003F2CBD"/>
    <w:rsid w:val="004175F4"/>
    <w:rsid w:val="00424B97"/>
    <w:rsid w:val="00461594"/>
    <w:rsid w:val="00477AE3"/>
    <w:rsid w:val="004A1E76"/>
    <w:rsid w:val="004B2753"/>
    <w:rsid w:val="004D66A5"/>
    <w:rsid w:val="004E4B67"/>
    <w:rsid w:val="004F0BA4"/>
    <w:rsid w:val="00512353"/>
    <w:rsid w:val="00520873"/>
    <w:rsid w:val="005405F7"/>
    <w:rsid w:val="00542DEC"/>
    <w:rsid w:val="00570DCE"/>
    <w:rsid w:val="005713FE"/>
    <w:rsid w:val="00573D44"/>
    <w:rsid w:val="005A3AEB"/>
    <w:rsid w:val="005A4DC3"/>
    <w:rsid w:val="005B0619"/>
    <w:rsid w:val="00625078"/>
    <w:rsid w:val="00626E39"/>
    <w:rsid w:val="00665002"/>
    <w:rsid w:val="00691B89"/>
    <w:rsid w:val="006C131D"/>
    <w:rsid w:val="006C5BC8"/>
    <w:rsid w:val="006C680E"/>
    <w:rsid w:val="006D74D9"/>
    <w:rsid w:val="006E3871"/>
    <w:rsid w:val="006F0B19"/>
    <w:rsid w:val="00724D05"/>
    <w:rsid w:val="0075180A"/>
    <w:rsid w:val="00777718"/>
    <w:rsid w:val="007818F6"/>
    <w:rsid w:val="007E4CAE"/>
    <w:rsid w:val="007F1A91"/>
    <w:rsid w:val="00801CED"/>
    <w:rsid w:val="00821478"/>
    <w:rsid w:val="008304AB"/>
    <w:rsid w:val="00840A06"/>
    <w:rsid w:val="008439B7"/>
    <w:rsid w:val="00846DB3"/>
    <w:rsid w:val="008618B6"/>
    <w:rsid w:val="0087253F"/>
    <w:rsid w:val="00872EA8"/>
    <w:rsid w:val="00890ACE"/>
    <w:rsid w:val="008A3470"/>
    <w:rsid w:val="008B1DD3"/>
    <w:rsid w:val="008B79EF"/>
    <w:rsid w:val="008C1EDC"/>
    <w:rsid w:val="008C2D34"/>
    <w:rsid w:val="008E4F6C"/>
    <w:rsid w:val="008F7F33"/>
    <w:rsid w:val="009000BE"/>
    <w:rsid w:val="00916867"/>
    <w:rsid w:val="00917A98"/>
    <w:rsid w:val="009539C7"/>
    <w:rsid w:val="00956799"/>
    <w:rsid w:val="00984ACF"/>
    <w:rsid w:val="009A39F8"/>
    <w:rsid w:val="009B0F5F"/>
    <w:rsid w:val="009C4511"/>
    <w:rsid w:val="009E2DAD"/>
    <w:rsid w:val="009E529F"/>
    <w:rsid w:val="00A00F21"/>
    <w:rsid w:val="00A02C5E"/>
    <w:rsid w:val="00A04364"/>
    <w:rsid w:val="00A0636D"/>
    <w:rsid w:val="00A20AE6"/>
    <w:rsid w:val="00A23B5F"/>
    <w:rsid w:val="00A72F1C"/>
    <w:rsid w:val="00A76113"/>
    <w:rsid w:val="00A772B4"/>
    <w:rsid w:val="00A94CED"/>
    <w:rsid w:val="00AB63DB"/>
    <w:rsid w:val="00AE630B"/>
    <w:rsid w:val="00B010B9"/>
    <w:rsid w:val="00B0367E"/>
    <w:rsid w:val="00B7789A"/>
    <w:rsid w:val="00B84226"/>
    <w:rsid w:val="00B912B4"/>
    <w:rsid w:val="00B94E43"/>
    <w:rsid w:val="00BA25D1"/>
    <w:rsid w:val="00BB4D19"/>
    <w:rsid w:val="00BC0228"/>
    <w:rsid w:val="00BE7B98"/>
    <w:rsid w:val="00BF28DF"/>
    <w:rsid w:val="00BF76F1"/>
    <w:rsid w:val="00C17C32"/>
    <w:rsid w:val="00C6241C"/>
    <w:rsid w:val="00C63C4E"/>
    <w:rsid w:val="00C72C30"/>
    <w:rsid w:val="00C80388"/>
    <w:rsid w:val="00CB0D06"/>
    <w:rsid w:val="00CB3233"/>
    <w:rsid w:val="00CB42CE"/>
    <w:rsid w:val="00CE2277"/>
    <w:rsid w:val="00CE5183"/>
    <w:rsid w:val="00D060CF"/>
    <w:rsid w:val="00D229E5"/>
    <w:rsid w:val="00D242EA"/>
    <w:rsid w:val="00D32A42"/>
    <w:rsid w:val="00D72293"/>
    <w:rsid w:val="00D77A88"/>
    <w:rsid w:val="00D83774"/>
    <w:rsid w:val="00DA1C94"/>
    <w:rsid w:val="00DB49AA"/>
    <w:rsid w:val="00DC36AD"/>
    <w:rsid w:val="00DF06E2"/>
    <w:rsid w:val="00DF1CE5"/>
    <w:rsid w:val="00E00B0D"/>
    <w:rsid w:val="00E024D6"/>
    <w:rsid w:val="00E12BFB"/>
    <w:rsid w:val="00E12C99"/>
    <w:rsid w:val="00E23E1C"/>
    <w:rsid w:val="00E524EE"/>
    <w:rsid w:val="00E52506"/>
    <w:rsid w:val="00E71660"/>
    <w:rsid w:val="00E9314D"/>
    <w:rsid w:val="00E97A2E"/>
    <w:rsid w:val="00ED10F7"/>
    <w:rsid w:val="00F0442F"/>
    <w:rsid w:val="00F10906"/>
    <w:rsid w:val="00F2101D"/>
    <w:rsid w:val="00F40885"/>
    <w:rsid w:val="00F54442"/>
    <w:rsid w:val="00F62A86"/>
    <w:rsid w:val="00F843F1"/>
    <w:rsid w:val="00FF2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89"/>
  </w:style>
  <w:style w:type="paragraph" w:styleId="Heading2">
    <w:name w:val="heading 2"/>
    <w:basedOn w:val="Normal"/>
    <w:next w:val="Normal"/>
    <w:link w:val="Heading2Char"/>
    <w:uiPriority w:val="99"/>
    <w:qFormat/>
    <w:rsid w:val="002F7B4B"/>
    <w:pPr>
      <w:keepNext/>
      <w:keepLines/>
      <w:spacing w:after="0"/>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9"/>
    <w:qFormat/>
    <w:rsid w:val="002F7B4B"/>
    <w:pPr>
      <w:keepNext/>
      <w:keepLines/>
      <w:spacing w:before="200" w:after="0"/>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9"/>
    <w:rsid w:val="002F7B4B"/>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2F7B4B"/>
    <w:rPr>
      <w:rFonts w:ascii="Times New Roman" w:eastAsia="Times New Roman" w:hAnsi="Times New Roman" w:cs="Times New Roman"/>
      <w:b/>
      <w:bCs/>
      <w:sz w:val="24"/>
    </w:rPr>
  </w:style>
  <w:style w:type="paragraph" w:styleId="ListParagraph">
    <w:name w:val="List Paragraph"/>
    <w:basedOn w:val="Normal"/>
    <w:next w:val="Normal"/>
    <w:uiPriority w:val="34"/>
    <w:qFormat/>
    <w:rsid w:val="002F7B4B"/>
    <w:pPr>
      <w:spacing w:after="120"/>
      <w:ind w:left="720"/>
    </w:pPr>
    <w:rPr>
      <w:rFonts w:ascii="Times New Roman" w:eastAsia="Calibri" w:hAnsi="Times New Roman" w:cs="Times New Roman"/>
      <w:sz w:val="24"/>
    </w:rPr>
  </w:style>
  <w:style w:type="paragraph" w:styleId="ListBullet">
    <w:name w:val="List Bullet"/>
    <w:basedOn w:val="Normal"/>
    <w:uiPriority w:val="99"/>
    <w:unhideWhenUsed/>
    <w:rsid w:val="009000BE"/>
    <w:pPr>
      <w:numPr>
        <w:numId w:val="6"/>
      </w:numPr>
      <w:contextualSpacing/>
    </w:pPr>
  </w:style>
  <w:style w:type="character" w:styleId="CommentReference">
    <w:name w:val="annotation reference"/>
    <w:basedOn w:val="DefaultParagraphFont"/>
    <w:uiPriority w:val="99"/>
    <w:semiHidden/>
    <w:unhideWhenUsed/>
    <w:rsid w:val="00106D58"/>
    <w:rPr>
      <w:sz w:val="16"/>
      <w:szCs w:val="16"/>
    </w:rPr>
  </w:style>
  <w:style w:type="paragraph" w:styleId="CommentText">
    <w:name w:val="annotation text"/>
    <w:basedOn w:val="Normal"/>
    <w:link w:val="CommentTextChar"/>
    <w:uiPriority w:val="99"/>
    <w:semiHidden/>
    <w:unhideWhenUsed/>
    <w:rsid w:val="00106D58"/>
    <w:pPr>
      <w:spacing w:line="240" w:lineRule="auto"/>
    </w:pPr>
    <w:rPr>
      <w:sz w:val="20"/>
      <w:szCs w:val="20"/>
    </w:rPr>
  </w:style>
  <w:style w:type="character" w:customStyle="1" w:styleId="CommentTextChar">
    <w:name w:val="Comment Text Char"/>
    <w:basedOn w:val="DefaultParagraphFont"/>
    <w:link w:val="CommentText"/>
    <w:uiPriority w:val="99"/>
    <w:semiHidden/>
    <w:rsid w:val="00106D58"/>
    <w:rPr>
      <w:sz w:val="20"/>
      <w:szCs w:val="20"/>
    </w:rPr>
  </w:style>
  <w:style w:type="paragraph" w:styleId="CommentSubject">
    <w:name w:val="annotation subject"/>
    <w:basedOn w:val="CommentText"/>
    <w:next w:val="CommentText"/>
    <w:link w:val="CommentSubjectChar"/>
    <w:uiPriority w:val="99"/>
    <w:semiHidden/>
    <w:unhideWhenUsed/>
    <w:rsid w:val="00106D58"/>
    <w:rPr>
      <w:b/>
      <w:bCs/>
    </w:rPr>
  </w:style>
  <w:style w:type="character" w:customStyle="1" w:styleId="CommentSubjectChar">
    <w:name w:val="Comment Subject Char"/>
    <w:basedOn w:val="CommentTextChar"/>
    <w:link w:val="CommentSubject"/>
    <w:uiPriority w:val="99"/>
    <w:semiHidden/>
    <w:rsid w:val="00106D58"/>
    <w:rPr>
      <w:b/>
      <w:bCs/>
      <w:sz w:val="20"/>
      <w:szCs w:val="20"/>
    </w:rPr>
  </w:style>
  <w:style w:type="character" w:styleId="Hyperlink">
    <w:name w:val="Hyperlink"/>
    <w:basedOn w:val="DefaultParagraphFont"/>
    <w:uiPriority w:val="99"/>
    <w:unhideWhenUsed/>
    <w:rsid w:val="00E024D6"/>
    <w:rPr>
      <w:color w:val="0000FF" w:themeColor="hyperlink"/>
      <w:u w:val="single"/>
    </w:rPr>
  </w:style>
  <w:style w:type="paragraph" w:styleId="Caption">
    <w:name w:val="caption"/>
    <w:basedOn w:val="Normal"/>
    <w:next w:val="Normal"/>
    <w:uiPriority w:val="35"/>
    <w:unhideWhenUsed/>
    <w:qFormat/>
    <w:rsid w:val="008618B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7886">
      <w:bodyDiv w:val="1"/>
      <w:marLeft w:val="0"/>
      <w:marRight w:val="0"/>
      <w:marTop w:val="0"/>
      <w:marBottom w:val="0"/>
      <w:divBdr>
        <w:top w:val="none" w:sz="0" w:space="0" w:color="auto"/>
        <w:left w:val="none" w:sz="0" w:space="0" w:color="auto"/>
        <w:bottom w:val="none" w:sz="0" w:space="0" w:color="auto"/>
        <w:right w:val="none" w:sz="0" w:space="0" w:color="auto"/>
      </w:divBdr>
    </w:div>
    <w:div w:id="1116756341">
      <w:bodyDiv w:val="1"/>
      <w:marLeft w:val="0"/>
      <w:marRight w:val="0"/>
      <w:marTop w:val="0"/>
      <w:marBottom w:val="0"/>
      <w:divBdr>
        <w:top w:val="none" w:sz="0" w:space="0" w:color="auto"/>
        <w:left w:val="none" w:sz="0" w:space="0" w:color="auto"/>
        <w:bottom w:val="none" w:sz="0" w:space="0" w:color="auto"/>
        <w:right w:val="none" w:sz="0" w:space="0" w:color="auto"/>
      </w:divBdr>
    </w:div>
    <w:div w:id="1301153943">
      <w:bodyDiv w:val="1"/>
      <w:marLeft w:val="0"/>
      <w:marRight w:val="0"/>
      <w:marTop w:val="0"/>
      <w:marBottom w:val="0"/>
      <w:divBdr>
        <w:top w:val="none" w:sz="0" w:space="0" w:color="auto"/>
        <w:left w:val="none" w:sz="0" w:space="0" w:color="auto"/>
        <w:bottom w:val="none" w:sz="0" w:space="0" w:color="auto"/>
        <w:right w:val="none" w:sz="0" w:space="0" w:color="auto"/>
      </w:divBdr>
    </w:div>
    <w:div w:id="1370030165">
      <w:bodyDiv w:val="1"/>
      <w:marLeft w:val="0"/>
      <w:marRight w:val="0"/>
      <w:marTop w:val="0"/>
      <w:marBottom w:val="0"/>
      <w:divBdr>
        <w:top w:val="none" w:sz="0" w:space="0" w:color="auto"/>
        <w:left w:val="none" w:sz="0" w:space="0" w:color="auto"/>
        <w:bottom w:val="none" w:sz="0" w:space="0" w:color="auto"/>
        <w:right w:val="none" w:sz="0" w:space="0" w:color="auto"/>
      </w:divBdr>
    </w:div>
    <w:div w:id="16942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waters@windeyerchamber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Cans"/>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A16090</dc:creator>
  <cp:lastModifiedBy>Miller, Kelli</cp:lastModifiedBy>
  <cp:revision>2</cp:revision>
  <dcterms:created xsi:type="dcterms:W3CDTF">2016-05-09T06:50:00Z</dcterms:created>
  <dcterms:modified xsi:type="dcterms:W3CDTF">2016-05-09T06:50:00Z</dcterms:modified>
</cp:coreProperties>
</file>