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9E589C" w:rsidRDefault="009E589C" w:rsidP="009E589C">
      <w:pPr>
        <w:pStyle w:val="Heading1"/>
        <w:rPr>
          <w:rFonts w:ascii="Arial" w:hAnsi="Arial"/>
          <w:b/>
          <w:bCs w:val="0"/>
          <w:sz w:val="22"/>
        </w:rPr>
      </w:pPr>
      <w:r>
        <w:rPr>
          <w:rFonts w:ascii="Arial" w:hAnsi="Arial"/>
          <w:b/>
          <w:bCs w:val="0"/>
          <w:sz w:val="22"/>
        </w:rPr>
        <w:t>EXPORT FINANCE AND INSURANCE CORPORATION ACT 1991</w:t>
      </w:r>
    </w:p>
    <w:p w:rsidR="009E589C" w:rsidRDefault="009E589C" w:rsidP="009E589C">
      <w:pPr>
        <w:rPr>
          <w:rFonts w:cs="Arial"/>
          <w:b/>
        </w:rPr>
      </w:pPr>
    </w:p>
    <w:p w:rsidR="009E589C" w:rsidRPr="009E589C" w:rsidRDefault="009E589C" w:rsidP="009E589C">
      <w:pPr>
        <w:rPr>
          <w:rFonts w:ascii="Arial" w:hAnsi="Arial" w:cs="Arial"/>
          <w:b/>
          <w:sz w:val="20"/>
          <w:szCs w:val="20"/>
        </w:rPr>
      </w:pPr>
      <w:r w:rsidRPr="009E589C">
        <w:rPr>
          <w:rFonts w:ascii="Arial" w:hAnsi="Arial" w:cs="Arial"/>
          <w:b/>
          <w:sz w:val="20"/>
          <w:szCs w:val="20"/>
        </w:rPr>
        <w:t>NOTIFICATION UNDER SECTION 30(1)</w:t>
      </w:r>
    </w:p>
    <w:p w:rsidR="009E589C" w:rsidRPr="009E589C" w:rsidRDefault="009E589C" w:rsidP="009E589C">
      <w:pPr>
        <w:rPr>
          <w:rFonts w:ascii="Arial" w:hAnsi="Arial" w:cs="Arial"/>
          <w:sz w:val="20"/>
          <w:szCs w:val="20"/>
        </w:rPr>
      </w:pPr>
      <w:r w:rsidRPr="009E589C">
        <w:rPr>
          <w:rFonts w:ascii="Arial" w:hAnsi="Arial" w:cs="Arial"/>
          <w:sz w:val="20"/>
          <w:szCs w:val="20"/>
        </w:rPr>
        <w:t>Export Finance and Insurance Corporation (E</w:t>
      </w:r>
      <w:r>
        <w:rPr>
          <w:rFonts w:ascii="Arial" w:hAnsi="Arial" w:cs="Arial"/>
          <w:sz w:val="20"/>
          <w:szCs w:val="20"/>
        </w:rPr>
        <w:t>fic</w:t>
      </w:r>
      <w:r w:rsidRPr="009E589C">
        <w:rPr>
          <w:rFonts w:ascii="Arial" w:hAnsi="Arial" w:cs="Arial"/>
          <w:sz w:val="20"/>
          <w:szCs w:val="20"/>
        </w:rPr>
        <w:t>) gives notice under Section 30(1) of the Export Finance and Insurance Corporation Act 1991 that it has entered into national interest transactions as below in accordance with a direction or an approval given under Part 5 of that Act.</w:t>
      </w:r>
    </w:p>
    <w:p w:rsidR="009E589C" w:rsidRPr="009E589C" w:rsidRDefault="009E589C" w:rsidP="009E589C">
      <w:pPr>
        <w:rPr>
          <w:rFonts w:ascii="Arial" w:hAnsi="Arial" w:cs="Arial"/>
          <w:b/>
          <w:sz w:val="20"/>
          <w:szCs w:val="20"/>
        </w:rPr>
      </w:pPr>
      <w:r w:rsidRPr="009E589C">
        <w:rPr>
          <w:rFonts w:ascii="Arial" w:hAnsi="Arial" w:cs="Arial"/>
          <w:b/>
          <w:sz w:val="20"/>
          <w:szCs w:val="20"/>
        </w:rPr>
        <w:t xml:space="preserve">GAZETTE NOTIFICATIONS – </w:t>
      </w:r>
      <w:r>
        <w:rPr>
          <w:rFonts w:ascii="Arial" w:hAnsi="Arial" w:cs="Arial"/>
          <w:b/>
          <w:sz w:val="20"/>
          <w:szCs w:val="20"/>
        </w:rPr>
        <w:t>1 July 2016 to 31 July 2016</w:t>
      </w:r>
    </w:p>
    <w:p w:rsidR="009E589C" w:rsidRPr="009E589C" w:rsidRDefault="009E589C" w:rsidP="009E589C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LOANS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418"/>
        <w:gridCol w:w="1559"/>
        <w:gridCol w:w="1418"/>
        <w:gridCol w:w="1558"/>
        <w:gridCol w:w="1559"/>
      </w:tblGrid>
      <w:tr w:rsidR="009E589C" w:rsidRPr="009E589C" w:rsidTr="003F2B58">
        <w:trPr>
          <w:trHeight w:val="250"/>
        </w:trPr>
        <w:tc>
          <w:tcPr>
            <w:tcW w:w="1135" w:type="dxa"/>
          </w:tcPr>
          <w:p w:rsidR="009E589C" w:rsidRPr="009E589C" w:rsidRDefault="009E589C" w:rsidP="00A16F4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134" w:type="dxa"/>
          </w:tcPr>
          <w:p w:rsidR="009E589C" w:rsidRPr="009E589C" w:rsidRDefault="009E589C" w:rsidP="00A16F4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418" w:type="dxa"/>
          </w:tcPr>
          <w:p w:rsidR="009E589C" w:rsidRPr="009E589C" w:rsidRDefault="009E589C" w:rsidP="00A16F4F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559" w:type="dxa"/>
          </w:tcPr>
          <w:p w:rsidR="009E589C" w:rsidRPr="009E589C" w:rsidRDefault="009E589C" w:rsidP="00A16F4F">
            <w:pPr>
              <w:ind w:left="-108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Max. Exp. Facility Limit</w:t>
            </w:r>
          </w:p>
        </w:tc>
        <w:tc>
          <w:tcPr>
            <w:tcW w:w="1418" w:type="dxa"/>
          </w:tcPr>
          <w:p w:rsidR="009E589C" w:rsidRPr="009E589C" w:rsidRDefault="009E589C" w:rsidP="00A16F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Gov’t %</w:t>
            </w:r>
          </w:p>
        </w:tc>
        <w:tc>
          <w:tcPr>
            <w:tcW w:w="1558" w:type="dxa"/>
          </w:tcPr>
          <w:p w:rsidR="009E589C" w:rsidRPr="009E589C" w:rsidRDefault="009E589C" w:rsidP="009E5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59" w:type="dxa"/>
          </w:tcPr>
          <w:p w:rsidR="009E589C" w:rsidRPr="009E589C" w:rsidRDefault="003F2B58" w:rsidP="009E5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</w:t>
            </w:r>
          </w:p>
        </w:tc>
      </w:tr>
      <w:tr w:rsidR="009E589C" w:rsidRPr="009E589C" w:rsidTr="003F2B58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1135" w:type="dxa"/>
          </w:tcPr>
          <w:p w:rsidR="009E589C" w:rsidRPr="009E589C" w:rsidRDefault="000421FA" w:rsidP="000421F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1269/</w:t>
            </w:r>
            <w:r w:rsidR="009E589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E589C" w:rsidRPr="009E589C" w:rsidRDefault="009E589C" w:rsidP="003F2B5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418" w:type="dxa"/>
          </w:tcPr>
          <w:p w:rsidR="009E589C" w:rsidRPr="009E589C" w:rsidRDefault="009E589C" w:rsidP="003F2B58">
            <w:pPr>
              <w:ind w:left="112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BBSY + Margin</w:t>
            </w:r>
          </w:p>
        </w:tc>
        <w:tc>
          <w:tcPr>
            <w:tcW w:w="1559" w:type="dxa"/>
          </w:tcPr>
          <w:p w:rsidR="009E589C" w:rsidRPr="009E589C" w:rsidRDefault="003F2B58" w:rsidP="003F2B58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F2B5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49,200,00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E589C" w:rsidRPr="009E589C" w:rsidRDefault="003F2B58" w:rsidP="003F2B5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8" w:type="dxa"/>
          </w:tcPr>
          <w:p w:rsidR="009E589C" w:rsidRPr="009E589C" w:rsidRDefault="003F2B58" w:rsidP="003F2B58">
            <w:pPr>
              <w:ind w:left="111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F2B5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22 July 2016</w:t>
            </w:r>
          </w:p>
        </w:tc>
        <w:tc>
          <w:tcPr>
            <w:tcW w:w="1559" w:type="dxa"/>
          </w:tcPr>
          <w:p w:rsidR="009E589C" w:rsidRPr="009E589C" w:rsidRDefault="003F2B58" w:rsidP="003F2B58">
            <w:pPr>
              <w:ind w:left="111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18 months</w:t>
            </w:r>
          </w:p>
        </w:tc>
      </w:tr>
      <w:tr w:rsidR="009E589C" w:rsidRPr="009E589C" w:rsidTr="003F2B58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1135" w:type="dxa"/>
          </w:tcPr>
          <w:p w:rsidR="009E589C" w:rsidRPr="009E589C" w:rsidRDefault="009E589C" w:rsidP="00A16F4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589C" w:rsidRPr="009E589C" w:rsidRDefault="009E589C" w:rsidP="00A16F4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89C" w:rsidRPr="009E589C" w:rsidRDefault="009E589C" w:rsidP="00A16F4F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589C" w:rsidRPr="009E589C" w:rsidRDefault="009E589C" w:rsidP="00A16F4F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89C" w:rsidRPr="009E589C" w:rsidRDefault="009E589C" w:rsidP="00A16F4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9E589C" w:rsidRPr="009E589C" w:rsidRDefault="009E589C" w:rsidP="00A16F4F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589C" w:rsidRPr="009E589C" w:rsidRDefault="009E589C" w:rsidP="00A16F4F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9E589C" w:rsidRPr="009E589C" w:rsidRDefault="003F2B58" w:rsidP="009E589C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>Efic</w:t>
      </w:r>
      <w:r w:rsidR="009E589C" w:rsidRPr="009E589C">
        <w:rPr>
          <w:rFonts w:cs="Arial"/>
          <w:sz w:val="20"/>
        </w:rPr>
        <w:t xml:space="preserve"> did not enter into any Export Working Capital Guarantee, </w:t>
      </w:r>
      <w:r>
        <w:rPr>
          <w:rFonts w:cs="Arial"/>
          <w:sz w:val="20"/>
        </w:rPr>
        <w:t>Bond</w:t>
      </w:r>
      <w:r w:rsidR="009E589C" w:rsidRPr="009E589C">
        <w:rPr>
          <w:rFonts w:cs="Arial"/>
          <w:sz w:val="20"/>
        </w:rPr>
        <w:t>, Overseas Investment Insurance, Political Risk Insurance or Credit Insurance National Interest transactions during the reporting period.</w:t>
      </w:r>
    </w:p>
    <w:p w:rsidR="009E589C" w:rsidRDefault="009E589C" w:rsidP="009E589C">
      <w:pPr>
        <w:pStyle w:val="Header"/>
        <w:rPr>
          <w:rFonts w:ascii="Arial" w:hAnsi="Arial" w:cs="Arial"/>
        </w:rPr>
      </w:pPr>
    </w:p>
    <w:p w:rsidR="009E589C" w:rsidRPr="00424B97" w:rsidRDefault="009E589C" w:rsidP="00424B97"/>
    <w:sectPr w:rsidR="009E589C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82" w:rsidRDefault="00383382" w:rsidP="003A707F">
      <w:pPr>
        <w:spacing w:after="0" w:line="240" w:lineRule="auto"/>
      </w:pPr>
      <w:r>
        <w:separator/>
      </w:r>
    </w:p>
  </w:endnote>
  <w:endnote w:type="continuationSeparator" w:id="0">
    <w:p w:rsidR="00383382" w:rsidRDefault="0038338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82" w:rsidRDefault="00383382" w:rsidP="003A707F">
      <w:pPr>
        <w:spacing w:after="0" w:line="240" w:lineRule="auto"/>
      </w:pPr>
      <w:r>
        <w:separator/>
      </w:r>
    </w:p>
  </w:footnote>
  <w:footnote w:type="continuationSeparator" w:id="0">
    <w:p w:rsidR="00383382" w:rsidRDefault="0038338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21FA"/>
    <w:rsid w:val="000E1F2B"/>
    <w:rsid w:val="001C2AAD"/>
    <w:rsid w:val="001F6E54"/>
    <w:rsid w:val="00280BCD"/>
    <w:rsid w:val="00381BF3"/>
    <w:rsid w:val="00383382"/>
    <w:rsid w:val="003A707F"/>
    <w:rsid w:val="003B0EC1"/>
    <w:rsid w:val="003B573B"/>
    <w:rsid w:val="003F2B58"/>
    <w:rsid w:val="003F2CBD"/>
    <w:rsid w:val="00424B97"/>
    <w:rsid w:val="00461FD4"/>
    <w:rsid w:val="0047655C"/>
    <w:rsid w:val="004B2753"/>
    <w:rsid w:val="00520873"/>
    <w:rsid w:val="00573D44"/>
    <w:rsid w:val="00825A3E"/>
    <w:rsid w:val="00840A06"/>
    <w:rsid w:val="008439B7"/>
    <w:rsid w:val="008558CA"/>
    <w:rsid w:val="0087253F"/>
    <w:rsid w:val="008E4F6C"/>
    <w:rsid w:val="009539C7"/>
    <w:rsid w:val="009E589C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7E013"/>
  <w15:docId w15:val="{D61E9E3D-50F8-446E-91D3-2337327E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89C"/>
    <w:pPr>
      <w:keepNext/>
      <w:spacing w:before="240" w:after="60" w:line="240" w:lineRule="auto"/>
      <w:outlineLvl w:val="0"/>
    </w:pPr>
    <w:rPr>
      <w:rFonts w:ascii="Helvetica 55 Roman" w:eastAsia="Times" w:hAnsi="Helvetica 55 Roman"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9E589C"/>
    <w:rPr>
      <w:rFonts w:ascii="Helvetica 55 Roman" w:eastAsia="Times" w:hAnsi="Helvetica 55 Roman" w:cs="Arial"/>
      <w:bCs/>
      <w:kern w:val="32"/>
      <w:sz w:val="40"/>
      <w:szCs w:val="32"/>
    </w:rPr>
  </w:style>
  <w:style w:type="paragraph" w:styleId="BodyText">
    <w:name w:val="Body Text"/>
    <w:basedOn w:val="Normal"/>
    <w:link w:val="BodyTextChar"/>
    <w:rsid w:val="009E589C"/>
    <w:pPr>
      <w:spacing w:after="0" w:line="240" w:lineRule="auto"/>
    </w:pPr>
    <w:rPr>
      <w:rFonts w:ascii="Arial" w:eastAsia="Times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9E589C"/>
    <w:rPr>
      <w:rFonts w:ascii="Arial" w:eastAsia="Times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54F8-4298-4B91-A2CC-6928BFBD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Elizabeth Han</cp:lastModifiedBy>
  <cp:revision>5</cp:revision>
  <cp:lastPrinted>2013-06-24T01:35:00Z</cp:lastPrinted>
  <dcterms:created xsi:type="dcterms:W3CDTF">2016-08-03T00:19:00Z</dcterms:created>
  <dcterms:modified xsi:type="dcterms:W3CDTF">2016-08-09T23:13:00Z</dcterms:modified>
</cp:coreProperties>
</file>