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8D0A06" w:rsidRDefault="00114CB2" w:rsidP="008D0A06">
      <w:pPr>
        <w:spacing w:after="200"/>
        <w:rPr>
          <w:noProof/>
          <w:sz w:val="18"/>
          <w:szCs w:val="18"/>
        </w:rPr>
      </w:pPr>
    </w:p>
    <w:p w:rsidR="00114CB2" w:rsidRPr="00141674" w:rsidRDefault="00114CB2" w:rsidP="00851F51">
      <w:pPr>
        <w:spacing w:after="80"/>
        <w:jc w:val="center"/>
        <w:rPr>
          <w:rFonts w:cs="Arial"/>
          <w:b/>
          <w:sz w:val="18"/>
          <w:szCs w:val="18"/>
        </w:rPr>
      </w:pPr>
      <w:r w:rsidRPr="00141674">
        <w:rPr>
          <w:rFonts w:cs="Arial"/>
          <w:b/>
          <w:sz w:val="18"/>
          <w:szCs w:val="18"/>
        </w:rPr>
        <w:t>COMMISSIONER OF TAXATION</w:t>
      </w:r>
    </w:p>
    <w:p w:rsidR="00114CB2" w:rsidRDefault="00114CB2" w:rsidP="00851F5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Branches of the Australian Taxation Office or at </w:t>
      </w:r>
      <w:hyperlink r:id="rId9" w:history="1">
        <w:r w:rsidRPr="00141674">
          <w:rPr>
            <w:rStyle w:val="Hyperlink"/>
            <w:rFonts w:cs="Arial"/>
            <w:sz w:val="18"/>
            <w:szCs w:val="18"/>
          </w:rPr>
          <w:t>http://law.ato.gov.au</w:t>
        </w:r>
      </w:hyperlink>
      <w:r w:rsidRPr="00141674">
        <w:rPr>
          <w:rFonts w:cs="Arial"/>
          <w:sz w:val="18"/>
          <w:szCs w:val="18"/>
        </w:rPr>
        <w:t>.</w:t>
      </w:r>
    </w:p>
    <w:tbl>
      <w:tblPr>
        <w:tblW w:w="9923" w:type="dxa"/>
        <w:tblLayout w:type="fixed"/>
        <w:tblLook w:val="0000" w:firstRow="0" w:lastRow="0" w:firstColumn="0" w:lastColumn="0" w:noHBand="0" w:noVBand="0"/>
      </w:tblPr>
      <w:tblGrid>
        <w:gridCol w:w="1984"/>
        <w:gridCol w:w="3686"/>
        <w:gridCol w:w="4253"/>
      </w:tblGrid>
      <w:tr w:rsidR="008D0A06" w:rsidRPr="00851F51"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851F51">
            <w:pPr>
              <w:pStyle w:val="Heading3"/>
              <w:keepLines/>
              <w:spacing w:before="80" w:after="80"/>
              <w:jc w:val="center"/>
              <w:rPr>
                <w:sz w:val="20"/>
                <w:szCs w:val="20"/>
              </w:rPr>
            </w:pPr>
            <w:r w:rsidRPr="00851F51">
              <w:rPr>
                <w:sz w:val="20"/>
                <w:szCs w:val="20"/>
              </w:rPr>
              <w:t>NOTICE OF RULINGS</w:t>
            </w:r>
          </w:p>
        </w:tc>
      </w:tr>
      <w:tr w:rsidR="00114CB2" w:rsidRPr="00851F51"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Brief Description</w:t>
            </w:r>
          </w:p>
        </w:tc>
      </w:tr>
      <w:tr w:rsidR="00E823AE"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C103F0" w:rsidRDefault="00E95F38" w:rsidP="00C20327">
            <w:pPr>
              <w:pStyle w:val="Header"/>
              <w:spacing w:before="40" w:after="40"/>
              <w:rPr>
                <w:rFonts w:cs="Arial"/>
                <w:sz w:val="20"/>
                <w:szCs w:val="20"/>
              </w:rPr>
            </w:pPr>
            <w:r w:rsidRPr="00C103F0">
              <w:rPr>
                <w:rFonts w:cs="Arial"/>
                <w:sz w:val="20"/>
                <w:szCs w:val="20"/>
              </w:rPr>
              <w:t>CR 2016/62</w:t>
            </w:r>
          </w:p>
        </w:tc>
        <w:tc>
          <w:tcPr>
            <w:tcW w:w="3686" w:type="dxa"/>
            <w:tcBorders>
              <w:top w:val="single" w:sz="6" w:space="0" w:color="auto"/>
              <w:left w:val="single" w:sz="6" w:space="0" w:color="auto"/>
              <w:bottom w:val="single" w:sz="6" w:space="0" w:color="auto"/>
              <w:right w:val="single" w:sz="6" w:space="0" w:color="auto"/>
            </w:tcBorders>
          </w:tcPr>
          <w:p w:rsidR="00E823AE" w:rsidRPr="00C103F0" w:rsidRDefault="00E95F38" w:rsidP="00C20327">
            <w:pPr>
              <w:spacing w:before="40" w:after="40"/>
              <w:rPr>
                <w:rFonts w:cs="Arial"/>
                <w:sz w:val="20"/>
                <w:szCs w:val="20"/>
              </w:rPr>
            </w:pPr>
            <w:r w:rsidRPr="00C103F0">
              <w:rPr>
                <w:rFonts w:cs="Arial"/>
                <w:sz w:val="20"/>
                <w:szCs w:val="20"/>
              </w:rPr>
              <w:t>Income tax:  ‘The Utilities Management Early Retirement Scheme 2016’</w:t>
            </w:r>
          </w:p>
        </w:tc>
        <w:tc>
          <w:tcPr>
            <w:tcW w:w="4253" w:type="dxa"/>
            <w:tcBorders>
              <w:top w:val="single" w:sz="6" w:space="0" w:color="auto"/>
              <w:left w:val="single" w:sz="6" w:space="0" w:color="auto"/>
              <w:bottom w:val="single" w:sz="6" w:space="0" w:color="auto"/>
              <w:right w:val="single" w:sz="6" w:space="0" w:color="auto"/>
            </w:tcBorders>
          </w:tcPr>
          <w:p w:rsidR="00C103F0" w:rsidRDefault="00E95F38" w:rsidP="00C20327">
            <w:pPr>
              <w:pStyle w:val="Header"/>
              <w:spacing w:before="40" w:after="40"/>
              <w:rPr>
                <w:sz w:val="20"/>
                <w:szCs w:val="20"/>
              </w:rPr>
            </w:pPr>
            <w:r w:rsidRPr="00C103F0">
              <w:rPr>
                <w:rFonts w:eastAsia="Arial"/>
                <w:sz w:val="20"/>
                <w:szCs w:val="20"/>
                <w:lang w:eastAsia="en-AU"/>
              </w:rPr>
              <w:t xml:space="preserve">The </w:t>
            </w:r>
            <w:r w:rsidR="00816EE2" w:rsidRPr="00C103F0">
              <w:rPr>
                <w:rFonts w:eastAsia="Arial"/>
                <w:sz w:val="20"/>
                <w:szCs w:val="20"/>
                <w:lang w:eastAsia="en-AU"/>
              </w:rPr>
              <w:t>R</w:t>
            </w:r>
            <w:r w:rsidRPr="00C103F0">
              <w:rPr>
                <w:rFonts w:eastAsia="Arial"/>
                <w:sz w:val="20"/>
                <w:szCs w:val="20"/>
                <w:lang w:eastAsia="en-AU"/>
              </w:rPr>
              <w:t xml:space="preserve">uling sets out the Commissioner’s </w:t>
            </w:r>
            <w:r w:rsidR="00C3382D" w:rsidRPr="00C103F0">
              <w:rPr>
                <w:rFonts w:eastAsia="Arial"/>
                <w:sz w:val="20"/>
                <w:szCs w:val="20"/>
                <w:lang w:eastAsia="en-AU"/>
              </w:rPr>
              <w:t xml:space="preserve">position </w:t>
            </w:r>
            <w:r w:rsidR="00B42AC5" w:rsidRPr="00C103F0">
              <w:rPr>
                <w:rFonts w:eastAsia="Arial"/>
                <w:sz w:val="20"/>
                <w:szCs w:val="20"/>
                <w:lang w:eastAsia="en-AU"/>
              </w:rPr>
              <w:t xml:space="preserve">for employees of </w:t>
            </w:r>
            <w:r w:rsidRPr="00C103F0">
              <w:rPr>
                <w:rFonts w:eastAsia="Times New Roman"/>
                <w:sz w:val="20"/>
                <w:szCs w:val="20"/>
                <w:lang w:eastAsia="en-AU"/>
              </w:rPr>
              <w:t>Utilities Management Pty Ltd</w:t>
            </w:r>
            <w:r w:rsidR="00B42AC5" w:rsidRPr="00C103F0">
              <w:rPr>
                <w:sz w:val="20"/>
                <w:szCs w:val="20"/>
              </w:rPr>
              <w:t xml:space="preserve"> who receive a payment under the scheme described in the Ruling</w:t>
            </w:r>
            <w:r w:rsidR="00C220AD" w:rsidRPr="00C103F0">
              <w:rPr>
                <w:sz w:val="20"/>
                <w:szCs w:val="20"/>
              </w:rPr>
              <w:t>.</w:t>
            </w:r>
          </w:p>
          <w:p w:rsidR="00E95F38" w:rsidRPr="00C103F0" w:rsidRDefault="00E95F38" w:rsidP="00C20327">
            <w:pPr>
              <w:pStyle w:val="Header"/>
              <w:spacing w:before="40" w:after="40"/>
              <w:rPr>
                <w:rFonts w:cs="Arial"/>
                <w:sz w:val="20"/>
                <w:szCs w:val="20"/>
              </w:rPr>
            </w:pPr>
            <w:r w:rsidRPr="00C103F0">
              <w:rPr>
                <w:rFonts w:eastAsia="Times New Roman"/>
                <w:sz w:val="20"/>
                <w:szCs w:val="20"/>
                <w:lang w:eastAsia="en-AU"/>
              </w:rPr>
              <w:t xml:space="preserve">The Ruling applies from </w:t>
            </w:r>
            <w:r w:rsidRPr="00C103F0">
              <w:rPr>
                <w:sz w:val="20"/>
                <w:szCs w:val="20"/>
              </w:rPr>
              <w:t>14 September 2016 to 16 December 2016</w:t>
            </w:r>
            <w:r w:rsidRPr="00C103F0">
              <w:rPr>
                <w:i/>
                <w:sz w:val="20"/>
                <w:szCs w:val="20"/>
              </w:rPr>
              <w:t>.</w:t>
            </w:r>
          </w:p>
        </w:tc>
      </w:tr>
      <w:tr w:rsidR="00E823AE"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C103F0" w:rsidRDefault="00E95F38" w:rsidP="00C20327">
            <w:pPr>
              <w:pStyle w:val="Header"/>
              <w:spacing w:before="40" w:after="40"/>
              <w:rPr>
                <w:rFonts w:cs="Arial"/>
                <w:sz w:val="20"/>
                <w:szCs w:val="20"/>
              </w:rPr>
            </w:pPr>
            <w:r w:rsidRPr="00C103F0">
              <w:rPr>
                <w:rFonts w:cs="Arial"/>
                <w:sz w:val="20"/>
                <w:szCs w:val="20"/>
              </w:rPr>
              <w:t>CR 2016/63</w:t>
            </w:r>
          </w:p>
        </w:tc>
        <w:tc>
          <w:tcPr>
            <w:tcW w:w="3686" w:type="dxa"/>
            <w:tcBorders>
              <w:top w:val="single" w:sz="6" w:space="0" w:color="auto"/>
              <w:left w:val="single" w:sz="6" w:space="0" w:color="auto"/>
              <w:bottom w:val="single" w:sz="6" w:space="0" w:color="auto"/>
              <w:right w:val="single" w:sz="6" w:space="0" w:color="auto"/>
            </w:tcBorders>
          </w:tcPr>
          <w:p w:rsidR="00E823AE" w:rsidRPr="00C103F0" w:rsidRDefault="00E95F38" w:rsidP="00C20327">
            <w:pPr>
              <w:pStyle w:val="Header"/>
              <w:spacing w:before="40" w:after="40"/>
              <w:rPr>
                <w:rFonts w:cs="Arial"/>
                <w:sz w:val="20"/>
                <w:szCs w:val="20"/>
              </w:rPr>
            </w:pPr>
            <w:r w:rsidRPr="00C103F0">
              <w:rPr>
                <w:rFonts w:cs="Arial"/>
                <w:sz w:val="20"/>
                <w:szCs w:val="20"/>
              </w:rPr>
              <w:t>Income tax:  return of capital: Intrepid Mines Limited</w:t>
            </w:r>
          </w:p>
        </w:tc>
        <w:tc>
          <w:tcPr>
            <w:tcW w:w="4253" w:type="dxa"/>
            <w:tcBorders>
              <w:top w:val="single" w:sz="6" w:space="0" w:color="auto"/>
              <w:left w:val="single" w:sz="6" w:space="0" w:color="auto"/>
              <w:bottom w:val="single" w:sz="6" w:space="0" w:color="auto"/>
              <w:right w:val="single" w:sz="6" w:space="0" w:color="auto"/>
            </w:tcBorders>
          </w:tcPr>
          <w:p w:rsidR="00E823AE" w:rsidRPr="00C103F0" w:rsidRDefault="00816EE2" w:rsidP="00C20327">
            <w:pPr>
              <w:pStyle w:val="Header"/>
              <w:spacing w:before="40" w:after="40"/>
              <w:rPr>
                <w:sz w:val="20"/>
                <w:szCs w:val="20"/>
              </w:rPr>
            </w:pPr>
            <w:r w:rsidRPr="00C103F0">
              <w:rPr>
                <w:rFonts w:eastAsia="Arial"/>
                <w:sz w:val="20"/>
                <w:szCs w:val="20"/>
                <w:lang w:eastAsia="en-AU"/>
              </w:rPr>
              <w:t xml:space="preserve">The Ruling sets out the Commissioner’s </w:t>
            </w:r>
            <w:r w:rsidR="00C3382D" w:rsidRPr="00C103F0">
              <w:rPr>
                <w:rFonts w:eastAsia="Arial"/>
                <w:sz w:val="20"/>
                <w:szCs w:val="20"/>
                <w:lang w:eastAsia="en-AU"/>
              </w:rPr>
              <w:t xml:space="preserve">position </w:t>
            </w:r>
            <w:r w:rsidR="00C220AD" w:rsidRPr="00C103F0">
              <w:rPr>
                <w:rFonts w:eastAsia="Arial"/>
                <w:sz w:val="20"/>
                <w:szCs w:val="20"/>
                <w:lang w:eastAsia="en-AU"/>
              </w:rPr>
              <w:t xml:space="preserve">for </w:t>
            </w:r>
            <w:r w:rsidR="00C220AD" w:rsidRPr="00C103F0">
              <w:rPr>
                <w:sz w:val="20"/>
                <w:szCs w:val="20"/>
              </w:rPr>
              <w:t>holders of ordinary shares in Intrepid Mines Limited.</w:t>
            </w:r>
          </w:p>
          <w:p w:rsidR="00816EE2" w:rsidRPr="00C103F0" w:rsidRDefault="00816EE2" w:rsidP="00C20327">
            <w:pPr>
              <w:pStyle w:val="Header"/>
              <w:spacing w:before="40" w:after="40"/>
              <w:rPr>
                <w:rFonts w:cs="Arial"/>
                <w:sz w:val="20"/>
                <w:szCs w:val="20"/>
              </w:rPr>
            </w:pPr>
            <w:r w:rsidRPr="00C103F0">
              <w:rPr>
                <w:sz w:val="20"/>
                <w:szCs w:val="20"/>
              </w:rPr>
              <w:t>The Ruling applies from 1 July 2016 to 30 June 2017</w:t>
            </w:r>
            <w:r w:rsidR="009A5B4F" w:rsidRPr="00C103F0">
              <w:rPr>
                <w:sz w:val="20"/>
                <w:szCs w:val="20"/>
              </w:rPr>
              <w:t>.</w:t>
            </w:r>
          </w:p>
        </w:tc>
      </w:tr>
      <w:tr w:rsidR="00E95F38"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95F38" w:rsidRPr="00C103F0" w:rsidRDefault="00E95F38" w:rsidP="00C20327">
            <w:pPr>
              <w:pStyle w:val="Header"/>
              <w:spacing w:before="40" w:after="40"/>
              <w:rPr>
                <w:rFonts w:cs="Arial"/>
                <w:sz w:val="20"/>
                <w:szCs w:val="20"/>
              </w:rPr>
            </w:pPr>
            <w:r w:rsidRPr="00C103F0">
              <w:rPr>
                <w:rFonts w:cs="Arial"/>
                <w:sz w:val="20"/>
                <w:szCs w:val="20"/>
              </w:rPr>
              <w:t>CR 2016/64</w:t>
            </w:r>
          </w:p>
        </w:tc>
        <w:tc>
          <w:tcPr>
            <w:tcW w:w="3686" w:type="dxa"/>
            <w:tcBorders>
              <w:top w:val="single" w:sz="6" w:space="0" w:color="auto"/>
              <w:left w:val="single" w:sz="6" w:space="0" w:color="auto"/>
              <w:bottom w:val="single" w:sz="6" w:space="0" w:color="auto"/>
              <w:right w:val="single" w:sz="6" w:space="0" w:color="auto"/>
            </w:tcBorders>
          </w:tcPr>
          <w:p w:rsidR="00E95F38" w:rsidRPr="00C103F0" w:rsidRDefault="00E95F38" w:rsidP="00C20327">
            <w:pPr>
              <w:spacing w:before="40" w:after="40"/>
              <w:rPr>
                <w:rFonts w:cs="Arial"/>
                <w:sz w:val="20"/>
                <w:szCs w:val="20"/>
              </w:rPr>
            </w:pPr>
            <w:r w:rsidRPr="00C103F0">
              <w:rPr>
                <w:rFonts w:cs="Arial"/>
                <w:sz w:val="20"/>
                <w:szCs w:val="20"/>
              </w:rPr>
              <w:t xml:space="preserve">Goods and services tax:  liquidation - Great Southern Plantation and </w:t>
            </w:r>
            <w:proofErr w:type="spellStart"/>
            <w:r w:rsidRPr="00C103F0">
              <w:rPr>
                <w:rFonts w:cs="Arial"/>
                <w:sz w:val="20"/>
                <w:szCs w:val="20"/>
              </w:rPr>
              <w:t>Gunns</w:t>
            </w:r>
            <w:proofErr w:type="spellEnd"/>
            <w:r w:rsidRPr="00C103F0">
              <w:rPr>
                <w:rFonts w:cs="Arial"/>
                <w:sz w:val="20"/>
                <w:szCs w:val="20"/>
              </w:rPr>
              <w:t xml:space="preserve"> Plantations Limited Woodlot Schemes</w:t>
            </w:r>
          </w:p>
        </w:tc>
        <w:tc>
          <w:tcPr>
            <w:tcW w:w="4253" w:type="dxa"/>
            <w:tcBorders>
              <w:top w:val="single" w:sz="6" w:space="0" w:color="auto"/>
              <w:left w:val="single" w:sz="6" w:space="0" w:color="auto"/>
              <w:bottom w:val="single" w:sz="6" w:space="0" w:color="auto"/>
              <w:right w:val="single" w:sz="6" w:space="0" w:color="auto"/>
            </w:tcBorders>
          </w:tcPr>
          <w:p w:rsidR="00E95F38" w:rsidRPr="00C103F0" w:rsidRDefault="00816EE2" w:rsidP="00C20327">
            <w:pPr>
              <w:pStyle w:val="Header"/>
              <w:spacing w:before="40" w:after="40"/>
              <w:rPr>
                <w:sz w:val="20"/>
                <w:szCs w:val="20"/>
              </w:rPr>
            </w:pPr>
            <w:r w:rsidRPr="00C103F0">
              <w:rPr>
                <w:sz w:val="20"/>
                <w:szCs w:val="20"/>
              </w:rPr>
              <w:t xml:space="preserve">The Ruling sets out the Commissioner’s </w:t>
            </w:r>
            <w:r w:rsidR="00C3382D" w:rsidRPr="00C103F0">
              <w:rPr>
                <w:sz w:val="20"/>
                <w:szCs w:val="20"/>
              </w:rPr>
              <w:t xml:space="preserve">position </w:t>
            </w:r>
            <w:r w:rsidRPr="00C103F0">
              <w:rPr>
                <w:sz w:val="20"/>
                <w:szCs w:val="20"/>
              </w:rPr>
              <w:t xml:space="preserve">on entities </w:t>
            </w:r>
            <w:r w:rsidR="009A5B4F" w:rsidRPr="00C103F0">
              <w:rPr>
                <w:sz w:val="20"/>
                <w:szCs w:val="20"/>
              </w:rPr>
              <w:t xml:space="preserve">who participated in Great Southern Plantation and </w:t>
            </w:r>
            <w:proofErr w:type="spellStart"/>
            <w:r w:rsidR="009A5B4F" w:rsidRPr="00C103F0">
              <w:rPr>
                <w:sz w:val="20"/>
                <w:szCs w:val="20"/>
              </w:rPr>
              <w:t>Gunns</w:t>
            </w:r>
            <w:proofErr w:type="spellEnd"/>
            <w:r w:rsidR="009A5B4F" w:rsidRPr="00C103F0">
              <w:rPr>
                <w:sz w:val="20"/>
                <w:szCs w:val="20"/>
              </w:rPr>
              <w:t xml:space="preserve"> Plantations Limited Woodlot Schemes.</w:t>
            </w:r>
          </w:p>
          <w:p w:rsidR="009A5B4F" w:rsidRPr="00C103F0" w:rsidRDefault="009A5B4F" w:rsidP="00C20327">
            <w:pPr>
              <w:pStyle w:val="Header"/>
              <w:spacing w:before="40" w:after="40"/>
              <w:rPr>
                <w:rFonts w:cs="Arial"/>
                <w:sz w:val="20"/>
                <w:szCs w:val="20"/>
              </w:rPr>
            </w:pPr>
            <w:r w:rsidRPr="00C103F0">
              <w:rPr>
                <w:sz w:val="20"/>
                <w:szCs w:val="20"/>
              </w:rPr>
              <w:t xml:space="preserve">The Ruling applies </w:t>
            </w:r>
            <w:r w:rsidR="00351238" w:rsidRPr="00C103F0">
              <w:rPr>
                <w:sz w:val="20"/>
                <w:szCs w:val="20"/>
              </w:rPr>
              <w:t>from 1 July 2013</w:t>
            </w:r>
          </w:p>
        </w:tc>
      </w:tr>
      <w:tr w:rsidR="00A74E12"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A74E12" w:rsidRPr="00C103F0" w:rsidRDefault="00C20327" w:rsidP="00C20327">
            <w:pPr>
              <w:pStyle w:val="Header"/>
              <w:spacing w:before="40" w:after="40"/>
              <w:rPr>
                <w:rFonts w:cs="Arial"/>
                <w:sz w:val="20"/>
                <w:szCs w:val="20"/>
              </w:rPr>
            </w:pPr>
            <w:r w:rsidRPr="00C103F0">
              <w:rPr>
                <w:rFonts w:cs="Arial"/>
                <w:sz w:val="20"/>
                <w:szCs w:val="20"/>
              </w:rPr>
              <w:t>FTD 2016/1</w:t>
            </w:r>
          </w:p>
        </w:tc>
        <w:tc>
          <w:tcPr>
            <w:tcW w:w="3686" w:type="dxa"/>
            <w:tcBorders>
              <w:top w:val="single" w:sz="6" w:space="0" w:color="auto"/>
              <w:left w:val="single" w:sz="6" w:space="0" w:color="auto"/>
              <w:bottom w:val="single" w:sz="6" w:space="0" w:color="auto"/>
              <w:right w:val="single" w:sz="6" w:space="0" w:color="auto"/>
            </w:tcBorders>
          </w:tcPr>
          <w:p w:rsidR="00A74E12" w:rsidRPr="00C103F0" w:rsidRDefault="00C20327" w:rsidP="00C20327">
            <w:pPr>
              <w:spacing w:before="40" w:after="40"/>
              <w:rPr>
                <w:rFonts w:cs="Arial"/>
                <w:sz w:val="20"/>
                <w:szCs w:val="20"/>
              </w:rPr>
            </w:pPr>
            <w:r w:rsidRPr="00C103F0">
              <w:rPr>
                <w:rFonts w:cs="Arial"/>
                <w:sz w:val="20"/>
                <w:szCs w:val="20"/>
              </w:rPr>
              <w:t>Fuel tax:  fuel tax credits – fuel used for idling and cabin air conditioning of a vehicle on a public road</w:t>
            </w:r>
          </w:p>
        </w:tc>
        <w:tc>
          <w:tcPr>
            <w:tcW w:w="4253" w:type="dxa"/>
            <w:tcBorders>
              <w:top w:val="single" w:sz="6" w:space="0" w:color="auto"/>
              <w:left w:val="single" w:sz="6" w:space="0" w:color="auto"/>
              <w:bottom w:val="single" w:sz="6" w:space="0" w:color="auto"/>
              <w:right w:val="single" w:sz="6" w:space="0" w:color="auto"/>
            </w:tcBorders>
          </w:tcPr>
          <w:p w:rsidR="00A74E12" w:rsidRPr="00C103F0" w:rsidRDefault="00C20327" w:rsidP="00C20327">
            <w:pPr>
              <w:pStyle w:val="Header"/>
              <w:spacing w:before="40" w:after="40"/>
              <w:rPr>
                <w:sz w:val="20"/>
                <w:szCs w:val="20"/>
              </w:rPr>
            </w:pPr>
            <w:r w:rsidRPr="00C103F0">
              <w:rPr>
                <w:sz w:val="20"/>
                <w:szCs w:val="20"/>
              </w:rPr>
              <w:t xml:space="preserve">The Determination sets out the Commissioners </w:t>
            </w:r>
            <w:r w:rsidR="00C3382D" w:rsidRPr="00C103F0">
              <w:rPr>
                <w:sz w:val="20"/>
                <w:szCs w:val="20"/>
              </w:rPr>
              <w:t xml:space="preserve">position </w:t>
            </w:r>
            <w:r w:rsidRPr="00C103F0">
              <w:rPr>
                <w:sz w:val="20"/>
                <w:szCs w:val="20"/>
              </w:rPr>
              <w:t xml:space="preserve">on the </w:t>
            </w:r>
            <w:r w:rsidR="00C3382D" w:rsidRPr="00C103F0">
              <w:rPr>
                <w:sz w:val="20"/>
                <w:szCs w:val="20"/>
              </w:rPr>
              <w:t>fuel used for idling and cabin air conditioning of a vehicle on a public road</w:t>
            </w:r>
            <w:r w:rsidRPr="00C103F0">
              <w:rPr>
                <w:sz w:val="20"/>
                <w:szCs w:val="20"/>
              </w:rPr>
              <w:t>.</w:t>
            </w:r>
          </w:p>
          <w:p w:rsidR="00C20327" w:rsidRPr="00C103F0" w:rsidRDefault="00C20327" w:rsidP="00C20327">
            <w:pPr>
              <w:pStyle w:val="Header"/>
              <w:spacing w:before="40" w:after="40"/>
              <w:rPr>
                <w:sz w:val="20"/>
                <w:szCs w:val="20"/>
              </w:rPr>
            </w:pPr>
            <w:r w:rsidRPr="00C103F0">
              <w:rPr>
                <w:sz w:val="20"/>
                <w:szCs w:val="20"/>
              </w:rPr>
              <w:t>The Determination applies from 1 July 2006</w:t>
            </w:r>
            <w:r w:rsidR="000F0C1F" w:rsidRPr="00C103F0">
              <w:rPr>
                <w:sz w:val="20"/>
                <w:szCs w:val="20"/>
              </w:rPr>
              <w:t>.</w:t>
            </w:r>
          </w:p>
        </w:tc>
      </w:tr>
    </w:tbl>
    <w:p w:rsidR="00114CB2" w:rsidRPr="008D0A06"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rsidTr="006F0BED">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6F0BED">
            <w:pPr>
              <w:pStyle w:val="Heading3"/>
              <w:keepLines/>
              <w:spacing w:before="80" w:after="80"/>
              <w:jc w:val="center"/>
              <w:rPr>
                <w:sz w:val="20"/>
                <w:szCs w:val="20"/>
              </w:rPr>
            </w:pPr>
            <w:r w:rsidRPr="00851F51">
              <w:rPr>
                <w:sz w:val="20"/>
                <w:szCs w:val="20"/>
              </w:rPr>
              <w:t>NOTICE OF ADDENDA</w:t>
            </w:r>
          </w:p>
        </w:tc>
      </w:tr>
      <w:tr w:rsidR="008D0A06" w:rsidRPr="00851F51"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Brief Description</w:t>
            </w:r>
          </w:p>
        </w:tc>
      </w:tr>
      <w:tr w:rsidR="00C20327" w:rsidRPr="002F3FFB"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C20327" w:rsidRPr="00AD7417" w:rsidRDefault="00C20327" w:rsidP="00C20327">
            <w:pPr>
              <w:pStyle w:val="Header"/>
              <w:spacing w:before="40" w:after="40"/>
              <w:rPr>
                <w:rFonts w:cs="Arial"/>
                <w:sz w:val="20"/>
                <w:szCs w:val="20"/>
              </w:rPr>
            </w:pPr>
            <w:r w:rsidRPr="00AD7417">
              <w:rPr>
                <w:rFonts w:cs="Arial"/>
                <w:sz w:val="20"/>
                <w:szCs w:val="20"/>
              </w:rPr>
              <w:t>FTR 2008/1</w:t>
            </w:r>
          </w:p>
        </w:tc>
        <w:tc>
          <w:tcPr>
            <w:tcW w:w="3686" w:type="dxa"/>
            <w:tcBorders>
              <w:top w:val="single" w:sz="6" w:space="0" w:color="auto"/>
              <w:left w:val="single" w:sz="6" w:space="0" w:color="auto"/>
              <w:bottom w:val="single" w:sz="6" w:space="0" w:color="auto"/>
              <w:right w:val="single" w:sz="6" w:space="0" w:color="auto"/>
            </w:tcBorders>
          </w:tcPr>
          <w:p w:rsidR="00C20327" w:rsidRPr="00C103F0" w:rsidRDefault="00C20327" w:rsidP="00C20327">
            <w:pPr>
              <w:spacing w:before="40" w:after="40"/>
              <w:rPr>
                <w:rFonts w:cs="Arial"/>
                <w:sz w:val="20"/>
                <w:szCs w:val="20"/>
              </w:rPr>
            </w:pPr>
            <w:r w:rsidRPr="00C103F0">
              <w:rPr>
                <w:rFonts w:cs="Arial"/>
                <w:sz w:val="20"/>
                <w:szCs w:val="20"/>
              </w:rPr>
              <w:t>Fuel tax:  vehicle’s travel on a public road that is incidental to the vehicle’s main use and the road user charge</w:t>
            </w:r>
          </w:p>
        </w:tc>
        <w:tc>
          <w:tcPr>
            <w:tcW w:w="4253" w:type="dxa"/>
            <w:tcBorders>
              <w:top w:val="single" w:sz="6" w:space="0" w:color="auto"/>
              <w:left w:val="single" w:sz="6" w:space="0" w:color="auto"/>
              <w:bottom w:val="single" w:sz="6" w:space="0" w:color="auto"/>
              <w:right w:val="single" w:sz="6" w:space="0" w:color="auto"/>
            </w:tcBorders>
          </w:tcPr>
          <w:p w:rsidR="00C20327" w:rsidRPr="00C103F0" w:rsidRDefault="00C20327" w:rsidP="00C20327">
            <w:pPr>
              <w:spacing w:before="40" w:after="40"/>
              <w:rPr>
                <w:rFonts w:cs="Arial"/>
                <w:sz w:val="20"/>
                <w:szCs w:val="20"/>
              </w:rPr>
            </w:pPr>
            <w:r w:rsidRPr="00C103F0">
              <w:rPr>
                <w:rFonts w:cs="Arial"/>
                <w:sz w:val="20"/>
                <w:szCs w:val="20"/>
              </w:rPr>
              <w:t>The Addendum amends Fuel Tax Ruling FTR 2008/1 to clarify the meaning of ‘public roads’</w:t>
            </w:r>
            <w:r w:rsidR="000F0C1F" w:rsidRPr="00C103F0">
              <w:rPr>
                <w:rFonts w:cs="Arial"/>
                <w:sz w:val="20"/>
                <w:szCs w:val="20"/>
              </w:rPr>
              <w:t>.</w:t>
            </w:r>
          </w:p>
          <w:p w:rsidR="00C20327" w:rsidRPr="00C103F0" w:rsidRDefault="00C20327" w:rsidP="00C20327">
            <w:pPr>
              <w:spacing w:before="40" w:after="40"/>
              <w:rPr>
                <w:sz w:val="20"/>
                <w:szCs w:val="20"/>
              </w:rPr>
            </w:pPr>
            <w:r w:rsidRPr="00C103F0">
              <w:rPr>
                <w:rFonts w:cs="Arial"/>
                <w:sz w:val="20"/>
                <w:szCs w:val="20"/>
              </w:rPr>
              <w:t>The Addendum applies on and from 1</w:t>
            </w:r>
            <w:r w:rsidR="00351238" w:rsidRPr="00C103F0">
              <w:rPr>
                <w:rFonts w:cs="Arial"/>
                <w:sz w:val="20"/>
                <w:szCs w:val="20"/>
              </w:rPr>
              <w:t> </w:t>
            </w:r>
            <w:r w:rsidRPr="00C103F0">
              <w:rPr>
                <w:rFonts w:cs="Arial"/>
                <w:sz w:val="20"/>
                <w:szCs w:val="20"/>
              </w:rPr>
              <w:t>July</w:t>
            </w:r>
            <w:r w:rsidR="00351238" w:rsidRPr="00C103F0">
              <w:rPr>
                <w:rFonts w:cs="Arial"/>
                <w:sz w:val="20"/>
                <w:szCs w:val="20"/>
              </w:rPr>
              <w:t> </w:t>
            </w:r>
            <w:r w:rsidRPr="00C103F0">
              <w:rPr>
                <w:rFonts w:cs="Arial"/>
                <w:sz w:val="20"/>
                <w:szCs w:val="20"/>
              </w:rPr>
              <w:t>2006</w:t>
            </w:r>
            <w:r w:rsidR="000F0C1F" w:rsidRPr="00C103F0">
              <w:rPr>
                <w:rFonts w:cs="Arial"/>
                <w:sz w:val="20"/>
                <w:szCs w:val="20"/>
              </w:rPr>
              <w:t>.</w:t>
            </w:r>
          </w:p>
        </w:tc>
      </w:tr>
      <w:tr w:rsidR="002F3FFB" w:rsidRPr="002F3FFB"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8D0A06" w:rsidRPr="00AD7417" w:rsidRDefault="009A1041" w:rsidP="00C20327">
            <w:pPr>
              <w:pStyle w:val="Header"/>
              <w:spacing w:before="40" w:after="40"/>
              <w:rPr>
                <w:rFonts w:cs="Arial"/>
                <w:sz w:val="20"/>
                <w:szCs w:val="20"/>
              </w:rPr>
            </w:pPr>
            <w:r w:rsidRPr="00AD7417">
              <w:rPr>
                <w:rFonts w:cs="Arial"/>
                <w:sz w:val="20"/>
                <w:szCs w:val="20"/>
              </w:rPr>
              <w:t>TR 2</w:t>
            </w:r>
            <w:r w:rsidR="00B459D3" w:rsidRPr="00AD7417">
              <w:rPr>
                <w:rFonts w:cs="Arial"/>
                <w:sz w:val="20"/>
                <w:szCs w:val="20"/>
              </w:rPr>
              <w:t>0</w:t>
            </w:r>
            <w:r w:rsidRPr="00AD7417">
              <w:rPr>
                <w:rFonts w:cs="Arial"/>
                <w:sz w:val="20"/>
                <w:szCs w:val="20"/>
              </w:rPr>
              <w:t>01/13</w:t>
            </w:r>
          </w:p>
        </w:tc>
        <w:tc>
          <w:tcPr>
            <w:tcW w:w="3686" w:type="dxa"/>
            <w:tcBorders>
              <w:top w:val="single" w:sz="6" w:space="0" w:color="auto"/>
              <w:left w:val="single" w:sz="6" w:space="0" w:color="auto"/>
              <w:bottom w:val="single" w:sz="6" w:space="0" w:color="auto"/>
              <w:right w:val="single" w:sz="6" w:space="0" w:color="auto"/>
            </w:tcBorders>
          </w:tcPr>
          <w:p w:rsidR="008D0A06" w:rsidRPr="00C103F0" w:rsidRDefault="009A1041" w:rsidP="00C20327">
            <w:pPr>
              <w:pStyle w:val="Header"/>
              <w:spacing w:before="40" w:after="40"/>
              <w:rPr>
                <w:rFonts w:cs="Arial"/>
                <w:sz w:val="20"/>
                <w:szCs w:val="20"/>
              </w:rPr>
            </w:pPr>
            <w:r w:rsidRPr="00C103F0">
              <w:rPr>
                <w:rFonts w:cs="Arial"/>
                <w:sz w:val="20"/>
                <w:szCs w:val="20"/>
              </w:rPr>
              <w:t>Income tax:  Interpreting Australia’s Double Tax Agreements</w:t>
            </w:r>
          </w:p>
        </w:tc>
        <w:tc>
          <w:tcPr>
            <w:tcW w:w="4253" w:type="dxa"/>
            <w:tcBorders>
              <w:top w:val="single" w:sz="6" w:space="0" w:color="auto"/>
              <w:left w:val="single" w:sz="6" w:space="0" w:color="auto"/>
              <w:bottom w:val="single" w:sz="6" w:space="0" w:color="auto"/>
              <w:right w:val="single" w:sz="6" w:space="0" w:color="auto"/>
            </w:tcBorders>
          </w:tcPr>
          <w:p w:rsidR="008D0A06" w:rsidRPr="00C103F0" w:rsidRDefault="00B459D3" w:rsidP="00C20327">
            <w:pPr>
              <w:spacing w:before="40" w:after="40"/>
              <w:rPr>
                <w:sz w:val="20"/>
                <w:szCs w:val="20"/>
              </w:rPr>
            </w:pPr>
            <w:r w:rsidRPr="00C103F0">
              <w:rPr>
                <w:rFonts w:cs="Arial"/>
                <w:sz w:val="20"/>
                <w:szCs w:val="20"/>
              </w:rPr>
              <w:t xml:space="preserve">The Addendum </w:t>
            </w:r>
            <w:r w:rsidR="00C220AD" w:rsidRPr="00C103F0">
              <w:rPr>
                <w:rFonts w:cs="Arial"/>
                <w:sz w:val="20"/>
                <w:szCs w:val="20"/>
              </w:rPr>
              <w:t xml:space="preserve">amends </w:t>
            </w:r>
            <w:r w:rsidRPr="00C103F0">
              <w:rPr>
                <w:rFonts w:cs="Arial"/>
                <w:sz w:val="20"/>
                <w:szCs w:val="20"/>
              </w:rPr>
              <w:t xml:space="preserve">TR 2001/13 </w:t>
            </w:r>
            <w:r w:rsidR="00C220AD" w:rsidRPr="00C103F0">
              <w:rPr>
                <w:rFonts w:cs="Arial"/>
                <w:sz w:val="20"/>
                <w:szCs w:val="20"/>
              </w:rPr>
              <w:t>to make changes consequential to the withdrawal of Taxation Ruling TR 2001/12 (capital gains in pre-CGT tax treaties).</w:t>
            </w:r>
          </w:p>
          <w:p w:rsidR="00B459D3" w:rsidRPr="00C103F0" w:rsidRDefault="00B459D3" w:rsidP="00C20327">
            <w:pPr>
              <w:spacing w:before="40" w:after="40"/>
              <w:rPr>
                <w:rFonts w:cs="Arial"/>
                <w:sz w:val="20"/>
                <w:szCs w:val="20"/>
              </w:rPr>
            </w:pPr>
            <w:r w:rsidRPr="00C103F0">
              <w:rPr>
                <w:rFonts w:cs="Arial"/>
                <w:sz w:val="20"/>
                <w:szCs w:val="20"/>
              </w:rPr>
              <w:t>The Addendum applies on and from 13</w:t>
            </w:r>
            <w:r w:rsidR="00351238" w:rsidRPr="00C103F0">
              <w:rPr>
                <w:rFonts w:cs="Arial"/>
                <w:sz w:val="20"/>
                <w:szCs w:val="20"/>
              </w:rPr>
              <w:t> </w:t>
            </w:r>
            <w:r w:rsidRPr="00C103F0">
              <w:rPr>
                <w:rFonts w:cs="Arial"/>
                <w:sz w:val="20"/>
                <w:szCs w:val="20"/>
              </w:rPr>
              <w:t>October</w:t>
            </w:r>
            <w:r w:rsidR="00351238" w:rsidRPr="00C103F0">
              <w:rPr>
                <w:rFonts w:cs="Arial"/>
                <w:sz w:val="20"/>
                <w:szCs w:val="20"/>
              </w:rPr>
              <w:t> </w:t>
            </w:r>
            <w:r w:rsidRPr="00C103F0">
              <w:rPr>
                <w:rFonts w:cs="Arial"/>
                <w:sz w:val="20"/>
                <w:szCs w:val="20"/>
              </w:rPr>
              <w:t>2010</w:t>
            </w:r>
            <w:r w:rsidR="000F0C1F" w:rsidRPr="00C103F0">
              <w:rPr>
                <w:rFonts w:cs="Arial"/>
                <w:sz w:val="20"/>
                <w:szCs w:val="20"/>
              </w:rPr>
              <w:t>.</w:t>
            </w:r>
          </w:p>
        </w:tc>
      </w:tr>
      <w:tr w:rsidR="00C20327" w:rsidRPr="002F3FFB"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C20327" w:rsidRPr="00AD7417" w:rsidRDefault="00C20327" w:rsidP="00C20327">
            <w:pPr>
              <w:pStyle w:val="Header"/>
              <w:spacing w:before="40" w:after="40"/>
              <w:rPr>
                <w:rFonts w:cs="Arial"/>
                <w:sz w:val="20"/>
                <w:szCs w:val="20"/>
              </w:rPr>
            </w:pPr>
            <w:r w:rsidRPr="00AD7417">
              <w:rPr>
                <w:rFonts w:cs="Arial"/>
                <w:sz w:val="20"/>
                <w:szCs w:val="20"/>
              </w:rPr>
              <w:lastRenderedPageBreak/>
              <w:t>CR 2014/74</w:t>
            </w:r>
          </w:p>
        </w:tc>
        <w:tc>
          <w:tcPr>
            <w:tcW w:w="3686" w:type="dxa"/>
            <w:tcBorders>
              <w:top w:val="single" w:sz="6" w:space="0" w:color="auto"/>
              <w:left w:val="single" w:sz="6" w:space="0" w:color="auto"/>
              <w:bottom w:val="single" w:sz="6" w:space="0" w:color="auto"/>
              <w:right w:val="single" w:sz="6" w:space="0" w:color="auto"/>
            </w:tcBorders>
          </w:tcPr>
          <w:p w:rsidR="00C20327" w:rsidRPr="00AD7417" w:rsidRDefault="00C20327" w:rsidP="00C20327">
            <w:pPr>
              <w:pStyle w:val="Header"/>
              <w:spacing w:before="40" w:after="40"/>
              <w:rPr>
                <w:rFonts w:cs="Arial"/>
                <w:sz w:val="20"/>
                <w:szCs w:val="20"/>
              </w:rPr>
            </w:pPr>
            <w:r w:rsidRPr="00AD7417">
              <w:rPr>
                <w:rFonts w:cs="Arial"/>
                <w:sz w:val="20"/>
                <w:szCs w:val="20"/>
              </w:rPr>
              <w:t xml:space="preserve">Fringe benefits tax:  employer clients of </w:t>
            </w:r>
            <w:proofErr w:type="spellStart"/>
            <w:r w:rsidRPr="00AD7417">
              <w:rPr>
                <w:rFonts w:cs="Arial"/>
                <w:sz w:val="20"/>
                <w:szCs w:val="20"/>
              </w:rPr>
              <w:t>Emerchants</w:t>
            </w:r>
            <w:proofErr w:type="spellEnd"/>
            <w:r w:rsidRPr="00AD7417">
              <w:rPr>
                <w:rFonts w:cs="Arial"/>
                <w:sz w:val="20"/>
                <w:szCs w:val="20"/>
              </w:rPr>
              <w:t xml:space="preserve"> Payment Solutions Limited (</w:t>
            </w:r>
            <w:proofErr w:type="spellStart"/>
            <w:r w:rsidRPr="00AD7417">
              <w:rPr>
                <w:rFonts w:cs="Arial"/>
                <w:sz w:val="20"/>
                <w:szCs w:val="20"/>
              </w:rPr>
              <w:t>Emerchants</w:t>
            </w:r>
            <w:proofErr w:type="spellEnd"/>
            <w:r w:rsidRPr="00AD7417">
              <w:rPr>
                <w:rFonts w:cs="Arial"/>
                <w:sz w:val="20"/>
                <w:szCs w:val="20"/>
              </w:rPr>
              <w:t xml:space="preserve">) who are subject to the provisions of either section 57A or section 65J of the </w:t>
            </w:r>
            <w:r w:rsidRPr="00AD7417">
              <w:rPr>
                <w:rFonts w:cs="Arial"/>
                <w:i/>
                <w:sz w:val="20"/>
                <w:szCs w:val="20"/>
              </w:rPr>
              <w:t>Fringe Benefits Tax Assessment Act 1986</w:t>
            </w:r>
            <w:r w:rsidRPr="00AD7417">
              <w:rPr>
                <w:rFonts w:cs="Arial"/>
                <w:sz w:val="20"/>
                <w:szCs w:val="20"/>
              </w:rPr>
              <w:t xml:space="preserve"> and make use of the </w:t>
            </w:r>
            <w:proofErr w:type="spellStart"/>
            <w:r w:rsidRPr="00AD7417">
              <w:rPr>
                <w:rFonts w:cs="Arial"/>
                <w:sz w:val="20"/>
                <w:szCs w:val="20"/>
              </w:rPr>
              <w:t>Emerchants</w:t>
            </w:r>
            <w:proofErr w:type="spellEnd"/>
            <w:r w:rsidRPr="00AD7417">
              <w:rPr>
                <w:rFonts w:cs="Arial"/>
                <w:sz w:val="20"/>
                <w:szCs w:val="20"/>
              </w:rPr>
              <w:t>’ Meals and Entertainment Card facility</w:t>
            </w:r>
          </w:p>
        </w:tc>
        <w:tc>
          <w:tcPr>
            <w:tcW w:w="4253" w:type="dxa"/>
            <w:tcBorders>
              <w:top w:val="single" w:sz="6" w:space="0" w:color="auto"/>
              <w:left w:val="single" w:sz="6" w:space="0" w:color="auto"/>
              <w:bottom w:val="single" w:sz="6" w:space="0" w:color="auto"/>
              <w:right w:val="single" w:sz="6" w:space="0" w:color="auto"/>
            </w:tcBorders>
          </w:tcPr>
          <w:p w:rsidR="00C20327" w:rsidRPr="00C103F0" w:rsidRDefault="00C20327" w:rsidP="00C20327">
            <w:pPr>
              <w:spacing w:before="40" w:after="40"/>
              <w:rPr>
                <w:rFonts w:eastAsia="Times New Roman"/>
                <w:sz w:val="20"/>
                <w:szCs w:val="20"/>
              </w:rPr>
            </w:pPr>
            <w:r w:rsidRPr="00C103F0">
              <w:rPr>
                <w:rFonts w:cs="Arial"/>
                <w:sz w:val="20"/>
                <w:szCs w:val="20"/>
              </w:rPr>
              <w:t xml:space="preserve">The Addendum </w:t>
            </w:r>
            <w:r w:rsidR="00C103F0" w:rsidRPr="00C103F0">
              <w:rPr>
                <w:sz w:val="20"/>
                <w:szCs w:val="20"/>
              </w:rPr>
              <w:t>amends Class Ruling CR</w:t>
            </w:r>
            <w:r w:rsidR="00371A83">
              <w:rPr>
                <w:sz w:val="20"/>
                <w:szCs w:val="20"/>
              </w:rPr>
              <w:t> </w:t>
            </w:r>
            <w:r w:rsidR="00C103F0" w:rsidRPr="00C103F0">
              <w:rPr>
                <w:sz w:val="20"/>
                <w:szCs w:val="20"/>
              </w:rPr>
              <w:t xml:space="preserve">2014/74 to take account of the application of the </w:t>
            </w:r>
            <w:r w:rsidR="00C103F0" w:rsidRPr="00C103F0">
              <w:rPr>
                <w:i/>
                <w:sz w:val="20"/>
                <w:szCs w:val="20"/>
              </w:rPr>
              <w:t>Tax and Superannuation Laws Amendment (2015 Measures No 5) Act 2015</w:t>
            </w:r>
            <w:r w:rsidR="00C103F0" w:rsidRPr="00C103F0">
              <w:rPr>
                <w:sz w:val="20"/>
                <w:szCs w:val="20"/>
              </w:rPr>
              <w:t xml:space="preserve"> to the concessional treatment of meal entertainment and entertainment facility leasing expense benefits provided under a salary packaging arrangement from 1</w:t>
            </w:r>
            <w:r w:rsidR="00371A83">
              <w:rPr>
                <w:sz w:val="20"/>
                <w:szCs w:val="20"/>
              </w:rPr>
              <w:t> </w:t>
            </w:r>
            <w:r w:rsidR="00C103F0" w:rsidRPr="00C103F0">
              <w:rPr>
                <w:sz w:val="20"/>
                <w:szCs w:val="20"/>
              </w:rPr>
              <w:t>April</w:t>
            </w:r>
            <w:r w:rsidR="00371A83">
              <w:rPr>
                <w:sz w:val="20"/>
                <w:szCs w:val="20"/>
              </w:rPr>
              <w:t> </w:t>
            </w:r>
            <w:r w:rsidR="00C103F0" w:rsidRPr="00C103F0">
              <w:rPr>
                <w:sz w:val="20"/>
                <w:szCs w:val="20"/>
              </w:rPr>
              <w:t>2016.</w:t>
            </w:r>
          </w:p>
          <w:p w:rsidR="00C20327" w:rsidRPr="00AD7417" w:rsidRDefault="00C20327" w:rsidP="00C20327">
            <w:pPr>
              <w:spacing w:before="40" w:after="40"/>
              <w:rPr>
                <w:rFonts w:cs="Arial"/>
                <w:sz w:val="20"/>
                <w:szCs w:val="20"/>
              </w:rPr>
            </w:pPr>
            <w:r w:rsidRPr="00C103F0">
              <w:rPr>
                <w:rFonts w:eastAsia="Times New Roman"/>
                <w:sz w:val="20"/>
                <w:szCs w:val="20"/>
              </w:rPr>
              <w:t>The Addendu</w:t>
            </w:r>
            <w:bookmarkStart w:id="0" w:name="_GoBack"/>
            <w:bookmarkEnd w:id="0"/>
            <w:r w:rsidRPr="00C103F0">
              <w:rPr>
                <w:rFonts w:eastAsia="Times New Roman"/>
                <w:sz w:val="20"/>
                <w:szCs w:val="20"/>
              </w:rPr>
              <w:t>m applies from 1</w:t>
            </w:r>
            <w:r w:rsidR="00351238" w:rsidRPr="00C103F0">
              <w:rPr>
                <w:rFonts w:eastAsia="Times New Roman"/>
                <w:sz w:val="20"/>
                <w:szCs w:val="20"/>
              </w:rPr>
              <w:t> </w:t>
            </w:r>
            <w:r w:rsidRPr="00C103F0">
              <w:rPr>
                <w:rFonts w:eastAsia="Times New Roman"/>
                <w:sz w:val="20"/>
                <w:szCs w:val="20"/>
              </w:rPr>
              <w:t>April</w:t>
            </w:r>
            <w:r w:rsidR="00351238" w:rsidRPr="00C103F0">
              <w:rPr>
                <w:rFonts w:eastAsia="Times New Roman"/>
                <w:sz w:val="20"/>
                <w:szCs w:val="20"/>
              </w:rPr>
              <w:t> </w:t>
            </w:r>
            <w:r w:rsidRPr="00C103F0">
              <w:rPr>
                <w:rFonts w:eastAsia="Times New Roman"/>
                <w:sz w:val="20"/>
                <w:szCs w:val="20"/>
              </w:rPr>
              <w:t>2016.</w:t>
            </w:r>
          </w:p>
        </w:tc>
      </w:tr>
    </w:tbl>
    <w:p w:rsidR="008D0A06" w:rsidRPr="008D0A06" w:rsidRDefault="008D0A06" w:rsidP="008D0A06">
      <w:pPr>
        <w:spacing w:after="60"/>
        <w:rPr>
          <w:sz w:val="18"/>
          <w:szCs w:val="18"/>
        </w:rPr>
      </w:pPr>
    </w:p>
    <w:sectPr w:rsidR="008D0A06"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rFonts w:cs="Arial"/>
              <w:sz w:val="14"/>
              <w:szCs w:val="14"/>
            </w:rPr>
          </w:pPr>
          <w:bookmarkStart w:id="1" w:name="GazNo"/>
          <w:bookmarkEnd w:id="1"/>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E1F2B"/>
    <w:rsid w:val="000F0C1F"/>
    <w:rsid w:val="00114CB2"/>
    <w:rsid w:val="00141674"/>
    <w:rsid w:val="001C2AAD"/>
    <w:rsid w:val="001D5426"/>
    <w:rsid w:val="001F6E54"/>
    <w:rsid w:val="00237961"/>
    <w:rsid w:val="00280BCD"/>
    <w:rsid w:val="002B1D21"/>
    <w:rsid w:val="002F0063"/>
    <w:rsid w:val="002F3FFB"/>
    <w:rsid w:val="00351238"/>
    <w:rsid w:val="00371A83"/>
    <w:rsid w:val="003A707F"/>
    <w:rsid w:val="003B0EC1"/>
    <w:rsid w:val="003B573B"/>
    <w:rsid w:val="003F2CBD"/>
    <w:rsid w:val="00424B97"/>
    <w:rsid w:val="004B2753"/>
    <w:rsid w:val="004C5A5D"/>
    <w:rsid w:val="004E56BF"/>
    <w:rsid w:val="00520873"/>
    <w:rsid w:val="00573D44"/>
    <w:rsid w:val="005E7AE5"/>
    <w:rsid w:val="006B38CC"/>
    <w:rsid w:val="00773255"/>
    <w:rsid w:val="00777F6B"/>
    <w:rsid w:val="007C490F"/>
    <w:rsid w:val="007E2CA6"/>
    <w:rsid w:val="00816EE2"/>
    <w:rsid w:val="00840A06"/>
    <w:rsid w:val="008439B7"/>
    <w:rsid w:val="00851F51"/>
    <w:rsid w:val="0087253F"/>
    <w:rsid w:val="008D0A06"/>
    <w:rsid w:val="008D17C9"/>
    <w:rsid w:val="008E4F6C"/>
    <w:rsid w:val="0094219E"/>
    <w:rsid w:val="00943B8D"/>
    <w:rsid w:val="009539C7"/>
    <w:rsid w:val="0095650D"/>
    <w:rsid w:val="009A1041"/>
    <w:rsid w:val="009A5B4F"/>
    <w:rsid w:val="009C2F6B"/>
    <w:rsid w:val="00A00F21"/>
    <w:rsid w:val="00A41F5C"/>
    <w:rsid w:val="00A60CE8"/>
    <w:rsid w:val="00A74E12"/>
    <w:rsid w:val="00A83BCC"/>
    <w:rsid w:val="00AD0943"/>
    <w:rsid w:val="00AD7417"/>
    <w:rsid w:val="00AE5DCC"/>
    <w:rsid w:val="00B04E06"/>
    <w:rsid w:val="00B42AC5"/>
    <w:rsid w:val="00B459D3"/>
    <w:rsid w:val="00B4706B"/>
    <w:rsid w:val="00B84226"/>
    <w:rsid w:val="00C103F0"/>
    <w:rsid w:val="00C20327"/>
    <w:rsid w:val="00C220AD"/>
    <w:rsid w:val="00C3382D"/>
    <w:rsid w:val="00C51D3C"/>
    <w:rsid w:val="00C550EE"/>
    <w:rsid w:val="00C63C4E"/>
    <w:rsid w:val="00D77A88"/>
    <w:rsid w:val="00E55D13"/>
    <w:rsid w:val="00E823AE"/>
    <w:rsid w:val="00E95F38"/>
    <w:rsid w:val="00EB3C1D"/>
    <w:rsid w:val="00ED2E52"/>
    <w:rsid w:val="00F40885"/>
    <w:rsid w:val="00F44FF5"/>
    <w:rsid w:val="00F6735D"/>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FootnoteText">
    <w:name w:val="footnote text"/>
    <w:basedOn w:val="Normal"/>
    <w:link w:val="FootnoteTextChar"/>
    <w:rsid w:val="00C20327"/>
    <w:rPr>
      <w:rFonts w:eastAsia="Times New Roman" w:cs="Arial"/>
      <w:sz w:val="20"/>
      <w:szCs w:val="20"/>
      <w:lang w:eastAsia="en-AU"/>
    </w:rPr>
  </w:style>
  <w:style w:type="character" w:customStyle="1" w:styleId="FootnoteTextChar">
    <w:name w:val="Footnote Text Char"/>
    <w:basedOn w:val="DefaultParagraphFont"/>
    <w:link w:val="FootnoteText"/>
    <w:rsid w:val="00C20327"/>
    <w:rPr>
      <w:rFonts w:ascii="Arial" w:eastAsia="Times New Roman" w:hAnsi="Arial" w:cs="Arial"/>
      <w:sz w:val="20"/>
      <w:szCs w:val="20"/>
    </w:rPr>
  </w:style>
  <w:style w:type="character" w:styleId="FootnoteReference">
    <w:name w:val="footnote reference"/>
    <w:rsid w:val="00C20327"/>
    <w:rPr>
      <w:vertAlign w:val="superscript"/>
    </w:rPr>
  </w:style>
  <w:style w:type="character" w:styleId="CommentReference">
    <w:name w:val="annotation reference"/>
    <w:basedOn w:val="DefaultParagraphFont"/>
    <w:uiPriority w:val="99"/>
    <w:semiHidden/>
    <w:unhideWhenUsed/>
    <w:rsid w:val="00F6735D"/>
    <w:rPr>
      <w:sz w:val="16"/>
      <w:szCs w:val="16"/>
    </w:rPr>
  </w:style>
  <w:style w:type="paragraph" w:styleId="CommentText">
    <w:name w:val="annotation text"/>
    <w:basedOn w:val="Normal"/>
    <w:link w:val="CommentTextChar"/>
    <w:uiPriority w:val="99"/>
    <w:semiHidden/>
    <w:unhideWhenUsed/>
    <w:rsid w:val="00F6735D"/>
    <w:rPr>
      <w:sz w:val="20"/>
      <w:szCs w:val="20"/>
    </w:rPr>
  </w:style>
  <w:style w:type="character" w:customStyle="1" w:styleId="CommentTextChar">
    <w:name w:val="Comment Text Char"/>
    <w:basedOn w:val="DefaultParagraphFont"/>
    <w:link w:val="CommentText"/>
    <w:uiPriority w:val="99"/>
    <w:semiHidden/>
    <w:rsid w:val="00F6735D"/>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F6735D"/>
    <w:rPr>
      <w:b/>
      <w:bCs/>
    </w:rPr>
  </w:style>
  <w:style w:type="character" w:customStyle="1" w:styleId="CommentSubjectChar">
    <w:name w:val="Comment Subject Char"/>
    <w:basedOn w:val="CommentTextChar"/>
    <w:link w:val="CommentSubject"/>
    <w:uiPriority w:val="99"/>
    <w:semiHidden/>
    <w:rsid w:val="00F6735D"/>
    <w:rPr>
      <w:rFonts w:ascii="Arial" w:hAnsi="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FootnoteText">
    <w:name w:val="footnote text"/>
    <w:basedOn w:val="Normal"/>
    <w:link w:val="FootnoteTextChar"/>
    <w:rsid w:val="00C20327"/>
    <w:rPr>
      <w:rFonts w:eastAsia="Times New Roman" w:cs="Arial"/>
      <w:sz w:val="20"/>
      <w:szCs w:val="20"/>
      <w:lang w:eastAsia="en-AU"/>
    </w:rPr>
  </w:style>
  <w:style w:type="character" w:customStyle="1" w:styleId="FootnoteTextChar">
    <w:name w:val="Footnote Text Char"/>
    <w:basedOn w:val="DefaultParagraphFont"/>
    <w:link w:val="FootnoteText"/>
    <w:rsid w:val="00C20327"/>
    <w:rPr>
      <w:rFonts w:ascii="Arial" w:eastAsia="Times New Roman" w:hAnsi="Arial" w:cs="Arial"/>
      <w:sz w:val="20"/>
      <w:szCs w:val="20"/>
    </w:rPr>
  </w:style>
  <w:style w:type="character" w:styleId="FootnoteReference">
    <w:name w:val="footnote reference"/>
    <w:rsid w:val="00C20327"/>
    <w:rPr>
      <w:vertAlign w:val="superscript"/>
    </w:rPr>
  </w:style>
  <w:style w:type="character" w:styleId="CommentReference">
    <w:name w:val="annotation reference"/>
    <w:basedOn w:val="DefaultParagraphFont"/>
    <w:uiPriority w:val="99"/>
    <w:semiHidden/>
    <w:unhideWhenUsed/>
    <w:rsid w:val="00F6735D"/>
    <w:rPr>
      <w:sz w:val="16"/>
      <w:szCs w:val="16"/>
    </w:rPr>
  </w:style>
  <w:style w:type="paragraph" w:styleId="CommentText">
    <w:name w:val="annotation text"/>
    <w:basedOn w:val="Normal"/>
    <w:link w:val="CommentTextChar"/>
    <w:uiPriority w:val="99"/>
    <w:semiHidden/>
    <w:unhideWhenUsed/>
    <w:rsid w:val="00F6735D"/>
    <w:rPr>
      <w:sz w:val="20"/>
      <w:szCs w:val="20"/>
    </w:rPr>
  </w:style>
  <w:style w:type="character" w:customStyle="1" w:styleId="CommentTextChar">
    <w:name w:val="Comment Text Char"/>
    <w:basedOn w:val="DefaultParagraphFont"/>
    <w:link w:val="CommentText"/>
    <w:uiPriority w:val="99"/>
    <w:semiHidden/>
    <w:rsid w:val="00F6735D"/>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F6735D"/>
    <w:rPr>
      <w:b/>
      <w:bCs/>
    </w:rPr>
  </w:style>
  <w:style w:type="character" w:customStyle="1" w:styleId="CommentSubjectChar">
    <w:name w:val="Comment Subject Char"/>
    <w:basedOn w:val="CommentTextChar"/>
    <w:link w:val="CommentSubject"/>
    <w:uiPriority w:val="99"/>
    <w:semiHidden/>
    <w:rsid w:val="00F6735D"/>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5DF8-A86A-4AEA-8FAB-4580727D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418</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Dunstan</cp:lastModifiedBy>
  <cp:revision>19</cp:revision>
  <cp:lastPrinted>2013-06-24T01:35:00Z</cp:lastPrinted>
  <dcterms:created xsi:type="dcterms:W3CDTF">2016-06-24T00:41:00Z</dcterms:created>
  <dcterms:modified xsi:type="dcterms:W3CDTF">2016-09-09T06:21:00Z</dcterms:modified>
</cp:coreProperties>
</file>