
<file path=[Content_Types].xml><?xml version="1.0" encoding="utf-8"?>
<Types xmlns="http://schemas.openxmlformats.org/package/2006/content-types">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33D1" w:rsidRPr="004B303B" w:rsidRDefault="00FD33D1" w:rsidP="00FD33D1">
      <w:pPr>
        <w:jc w:val="center"/>
        <w:rPr>
          <w:rFonts w:cs="Times New Roman"/>
        </w:rPr>
      </w:pPr>
      <w:r w:rsidRPr="004B303B">
        <w:rPr>
          <w:noProof/>
          <w:lang w:eastAsia="en-AU"/>
        </w:rPr>
        <w:drawing>
          <wp:inline distT="0" distB="0" distL="0" distR="0">
            <wp:extent cx="1371600" cy="113347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71600" cy="1133475"/>
                    </a:xfrm>
                    <a:prstGeom prst="rect">
                      <a:avLst/>
                    </a:prstGeom>
                    <a:noFill/>
                    <a:ln>
                      <a:noFill/>
                    </a:ln>
                  </pic:spPr>
                </pic:pic>
              </a:graphicData>
            </a:graphic>
          </wp:inline>
        </w:drawing>
      </w:r>
    </w:p>
    <w:p w:rsidR="00FD33D1" w:rsidRPr="004B303B" w:rsidRDefault="00FD33D1" w:rsidP="00FD33D1">
      <w:pPr>
        <w:jc w:val="center"/>
        <w:rPr>
          <w:rFonts w:cs="Arial"/>
          <w:spacing w:val="-5"/>
          <w:sz w:val="36"/>
          <w:szCs w:val="36"/>
        </w:rPr>
      </w:pPr>
      <w:r w:rsidRPr="004B303B">
        <w:rPr>
          <w:rFonts w:cs="Arial"/>
          <w:spacing w:val="-5"/>
          <w:sz w:val="36"/>
          <w:szCs w:val="36"/>
        </w:rPr>
        <w:t xml:space="preserve">Specialist Medical </w:t>
      </w:r>
      <w:r w:rsidRPr="004B303B">
        <w:rPr>
          <w:rFonts w:cs="Arial"/>
          <w:spacing w:val="-15"/>
          <w:sz w:val="36"/>
          <w:szCs w:val="36"/>
        </w:rPr>
        <w:t>Re</w:t>
      </w:r>
      <w:r w:rsidRPr="004B303B">
        <w:rPr>
          <w:rFonts w:cs="Arial"/>
          <w:spacing w:val="-5"/>
          <w:sz w:val="36"/>
          <w:szCs w:val="36"/>
        </w:rPr>
        <w:t>view Council</w:t>
      </w:r>
    </w:p>
    <w:p w:rsidR="00FD33D1" w:rsidRPr="004B303B" w:rsidRDefault="00FD33D1" w:rsidP="00FD33D1">
      <w:pPr>
        <w:pStyle w:val="Heading7"/>
        <w:rPr>
          <w:rFonts w:asciiTheme="minorHAnsi" w:hAnsiTheme="minorHAnsi"/>
          <w:sz w:val="28"/>
          <w:szCs w:val="28"/>
        </w:rPr>
      </w:pPr>
      <w:r w:rsidRPr="004B303B">
        <w:rPr>
          <w:rFonts w:asciiTheme="minorHAnsi" w:hAnsiTheme="minorHAnsi"/>
          <w:sz w:val="28"/>
          <w:szCs w:val="28"/>
        </w:rPr>
        <w:t>Declarations</w:t>
      </w:r>
    </w:p>
    <w:p w:rsidR="00FD33D1" w:rsidRPr="004B303B" w:rsidRDefault="00FD33D1" w:rsidP="00FD33D1">
      <w:pPr>
        <w:pStyle w:val="BodyText"/>
        <w:jc w:val="center"/>
        <w:rPr>
          <w:rFonts w:asciiTheme="minorHAnsi" w:hAnsiTheme="minorHAnsi"/>
          <w:i/>
          <w:sz w:val="24"/>
          <w:szCs w:val="24"/>
        </w:rPr>
      </w:pPr>
      <w:r w:rsidRPr="004B303B">
        <w:rPr>
          <w:rFonts w:asciiTheme="minorHAnsi" w:hAnsiTheme="minorHAnsi"/>
          <w:i/>
          <w:sz w:val="24"/>
          <w:szCs w:val="24"/>
        </w:rPr>
        <w:t>Section 196W</w:t>
      </w:r>
      <w:r w:rsidRPr="004B303B">
        <w:rPr>
          <w:rFonts w:asciiTheme="minorHAnsi" w:hAnsiTheme="minorHAnsi"/>
          <w:i/>
          <w:sz w:val="24"/>
          <w:szCs w:val="24"/>
        </w:rPr>
        <w:br/>
        <w:t>Veterans’ Entitlements Act 1986</w:t>
      </w:r>
    </w:p>
    <w:p w:rsidR="00281AF5" w:rsidRPr="004B303B" w:rsidRDefault="00281AF5" w:rsidP="003D1541">
      <w:pPr>
        <w:spacing w:after="0"/>
        <w:ind w:right="1701"/>
        <w:jc w:val="center"/>
        <w:rPr>
          <w:rFonts w:cs="Arial"/>
        </w:rPr>
      </w:pPr>
    </w:p>
    <w:p w:rsidR="00281AF5" w:rsidRPr="004B303B" w:rsidRDefault="00281AF5" w:rsidP="003D1541">
      <w:pPr>
        <w:spacing w:after="0"/>
        <w:ind w:left="1701" w:right="1701"/>
        <w:jc w:val="center"/>
        <w:rPr>
          <w:rFonts w:cs="Arial"/>
          <w:b/>
          <w:sz w:val="24"/>
          <w:szCs w:val="24"/>
        </w:rPr>
      </w:pPr>
      <w:r w:rsidRPr="004B303B">
        <w:rPr>
          <w:rFonts w:cs="Arial"/>
          <w:b/>
          <w:sz w:val="24"/>
          <w:szCs w:val="24"/>
        </w:rPr>
        <w:t>Re: Statements of Principles Nos. 53 and 54 of 2014 in respect of</w:t>
      </w:r>
      <w:r w:rsidR="003D1541" w:rsidRPr="004B303B">
        <w:rPr>
          <w:rFonts w:cs="Arial"/>
          <w:b/>
          <w:sz w:val="24"/>
          <w:szCs w:val="24"/>
        </w:rPr>
        <w:t xml:space="preserve"> </w:t>
      </w:r>
      <w:r w:rsidRPr="004B303B">
        <w:rPr>
          <w:rFonts w:cs="Arial"/>
          <w:b/>
          <w:sz w:val="24"/>
          <w:szCs w:val="24"/>
        </w:rPr>
        <w:t>Malignant Neoplasm of the Prostate</w:t>
      </w:r>
    </w:p>
    <w:p w:rsidR="00374792" w:rsidRPr="004B303B" w:rsidRDefault="00374792" w:rsidP="00281AF5">
      <w:pPr>
        <w:spacing w:after="0"/>
        <w:ind w:right="1701"/>
        <w:jc w:val="center"/>
        <w:rPr>
          <w:rFonts w:cs="Arial"/>
          <w:b/>
          <w:sz w:val="24"/>
          <w:szCs w:val="24"/>
        </w:rPr>
      </w:pPr>
    </w:p>
    <w:p w:rsidR="00FD33D1" w:rsidRDefault="00FD33D1" w:rsidP="00FD33D1">
      <w:pPr>
        <w:ind w:left="1701" w:right="1701"/>
        <w:jc w:val="center"/>
        <w:rPr>
          <w:rFonts w:cs="Arial"/>
          <w:sz w:val="24"/>
          <w:szCs w:val="24"/>
        </w:rPr>
      </w:pPr>
      <w:r w:rsidRPr="004B303B">
        <w:rPr>
          <w:rFonts w:cs="Arial"/>
          <w:sz w:val="24"/>
          <w:szCs w:val="24"/>
        </w:rPr>
        <w:t xml:space="preserve">Request for Review Declaration No. </w:t>
      </w:r>
      <w:r w:rsidR="00281AF5" w:rsidRPr="004B303B">
        <w:rPr>
          <w:rFonts w:cs="Arial"/>
          <w:sz w:val="24"/>
          <w:szCs w:val="24"/>
        </w:rPr>
        <w:t>30</w:t>
      </w:r>
    </w:p>
    <w:p w:rsidR="0048770D" w:rsidRPr="004B303B" w:rsidRDefault="0048770D" w:rsidP="00FD33D1">
      <w:pPr>
        <w:ind w:left="1701" w:right="1701"/>
        <w:jc w:val="center"/>
        <w:rPr>
          <w:rFonts w:cs="Arial"/>
          <w:sz w:val="24"/>
          <w:szCs w:val="24"/>
        </w:rPr>
      </w:pPr>
    </w:p>
    <w:p w:rsidR="00281AF5" w:rsidRPr="004B303B" w:rsidRDefault="00281AF5" w:rsidP="00DC30D1">
      <w:pPr>
        <w:pStyle w:val="NumberLevel1"/>
        <w:numPr>
          <w:ilvl w:val="0"/>
          <w:numId w:val="4"/>
        </w:numPr>
        <w:spacing w:line="276" w:lineRule="auto"/>
        <w:ind w:right="327"/>
        <w:rPr>
          <w:rFonts w:asciiTheme="minorHAnsi" w:hAnsiTheme="minorHAnsi"/>
          <w:sz w:val="24"/>
          <w:szCs w:val="24"/>
        </w:rPr>
      </w:pPr>
      <w:bookmarkStart w:id="0" w:name="_Ref384985709"/>
      <w:r w:rsidRPr="004B303B">
        <w:rPr>
          <w:rFonts w:asciiTheme="minorHAnsi" w:hAnsiTheme="minorHAnsi"/>
          <w:sz w:val="24"/>
          <w:szCs w:val="24"/>
        </w:rPr>
        <w:t xml:space="preserve">In relation to the RMA Statements of Principles </w:t>
      </w:r>
      <w:r w:rsidRPr="0048770D">
        <w:rPr>
          <w:rFonts w:asciiTheme="minorHAnsi" w:hAnsiTheme="minorHAnsi"/>
          <w:b/>
          <w:sz w:val="24"/>
          <w:szCs w:val="24"/>
        </w:rPr>
        <w:t>No.53</w:t>
      </w:r>
      <w:r w:rsidRPr="004B303B">
        <w:rPr>
          <w:rFonts w:asciiTheme="minorHAnsi" w:hAnsiTheme="minorHAnsi"/>
          <w:sz w:val="24"/>
          <w:szCs w:val="24"/>
        </w:rPr>
        <w:t xml:space="preserve"> malignant neoplasm of the prostate made under subsections 196B of the Veterans' Entitlements Act 1986 (the VEA), </w:t>
      </w:r>
      <w:r w:rsidR="004B303B" w:rsidRPr="004B303B">
        <w:rPr>
          <w:rFonts w:asciiTheme="minorHAnsi" w:hAnsiTheme="minorHAnsi"/>
          <w:sz w:val="24"/>
          <w:szCs w:val="24"/>
        </w:rPr>
        <w:t xml:space="preserve">Specialist Medical Review Council (the Council) </w:t>
      </w:r>
      <w:r w:rsidRPr="004B303B">
        <w:rPr>
          <w:rFonts w:asciiTheme="minorHAnsi" w:hAnsiTheme="minorHAnsi"/>
          <w:sz w:val="24"/>
          <w:szCs w:val="24"/>
        </w:rPr>
        <w:t>under subsection 196W(5) of the VEA:</w:t>
      </w:r>
    </w:p>
    <w:p w:rsidR="004B303B" w:rsidRPr="00DC30D1" w:rsidRDefault="00281AF5" w:rsidP="00DC30D1">
      <w:pPr>
        <w:pStyle w:val="NumberLevel1"/>
        <w:numPr>
          <w:ilvl w:val="0"/>
          <w:numId w:val="0"/>
        </w:numPr>
        <w:spacing w:line="276" w:lineRule="auto"/>
        <w:ind w:left="1440" w:right="327"/>
        <w:rPr>
          <w:rFonts w:asciiTheme="minorHAnsi" w:hAnsiTheme="minorHAnsi"/>
          <w:sz w:val="24"/>
          <w:szCs w:val="24"/>
        </w:rPr>
      </w:pPr>
      <w:r w:rsidRPr="00DC30D1">
        <w:rPr>
          <w:rFonts w:asciiTheme="minorHAnsi" w:hAnsiTheme="minorHAnsi"/>
          <w:sz w:val="24"/>
          <w:szCs w:val="24"/>
        </w:rPr>
        <w:t xml:space="preserve">DECLARES that there is </w:t>
      </w:r>
      <w:r w:rsidRPr="0048770D">
        <w:rPr>
          <w:rFonts w:asciiTheme="minorHAnsi" w:hAnsiTheme="minorHAnsi"/>
          <w:b/>
          <w:sz w:val="24"/>
          <w:szCs w:val="24"/>
        </w:rPr>
        <w:t>insufficient</w:t>
      </w:r>
      <w:r w:rsidRPr="00DC30D1">
        <w:rPr>
          <w:rFonts w:asciiTheme="minorHAnsi" w:hAnsiTheme="minorHAnsi"/>
          <w:sz w:val="24"/>
          <w:szCs w:val="24"/>
        </w:rPr>
        <w:t xml:space="preserve"> sound medical-scientific evidence on which the RMA could have relied to amend the Statements of Principles to include factor/s for smoking cigarettes, or the equivalent thereof in other tobacco products and the </w:t>
      </w:r>
      <w:r w:rsidRPr="0048770D">
        <w:rPr>
          <w:rFonts w:asciiTheme="minorHAnsi" w:hAnsiTheme="minorHAnsi"/>
          <w:b/>
          <w:sz w:val="24"/>
          <w:szCs w:val="24"/>
        </w:rPr>
        <w:t>clinical onset</w:t>
      </w:r>
      <w:r w:rsidRPr="00DC30D1">
        <w:rPr>
          <w:rFonts w:asciiTheme="minorHAnsi" w:hAnsiTheme="minorHAnsi"/>
          <w:sz w:val="24"/>
          <w:szCs w:val="24"/>
        </w:rPr>
        <w:t xml:space="preserve"> of malignant neoplasm of the p</w:t>
      </w:r>
      <w:r w:rsidR="004B303B" w:rsidRPr="00DC30D1">
        <w:rPr>
          <w:rFonts w:asciiTheme="minorHAnsi" w:hAnsiTheme="minorHAnsi"/>
          <w:sz w:val="24"/>
          <w:szCs w:val="24"/>
        </w:rPr>
        <w:t xml:space="preserve">rostate. </w:t>
      </w:r>
    </w:p>
    <w:p w:rsidR="00281AF5" w:rsidRPr="00DC30D1" w:rsidRDefault="00281AF5" w:rsidP="00DC30D1">
      <w:pPr>
        <w:pStyle w:val="NumberLevel1"/>
        <w:numPr>
          <w:ilvl w:val="0"/>
          <w:numId w:val="4"/>
        </w:numPr>
        <w:spacing w:line="276" w:lineRule="auto"/>
        <w:ind w:right="327"/>
        <w:rPr>
          <w:rFonts w:asciiTheme="minorHAnsi" w:hAnsiTheme="minorHAnsi"/>
          <w:sz w:val="24"/>
          <w:szCs w:val="24"/>
        </w:rPr>
      </w:pPr>
      <w:r w:rsidRPr="00DC30D1">
        <w:rPr>
          <w:rFonts w:asciiTheme="minorHAnsi" w:hAnsiTheme="minorHAnsi"/>
          <w:sz w:val="24"/>
          <w:szCs w:val="24"/>
        </w:rPr>
        <w:t xml:space="preserve">In relation to the Repatriation Medical Authority (the RMA) Statement of Principles </w:t>
      </w:r>
      <w:r w:rsidRPr="0048770D">
        <w:rPr>
          <w:rFonts w:asciiTheme="minorHAnsi" w:hAnsiTheme="minorHAnsi"/>
          <w:b/>
          <w:sz w:val="24"/>
          <w:szCs w:val="24"/>
        </w:rPr>
        <w:t xml:space="preserve">No. 54 </w:t>
      </w:r>
      <w:r w:rsidRPr="00DC30D1">
        <w:rPr>
          <w:rFonts w:asciiTheme="minorHAnsi" w:hAnsiTheme="minorHAnsi"/>
          <w:sz w:val="24"/>
          <w:szCs w:val="24"/>
        </w:rPr>
        <w:t xml:space="preserve">concerning malignant neoplasm of the prostate, made under subsection 196B of the </w:t>
      </w:r>
      <w:r w:rsidR="004B303B" w:rsidRPr="00DC30D1">
        <w:rPr>
          <w:rFonts w:asciiTheme="minorHAnsi" w:hAnsiTheme="minorHAnsi"/>
          <w:sz w:val="24"/>
          <w:szCs w:val="24"/>
        </w:rPr>
        <w:t>VEA</w:t>
      </w:r>
      <w:r w:rsidRPr="00DC30D1">
        <w:rPr>
          <w:rFonts w:asciiTheme="minorHAnsi" w:hAnsiTheme="minorHAnsi"/>
          <w:sz w:val="24"/>
          <w:szCs w:val="24"/>
        </w:rPr>
        <w:t xml:space="preserve">, </w:t>
      </w:r>
      <w:r w:rsidR="004B303B" w:rsidRPr="00DC30D1">
        <w:rPr>
          <w:rFonts w:asciiTheme="minorHAnsi" w:hAnsiTheme="minorHAnsi"/>
          <w:sz w:val="24"/>
          <w:szCs w:val="24"/>
        </w:rPr>
        <w:t xml:space="preserve">the </w:t>
      </w:r>
      <w:r w:rsidRPr="00DC30D1">
        <w:rPr>
          <w:rFonts w:asciiTheme="minorHAnsi" w:hAnsiTheme="minorHAnsi"/>
          <w:sz w:val="24"/>
          <w:szCs w:val="24"/>
        </w:rPr>
        <w:t>C</w:t>
      </w:r>
      <w:r w:rsidR="004B303B" w:rsidRPr="00DC30D1">
        <w:rPr>
          <w:rFonts w:asciiTheme="minorHAnsi" w:hAnsiTheme="minorHAnsi"/>
          <w:sz w:val="24"/>
          <w:szCs w:val="24"/>
        </w:rPr>
        <w:t>ouncil</w:t>
      </w:r>
      <w:r w:rsidRPr="00DC30D1">
        <w:rPr>
          <w:rFonts w:asciiTheme="minorHAnsi" w:hAnsiTheme="minorHAnsi"/>
          <w:sz w:val="24"/>
          <w:szCs w:val="24"/>
        </w:rPr>
        <w:t>:</w:t>
      </w:r>
    </w:p>
    <w:p w:rsidR="004B303B" w:rsidRPr="00DC30D1" w:rsidRDefault="004B303B" w:rsidP="00DC30D1">
      <w:pPr>
        <w:pStyle w:val="NumberLevel1"/>
        <w:numPr>
          <w:ilvl w:val="0"/>
          <w:numId w:val="0"/>
        </w:numPr>
        <w:spacing w:line="276" w:lineRule="auto"/>
        <w:ind w:left="1275" w:right="327"/>
        <w:rPr>
          <w:rFonts w:asciiTheme="minorHAnsi" w:hAnsiTheme="minorHAnsi"/>
          <w:sz w:val="24"/>
          <w:szCs w:val="24"/>
        </w:rPr>
      </w:pPr>
      <w:r w:rsidRPr="00DC30D1">
        <w:rPr>
          <w:rFonts w:asciiTheme="minorHAnsi" w:hAnsiTheme="minorHAnsi"/>
          <w:sz w:val="24"/>
          <w:szCs w:val="24"/>
        </w:rPr>
        <w:t xml:space="preserve">DECLARES under subsection 196W(5) of the VEA, that there is </w:t>
      </w:r>
      <w:r w:rsidRPr="0048770D">
        <w:rPr>
          <w:rFonts w:asciiTheme="minorHAnsi" w:hAnsiTheme="minorHAnsi"/>
          <w:b/>
          <w:sz w:val="24"/>
          <w:szCs w:val="24"/>
        </w:rPr>
        <w:t>insufficient</w:t>
      </w:r>
      <w:r w:rsidRPr="00DC30D1">
        <w:rPr>
          <w:rFonts w:asciiTheme="minorHAnsi" w:hAnsiTheme="minorHAnsi"/>
          <w:sz w:val="24"/>
          <w:szCs w:val="24"/>
        </w:rPr>
        <w:t xml:space="preserve"> sound medical-scientific evidence on which the RMA could have relied to amend the Statements of Principles to include factor(s) for smoking cigarettes, or the equivalent thereof in other tobacco products and the </w:t>
      </w:r>
      <w:r w:rsidRPr="0048770D">
        <w:rPr>
          <w:rFonts w:asciiTheme="minorHAnsi" w:hAnsiTheme="minorHAnsi"/>
          <w:b/>
          <w:sz w:val="24"/>
          <w:szCs w:val="24"/>
        </w:rPr>
        <w:t>clinical onset</w:t>
      </w:r>
      <w:r w:rsidRPr="00DC30D1">
        <w:rPr>
          <w:rFonts w:asciiTheme="minorHAnsi" w:hAnsiTheme="minorHAnsi"/>
          <w:sz w:val="24"/>
          <w:szCs w:val="24"/>
        </w:rPr>
        <w:t xml:space="preserve"> of malignant neoplasm of the prostate; and</w:t>
      </w:r>
    </w:p>
    <w:p w:rsidR="004B303B" w:rsidRPr="00DC30D1" w:rsidRDefault="004B303B" w:rsidP="00DC30D1">
      <w:pPr>
        <w:pStyle w:val="NumberLevel1"/>
        <w:numPr>
          <w:ilvl w:val="0"/>
          <w:numId w:val="0"/>
        </w:numPr>
        <w:spacing w:line="240" w:lineRule="auto"/>
        <w:ind w:left="1275" w:right="327"/>
        <w:rPr>
          <w:rFonts w:asciiTheme="minorHAnsi" w:hAnsiTheme="minorHAnsi"/>
          <w:sz w:val="24"/>
          <w:szCs w:val="24"/>
        </w:rPr>
      </w:pPr>
      <w:r w:rsidRPr="00DC30D1">
        <w:rPr>
          <w:rFonts w:asciiTheme="minorHAnsi" w:hAnsiTheme="minorHAnsi"/>
          <w:sz w:val="24"/>
          <w:szCs w:val="24"/>
        </w:rPr>
        <w:t xml:space="preserve">DECLARES , under subsection 196W(4)(c) that there is </w:t>
      </w:r>
      <w:r w:rsidRPr="0048770D">
        <w:rPr>
          <w:rFonts w:asciiTheme="minorHAnsi" w:hAnsiTheme="minorHAnsi"/>
          <w:b/>
          <w:sz w:val="24"/>
          <w:szCs w:val="24"/>
        </w:rPr>
        <w:t>sufficient</w:t>
      </w:r>
      <w:r w:rsidRPr="00DC30D1">
        <w:rPr>
          <w:rFonts w:asciiTheme="minorHAnsi" w:hAnsiTheme="minorHAnsi"/>
          <w:sz w:val="24"/>
          <w:szCs w:val="24"/>
        </w:rPr>
        <w:t xml:space="preserve"> sound medical-scientific evidence on which the RMA could have relied to amend the Statements of Principles to include factor(s) for smoking cigarettes, or the equivalent thereof in other tobacco products and the </w:t>
      </w:r>
      <w:r w:rsidRPr="0048770D">
        <w:rPr>
          <w:rFonts w:asciiTheme="minorHAnsi" w:hAnsiTheme="minorHAnsi"/>
          <w:b/>
          <w:sz w:val="24"/>
          <w:szCs w:val="24"/>
        </w:rPr>
        <w:t>clinical worsening</w:t>
      </w:r>
      <w:r w:rsidRPr="00DC30D1">
        <w:rPr>
          <w:rFonts w:asciiTheme="minorHAnsi" w:hAnsiTheme="minorHAnsi"/>
          <w:sz w:val="24"/>
          <w:szCs w:val="24"/>
        </w:rPr>
        <w:t xml:space="preserve"> of malignant neoplasm of the prostate; and</w:t>
      </w:r>
    </w:p>
    <w:p w:rsidR="00DC30D1" w:rsidRPr="00DB1141" w:rsidRDefault="00DC30D1" w:rsidP="00DC30D1">
      <w:pPr>
        <w:ind w:left="1275"/>
        <w:rPr>
          <w:sz w:val="24"/>
        </w:rPr>
      </w:pPr>
      <w:r w:rsidRPr="00DC30D1">
        <w:rPr>
          <w:sz w:val="24"/>
        </w:rPr>
        <w:lastRenderedPageBreak/>
        <w:t xml:space="preserve">REMITS and DIRECTS under subsection </w:t>
      </w:r>
      <w:proofErr w:type="gramStart"/>
      <w:r w:rsidRPr="00DC30D1">
        <w:rPr>
          <w:sz w:val="24"/>
        </w:rPr>
        <w:t>196W(</w:t>
      </w:r>
      <w:proofErr w:type="gramEnd"/>
      <w:r w:rsidRPr="00DC30D1">
        <w:rPr>
          <w:sz w:val="24"/>
        </w:rPr>
        <w:t xml:space="preserve">4)(d) the RMA to characterise a factor concerning smoking cigarettes, or the equivalent thereof in other tobacco products and the </w:t>
      </w:r>
      <w:bookmarkStart w:id="1" w:name="_GoBack"/>
      <w:r w:rsidRPr="0048770D">
        <w:rPr>
          <w:b/>
          <w:sz w:val="24"/>
        </w:rPr>
        <w:t>clinical worsening</w:t>
      </w:r>
      <w:r w:rsidRPr="00DC30D1">
        <w:rPr>
          <w:sz w:val="24"/>
        </w:rPr>
        <w:t xml:space="preserve"> </w:t>
      </w:r>
      <w:bookmarkEnd w:id="1"/>
      <w:r w:rsidRPr="00DC30D1">
        <w:rPr>
          <w:sz w:val="24"/>
        </w:rPr>
        <w:t>of malignant neoplasm of the prostate, taking into account whatever new information has become available since the SoPs were</w:t>
      </w:r>
      <w:r w:rsidRPr="00DB1141">
        <w:rPr>
          <w:sz w:val="24"/>
        </w:rPr>
        <w:t xml:space="preserve"> determined in 2014, and having particular regard to determining evidence-based thresholds for pack-years smoked, and where smoking has ceased, for years since smoking cessation.</w:t>
      </w:r>
    </w:p>
    <w:tbl>
      <w:tblPr>
        <w:tblW w:w="0" w:type="auto"/>
        <w:tblInd w:w="1275" w:type="dxa"/>
        <w:tblLook w:val="04A0" w:firstRow="1" w:lastRow="0" w:firstColumn="1" w:lastColumn="0" w:noHBand="0" w:noVBand="1"/>
      </w:tblPr>
      <w:tblGrid>
        <w:gridCol w:w="2688"/>
        <w:gridCol w:w="2923"/>
        <w:gridCol w:w="2531"/>
        <w:gridCol w:w="221"/>
      </w:tblGrid>
      <w:tr w:rsidR="009D796A" w:rsidRPr="004B303B" w:rsidTr="005F1335">
        <w:tc>
          <w:tcPr>
            <w:tcW w:w="2477" w:type="dxa"/>
            <w:shd w:val="clear" w:color="auto" w:fill="auto"/>
          </w:tcPr>
          <w:p w:rsidR="004B724B" w:rsidRPr="004B303B" w:rsidRDefault="009D796A" w:rsidP="00EC3BA2">
            <w:pPr>
              <w:pStyle w:val="NumberLevel1"/>
              <w:numPr>
                <w:ilvl w:val="0"/>
                <w:numId w:val="0"/>
              </w:numPr>
              <w:ind w:right="327"/>
              <w:rPr>
                <w:rFonts w:asciiTheme="minorHAnsi" w:hAnsiTheme="minorHAnsi"/>
                <w:sz w:val="24"/>
                <w:szCs w:val="24"/>
              </w:rPr>
            </w:pPr>
            <w:r>
              <w:rPr>
                <w:noProof/>
                <w:lang w:eastAsia="en-AU"/>
              </w:rPr>
              <w:drawing>
                <wp:inline distT="0" distB="0" distL="0" distR="0" wp14:anchorId="384052C9" wp14:editId="16B4AC75">
                  <wp:extent cx="1600200" cy="4572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00200" cy="457200"/>
                          </a:xfrm>
                          <a:prstGeom prst="rect">
                            <a:avLst/>
                          </a:prstGeom>
                          <a:noFill/>
                          <a:ln>
                            <a:noFill/>
                          </a:ln>
                        </pic:spPr>
                      </pic:pic>
                    </a:graphicData>
                  </a:graphic>
                </wp:inline>
              </w:drawing>
            </w:r>
          </w:p>
        </w:tc>
        <w:tc>
          <w:tcPr>
            <w:tcW w:w="1890" w:type="dxa"/>
            <w:shd w:val="clear" w:color="auto" w:fill="auto"/>
          </w:tcPr>
          <w:p w:rsidR="005F1335" w:rsidRPr="004B303B" w:rsidRDefault="00C434CD" w:rsidP="00EC3BA2">
            <w:pPr>
              <w:pStyle w:val="NumberLevel1"/>
              <w:numPr>
                <w:ilvl w:val="0"/>
                <w:numId w:val="0"/>
              </w:numPr>
              <w:ind w:right="327"/>
              <w:rPr>
                <w:rFonts w:asciiTheme="minorHAnsi" w:hAnsiTheme="minorHAnsi"/>
                <w:sz w:val="24"/>
                <w:szCs w:val="24"/>
              </w:rPr>
            </w:pPr>
            <w:r w:rsidRPr="00C434CD">
              <w:rPr>
                <w:rFonts w:asciiTheme="minorHAnsi" w:hAnsiTheme="minorHAnsi"/>
                <w:noProof/>
                <w:sz w:val="24"/>
                <w:szCs w:val="24"/>
                <w:lang w:eastAsia="en-AU"/>
              </w:rPr>
              <w:drawing>
                <wp:inline distT="0" distB="0" distL="0" distR="0" wp14:anchorId="2C48CA44" wp14:editId="7F844A4C">
                  <wp:extent cx="1773555" cy="37075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91573" cy="374526"/>
                          </a:xfrm>
                          <a:prstGeom prst="rect">
                            <a:avLst/>
                          </a:prstGeom>
                          <a:noFill/>
                          <a:ln>
                            <a:noFill/>
                          </a:ln>
                        </pic:spPr>
                      </pic:pic>
                    </a:graphicData>
                  </a:graphic>
                </wp:inline>
              </w:drawing>
            </w:r>
          </w:p>
        </w:tc>
        <w:tc>
          <w:tcPr>
            <w:tcW w:w="2725" w:type="dxa"/>
            <w:shd w:val="clear" w:color="auto" w:fill="auto"/>
          </w:tcPr>
          <w:p w:rsidR="005F1335" w:rsidRPr="004B303B" w:rsidRDefault="009D796A" w:rsidP="00EC3BA2">
            <w:pPr>
              <w:pStyle w:val="NumberLevel1"/>
              <w:numPr>
                <w:ilvl w:val="0"/>
                <w:numId w:val="0"/>
              </w:numPr>
              <w:ind w:right="327"/>
              <w:rPr>
                <w:rFonts w:asciiTheme="minorHAnsi" w:hAnsiTheme="minorHAnsi"/>
                <w:sz w:val="24"/>
                <w:szCs w:val="24"/>
              </w:rPr>
            </w:pPr>
            <w:r w:rsidRPr="009D796A">
              <w:rPr>
                <w:rFonts w:asciiTheme="minorHAnsi" w:hAnsiTheme="minorHAnsi"/>
                <w:noProof/>
                <w:sz w:val="24"/>
                <w:szCs w:val="24"/>
                <w:lang w:eastAsia="en-AU"/>
              </w:rPr>
              <w:drawing>
                <wp:inline distT="0" distB="0" distL="0" distR="0" wp14:anchorId="1777C8BF" wp14:editId="695D1097">
                  <wp:extent cx="1484593" cy="515063"/>
                  <wp:effectExtent l="0" t="0" r="190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99352" cy="520183"/>
                          </a:xfrm>
                          <a:prstGeom prst="rect">
                            <a:avLst/>
                          </a:prstGeom>
                          <a:noFill/>
                          <a:ln>
                            <a:noFill/>
                          </a:ln>
                        </pic:spPr>
                      </pic:pic>
                    </a:graphicData>
                  </a:graphic>
                </wp:inline>
              </w:drawing>
            </w:r>
          </w:p>
        </w:tc>
        <w:tc>
          <w:tcPr>
            <w:tcW w:w="1271" w:type="dxa"/>
          </w:tcPr>
          <w:p w:rsidR="005F1335" w:rsidRPr="004B303B" w:rsidRDefault="005F1335" w:rsidP="00EC3BA2">
            <w:pPr>
              <w:pStyle w:val="NumberLevel1"/>
              <w:numPr>
                <w:ilvl w:val="0"/>
                <w:numId w:val="0"/>
              </w:numPr>
              <w:ind w:right="327"/>
              <w:rPr>
                <w:rFonts w:asciiTheme="minorHAnsi" w:hAnsiTheme="minorHAnsi"/>
                <w:noProof/>
                <w:sz w:val="24"/>
                <w:szCs w:val="24"/>
                <w:lang w:eastAsia="en-AU"/>
              </w:rPr>
            </w:pPr>
          </w:p>
        </w:tc>
      </w:tr>
      <w:tr w:rsidR="009D796A" w:rsidRPr="004B303B" w:rsidTr="005F1335">
        <w:tc>
          <w:tcPr>
            <w:tcW w:w="2477" w:type="dxa"/>
            <w:shd w:val="clear" w:color="auto" w:fill="auto"/>
          </w:tcPr>
          <w:p w:rsidR="005F1335" w:rsidRPr="004B303B" w:rsidRDefault="00281AF5" w:rsidP="00554F1A">
            <w:pPr>
              <w:spacing w:after="0" w:line="240" w:lineRule="auto"/>
              <w:jc w:val="center"/>
              <w:rPr>
                <w:rFonts w:cs="Arial"/>
                <w:sz w:val="24"/>
                <w:szCs w:val="24"/>
              </w:rPr>
            </w:pPr>
            <w:r w:rsidRPr="004B303B">
              <w:rPr>
                <w:rFonts w:cs="Arial"/>
                <w:sz w:val="24"/>
                <w:szCs w:val="24"/>
              </w:rPr>
              <w:t>Charles Guest</w:t>
            </w:r>
          </w:p>
          <w:p w:rsidR="005F1335" w:rsidRPr="004B303B" w:rsidRDefault="005F1335" w:rsidP="00554F1A">
            <w:pPr>
              <w:spacing w:after="0" w:line="240" w:lineRule="auto"/>
              <w:jc w:val="center"/>
              <w:rPr>
                <w:rFonts w:cs="Arial"/>
                <w:sz w:val="24"/>
                <w:szCs w:val="24"/>
              </w:rPr>
            </w:pPr>
            <w:r w:rsidRPr="004B303B">
              <w:rPr>
                <w:rFonts w:cs="Arial"/>
                <w:sz w:val="24"/>
                <w:szCs w:val="24"/>
              </w:rPr>
              <w:t>Presiding Councillor</w:t>
            </w:r>
          </w:p>
        </w:tc>
        <w:tc>
          <w:tcPr>
            <w:tcW w:w="1890" w:type="dxa"/>
            <w:shd w:val="clear" w:color="auto" w:fill="auto"/>
          </w:tcPr>
          <w:p w:rsidR="005F1335" w:rsidRPr="004B303B" w:rsidRDefault="00281AF5" w:rsidP="00554F1A">
            <w:pPr>
              <w:spacing w:after="0" w:line="240" w:lineRule="auto"/>
              <w:jc w:val="center"/>
              <w:rPr>
                <w:rFonts w:cs="Arial"/>
                <w:sz w:val="24"/>
                <w:szCs w:val="24"/>
              </w:rPr>
            </w:pPr>
            <w:r w:rsidRPr="004B303B">
              <w:rPr>
                <w:rFonts w:cs="Arial"/>
                <w:sz w:val="24"/>
                <w:szCs w:val="24"/>
              </w:rPr>
              <w:t>Bruce Armstrong</w:t>
            </w:r>
          </w:p>
          <w:p w:rsidR="005F1335" w:rsidRPr="004B303B" w:rsidRDefault="005F1335" w:rsidP="00554F1A">
            <w:pPr>
              <w:spacing w:after="0" w:line="240" w:lineRule="auto"/>
              <w:jc w:val="center"/>
              <w:rPr>
                <w:rFonts w:cs="Arial"/>
                <w:sz w:val="24"/>
                <w:szCs w:val="24"/>
              </w:rPr>
            </w:pPr>
            <w:r w:rsidRPr="004B303B">
              <w:rPr>
                <w:rFonts w:cs="Arial"/>
                <w:sz w:val="24"/>
                <w:szCs w:val="24"/>
              </w:rPr>
              <w:t>Councillor</w:t>
            </w:r>
          </w:p>
        </w:tc>
        <w:tc>
          <w:tcPr>
            <w:tcW w:w="2725" w:type="dxa"/>
            <w:shd w:val="clear" w:color="auto" w:fill="auto"/>
          </w:tcPr>
          <w:p w:rsidR="005F1335" w:rsidRPr="004B303B" w:rsidRDefault="00281AF5" w:rsidP="00554F1A">
            <w:pPr>
              <w:spacing w:after="0" w:line="240" w:lineRule="auto"/>
              <w:jc w:val="center"/>
              <w:rPr>
                <w:rFonts w:cs="Arial"/>
                <w:sz w:val="24"/>
                <w:szCs w:val="24"/>
              </w:rPr>
            </w:pPr>
            <w:r w:rsidRPr="004B303B">
              <w:rPr>
                <w:rFonts w:cs="Arial"/>
                <w:sz w:val="24"/>
                <w:szCs w:val="24"/>
              </w:rPr>
              <w:t>Michael Izard</w:t>
            </w:r>
          </w:p>
          <w:p w:rsidR="005F1335" w:rsidRPr="004B303B" w:rsidRDefault="005F1335" w:rsidP="00554F1A">
            <w:pPr>
              <w:spacing w:after="0" w:line="240" w:lineRule="auto"/>
              <w:jc w:val="center"/>
              <w:rPr>
                <w:rFonts w:cs="Arial"/>
                <w:sz w:val="24"/>
                <w:szCs w:val="24"/>
              </w:rPr>
            </w:pPr>
            <w:r w:rsidRPr="004B303B">
              <w:rPr>
                <w:rFonts w:cs="Arial"/>
                <w:sz w:val="24"/>
                <w:szCs w:val="24"/>
              </w:rPr>
              <w:t>Councillor</w:t>
            </w:r>
          </w:p>
        </w:tc>
        <w:tc>
          <w:tcPr>
            <w:tcW w:w="1271" w:type="dxa"/>
          </w:tcPr>
          <w:p w:rsidR="005F1335" w:rsidRPr="004B303B" w:rsidRDefault="005F1335" w:rsidP="00FD33D1">
            <w:pPr>
              <w:spacing w:line="240" w:lineRule="auto"/>
              <w:jc w:val="center"/>
              <w:rPr>
                <w:rFonts w:cs="Arial"/>
                <w:sz w:val="24"/>
                <w:szCs w:val="24"/>
              </w:rPr>
            </w:pPr>
          </w:p>
        </w:tc>
      </w:tr>
      <w:bookmarkEnd w:id="0"/>
    </w:tbl>
    <w:p w:rsidR="00FD33D1" w:rsidRPr="004B303B" w:rsidRDefault="00FD33D1" w:rsidP="00FD33D1">
      <w:pPr>
        <w:rPr>
          <w:sz w:val="24"/>
          <w:szCs w:val="24"/>
        </w:rPr>
      </w:pPr>
    </w:p>
    <w:tbl>
      <w:tblPr>
        <w:tblW w:w="0" w:type="auto"/>
        <w:tblInd w:w="250" w:type="dxa"/>
        <w:tblLook w:val="04A0" w:firstRow="1" w:lastRow="0" w:firstColumn="1" w:lastColumn="0" w:noHBand="0" w:noVBand="1"/>
      </w:tblPr>
      <w:tblGrid>
        <w:gridCol w:w="4678"/>
        <w:gridCol w:w="4710"/>
      </w:tblGrid>
      <w:tr w:rsidR="00FD33D1" w:rsidRPr="004B303B" w:rsidTr="00EC3BA2">
        <w:tc>
          <w:tcPr>
            <w:tcW w:w="4845" w:type="dxa"/>
            <w:shd w:val="clear" w:color="auto" w:fill="auto"/>
          </w:tcPr>
          <w:tbl>
            <w:tblPr>
              <w:tblW w:w="3861" w:type="dxa"/>
              <w:tblInd w:w="108" w:type="dxa"/>
              <w:tblLook w:val="01E0" w:firstRow="1" w:lastRow="1" w:firstColumn="1" w:lastColumn="1" w:noHBand="0" w:noVBand="0"/>
            </w:tblPr>
            <w:tblGrid>
              <w:gridCol w:w="3595"/>
              <w:gridCol w:w="266"/>
            </w:tblGrid>
            <w:tr w:rsidR="00FD33D1" w:rsidRPr="004B303B" w:rsidTr="00EC3BA2">
              <w:tc>
                <w:tcPr>
                  <w:tcW w:w="4656" w:type="pct"/>
                  <w:shd w:val="clear" w:color="auto" w:fill="auto"/>
                </w:tcPr>
                <w:p w:rsidR="00554F1A" w:rsidRDefault="00FD33D1" w:rsidP="00554F1A">
                  <w:pPr>
                    <w:spacing w:after="0" w:line="240" w:lineRule="auto"/>
                    <w:rPr>
                      <w:rFonts w:cs="Arial"/>
                      <w:sz w:val="24"/>
                      <w:szCs w:val="24"/>
                    </w:rPr>
                  </w:pPr>
                  <w:r w:rsidRPr="004B303B">
                    <w:rPr>
                      <w:rFonts w:cs="Arial"/>
                      <w:sz w:val="24"/>
                      <w:szCs w:val="24"/>
                    </w:rPr>
                    <w:t>The Common Seal of the</w:t>
                  </w:r>
                  <w:r w:rsidRPr="004B303B">
                    <w:rPr>
                      <w:rFonts w:cs="Arial"/>
                      <w:sz w:val="24"/>
                      <w:szCs w:val="24"/>
                    </w:rPr>
                    <w:tab/>
                    <w:t>)</w:t>
                  </w:r>
                  <w:r w:rsidRPr="004B303B">
                    <w:rPr>
                      <w:rFonts w:cs="Arial"/>
                      <w:sz w:val="24"/>
                      <w:szCs w:val="24"/>
                    </w:rPr>
                    <w:br/>
                    <w:t>Specialist Medical Re</w:t>
                  </w:r>
                  <w:r w:rsidR="00554F1A">
                    <w:rPr>
                      <w:rFonts w:cs="Arial"/>
                      <w:sz w:val="24"/>
                      <w:szCs w:val="24"/>
                    </w:rPr>
                    <w:t>view</w:t>
                  </w:r>
                  <w:r w:rsidR="00554F1A">
                    <w:rPr>
                      <w:rFonts w:cs="Arial"/>
                      <w:sz w:val="24"/>
                      <w:szCs w:val="24"/>
                    </w:rPr>
                    <w:tab/>
                    <w:t>) Council was affixed by             )</w:t>
                  </w:r>
                </w:p>
                <w:p w:rsidR="00FD33D1" w:rsidRPr="004B303B" w:rsidRDefault="00FD33D1" w:rsidP="00554F1A">
                  <w:pPr>
                    <w:spacing w:after="0" w:line="240" w:lineRule="auto"/>
                    <w:rPr>
                      <w:rFonts w:cs="Arial"/>
                      <w:sz w:val="24"/>
                      <w:szCs w:val="24"/>
                    </w:rPr>
                  </w:pPr>
                  <w:r w:rsidRPr="004B303B">
                    <w:rPr>
                      <w:rFonts w:cs="Arial"/>
                      <w:sz w:val="24"/>
                      <w:szCs w:val="24"/>
                    </w:rPr>
                    <w:t>authority of the Council in</w:t>
                  </w:r>
                  <w:r w:rsidRPr="004B303B">
                    <w:rPr>
                      <w:rFonts w:cs="Arial"/>
                      <w:sz w:val="24"/>
                      <w:szCs w:val="24"/>
                    </w:rPr>
                    <w:tab/>
                    <w:t>)</w:t>
                  </w:r>
                </w:p>
                <w:p w:rsidR="00FD33D1" w:rsidRPr="004B303B" w:rsidRDefault="00FD33D1" w:rsidP="00554F1A">
                  <w:pPr>
                    <w:spacing w:after="0" w:line="240" w:lineRule="auto"/>
                    <w:rPr>
                      <w:rFonts w:cs="Arial"/>
                      <w:sz w:val="24"/>
                      <w:szCs w:val="24"/>
                    </w:rPr>
                  </w:pPr>
                  <w:r w:rsidRPr="004B303B">
                    <w:rPr>
                      <w:rFonts w:cs="Arial"/>
                      <w:sz w:val="24"/>
                      <w:szCs w:val="24"/>
                    </w:rPr>
                    <w:t>the presence of:</w:t>
                  </w:r>
                  <w:r w:rsidRPr="004B303B">
                    <w:rPr>
                      <w:rFonts w:cs="Arial"/>
                      <w:sz w:val="24"/>
                      <w:szCs w:val="24"/>
                    </w:rPr>
                    <w:tab/>
                  </w:r>
                  <w:r w:rsidRPr="004B303B">
                    <w:rPr>
                      <w:rFonts w:cs="Arial"/>
                      <w:sz w:val="24"/>
                      <w:szCs w:val="24"/>
                    </w:rPr>
                    <w:tab/>
                    <w:t>)</w:t>
                  </w:r>
                </w:p>
                <w:p w:rsidR="00FD33D1" w:rsidRPr="004B303B" w:rsidRDefault="00FD33D1" w:rsidP="00FD33D1">
                  <w:pPr>
                    <w:spacing w:line="240" w:lineRule="auto"/>
                    <w:jc w:val="center"/>
                    <w:rPr>
                      <w:rFonts w:cs="Arial"/>
                      <w:sz w:val="24"/>
                      <w:szCs w:val="24"/>
                    </w:rPr>
                  </w:pPr>
                </w:p>
              </w:tc>
              <w:tc>
                <w:tcPr>
                  <w:tcW w:w="344" w:type="pct"/>
                  <w:shd w:val="clear" w:color="auto" w:fill="auto"/>
                </w:tcPr>
                <w:p w:rsidR="00FD33D1" w:rsidRPr="004B303B" w:rsidRDefault="00FD33D1" w:rsidP="00EC3BA2">
                  <w:pPr>
                    <w:rPr>
                      <w:rFonts w:cs="Arial"/>
                      <w:sz w:val="24"/>
                      <w:szCs w:val="24"/>
                    </w:rPr>
                  </w:pPr>
                </w:p>
                <w:p w:rsidR="00FD33D1" w:rsidRPr="004B303B" w:rsidRDefault="00FD33D1" w:rsidP="00EC3BA2">
                  <w:pPr>
                    <w:jc w:val="center"/>
                    <w:rPr>
                      <w:rFonts w:cs="Arial"/>
                      <w:sz w:val="24"/>
                      <w:szCs w:val="24"/>
                    </w:rPr>
                  </w:pPr>
                </w:p>
              </w:tc>
            </w:tr>
          </w:tbl>
          <w:p w:rsidR="00FD33D1" w:rsidRPr="004B303B" w:rsidRDefault="00FD33D1" w:rsidP="00EC3BA2">
            <w:pPr>
              <w:rPr>
                <w:sz w:val="24"/>
                <w:szCs w:val="24"/>
              </w:rPr>
            </w:pPr>
          </w:p>
        </w:tc>
        <w:tc>
          <w:tcPr>
            <w:tcW w:w="5095" w:type="dxa"/>
            <w:shd w:val="clear" w:color="auto" w:fill="auto"/>
          </w:tcPr>
          <w:p w:rsidR="00FD33D1" w:rsidRPr="004B303B" w:rsidRDefault="00FD33D1" w:rsidP="00EC3BA2">
            <w:pPr>
              <w:rPr>
                <w:sz w:val="24"/>
                <w:szCs w:val="24"/>
              </w:rPr>
            </w:pPr>
            <w:r w:rsidRPr="004B303B">
              <w:rPr>
                <w:noProof/>
                <w:sz w:val="24"/>
                <w:szCs w:val="24"/>
                <w:lang w:eastAsia="en-AU"/>
              </w:rPr>
              <w:drawing>
                <wp:anchor distT="0" distB="0" distL="114300" distR="114300" simplePos="0" relativeHeight="251659264" behindDoc="0" locked="0" layoutInCell="1" allowOverlap="1">
                  <wp:simplePos x="0" y="0"/>
                  <wp:positionH relativeFrom="column">
                    <wp:align>right</wp:align>
                  </wp:positionH>
                  <wp:positionV relativeFrom="paragraph">
                    <wp:posOffset>-2725420</wp:posOffset>
                  </wp:positionV>
                  <wp:extent cx="2129155" cy="1731645"/>
                  <wp:effectExtent l="0" t="0" r="4445" b="1905"/>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29155" cy="173164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FD33D1" w:rsidRPr="004B303B" w:rsidRDefault="00FD33D1" w:rsidP="00FD33D1">
      <w:pPr>
        <w:rPr>
          <w:rFonts w:ascii="Arial" w:hAnsi="Arial" w:cs="Arial"/>
          <w:sz w:val="24"/>
          <w:szCs w:val="24"/>
        </w:rPr>
      </w:pPr>
      <w:r w:rsidRPr="004B303B">
        <w:rPr>
          <w:rFonts w:ascii="Arial" w:hAnsi="Arial" w:cs="Arial"/>
          <w:sz w:val="24"/>
          <w:szCs w:val="24"/>
        </w:rPr>
        <w:t xml:space="preserve">                 </w:t>
      </w:r>
      <w:r w:rsidR="00C434CD">
        <w:rPr>
          <w:rFonts w:ascii="Arial" w:hAnsi="Arial" w:cs="Arial"/>
          <w:sz w:val="24"/>
          <w:szCs w:val="24"/>
        </w:rPr>
        <w:tab/>
      </w:r>
      <w:r w:rsidR="00C434CD">
        <w:rPr>
          <w:rFonts w:ascii="Arial" w:hAnsi="Arial" w:cs="Arial"/>
          <w:sz w:val="24"/>
          <w:szCs w:val="24"/>
        </w:rPr>
        <w:tab/>
      </w:r>
      <w:r w:rsidR="00C434CD">
        <w:rPr>
          <w:rFonts w:ascii="Arial" w:hAnsi="Arial" w:cs="Arial"/>
          <w:sz w:val="24"/>
          <w:szCs w:val="24"/>
        </w:rPr>
        <w:tab/>
      </w:r>
      <w:r w:rsidR="00C434CD">
        <w:rPr>
          <w:rFonts w:ascii="Arial" w:hAnsi="Arial" w:cs="Arial"/>
          <w:sz w:val="24"/>
          <w:szCs w:val="24"/>
        </w:rPr>
        <w:tab/>
      </w:r>
      <w:r w:rsidR="00C434CD">
        <w:rPr>
          <w:rFonts w:ascii="Arial" w:hAnsi="Arial" w:cs="Arial"/>
          <w:sz w:val="24"/>
          <w:szCs w:val="24"/>
        </w:rPr>
        <w:tab/>
      </w:r>
      <w:r w:rsidR="00C434CD">
        <w:rPr>
          <w:rFonts w:ascii="Arial" w:hAnsi="Arial" w:cs="Arial"/>
          <w:sz w:val="24"/>
          <w:szCs w:val="24"/>
        </w:rPr>
        <w:tab/>
      </w:r>
      <w:r w:rsidR="00C434CD">
        <w:rPr>
          <w:rFonts w:ascii="Arial" w:hAnsi="Arial" w:cs="Arial"/>
          <w:sz w:val="24"/>
          <w:szCs w:val="24"/>
        </w:rPr>
        <w:tab/>
      </w:r>
      <w:r w:rsidRPr="004B303B">
        <w:rPr>
          <w:rFonts w:ascii="Arial" w:hAnsi="Arial" w:cs="Arial"/>
          <w:sz w:val="24"/>
          <w:szCs w:val="24"/>
        </w:rPr>
        <w:t xml:space="preserve">   </w:t>
      </w:r>
      <w:r w:rsidR="00C434CD">
        <w:rPr>
          <w:noProof/>
          <w:sz w:val="24"/>
          <w:szCs w:val="24"/>
          <w:lang w:eastAsia="en-AU"/>
        </w:rPr>
        <w:drawing>
          <wp:inline distT="0" distB="0" distL="0" distR="0" wp14:anchorId="7894FAC1" wp14:editId="0664BC85">
            <wp:extent cx="1771650" cy="8191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71650" cy="819150"/>
                    </a:xfrm>
                    <a:prstGeom prst="rect">
                      <a:avLst/>
                    </a:prstGeom>
                    <a:noFill/>
                    <a:ln>
                      <a:noFill/>
                    </a:ln>
                  </pic:spPr>
                </pic:pic>
              </a:graphicData>
            </a:graphic>
          </wp:inline>
        </w:drawing>
      </w:r>
    </w:p>
    <w:tbl>
      <w:tblPr>
        <w:tblW w:w="0" w:type="auto"/>
        <w:tblInd w:w="4786" w:type="dxa"/>
        <w:tblLook w:val="04A0" w:firstRow="1" w:lastRow="0" w:firstColumn="1" w:lastColumn="0" w:noHBand="0" w:noVBand="1"/>
      </w:tblPr>
      <w:tblGrid>
        <w:gridCol w:w="4852"/>
      </w:tblGrid>
      <w:tr w:rsidR="00FD33D1" w:rsidRPr="004B303B" w:rsidTr="00EC3BA2">
        <w:tc>
          <w:tcPr>
            <w:tcW w:w="5404" w:type="dxa"/>
            <w:shd w:val="clear" w:color="auto" w:fill="auto"/>
          </w:tcPr>
          <w:p w:rsidR="00FD33D1" w:rsidRPr="004B303B" w:rsidRDefault="00FD33D1" w:rsidP="00554F1A">
            <w:pPr>
              <w:spacing w:after="0"/>
              <w:rPr>
                <w:rFonts w:ascii="Arial" w:hAnsi="Arial" w:cs="Arial"/>
                <w:sz w:val="24"/>
                <w:szCs w:val="24"/>
              </w:rPr>
            </w:pPr>
          </w:p>
        </w:tc>
      </w:tr>
      <w:tr w:rsidR="00FD33D1" w:rsidRPr="004B303B" w:rsidTr="00EC3BA2">
        <w:tc>
          <w:tcPr>
            <w:tcW w:w="5404" w:type="dxa"/>
            <w:shd w:val="clear" w:color="auto" w:fill="auto"/>
          </w:tcPr>
          <w:p w:rsidR="00FD33D1" w:rsidRPr="004B303B" w:rsidRDefault="00FD33D1" w:rsidP="00FD33D1">
            <w:pPr>
              <w:spacing w:after="0"/>
              <w:jc w:val="center"/>
              <w:rPr>
                <w:rFonts w:cs="Arial"/>
                <w:sz w:val="24"/>
                <w:szCs w:val="24"/>
              </w:rPr>
            </w:pPr>
            <w:r w:rsidRPr="004B303B">
              <w:rPr>
                <w:rFonts w:cs="Arial"/>
                <w:sz w:val="24"/>
                <w:szCs w:val="24"/>
              </w:rPr>
              <w:t>Jan Bowman</w:t>
            </w:r>
          </w:p>
          <w:p w:rsidR="00FD33D1" w:rsidRPr="004B303B" w:rsidRDefault="00FD33D1" w:rsidP="00FD33D1">
            <w:pPr>
              <w:spacing w:after="0"/>
              <w:jc w:val="center"/>
              <w:rPr>
                <w:rFonts w:cs="Arial"/>
                <w:sz w:val="24"/>
                <w:szCs w:val="24"/>
              </w:rPr>
            </w:pPr>
            <w:r w:rsidRPr="004B303B">
              <w:rPr>
                <w:rFonts w:cs="Arial"/>
                <w:sz w:val="24"/>
                <w:szCs w:val="24"/>
              </w:rPr>
              <w:t>Registrar, SMRC</w:t>
            </w:r>
          </w:p>
          <w:p w:rsidR="00FD33D1" w:rsidRPr="004B303B" w:rsidRDefault="00FD33D1" w:rsidP="00FD33D1">
            <w:pPr>
              <w:spacing w:after="0"/>
              <w:jc w:val="center"/>
              <w:rPr>
                <w:rFonts w:cs="Arial"/>
                <w:sz w:val="24"/>
                <w:szCs w:val="24"/>
              </w:rPr>
            </w:pPr>
          </w:p>
        </w:tc>
      </w:tr>
      <w:tr w:rsidR="00FD33D1" w:rsidRPr="004B303B" w:rsidTr="00EC3BA2">
        <w:tc>
          <w:tcPr>
            <w:tcW w:w="5404" w:type="dxa"/>
            <w:shd w:val="clear" w:color="auto" w:fill="auto"/>
          </w:tcPr>
          <w:p w:rsidR="00FD33D1" w:rsidRPr="004B303B" w:rsidRDefault="00FD33D1" w:rsidP="004B303B">
            <w:pPr>
              <w:jc w:val="center"/>
              <w:rPr>
                <w:rFonts w:cs="Arial"/>
                <w:sz w:val="24"/>
                <w:szCs w:val="24"/>
              </w:rPr>
            </w:pPr>
            <w:r w:rsidRPr="004B303B">
              <w:rPr>
                <w:rFonts w:cs="Arial"/>
                <w:sz w:val="24"/>
                <w:szCs w:val="24"/>
              </w:rPr>
              <w:t xml:space="preserve">Dated this </w:t>
            </w:r>
            <w:r w:rsidR="00E32EBF">
              <w:rPr>
                <w:rFonts w:cs="Arial"/>
                <w:b/>
                <w:i/>
                <w:sz w:val="24"/>
                <w:szCs w:val="24"/>
              </w:rPr>
              <w:t>nineteen</w:t>
            </w:r>
            <w:r w:rsidR="00C434CD">
              <w:rPr>
                <w:rFonts w:cs="Arial"/>
                <w:b/>
                <w:i/>
                <w:sz w:val="24"/>
                <w:szCs w:val="24"/>
              </w:rPr>
              <w:t>th</w:t>
            </w:r>
            <w:r w:rsidR="001B5C2C" w:rsidRPr="004B303B">
              <w:rPr>
                <w:rFonts w:cs="Arial"/>
                <w:b/>
                <w:i/>
                <w:sz w:val="24"/>
                <w:szCs w:val="24"/>
              </w:rPr>
              <w:t xml:space="preserve"> </w:t>
            </w:r>
            <w:r w:rsidRPr="004B303B">
              <w:rPr>
                <w:rFonts w:cs="Arial"/>
                <w:sz w:val="24"/>
                <w:szCs w:val="24"/>
              </w:rPr>
              <w:t xml:space="preserve">day of </w:t>
            </w:r>
            <w:r w:rsidR="004B303B" w:rsidRPr="004B303B">
              <w:rPr>
                <w:rFonts w:cs="Arial"/>
                <w:b/>
                <w:i/>
                <w:sz w:val="24"/>
                <w:szCs w:val="24"/>
              </w:rPr>
              <w:t>September</w:t>
            </w:r>
            <w:r w:rsidRPr="004B303B">
              <w:rPr>
                <w:rFonts w:cs="Arial"/>
                <w:b/>
                <w:i/>
                <w:sz w:val="24"/>
                <w:szCs w:val="24"/>
              </w:rPr>
              <w:t xml:space="preserve"> </w:t>
            </w:r>
            <w:r w:rsidRPr="004B303B">
              <w:rPr>
                <w:rFonts w:cs="Arial"/>
                <w:sz w:val="24"/>
                <w:szCs w:val="24"/>
              </w:rPr>
              <w:t>2016</w:t>
            </w:r>
          </w:p>
        </w:tc>
      </w:tr>
    </w:tbl>
    <w:p w:rsidR="00FD33D1" w:rsidRPr="004B303B" w:rsidRDefault="00FD33D1" w:rsidP="00FD33D1">
      <w:pPr>
        <w:pStyle w:val="Heading7"/>
        <w:numPr>
          <w:ilvl w:val="0"/>
          <w:numId w:val="0"/>
        </w:numPr>
        <w:jc w:val="left"/>
        <w:rPr>
          <w:rFonts w:asciiTheme="minorHAnsi" w:hAnsiTheme="minorHAnsi" w:cs="Arial"/>
          <w:szCs w:val="24"/>
        </w:rPr>
      </w:pPr>
    </w:p>
    <w:p w:rsidR="004B2753" w:rsidRPr="004B303B" w:rsidRDefault="004B2753" w:rsidP="00424B97">
      <w:pPr>
        <w:rPr>
          <w:sz w:val="24"/>
          <w:szCs w:val="24"/>
        </w:rPr>
      </w:pPr>
    </w:p>
    <w:sectPr w:rsidR="004B2753" w:rsidRPr="004B303B" w:rsidSect="008E4F6C">
      <w:headerReference w:type="even" r:id="rId14"/>
      <w:headerReference w:type="default" r:id="rId15"/>
      <w:footerReference w:type="even" r:id="rId16"/>
      <w:footerReference w:type="default" r:id="rId17"/>
      <w:headerReference w:type="first" r:id="rId18"/>
      <w:footerReference w:type="first" r:id="rId19"/>
      <w:type w:val="continuous"/>
      <w:pgSz w:w="11906" w:h="16838" w:code="9"/>
      <w:pgMar w:top="1134" w:right="1134" w:bottom="1134" w:left="1134" w:header="567" w:footer="510" w:gutter="0"/>
      <w:cols w:space="1202"/>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4F6C" w:rsidRDefault="008E4F6C" w:rsidP="003A707F">
      <w:pPr>
        <w:spacing w:after="0" w:line="240" w:lineRule="auto"/>
      </w:pPr>
      <w:r>
        <w:separator/>
      </w:r>
    </w:p>
  </w:endnote>
  <w:endnote w:type="continuationSeparator" w:id="0">
    <w:p w:rsidR="008E4F6C" w:rsidRDefault="008E4F6C" w:rsidP="003A7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Optima">
    <w:panose1 w:val="00000000000000000000"/>
    <w:charset w:val="00"/>
    <w:family w:val="swiss"/>
    <w:notTrueType/>
    <w:pitch w:val="variable"/>
    <w:sig w:usb0="00000003" w:usb1="00000000" w:usb2="00000000" w:usb3="00000000" w:csb0="00000001" w:csb1="00000000"/>
  </w:font>
  <w:font w:name="Frit-Qat">
    <w:altName w:val="Goudy Old Style"/>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C30" w:rsidRDefault="00C72C3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1E22" w:rsidRPr="00F36730" w:rsidRDefault="00191E22" w:rsidP="00191E22">
    <w:pPr>
      <w:pStyle w:val="Footer"/>
      <w:jc w:val="both"/>
      <w:rPr>
        <w:rFonts w:ascii="Arial" w:hAnsi="Arial" w:cs="Arial"/>
        <w:sz w:val="16"/>
        <w:szCs w:val="16"/>
      </w:rPr>
    </w:pPr>
    <w:r w:rsidRPr="00F36730">
      <w:rPr>
        <w:rFonts w:ascii="Arial" w:hAnsi="Arial" w:cs="Arial"/>
        <w:sz w:val="16"/>
        <w:szCs w:val="16"/>
      </w:rPr>
      <w:t>The Council’s Reasons for Decision in relation to this Declaration can be obtained from its website at www.smrc.gov.au, or on request by writing to the Specialist Medical Review Council Secretariat, PO Box 965, Brisbane, QLD, 4001 or by telephoning  (07) 3223 8840.</w:t>
    </w:r>
  </w:p>
  <w:p w:rsidR="00C72C30" w:rsidRDefault="00C72C3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C30" w:rsidRDefault="00C72C3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4F6C" w:rsidRDefault="008E4F6C" w:rsidP="003A707F">
      <w:pPr>
        <w:spacing w:after="0" w:line="240" w:lineRule="auto"/>
      </w:pPr>
      <w:r>
        <w:separator/>
      </w:r>
    </w:p>
  </w:footnote>
  <w:footnote w:type="continuationSeparator" w:id="0">
    <w:p w:rsidR="008E4F6C" w:rsidRDefault="008E4F6C" w:rsidP="003A70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C30" w:rsidRDefault="00C72C3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C30" w:rsidRDefault="00C72C3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77" w:type="dxa"/>
      <w:tblInd w:w="80" w:type="dxa"/>
      <w:tblLayout w:type="fixed"/>
      <w:tblLook w:val="01E0" w:firstRow="1" w:lastRow="1" w:firstColumn="1" w:lastColumn="1" w:noHBand="0" w:noVBand="0"/>
    </w:tblPr>
    <w:tblGrid>
      <w:gridCol w:w="1263"/>
      <w:gridCol w:w="4435"/>
      <w:gridCol w:w="3979"/>
    </w:tblGrid>
    <w:tr w:rsidR="00F40885" w:rsidRPr="00CE796A" w:rsidTr="0095650D">
      <w:trPr>
        <w:trHeight w:val="984"/>
      </w:trPr>
      <w:tc>
        <w:tcPr>
          <w:tcW w:w="1263"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60" w:after="0"/>
            <w:ind w:left="-51"/>
            <w:rPr>
              <w:rFonts w:ascii="Arial" w:hAnsi="Arial"/>
              <w:sz w:val="12"/>
            </w:rPr>
          </w:pPr>
          <w:bookmarkStart w:id="2" w:name="OLE_LINK2"/>
          <w:r>
            <w:rPr>
              <w:rFonts w:ascii="Arial" w:hAnsi="Arial"/>
              <w:noProof/>
              <w:sz w:val="12"/>
              <w:lang w:eastAsia="en-AU"/>
            </w:rPr>
            <w:drawing>
              <wp:inline distT="0" distB="0" distL="0" distR="0" wp14:anchorId="14ED7543" wp14:editId="74B83D9D">
                <wp:extent cx="702945" cy="544195"/>
                <wp:effectExtent l="0" t="0" r="0" b="8255"/>
                <wp:docPr id="1" name="Picture 1" title="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60" w:after="0" w:line="460" w:lineRule="exact"/>
            <w:rPr>
              <w:rFonts w:ascii="Arial" w:hAnsi="Arial" w:cs="Arial"/>
              <w:b/>
              <w:spacing w:val="-2"/>
              <w:sz w:val="44"/>
              <w:szCs w:val="44"/>
            </w:rPr>
          </w:pPr>
          <w:r w:rsidRPr="00CE796A">
            <w:rPr>
              <w:rFonts w:ascii="Arial" w:hAnsi="Arial" w:cs="Arial"/>
              <w:b/>
              <w:spacing w:val="-2"/>
              <w:sz w:val="44"/>
              <w:szCs w:val="44"/>
            </w:rPr>
            <w:t>Commonwealth</w:t>
          </w:r>
          <w:r w:rsidRPr="00CE796A">
            <w:rPr>
              <w:rFonts w:ascii="Arial" w:hAnsi="Arial" w:cs="Arial"/>
              <w:b/>
              <w:spacing w:val="-2"/>
              <w:sz w:val="44"/>
              <w:szCs w:val="44"/>
            </w:rPr>
            <w:br/>
            <w:t>of Australia</w:t>
          </w:r>
        </w:p>
      </w:tc>
      <w:tc>
        <w:tcPr>
          <w:tcW w:w="3979"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180" w:after="0" w:line="800" w:lineRule="exact"/>
            <w:jc w:val="right"/>
            <w:rPr>
              <w:rFonts w:ascii="Arial" w:hAnsi="Arial" w:cs="Arial"/>
              <w:b/>
              <w:sz w:val="100"/>
              <w:szCs w:val="100"/>
            </w:rPr>
          </w:pPr>
          <w:r w:rsidRPr="00CE796A">
            <w:rPr>
              <w:rFonts w:ascii="Arial" w:hAnsi="Arial" w:cs="Arial"/>
              <w:b/>
              <w:sz w:val="100"/>
              <w:szCs w:val="100"/>
            </w:rPr>
            <w:t>Gazette</w:t>
          </w:r>
        </w:p>
      </w:tc>
    </w:tr>
    <w:tr w:rsidR="00F40885" w:rsidRPr="00CE796A" w:rsidTr="00840A06">
      <w:trPr>
        <w:trHeight w:val="340"/>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rsidR="00F40885" w:rsidRPr="00CE796A" w:rsidRDefault="00F40885" w:rsidP="00840A06">
          <w:pPr>
            <w:spacing w:after="0"/>
            <w:ind w:left="-51"/>
            <w:rPr>
              <w:rFonts w:ascii="Arial" w:hAnsi="Arial" w:cs="Arial"/>
              <w:sz w:val="14"/>
              <w:szCs w:val="14"/>
            </w:rPr>
          </w:pPr>
          <w:bookmarkStart w:id="3" w:name="GazNo"/>
          <w:bookmarkEnd w:id="3"/>
          <w:r w:rsidRPr="00CE796A">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rsidR="00F40885" w:rsidRPr="00840A06" w:rsidRDefault="00F40885" w:rsidP="00840A06">
          <w:pPr>
            <w:spacing w:after="0"/>
            <w:jc w:val="right"/>
            <w:rPr>
              <w:rFonts w:ascii="Arial" w:hAnsi="Arial" w:cs="Arial"/>
              <w:b/>
              <w:sz w:val="24"/>
              <w:szCs w:val="24"/>
            </w:rPr>
          </w:pPr>
          <w:r w:rsidRPr="00840A06">
            <w:rPr>
              <w:rFonts w:ascii="Arial" w:hAnsi="Arial" w:cs="Arial"/>
              <w:b/>
              <w:sz w:val="24"/>
              <w:szCs w:val="24"/>
            </w:rPr>
            <w:t>GOVERNMENT NOTICES</w:t>
          </w:r>
        </w:p>
      </w:tc>
    </w:tr>
    <w:bookmarkEnd w:id="2"/>
  </w:tbl>
  <w:p w:rsidR="00F40885" w:rsidRPr="003A707F" w:rsidRDefault="00F40885" w:rsidP="00F40885">
    <w:pPr>
      <w:pStyle w:val="Header"/>
      <w:rPr>
        <w:sz w:val="2"/>
        <w:szCs w:val="2"/>
      </w:rPr>
    </w:pPr>
  </w:p>
  <w:p w:rsidR="00F40885" w:rsidRPr="00F40885" w:rsidRDefault="00F40885">
    <w:pPr>
      <w:pStyle w:val="Heade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FB3395"/>
    <w:multiLevelType w:val="multilevel"/>
    <w:tmpl w:val="7FF43AA0"/>
    <w:lvl w:ilvl="0">
      <w:start w:val="1"/>
      <w:numFmt w:val="decimal"/>
      <w:pStyle w:val="NumberLevel1"/>
      <w:lvlText w:val="%1."/>
      <w:lvlJc w:val="left"/>
      <w:pPr>
        <w:tabs>
          <w:tab w:val="num" w:pos="0"/>
        </w:tabs>
        <w:ind w:left="0" w:hanging="850"/>
      </w:pPr>
      <w:rPr>
        <w:rFonts w:ascii="Arial" w:hAnsi="Arial" w:cs="Arial"/>
        <w:b w:val="0"/>
      </w:rPr>
    </w:lvl>
    <w:lvl w:ilvl="1">
      <w:start w:val="1"/>
      <w:numFmt w:val="decimal"/>
      <w:pStyle w:val="NumberLevel2"/>
      <w:lvlText w:val="%1.%2."/>
      <w:lvlJc w:val="left"/>
      <w:pPr>
        <w:tabs>
          <w:tab w:val="num" w:pos="0"/>
        </w:tabs>
        <w:ind w:left="0" w:hanging="850"/>
      </w:pPr>
      <w:rPr>
        <w:rFonts w:ascii="Arial" w:hAnsi="Arial" w:cs="Arial"/>
        <w:b w:val="0"/>
      </w:rPr>
    </w:lvl>
    <w:lvl w:ilvl="2">
      <w:start w:val="1"/>
      <w:numFmt w:val="decimal"/>
      <w:pStyle w:val="NumberLevel3"/>
      <w:lvlText w:val="%1.%2.%3."/>
      <w:lvlJc w:val="left"/>
      <w:pPr>
        <w:tabs>
          <w:tab w:val="num" w:pos="0"/>
        </w:tabs>
        <w:ind w:left="0" w:hanging="850"/>
      </w:pPr>
      <w:rPr>
        <w:rFonts w:ascii="Arial" w:hAnsi="Arial" w:cs="Arial"/>
        <w:b w:val="0"/>
      </w:rPr>
    </w:lvl>
    <w:lvl w:ilvl="3">
      <w:start w:val="1"/>
      <w:numFmt w:val="lowerLetter"/>
      <w:pStyle w:val="NumberLevel4"/>
      <w:lvlText w:val="%4."/>
      <w:lvlJc w:val="left"/>
      <w:pPr>
        <w:tabs>
          <w:tab w:val="num" w:pos="425"/>
        </w:tabs>
        <w:ind w:left="425" w:hanging="425"/>
      </w:pPr>
      <w:rPr>
        <w:rFonts w:ascii="Arial" w:hAnsi="Arial" w:cs="Arial"/>
        <w:b w:val="0"/>
      </w:rPr>
    </w:lvl>
    <w:lvl w:ilvl="4">
      <w:start w:val="1"/>
      <w:numFmt w:val="bullet"/>
      <w:lvlRestart w:val="0"/>
      <w:pStyle w:val="NumberLevel5"/>
      <w:lvlText w:val="–"/>
      <w:lvlJc w:val="left"/>
      <w:pPr>
        <w:tabs>
          <w:tab w:val="num" w:pos="850"/>
        </w:tabs>
        <w:ind w:left="850" w:hanging="425"/>
      </w:pPr>
      <w:rPr>
        <w:rFonts w:ascii="Arial" w:hAnsi="Arial" w:cs="Arial"/>
        <w:b w:val="0"/>
      </w:rPr>
    </w:lvl>
    <w:lvl w:ilvl="5">
      <w:start w:val="1"/>
      <w:numFmt w:val="bullet"/>
      <w:lvlRestart w:val="0"/>
      <w:pStyle w:val="NumberLevel6"/>
      <w:lvlText w:val="–"/>
      <w:lvlJc w:val="left"/>
      <w:pPr>
        <w:tabs>
          <w:tab w:val="num" w:pos="1276"/>
        </w:tabs>
        <w:ind w:left="1276" w:hanging="426"/>
      </w:pPr>
      <w:rPr>
        <w:rFonts w:ascii="Arial" w:hAnsi="Arial" w:cs="Arial"/>
        <w:b w:val="0"/>
      </w:rPr>
    </w:lvl>
    <w:lvl w:ilvl="6">
      <w:start w:val="1"/>
      <w:numFmt w:val="bullet"/>
      <w:lvlRestart w:val="0"/>
      <w:pStyle w:val="NumberLevel7"/>
      <w:lvlText w:val="–"/>
      <w:lvlJc w:val="left"/>
      <w:pPr>
        <w:tabs>
          <w:tab w:val="num" w:pos="1701"/>
        </w:tabs>
        <w:ind w:left="1701" w:hanging="425"/>
      </w:pPr>
      <w:rPr>
        <w:rFonts w:ascii="Arial" w:hAnsi="Arial" w:cs="Arial"/>
        <w:b w:val="0"/>
      </w:rPr>
    </w:lvl>
    <w:lvl w:ilvl="7">
      <w:start w:val="1"/>
      <w:numFmt w:val="bullet"/>
      <w:lvlRestart w:val="0"/>
      <w:pStyle w:val="NumberLevel8"/>
      <w:lvlText w:val="–"/>
      <w:lvlJc w:val="left"/>
      <w:pPr>
        <w:tabs>
          <w:tab w:val="num" w:pos="2126"/>
        </w:tabs>
        <w:ind w:left="2126" w:hanging="425"/>
      </w:pPr>
      <w:rPr>
        <w:rFonts w:ascii="Arial" w:hAnsi="Arial" w:cs="Arial"/>
        <w:b w:val="0"/>
      </w:rPr>
    </w:lvl>
    <w:lvl w:ilvl="8">
      <w:start w:val="1"/>
      <w:numFmt w:val="bullet"/>
      <w:lvlRestart w:val="0"/>
      <w:pStyle w:val="NumberLevel9"/>
      <w:lvlText w:val="–"/>
      <w:lvlJc w:val="left"/>
      <w:pPr>
        <w:tabs>
          <w:tab w:val="num" w:pos="2551"/>
        </w:tabs>
        <w:ind w:left="2551" w:hanging="425"/>
      </w:pPr>
      <w:rPr>
        <w:rFonts w:ascii="Arial" w:hAnsi="Arial" w:cs="Arial"/>
        <w:b w:val="0"/>
      </w:rPr>
    </w:lvl>
  </w:abstractNum>
  <w:abstractNum w:abstractNumId="1" w15:restartNumberingAfterBreak="0">
    <w:nsid w:val="36190B71"/>
    <w:multiLevelType w:val="hybridMultilevel"/>
    <w:tmpl w:val="707A912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52135ADF"/>
    <w:multiLevelType w:val="hybridMultilevel"/>
    <w:tmpl w:val="350424DE"/>
    <w:lvl w:ilvl="0" w:tplc="F558B176">
      <w:start w:val="1"/>
      <w:numFmt w:val="decimal"/>
      <w:lvlText w:val="%1."/>
      <w:lvlJc w:val="left"/>
      <w:pPr>
        <w:tabs>
          <w:tab w:val="num" w:pos="720"/>
        </w:tabs>
        <w:ind w:left="720" w:hanging="720"/>
      </w:pPr>
      <w:rPr>
        <w:rFonts w:ascii="Arial" w:hAnsi="Arial" w:hint="default"/>
        <w:sz w:val="22"/>
        <w:szCs w:val="22"/>
      </w:rPr>
    </w:lvl>
    <w:lvl w:ilvl="1" w:tplc="F558B176">
      <w:start w:val="1"/>
      <w:numFmt w:val="decimal"/>
      <w:lvlText w:val="%2."/>
      <w:lvlJc w:val="left"/>
      <w:pPr>
        <w:tabs>
          <w:tab w:val="num" w:pos="360"/>
        </w:tabs>
        <w:ind w:left="360" w:hanging="360"/>
      </w:pPr>
      <w:rPr>
        <w:rFonts w:hint="default"/>
        <w:sz w:val="22"/>
        <w:szCs w:val="22"/>
      </w:rPr>
    </w:lvl>
    <w:lvl w:ilvl="2" w:tplc="0C09001B">
      <w:start w:val="1"/>
      <w:numFmt w:val="bullet"/>
      <w:lvlText w:val=""/>
      <w:lvlJc w:val="left"/>
      <w:pPr>
        <w:tabs>
          <w:tab w:val="num" w:pos="576"/>
        </w:tabs>
        <w:ind w:left="576" w:hanging="576"/>
      </w:pPr>
      <w:rPr>
        <w:rFonts w:ascii="Symbol" w:hAnsi="Symbol" w:hint="default"/>
        <w:color w:val="auto"/>
        <w:sz w:val="16"/>
        <w:szCs w:val="22"/>
      </w:rPr>
    </w:lvl>
    <w:lvl w:ilvl="3" w:tplc="0C09000F">
      <w:start w:val="1"/>
      <w:numFmt w:val="decimal"/>
      <w:lvlText w:val="(%4)"/>
      <w:lvlJc w:val="left"/>
      <w:pPr>
        <w:tabs>
          <w:tab w:val="num" w:pos="2520"/>
        </w:tabs>
        <w:ind w:left="2520" w:hanging="360"/>
      </w:pPr>
      <w:rPr>
        <w:rFonts w:hint="default"/>
      </w:r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3" w15:restartNumberingAfterBreak="0">
    <w:nsid w:val="76740E95"/>
    <w:multiLevelType w:val="multilevel"/>
    <w:tmpl w:val="0DE0C660"/>
    <w:lvl w:ilvl="0">
      <w:start w:val="1"/>
      <w:numFmt w:val="decimal"/>
      <w:pStyle w:val="Number1"/>
      <w:lvlText w:val="%1."/>
      <w:lvlJc w:val="left"/>
      <w:pPr>
        <w:tabs>
          <w:tab w:val="num" w:pos="567"/>
        </w:tabs>
        <w:ind w:left="0" w:firstLine="0"/>
      </w:pPr>
    </w:lvl>
    <w:lvl w:ilvl="1">
      <w:start w:val="1"/>
      <w:numFmt w:val="lowerRoman"/>
      <w:pStyle w:val="Numbera"/>
      <w:lvlText w:val="(%2)"/>
      <w:lvlJc w:val="left"/>
      <w:pPr>
        <w:tabs>
          <w:tab w:val="num" w:pos="1287"/>
        </w:tabs>
        <w:ind w:left="992" w:hanging="425"/>
      </w:pPr>
    </w:lvl>
    <w:lvl w:ilvl="2">
      <w:start w:val="1"/>
      <w:numFmt w:val="lowerRoman"/>
      <w:pStyle w:val="Numberi"/>
      <w:lvlText w:val="(%3)"/>
      <w:lvlJc w:val="left"/>
      <w:pPr>
        <w:tabs>
          <w:tab w:val="num" w:pos="1712"/>
        </w:tabs>
        <w:ind w:left="1417" w:hanging="425"/>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0"/>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F6C"/>
    <w:rsid w:val="000E1F2B"/>
    <w:rsid w:val="00122364"/>
    <w:rsid w:val="00191E22"/>
    <w:rsid w:val="001B5C2C"/>
    <w:rsid w:val="001C2AAD"/>
    <w:rsid w:val="001F6E54"/>
    <w:rsid w:val="00280BCD"/>
    <w:rsid w:val="00281AF5"/>
    <w:rsid w:val="00374792"/>
    <w:rsid w:val="00384A70"/>
    <w:rsid w:val="003A707F"/>
    <w:rsid w:val="003B0EC1"/>
    <w:rsid w:val="003B573B"/>
    <w:rsid w:val="003D1541"/>
    <w:rsid w:val="003F2CBD"/>
    <w:rsid w:val="00424B97"/>
    <w:rsid w:val="0048770D"/>
    <w:rsid w:val="004B2753"/>
    <w:rsid w:val="004B303B"/>
    <w:rsid w:val="004B724B"/>
    <w:rsid w:val="00520873"/>
    <w:rsid w:val="00554F1A"/>
    <w:rsid w:val="00573BDA"/>
    <w:rsid w:val="00573D44"/>
    <w:rsid w:val="005F1335"/>
    <w:rsid w:val="0060313B"/>
    <w:rsid w:val="00840A06"/>
    <w:rsid w:val="008439B7"/>
    <w:rsid w:val="0087253F"/>
    <w:rsid w:val="008E4F6C"/>
    <w:rsid w:val="00940452"/>
    <w:rsid w:val="009539C7"/>
    <w:rsid w:val="009D796A"/>
    <w:rsid w:val="00A00F21"/>
    <w:rsid w:val="00B84226"/>
    <w:rsid w:val="00C434CD"/>
    <w:rsid w:val="00C63C4E"/>
    <w:rsid w:val="00C72C30"/>
    <w:rsid w:val="00D16C50"/>
    <w:rsid w:val="00D229E5"/>
    <w:rsid w:val="00D77A88"/>
    <w:rsid w:val="00DC30D1"/>
    <w:rsid w:val="00E32EBF"/>
    <w:rsid w:val="00F40885"/>
    <w:rsid w:val="00FB39A9"/>
    <w:rsid w:val="00FD33D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5:docId w15:val="{BB838229-BCD5-46AC-9D2A-D5D0783A3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next w:val="Normal"/>
    <w:link w:val="Heading4Char"/>
    <w:qFormat/>
    <w:rsid w:val="00FD33D1"/>
    <w:pPr>
      <w:keepNext/>
      <w:keepLines/>
      <w:widowControl w:val="0"/>
      <w:numPr>
        <w:ilvl w:val="3"/>
        <w:numId w:val="1"/>
      </w:numPr>
      <w:spacing w:before="160" w:after="60" w:line="240" w:lineRule="atLeast"/>
      <w:outlineLvl w:val="3"/>
    </w:pPr>
    <w:rPr>
      <w:rFonts w:ascii="Optima" w:eastAsia="Times New Roman" w:hAnsi="Optima" w:cs="Times New Roman"/>
      <w:b/>
      <w:sz w:val="20"/>
      <w:szCs w:val="20"/>
    </w:rPr>
  </w:style>
  <w:style w:type="paragraph" w:styleId="Heading5">
    <w:name w:val="heading 5"/>
    <w:basedOn w:val="Normal"/>
    <w:next w:val="Normal"/>
    <w:link w:val="Heading5Char"/>
    <w:qFormat/>
    <w:rsid w:val="00FD33D1"/>
    <w:pPr>
      <w:keepNext/>
      <w:numPr>
        <w:ilvl w:val="4"/>
        <w:numId w:val="1"/>
      </w:numPr>
      <w:spacing w:after="0" w:line="240" w:lineRule="auto"/>
      <w:jc w:val="both"/>
      <w:outlineLvl w:val="4"/>
    </w:pPr>
    <w:rPr>
      <w:rFonts w:ascii="Times New Roman" w:eastAsia="Times New Roman" w:hAnsi="Times New Roman" w:cs="Times New Roman"/>
      <w:b/>
      <w:sz w:val="24"/>
      <w:szCs w:val="20"/>
      <w:lang w:val="en-US"/>
    </w:rPr>
  </w:style>
  <w:style w:type="paragraph" w:styleId="Heading6">
    <w:name w:val="heading 6"/>
    <w:basedOn w:val="Normal"/>
    <w:next w:val="Normal"/>
    <w:link w:val="Heading6Char"/>
    <w:qFormat/>
    <w:rsid w:val="00FD33D1"/>
    <w:pPr>
      <w:keepNext/>
      <w:widowControl w:val="0"/>
      <w:numPr>
        <w:ilvl w:val="5"/>
        <w:numId w:val="1"/>
      </w:numPr>
      <w:spacing w:after="0" w:line="240" w:lineRule="auto"/>
      <w:jc w:val="center"/>
      <w:outlineLvl w:val="5"/>
    </w:pPr>
    <w:rPr>
      <w:rFonts w:ascii="Times New Roman" w:eastAsia="Times New Roman" w:hAnsi="Times New Roman" w:cs="Times New Roman"/>
      <w:sz w:val="32"/>
      <w:szCs w:val="20"/>
    </w:rPr>
  </w:style>
  <w:style w:type="paragraph" w:styleId="Heading7">
    <w:name w:val="heading 7"/>
    <w:basedOn w:val="Normal"/>
    <w:next w:val="Normal"/>
    <w:link w:val="Heading7Char"/>
    <w:qFormat/>
    <w:rsid w:val="00FD33D1"/>
    <w:pPr>
      <w:keepNext/>
      <w:widowControl w:val="0"/>
      <w:numPr>
        <w:ilvl w:val="6"/>
        <w:numId w:val="1"/>
      </w:numPr>
      <w:spacing w:after="0" w:line="240" w:lineRule="auto"/>
      <w:jc w:val="center"/>
      <w:outlineLvl w:val="6"/>
    </w:pPr>
    <w:rPr>
      <w:rFonts w:ascii="Frit-Qat" w:eastAsia="Times New Roman" w:hAnsi="Frit-Qat" w:cs="Times New Roman"/>
      <w:b/>
      <w:sz w:val="24"/>
      <w:szCs w:val="20"/>
    </w:rPr>
  </w:style>
  <w:style w:type="paragraph" w:styleId="Heading8">
    <w:name w:val="heading 8"/>
    <w:basedOn w:val="Normal"/>
    <w:next w:val="Normal"/>
    <w:link w:val="Heading8Char"/>
    <w:qFormat/>
    <w:rsid w:val="00FD33D1"/>
    <w:pPr>
      <w:keepNext/>
      <w:numPr>
        <w:ilvl w:val="7"/>
        <w:numId w:val="1"/>
      </w:numPr>
      <w:spacing w:after="0" w:line="240" w:lineRule="auto"/>
      <w:outlineLvl w:val="7"/>
    </w:pPr>
    <w:rPr>
      <w:rFonts w:ascii="Times New Roman" w:eastAsia="Times New Roman" w:hAnsi="Times New Roman" w:cs="Times New Roman"/>
      <w:b/>
      <w:sz w:val="20"/>
      <w:szCs w:val="20"/>
      <w:lang w:val="en-US"/>
    </w:rPr>
  </w:style>
  <w:style w:type="paragraph" w:styleId="Heading9">
    <w:name w:val="heading 9"/>
    <w:basedOn w:val="Normal"/>
    <w:next w:val="Normal"/>
    <w:link w:val="Heading9Char"/>
    <w:qFormat/>
    <w:rsid w:val="00FD33D1"/>
    <w:pPr>
      <w:keepNext/>
      <w:numPr>
        <w:ilvl w:val="8"/>
        <w:numId w:val="1"/>
      </w:numPr>
      <w:spacing w:after="0" w:line="240" w:lineRule="auto"/>
      <w:outlineLvl w:val="8"/>
    </w:pPr>
    <w:rPr>
      <w:rFonts w:ascii="Times New Roman" w:eastAsia="Times New Roman" w:hAnsi="Times New Roman" w:cs="Times New Roman"/>
      <w:i/>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nhideWhenUsed/>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07F"/>
  </w:style>
  <w:style w:type="character" w:customStyle="1" w:styleId="Heading4Char">
    <w:name w:val="Heading 4 Char"/>
    <w:basedOn w:val="DefaultParagraphFont"/>
    <w:link w:val="Heading4"/>
    <w:rsid w:val="00FD33D1"/>
    <w:rPr>
      <w:rFonts w:ascii="Optima" w:eastAsia="Times New Roman" w:hAnsi="Optima" w:cs="Times New Roman"/>
      <w:b/>
      <w:sz w:val="20"/>
      <w:szCs w:val="20"/>
    </w:rPr>
  </w:style>
  <w:style w:type="character" w:customStyle="1" w:styleId="Heading5Char">
    <w:name w:val="Heading 5 Char"/>
    <w:basedOn w:val="DefaultParagraphFont"/>
    <w:link w:val="Heading5"/>
    <w:rsid w:val="00FD33D1"/>
    <w:rPr>
      <w:rFonts w:ascii="Times New Roman" w:eastAsia="Times New Roman" w:hAnsi="Times New Roman" w:cs="Times New Roman"/>
      <w:b/>
      <w:sz w:val="24"/>
      <w:szCs w:val="20"/>
      <w:lang w:val="en-US"/>
    </w:rPr>
  </w:style>
  <w:style w:type="character" w:customStyle="1" w:styleId="Heading6Char">
    <w:name w:val="Heading 6 Char"/>
    <w:basedOn w:val="DefaultParagraphFont"/>
    <w:link w:val="Heading6"/>
    <w:rsid w:val="00FD33D1"/>
    <w:rPr>
      <w:rFonts w:ascii="Times New Roman" w:eastAsia="Times New Roman" w:hAnsi="Times New Roman" w:cs="Times New Roman"/>
      <w:sz w:val="32"/>
      <w:szCs w:val="20"/>
    </w:rPr>
  </w:style>
  <w:style w:type="character" w:customStyle="1" w:styleId="Heading7Char">
    <w:name w:val="Heading 7 Char"/>
    <w:basedOn w:val="DefaultParagraphFont"/>
    <w:link w:val="Heading7"/>
    <w:rsid w:val="00FD33D1"/>
    <w:rPr>
      <w:rFonts w:ascii="Frit-Qat" w:eastAsia="Times New Roman" w:hAnsi="Frit-Qat" w:cs="Times New Roman"/>
      <w:b/>
      <w:sz w:val="24"/>
      <w:szCs w:val="20"/>
    </w:rPr>
  </w:style>
  <w:style w:type="character" w:customStyle="1" w:styleId="Heading8Char">
    <w:name w:val="Heading 8 Char"/>
    <w:basedOn w:val="DefaultParagraphFont"/>
    <w:link w:val="Heading8"/>
    <w:rsid w:val="00FD33D1"/>
    <w:rPr>
      <w:rFonts w:ascii="Times New Roman" w:eastAsia="Times New Roman" w:hAnsi="Times New Roman" w:cs="Times New Roman"/>
      <w:b/>
      <w:sz w:val="20"/>
      <w:szCs w:val="20"/>
      <w:lang w:val="en-US"/>
    </w:rPr>
  </w:style>
  <w:style w:type="character" w:customStyle="1" w:styleId="Heading9Char">
    <w:name w:val="Heading 9 Char"/>
    <w:basedOn w:val="DefaultParagraphFont"/>
    <w:link w:val="Heading9"/>
    <w:rsid w:val="00FD33D1"/>
    <w:rPr>
      <w:rFonts w:ascii="Times New Roman" w:eastAsia="Times New Roman" w:hAnsi="Times New Roman" w:cs="Times New Roman"/>
      <w:i/>
      <w:sz w:val="20"/>
      <w:szCs w:val="20"/>
      <w:lang w:val="en-US"/>
    </w:rPr>
  </w:style>
  <w:style w:type="paragraph" w:customStyle="1" w:styleId="Number1">
    <w:name w:val="Number 1"/>
    <w:basedOn w:val="Normal"/>
    <w:rsid w:val="00FD33D1"/>
    <w:pPr>
      <w:numPr>
        <w:numId w:val="1"/>
      </w:numPr>
      <w:spacing w:before="120" w:after="120" w:line="300" w:lineRule="atLeast"/>
      <w:jc w:val="both"/>
    </w:pPr>
    <w:rPr>
      <w:rFonts w:ascii="Times" w:eastAsia="Times New Roman" w:hAnsi="Times" w:cs="Times New Roman"/>
      <w:color w:val="000000"/>
      <w:sz w:val="24"/>
      <w:szCs w:val="20"/>
    </w:rPr>
  </w:style>
  <w:style w:type="paragraph" w:customStyle="1" w:styleId="Numbera">
    <w:name w:val="Number(a)"/>
    <w:basedOn w:val="Normal"/>
    <w:rsid w:val="00FD33D1"/>
    <w:pPr>
      <w:numPr>
        <w:ilvl w:val="1"/>
        <w:numId w:val="1"/>
      </w:numPr>
      <w:spacing w:before="80" w:after="80" w:line="280" w:lineRule="atLeast"/>
      <w:jc w:val="both"/>
    </w:pPr>
    <w:rPr>
      <w:rFonts w:ascii="Times" w:eastAsia="Times New Roman" w:hAnsi="Times" w:cs="Times New Roman"/>
      <w:color w:val="000000"/>
      <w:sz w:val="24"/>
      <w:szCs w:val="20"/>
    </w:rPr>
  </w:style>
  <w:style w:type="paragraph" w:customStyle="1" w:styleId="Numberi">
    <w:name w:val="Number(i)"/>
    <w:basedOn w:val="Normal"/>
    <w:rsid w:val="00FD33D1"/>
    <w:pPr>
      <w:numPr>
        <w:ilvl w:val="2"/>
        <w:numId w:val="1"/>
      </w:numPr>
      <w:spacing w:before="80" w:after="80" w:line="280" w:lineRule="atLeast"/>
      <w:jc w:val="both"/>
    </w:pPr>
    <w:rPr>
      <w:rFonts w:ascii="Times" w:eastAsia="Times New Roman" w:hAnsi="Times" w:cs="Times New Roman"/>
      <w:color w:val="000000"/>
      <w:sz w:val="24"/>
      <w:szCs w:val="20"/>
    </w:rPr>
  </w:style>
  <w:style w:type="paragraph" w:styleId="BodyText">
    <w:name w:val="Body Text"/>
    <w:basedOn w:val="Normal"/>
    <w:link w:val="BodyTextChar"/>
    <w:rsid w:val="00FD33D1"/>
    <w:pPr>
      <w:spacing w:after="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rsid w:val="00FD33D1"/>
    <w:rPr>
      <w:rFonts w:ascii="Times New Roman" w:eastAsia="Times New Roman" w:hAnsi="Times New Roman" w:cs="Times New Roman"/>
      <w:sz w:val="20"/>
      <w:szCs w:val="20"/>
    </w:rPr>
  </w:style>
  <w:style w:type="paragraph" w:customStyle="1" w:styleId="NumberLevel1">
    <w:name w:val="Number Level 1"/>
    <w:basedOn w:val="Normal"/>
    <w:link w:val="NumberLevel1Char1"/>
    <w:rsid w:val="00FD33D1"/>
    <w:pPr>
      <w:numPr>
        <w:numId w:val="2"/>
      </w:numPr>
      <w:spacing w:before="140" w:after="140" w:line="280" w:lineRule="atLeast"/>
    </w:pPr>
    <w:rPr>
      <w:rFonts w:ascii="Arial" w:eastAsia="Times New Roman" w:hAnsi="Arial" w:cs="Times New Roman"/>
      <w:sz w:val="21"/>
      <w:szCs w:val="20"/>
    </w:rPr>
  </w:style>
  <w:style w:type="paragraph" w:customStyle="1" w:styleId="NumberLevel2">
    <w:name w:val="Number Level 2"/>
    <w:basedOn w:val="Normal"/>
    <w:rsid w:val="00FD33D1"/>
    <w:pPr>
      <w:numPr>
        <w:ilvl w:val="1"/>
        <w:numId w:val="2"/>
      </w:numPr>
      <w:spacing w:before="140" w:after="140" w:line="280" w:lineRule="atLeast"/>
    </w:pPr>
    <w:rPr>
      <w:rFonts w:ascii="Arial" w:eastAsia="Times New Roman" w:hAnsi="Arial" w:cs="Times New Roman"/>
      <w:sz w:val="21"/>
      <w:szCs w:val="20"/>
    </w:rPr>
  </w:style>
  <w:style w:type="paragraph" w:customStyle="1" w:styleId="NumberLevel3">
    <w:name w:val="Number Level 3"/>
    <w:basedOn w:val="Normal"/>
    <w:rsid w:val="00FD33D1"/>
    <w:pPr>
      <w:numPr>
        <w:ilvl w:val="2"/>
        <w:numId w:val="2"/>
      </w:numPr>
      <w:spacing w:before="140" w:after="140" w:line="280" w:lineRule="atLeast"/>
    </w:pPr>
    <w:rPr>
      <w:rFonts w:ascii="Arial" w:eastAsia="Times New Roman" w:hAnsi="Arial" w:cs="Times New Roman"/>
      <w:sz w:val="21"/>
      <w:szCs w:val="20"/>
    </w:rPr>
  </w:style>
  <w:style w:type="paragraph" w:customStyle="1" w:styleId="NumberLevel4">
    <w:name w:val="Number Level 4"/>
    <w:basedOn w:val="Normal"/>
    <w:rsid w:val="00FD33D1"/>
    <w:pPr>
      <w:numPr>
        <w:ilvl w:val="3"/>
        <w:numId w:val="2"/>
      </w:numPr>
      <w:spacing w:after="140" w:line="280" w:lineRule="atLeast"/>
    </w:pPr>
    <w:rPr>
      <w:rFonts w:ascii="Arial" w:eastAsia="Times New Roman" w:hAnsi="Arial" w:cs="Times New Roman"/>
      <w:sz w:val="21"/>
      <w:szCs w:val="20"/>
    </w:rPr>
  </w:style>
  <w:style w:type="paragraph" w:customStyle="1" w:styleId="NumberLevel5">
    <w:name w:val="Number Level 5"/>
    <w:basedOn w:val="Normal"/>
    <w:semiHidden/>
    <w:rsid w:val="00FD33D1"/>
    <w:pPr>
      <w:numPr>
        <w:ilvl w:val="4"/>
        <w:numId w:val="2"/>
      </w:numPr>
      <w:spacing w:after="140" w:line="280" w:lineRule="atLeast"/>
    </w:pPr>
    <w:rPr>
      <w:rFonts w:ascii="Arial" w:eastAsia="Times New Roman" w:hAnsi="Arial" w:cs="Times New Roman"/>
      <w:sz w:val="21"/>
      <w:szCs w:val="20"/>
    </w:rPr>
  </w:style>
  <w:style w:type="paragraph" w:customStyle="1" w:styleId="NumberLevel6">
    <w:name w:val="Number Level 6"/>
    <w:basedOn w:val="NumberLevel5"/>
    <w:semiHidden/>
    <w:rsid w:val="00FD33D1"/>
    <w:pPr>
      <w:numPr>
        <w:ilvl w:val="5"/>
      </w:numPr>
      <w:tabs>
        <w:tab w:val="clear" w:pos="1276"/>
        <w:tab w:val="num" w:pos="360"/>
        <w:tab w:val="num" w:pos="576"/>
        <w:tab w:val="num" w:pos="720"/>
      </w:tabs>
      <w:ind w:left="576" w:hanging="576"/>
    </w:pPr>
  </w:style>
  <w:style w:type="paragraph" w:customStyle="1" w:styleId="NumberLevel7">
    <w:name w:val="Number Level 7"/>
    <w:basedOn w:val="NumberLevel6"/>
    <w:semiHidden/>
    <w:rsid w:val="00FD33D1"/>
    <w:pPr>
      <w:numPr>
        <w:ilvl w:val="6"/>
      </w:numPr>
      <w:tabs>
        <w:tab w:val="clear" w:pos="1701"/>
        <w:tab w:val="num" w:pos="360"/>
        <w:tab w:val="num" w:pos="576"/>
      </w:tabs>
      <w:ind w:left="576" w:hanging="576"/>
    </w:pPr>
  </w:style>
  <w:style w:type="paragraph" w:customStyle="1" w:styleId="NumberLevel8">
    <w:name w:val="Number Level 8"/>
    <w:basedOn w:val="NumberLevel7"/>
    <w:semiHidden/>
    <w:rsid w:val="00FD33D1"/>
    <w:pPr>
      <w:numPr>
        <w:ilvl w:val="7"/>
      </w:numPr>
      <w:tabs>
        <w:tab w:val="clear" w:pos="2126"/>
        <w:tab w:val="num" w:pos="360"/>
        <w:tab w:val="num" w:pos="576"/>
      </w:tabs>
      <w:ind w:left="576" w:hanging="576"/>
    </w:pPr>
  </w:style>
  <w:style w:type="paragraph" w:customStyle="1" w:styleId="NumberLevel9">
    <w:name w:val="Number Level 9"/>
    <w:basedOn w:val="NumberLevel8"/>
    <w:semiHidden/>
    <w:rsid w:val="00FD33D1"/>
    <w:pPr>
      <w:numPr>
        <w:ilvl w:val="8"/>
      </w:numPr>
      <w:tabs>
        <w:tab w:val="clear" w:pos="2551"/>
        <w:tab w:val="num" w:pos="360"/>
        <w:tab w:val="num" w:pos="576"/>
      </w:tabs>
      <w:ind w:left="576" w:hanging="576"/>
    </w:pPr>
  </w:style>
  <w:style w:type="character" w:customStyle="1" w:styleId="NumberLevel1Char1">
    <w:name w:val="Number Level 1 Char1"/>
    <w:link w:val="NumberLevel1"/>
    <w:rsid w:val="00FD33D1"/>
    <w:rPr>
      <w:rFonts w:ascii="Arial" w:eastAsia="Times New Roman" w:hAnsi="Arial" w:cs="Times New Roman"/>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emf"/><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emf"/><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82B3A9-3257-4D08-B391-8226F4E50A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374</Words>
  <Characters>2133</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Office of Parliamentary Counsel</Company>
  <LinksUpToDate>false</LinksUpToDate>
  <CharactersWithSpaces>2502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Miller, Kelli</dc:creator>
  <cp:lastModifiedBy>Bowman, Jan</cp:lastModifiedBy>
  <cp:revision>11</cp:revision>
  <cp:lastPrinted>2013-06-24T01:35:00Z</cp:lastPrinted>
  <dcterms:created xsi:type="dcterms:W3CDTF">2016-09-11T23:27:00Z</dcterms:created>
  <dcterms:modified xsi:type="dcterms:W3CDTF">2016-09-20T00:36:00Z</dcterms:modified>
</cp:coreProperties>
</file>