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6D09D4" w:rsidRPr="00CE796A" w14:paraId="546C8697" w14:textId="77777777" w:rsidTr="0086189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07DDD4B" w14:textId="6100F10F" w:rsidR="006D09D4" w:rsidRPr="00CE796A" w:rsidRDefault="006D09D4" w:rsidP="0086189C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49F05D8C" wp14:editId="25419BC1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79F6960" w14:textId="77777777" w:rsidR="006D09D4" w:rsidRPr="00CE796A" w:rsidRDefault="006D09D4" w:rsidP="0086189C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99A6DA1" w14:textId="77777777" w:rsidR="006D09D4" w:rsidRPr="00CE796A" w:rsidRDefault="006D09D4" w:rsidP="0086189C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6D09D4" w:rsidRPr="00CE796A" w14:paraId="7CF479C4" w14:textId="77777777" w:rsidTr="0086189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4252C" w14:textId="77777777" w:rsidR="006D09D4" w:rsidRPr="00CE796A" w:rsidRDefault="006D09D4" w:rsidP="0086189C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1" w:name="GazNo"/>
            <w:bookmarkEnd w:id="1"/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1CC2EC6B" w14:textId="77777777" w:rsidR="006D09D4" w:rsidRPr="00840A06" w:rsidRDefault="006D09D4" w:rsidP="0086189C">
            <w:pPr>
              <w:spacing w:after="0"/>
              <w:jc w:val="right"/>
              <w:rPr>
                <w:rFonts w:ascii="Arial" w:hAnsi="Arial" w:cs="Arial"/>
                <w:b/>
                <w:szCs w:val="24"/>
              </w:rPr>
            </w:pPr>
            <w:r w:rsidRPr="00840A06">
              <w:rPr>
                <w:rFonts w:ascii="Arial" w:hAnsi="Arial" w:cs="Arial"/>
                <w:b/>
                <w:szCs w:val="24"/>
              </w:rPr>
              <w:t>GOVERNMENT NOTICES</w:t>
            </w:r>
          </w:p>
        </w:tc>
      </w:tr>
    </w:tbl>
    <w:p w14:paraId="6E4F4C53" w14:textId="0C86D270" w:rsidR="001A0565" w:rsidRDefault="001A0565">
      <w:pPr>
        <w:jc w:val="center"/>
      </w:pPr>
      <w:bookmarkStart w:id="2" w:name="_GoBack"/>
      <w:bookmarkEnd w:id="0"/>
      <w:bookmarkEnd w:id="2"/>
    </w:p>
    <w:p w14:paraId="732FFF50" w14:textId="77777777" w:rsidR="001A0565" w:rsidRDefault="001A0565">
      <w:pPr>
        <w:jc w:val="center"/>
        <w:rPr>
          <w:rFonts w:ascii="Garamond (PCL6)" w:hAnsi="Garamond (PCL6)"/>
          <w:i/>
          <w:sz w:val="32"/>
        </w:rPr>
      </w:pPr>
      <w:r>
        <w:rPr>
          <w:rFonts w:ascii="Garamond (PCL6)" w:hAnsi="Garamond (PCL6)"/>
          <w:i/>
          <w:sz w:val="32"/>
        </w:rPr>
        <w:t>Insurance</w:t>
      </w:r>
      <w:r w:rsidR="00170C91">
        <w:rPr>
          <w:rFonts w:ascii="Garamond (PCL6)" w:hAnsi="Garamond (PCL6)"/>
          <w:i/>
          <w:sz w:val="32"/>
        </w:rPr>
        <w:t xml:space="preserve"> </w:t>
      </w:r>
      <w:r>
        <w:rPr>
          <w:rFonts w:ascii="Garamond (PCL6)" w:hAnsi="Garamond (PCL6)"/>
          <w:i/>
          <w:sz w:val="32"/>
        </w:rPr>
        <w:t>Acquisitions and Takeovers Act 1991</w:t>
      </w:r>
    </w:p>
    <w:p w14:paraId="1362A750" w14:textId="6A32A2F1" w:rsidR="001A0565" w:rsidRDefault="0013725B">
      <w:pPr>
        <w:pStyle w:val="BodyText2"/>
      </w:pPr>
      <w:r>
        <w:t xml:space="preserve">NOTICE OF </w:t>
      </w:r>
      <w:r w:rsidR="001A0565">
        <w:t>CONDITIONAL GO AHEAD DECISION</w:t>
      </w:r>
    </w:p>
    <w:p w14:paraId="4AB9564B" w14:textId="77777777" w:rsidR="001A0565" w:rsidRDefault="001A0565">
      <w:pPr>
        <w:spacing w:after="0"/>
        <w:rPr>
          <w:rFonts w:ascii="Times New Roman" w:hAnsi="Times New Roman"/>
        </w:rPr>
      </w:pPr>
    </w:p>
    <w:p w14:paraId="433057DC" w14:textId="77777777" w:rsidR="001A0565" w:rsidRDefault="001A0565">
      <w:pPr>
        <w:pStyle w:val="TDSTitle"/>
        <w:spacing w:after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SINCE:</w:t>
      </w:r>
    </w:p>
    <w:p w14:paraId="30A759E1" w14:textId="77777777" w:rsidR="001A0565" w:rsidRDefault="001A0565">
      <w:pPr>
        <w:spacing w:after="0"/>
        <w:rPr>
          <w:rFonts w:ascii="Times New Roman" w:hAnsi="Times New Roman"/>
        </w:rPr>
      </w:pPr>
    </w:p>
    <w:p w14:paraId="1F2FE71B" w14:textId="6EE95FF4" w:rsidR="001A0565" w:rsidRDefault="00E91BAA" w:rsidP="0015029C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AMP Life Limited </w:t>
      </w:r>
      <w:r w:rsidR="00E64CC0">
        <w:rPr>
          <w:rFonts w:ascii="Times New Roman" w:hAnsi="Times New Roman"/>
        </w:rPr>
        <w:t xml:space="preserve">ABN </w:t>
      </w:r>
      <w:r>
        <w:rPr>
          <w:rFonts w:ascii="Times New Roman" w:hAnsi="Times New Roman"/>
        </w:rPr>
        <w:t>84 079 300 379</w:t>
      </w:r>
      <w:r w:rsidR="00EA04BA">
        <w:rPr>
          <w:rFonts w:ascii="Times New Roman" w:hAnsi="Times New Roman"/>
        </w:rPr>
        <w:t xml:space="preserve"> </w:t>
      </w:r>
      <w:r w:rsidR="004D610F">
        <w:rPr>
          <w:rFonts w:ascii="Times New Roman" w:hAnsi="Times New Roman"/>
        </w:rPr>
        <w:t xml:space="preserve">(AMP Life Limited) </w:t>
      </w:r>
      <w:r w:rsidR="00730C80">
        <w:rPr>
          <w:rFonts w:ascii="Times New Roman" w:hAnsi="Times New Roman"/>
        </w:rPr>
        <w:t>is an Australian</w:t>
      </w:r>
      <w:r w:rsidR="00730C80">
        <w:rPr>
          <w:rFonts w:ascii="Times New Roman" w:hAnsi="Times New Roman"/>
        </w:rPr>
        <w:noBreakHyphen/>
        <w:t xml:space="preserve">registered insurance company under the </w:t>
      </w:r>
      <w:r w:rsidR="00040B9F">
        <w:rPr>
          <w:rFonts w:ascii="Times New Roman" w:hAnsi="Times New Roman"/>
          <w:i/>
        </w:rPr>
        <w:t xml:space="preserve">Insurance </w:t>
      </w:r>
      <w:r w:rsidR="00730C80">
        <w:rPr>
          <w:rFonts w:ascii="Times New Roman" w:hAnsi="Times New Roman"/>
          <w:i/>
        </w:rPr>
        <w:t>Acquisitions and Tak</w:t>
      </w:r>
      <w:r w:rsidR="00040B9F">
        <w:rPr>
          <w:rFonts w:ascii="Times New Roman" w:hAnsi="Times New Roman"/>
          <w:i/>
        </w:rPr>
        <w:t>eovers</w:t>
      </w:r>
      <w:r w:rsidR="00730C80">
        <w:rPr>
          <w:rFonts w:ascii="Times New Roman" w:hAnsi="Times New Roman"/>
          <w:i/>
        </w:rPr>
        <w:t xml:space="preserve"> Act 1991</w:t>
      </w:r>
      <w:r w:rsidR="00730C80">
        <w:rPr>
          <w:rFonts w:ascii="Times New Roman" w:hAnsi="Times New Roman"/>
        </w:rPr>
        <w:t xml:space="preserve"> (the Ac</w:t>
      </w:r>
      <w:r w:rsidR="00B20697">
        <w:rPr>
          <w:rFonts w:ascii="Times New Roman" w:hAnsi="Times New Roman"/>
        </w:rPr>
        <w:t>t</w:t>
      </w:r>
      <w:r w:rsidR="00730C80">
        <w:rPr>
          <w:rFonts w:ascii="Times New Roman" w:hAnsi="Times New Roman"/>
        </w:rPr>
        <w:t xml:space="preserve">), because it is a company </w:t>
      </w:r>
      <w:r w:rsidR="00F048D4">
        <w:rPr>
          <w:rFonts w:ascii="Times New Roman" w:hAnsi="Times New Roman"/>
        </w:rPr>
        <w:t xml:space="preserve">registered </w:t>
      </w:r>
      <w:r w:rsidR="00730C80">
        <w:rPr>
          <w:rFonts w:ascii="Times New Roman" w:hAnsi="Times New Roman"/>
        </w:rPr>
        <w:t xml:space="preserve">under the </w:t>
      </w:r>
      <w:r w:rsidR="00905E6A">
        <w:rPr>
          <w:rFonts w:ascii="Times New Roman" w:hAnsi="Times New Roman"/>
          <w:i/>
        </w:rPr>
        <w:t>Life Insurance Act 199</w:t>
      </w:r>
      <w:r w:rsidR="00A03757">
        <w:rPr>
          <w:rFonts w:ascii="Times New Roman" w:hAnsi="Times New Roman"/>
          <w:i/>
        </w:rPr>
        <w:t>5</w:t>
      </w:r>
      <w:r w:rsidR="001A0565">
        <w:rPr>
          <w:rFonts w:ascii="Times New Roman" w:hAnsi="Times New Roman"/>
        </w:rPr>
        <w:t xml:space="preserve">; </w:t>
      </w:r>
    </w:p>
    <w:p w14:paraId="0BC1AC89" w14:textId="21716B49" w:rsidR="001A0565" w:rsidRPr="00EE1EA8" w:rsidRDefault="004779BC" w:rsidP="002A520A">
      <w:pPr>
        <w:pStyle w:val="BodyTextIndent"/>
        <w:numPr>
          <w:ilvl w:val="0"/>
          <w:numId w:val="1"/>
        </w:numPr>
      </w:pPr>
      <w:r>
        <w:t xml:space="preserve">AMP Life Limited </w:t>
      </w:r>
      <w:r w:rsidR="00E91BAA">
        <w:t xml:space="preserve">has given notice pursuant to paragraph </w:t>
      </w:r>
      <w:r w:rsidR="00E91BAA" w:rsidRPr="00507019">
        <w:t>38(b)</w:t>
      </w:r>
      <w:r w:rsidR="00E91BAA">
        <w:t xml:space="preserve"> of the Act that it proposes to </w:t>
      </w:r>
      <w:r w:rsidR="00F048D4">
        <w:t xml:space="preserve">carry out trigger proposals under section 36 of the Act </w:t>
      </w:r>
      <w:r w:rsidR="0013725B" w:rsidRPr="00040B9F">
        <w:t xml:space="preserve"> </w:t>
      </w:r>
      <w:r w:rsidR="004D610F">
        <w:t xml:space="preserve">to </w:t>
      </w:r>
      <w:r w:rsidR="00E91BAA">
        <w:t>accept and assume all of the insurance contracts and insurance liabilities (and business assets and liabilities) of</w:t>
      </w:r>
      <w:r w:rsidR="0013725B">
        <w:t xml:space="preserve"> </w:t>
      </w:r>
      <w:r w:rsidR="0013725B" w:rsidRPr="0013725B">
        <w:t>The National Mutual Life Asso</w:t>
      </w:r>
      <w:r w:rsidR="0013725B">
        <w:t>ciation of Australasia Limited</w:t>
      </w:r>
      <w:r w:rsidR="004D610F" w:rsidRPr="004D610F">
        <w:t xml:space="preserve"> </w:t>
      </w:r>
      <w:r w:rsidR="004D610F" w:rsidRPr="0013725B">
        <w:t>ABN 72 004 020 437</w:t>
      </w:r>
      <w:r w:rsidR="004D610F">
        <w:t xml:space="preserve"> </w:t>
      </w:r>
      <w:r w:rsidR="003E2E57">
        <w:t xml:space="preserve">(NMLA) </w:t>
      </w:r>
      <w:r w:rsidR="004D610F">
        <w:t xml:space="preserve">in relation to </w:t>
      </w:r>
      <w:r w:rsidR="00526F15">
        <w:t>NMLA’s</w:t>
      </w:r>
      <w:r w:rsidR="004D610F">
        <w:t xml:space="preserve"> life insurance business in Australia and New Zealand by way of a scheme to be confirmed by the Federal Court of Australia under Part 9 of the </w:t>
      </w:r>
      <w:r w:rsidR="004D610F" w:rsidRPr="00D64071">
        <w:rPr>
          <w:i/>
        </w:rPr>
        <w:t>Life Insurance Act 1995</w:t>
      </w:r>
      <w:r w:rsidR="0013725B">
        <w:t>;</w:t>
      </w:r>
      <w:r w:rsidR="004D610F">
        <w:t xml:space="preserve"> and</w:t>
      </w:r>
    </w:p>
    <w:p w14:paraId="2004C050" w14:textId="322335BD" w:rsidR="001A0565" w:rsidRDefault="0015029C" w:rsidP="0015029C">
      <w:pPr>
        <w:pStyle w:val="BodyTextIndent"/>
        <w:tabs>
          <w:tab w:val="clear" w:pos="426"/>
          <w:tab w:val="left" w:pos="8310"/>
        </w:tabs>
        <w:ind w:left="0" w:firstLine="0"/>
      </w:pPr>
      <w:r>
        <w:tab/>
      </w:r>
    </w:p>
    <w:p w14:paraId="30CF47CB" w14:textId="128A61EE" w:rsidR="00057AFE" w:rsidRPr="00057AFE" w:rsidRDefault="00057AFE" w:rsidP="00AA2C8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2C80">
        <w:rPr>
          <w:rFonts w:ascii="Times New Roman" w:hAnsi="Times New Roman"/>
        </w:rPr>
        <w:t>I have complied with the relevant decision-making principles formulated under section 65 of the Act,</w:t>
      </w:r>
    </w:p>
    <w:p w14:paraId="61DBA38D" w14:textId="77777777" w:rsidR="00057AFE" w:rsidRDefault="00057AFE">
      <w:pPr>
        <w:pStyle w:val="BodyText"/>
        <w:spacing w:after="360"/>
      </w:pPr>
    </w:p>
    <w:p w14:paraId="4F6EAC58" w14:textId="19326222" w:rsidR="0013725B" w:rsidRDefault="00A03757" w:rsidP="00A03757">
      <w:pPr>
        <w:pStyle w:val="BodyText"/>
        <w:spacing w:after="360"/>
      </w:pPr>
      <w:r w:rsidRPr="003A7C99">
        <w:t>I, KELLY O’DWYER, Minister for Revenue and Financial Services, the responsible Minister</w:t>
      </w:r>
      <w:r w:rsidRPr="00667B90">
        <w:t xml:space="preserve"> of the Commonwealth by the operation of subsection 19A(1) of the </w:t>
      </w:r>
      <w:r w:rsidRPr="00667B90">
        <w:rPr>
          <w:i/>
        </w:rPr>
        <w:t>Acts Interpretation Act 1901</w:t>
      </w:r>
      <w:r w:rsidRPr="00667B90">
        <w:t xml:space="preserve">, under subsection </w:t>
      </w:r>
      <w:r w:rsidR="00E91BAA">
        <w:t>41</w:t>
      </w:r>
      <w:r w:rsidRPr="00667B90">
        <w:t xml:space="preserve">(1) of the Act, MAKE a decision that the Commonwealth Government has no objection to </w:t>
      </w:r>
      <w:r w:rsidR="00E91BAA">
        <w:t xml:space="preserve">AMP Life Limited </w:t>
      </w:r>
      <w:r w:rsidRPr="00667B90">
        <w:t>carrying out the trigger proposal</w:t>
      </w:r>
      <w:r w:rsidR="004D610F">
        <w:t>s</w:t>
      </w:r>
      <w:r w:rsidR="0013725B">
        <w:t>, subject to the following conditions:</w:t>
      </w:r>
    </w:p>
    <w:p w14:paraId="22207FB4" w14:textId="77777777" w:rsidR="0013725B" w:rsidRDefault="0013725B" w:rsidP="0013725B">
      <w:pPr>
        <w:pStyle w:val="BodyText"/>
        <w:numPr>
          <w:ilvl w:val="0"/>
          <w:numId w:val="7"/>
        </w:numPr>
        <w:spacing w:after="360"/>
      </w:pPr>
      <w:r>
        <w:t xml:space="preserve">the Scheme receiving confirmation from the Federal Court of Australia under Part 9 of the </w:t>
      </w:r>
      <w:r w:rsidRPr="0013725B">
        <w:rPr>
          <w:i/>
        </w:rPr>
        <w:t>Life Insurance Act 1995</w:t>
      </w:r>
      <w:r>
        <w:t>; and</w:t>
      </w:r>
    </w:p>
    <w:p w14:paraId="6DE1A1A1" w14:textId="2F1C630D" w:rsidR="00A03757" w:rsidRPr="00667B90" w:rsidRDefault="0013725B" w:rsidP="00A03757">
      <w:pPr>
        <w:pStyle w:val="BodyText"/>
        <w:numPr>
          <w:ilvl w:val="0"/>
          <w:numId w:val="7"/>
        </w:numPr>
        <w:spacing w:after="360"/>
      </w:pPr>
      <w:r>
        <w:t xml:space="preserve">the </w:t>
      </w:r>
      <w:r w:rsidR="003E2E57">
        <w:t xml:space="preserve">proposed transfer of NMLA’s New Zealand insurance business to AMP Life Limited </w:t>
      </w:r>
      <w:r>
        <w:t xml:space="preserve">receiving </w:t>
      </w:r>
      <w:r w:rsidR="003E2E57">
        <w:t xml:space="preserve">the </w:t>
      </w:r>
      <w:r>
        <w:t xml:space="preserve">written approval of the Reserve Bank of New Zealand in accordance with sections 44 and 53(2) of the </w:t>
      </w:r>
      <w:r w:rsidRPr="0013725B">
        <w:rPr>
          <w:i/>
        </w:rPr>
        <w:t>Insurance (Prudential Supervision) Act 2010 NZ.</w:t>
      </w:r>
    </w:p>
    <w:p w14:paraId="04029514" w14:textId="6E23F3F6" w:rsidR="00A03757" w:rsidRPr="00915E28" w:rsidRDefault="00A03757" w:rsidP="00A03757">
      <w:pPr>
        <w:pStyle w:val="Header"/>
        <w:rPr>
          <w:rFonts w:ascii="Times New Roman" w:hAnsi="Times New Roman"/>
          <w:color w:val="000000" w:themeColor="text1"/>
        </w:rPr>
      </w:pPr>
      <w:r w:rsidRPr="00915E28">
        <w:rPr>
          <w:rFonts w:ascii="Times New Roman" w:hAnsi="Times New Roman"/>
          <w:color w:val="000000" w:themeColor="text1"/>
        </w:rPr>
        <w:t xml:space="preserve">Dated: </w:t>
      </w:r>
      <w:r w:rsidR="00040B83">
        <w:rPr>
          <w:rFonts w:ascii="Times New Roman" w:hAnsi="Times New Roman"/>
          <w:color w:val="000000" w:themeColor="text1"/>
        </w:rPr>
        <w:t>16</w:t>
      </w:r>
      <w:r>
        <w:rPr>
          <w:rFonts w:ascii="Times New Roman" w:hAnsi="Times New Roman"/>
          <w:color w:val="000000" w:themeColor="text1"/>
        </w:rPr>
        <w:t xml:space="preserve"> </w:t>
      </w:r>
      <w:r w:rsidR="00F175E8">
        <w:rPr>
          <w:rFonts w:ascii="Times New Roman" w:hAnsi="Times New Roman"/>
          <w:color w:val="000000" w:themeColor="text1"/>
        </w:rPr>
        <w:t>September</w:t>
      </w:r>
      <w:r w:rsidR="00F175E8" w:rsidRPr="00915E28">
        <w:rPr>
          <w:rFonts w:ascii="Times New Roman" w:hAnsi="Times New Roman"/>
          <w:color w:val="000000" w:themeColor="text1"/>
        </w:rPr>
        <w:t xml:space="preserve"> </w:t>
      </w:r>
      <w:r w:rsidRPr="00915E28">
        <w:rPr>
          <w:rFonts w:ascii="Times New Roman" w:hAnsi="Times New Roman"/>
          <w:color w:val="000000" w:themeColor="text1"/>
        </w:rPr>
        <w:t>2016</w:t>
      </w:r>
    </w:p>
    <w:p w14:paraId="122EDE20" w14:textId="77777777" w:rsidR="00B246E8" w:rsidRDefault="00B246E8" w:rsidP="00A03757"/>
    <w:p w14:paraId="39F7D6EC" w14:textId="77777777" w:rsidR="00B246E8" w:rsidRDefault="00B246E8" w:rsidP="00A03757"/>
    <w:p w14:paraId="721DCFD8" w14:textId="18F6BF80" w:rsidR="00A03757" w:rsidRDefault="00A03757" w:rsidP="00A03757">
      <w:pPr>
        <w:rPr>
          <w:rFonts w:ascii="Times New Roman" w:hAnsi="Times New Roman"/>
        </w:rPr>
      </w:pPr>
      <w:r w:rsidRPr="003A7C99">
        <w:t>KELLY O’DWYER</w:t>
      </w:r>
    </w:p>
    <w:p w14:paraId="16D6BBD9" w14:textId="4CDD5E97" w:rsidR="001A0565" w:rsidRDefault="00A03757" w:rsidP="00B246E8">
      <w:r>
        <w:rPr>
          <w:rFonts w:ascii="Times New Roman" w:hAnsi="Times New Roman"/>
        </w:rPr>
        <w:t>Minister for Revenue and Financial Services</w:t>
      </w:r>
    </w:p>
    <w:sectPr w:rsidR="001A0565">
      <w:headerReference w:type="default" r:id="rId15"/>
      <w:pgSz w:w="11907" w:h="16840" w:code="9"/>
      <w:pgMar w:top="1134" w:right="1134" w:bottom="992" w:left="1134" w:header="425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5506" w14:textId="77777777" w:rsidR="00DC5899" w:rsidRDefault="00DC5899">
      <w:r>
        <w:separator/>
      </w:r>
    </w:p>
  </w:endnote>
  <w:endnote w:type="continuationSeparator" w:id="0">
    <w:p w14:paraId="0EC6BB7F" w14:textId="77777777" w:rsidR="00DC5899" w:rsidRDefault="00D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75D14" w14:textId="77777777" w:rsidR="00DC5899" w:rsidRDefault="00DC5899">
      <w:r>
        <w:separator/>
      </w:r>
    </w:p>
  </w:footnote>
  <w:footnote w:type="continuationSeparator" w:id="0">
    <w:p w14:paraId="59F1FBD2" w14:textId="77777777" w:rsidR="00DC5899" w:rsidRDefault="00DC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37B20" w14:textId="50337981" w:rsidR="00FD0BC0" w:rsidRDefault="00FD0B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1C93AEE" wp14:editId="5555B86A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1350010" cy="4254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01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F8CEA" w14:textId="49601080" w:rsidR="00FD0BC0" w:rsidRPr="00FD0BC0" w:rsidRDefault="00FD0BC0" w:rsidP="00FD0B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PM_DisplayValueSecClassificationWithQualifier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26F15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1C93AEE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36pt;width:106.3pt;height:33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oO8QIAAFkGAAAOAAAAZHJzL2Uyb0RvYy54bWysVd9v2jAQfp+0/8HyO03CAi2ooaJ0bJNQ&#10;W41OfTaOU7I6tmUbCJ32v+98SSjt9rBOe3HOvh++u+/z5fyiriTZCutKrTKanMSUCMV1XqqHjH67&#10;m/fOKHGeqZxJrURG98LRi8n7d+c7MxZ9vdYyF5ZAEOXGO5PRtfdmHEWOr0XF3Ik2QoGy0LZiHrb2&#10;Icot20H0Skb9OB5GO21zYzUXzsHpVaOkE4xfFIL7m6JwwhOZUcjN42pxXYU1mpyz8YNlZl3yNg32&#10;D1lUrFRw6SHUFfOMbGz5W6iq5FY7XfgTrqtIF0XJBdYA1STxq2qWa2YE1gLNcebQJvf/wvLr7a0l&#10;ZZ7RPiWKVQDRd6Y2bvlxuiDLGfksGAAU2rQzbgzWSwP2vr7UNcDdnTs4DNXXha3CF+oioIeG7w9N&#10;FrUnPDh9GMRQKiUcdGl/kA4QhejZ21jnPwldkSBk1AKI2Fu2XTgPmYBpZxIuU3peSolASkV2GR3C&#10;Dehw0ICHVMFWICWaMLCrPYh4DskhXD9GST+NL/uj3nx4dtpL5+mgNzqNz3pxMrocDeN0lF7Nf4bo&#10;STpel3ku1KJUoqNOkv4dNC2JG9CRPC8Sd1qWeagq5BZqnUlLtgw4vJKMP4a2Q0lHVtHLdFAN1XVf&#10;rDIKCDZIoeT3UoT4Un0VBVAAAQsH+PjE4UrGuVAescY+gnWwKiC9tzi29sG1QeEtzgcPvFkrf3Cu&#10;SqUtov0q7fyxS7lo7KEZR3UH0derumX2Sud7ILbVQDjgpjN8XkLfF8z5W2ZhJMAhjDl/A0shNbBM&#10;txIla22f/nQe7IEOoKVkByMmowpmICXyi4IXPErSFIJ63KSD0z5s7LFmdaxRm2qmAf8Ec0Mx2HvZ&#10;iYXV1T3Mwmm4E1RMcbg5o74TZ74ZezBLuZhO0QhmkGF+oZaGh9ChuYFtd/U9s6Z9fh54dK27UcTG&#10;r15hYxs8nZluPLxFfKKhvU1P27bD/EI2trM2DMjjPVo9/xEmvwAAAP//AwBQSwMEFAAGAAgAAAAh&#10;ADISiWLdAAAABwEAAA8AAABkcnMvZG93bnJldi54bWxMj0FLw0AQhe+C/2GZgje7aQpV02yKFOxF&#10;PFhFr5PsNAnJzobsNo3+eseTnh7De7z3Tb6bXa8mGkPr2cBqmYAirrxtuTbw/vZ0ew8qRGSLvWcy&#10;8EUBdsX1VY6Z9Rd+pekYayUlHDI00MQ4ZFqHqiGHYekHYvFOfnQY5RxrbUe8SLnrdZokG+2wZVlo&#10;cKB9Q1V3PDsDL/hxiNPcVYduONlPN5T79fezMTeL+XELKtIc/8Lwiy/oUAhT6c9sg+oNyCPRwF0q&#10;Km66SjegSomtHxLQRa7/8xc/AAAA//8DAFBLAQItABQABgAIAAAAIQC2gziS/gAAAOEBAAATAAAA&#10;AAAAAAAAAAAAAAAAAABbQ29udGVudF9UeXBlc10ueG1sUEsBAi0AFAAGAAgAAAAhADj9If/WAAAA&#10;lAEAAAsAAAAAAAAAAAAAAAAALwEAAF9yZWxzLy5yZWxzUEsBAi0AFAAGAAgAAAAhADY/2g7xAgAA&#10;WQYAAA4AAAAAAAAAAAAAAAAALgIAAGRycy9lMm9Eb2MueG1sUEsBAi0AFAAGAAgAAAAhADISiWLd&#10;AAAABwEAAA8AAAAAAAAAAAAAAAAASwUAAGRycy9kb3ducmV2LnhtbFBLBQYAAAAABAAEAPMAAABV&#10;BgAAAAA=&#10;" filled="f" stroked="f" strokeweight=".5pt">
              <v:textbox style="mso-fit-shape-to-text:t">
                <w:txbxContent>
                  <w:p w14:paraId="1A2F8CEA" w14:textId="49601080" w:rsidR="00FD0BC0" w:rsidRPr="00FD0BC0" w:rsidRDefault="00FD0BC0" w:rsidP="00FD0BC0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PM_DisplayValueSecClassificationWithQualifier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26F15">
                      <w:rPr>
                        <w:rFonts w:ascii="Arial" w:hAnsi="Arial" w:cs="Arial"/>
                        <w:b/>
                        <w:color w:val="FF000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9D"/>
    <w:multiLevelType w:val="multilevel"/>
    <w:tmpl w:val="54442B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E91469"/>
    <w:multiLevelType w:val="hybridMultilevel"/>
    <w:tmpl w:val="8DA0DE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219C9"/>
    <w:multiLevelType w:val="hybridMultilevel"/>
    <w:tmpl w:val="C2442C90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A5C60"/>
    <w:multiLevelType w:val="multilevel"/>
    <w:tmpl w:val="A7AE2CB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0F59E2"/>
    <w:multiLevelType w:val="multilevel"/>
    <w:tmpl w:val="AB267D2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xton, Robert">
    <w15:presenceInfo w15:providerId="None" w15:userId="Claxton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91"/>
    <w:rsid w:val="00040B83"/>
    <w:rsid w:val="00040B9F"/>
    <w:rsid w:val="00046FB6"/>
    <w:rsid w:val="00057AFE"/>
    <w:rsid w:val="00057B4C"/>
    <w:rsid w:val="00075E53"/>
    <w:rsid w:val="00076D79"/>
    <w:rsid w:val="000852A1"/>
    <w:rsid w:val="00097BB1"/>
    <w:rsid w:val="00124C84"/>
    <w:rsid w:val="00134F62"/>
    <w:rsid w:val="00136F60"/>
    <w:rsid w:val="0013725B"/>
    <w:rsid w:val="0015029C"/>
    <w:rsid w:val="00170C91"/>
    <w:rsid w:val="00176B59"/>
    <w:rsid w:val="00194B81"/>
    <w:rsid w:val="001A0565"/>
    <w:rsid w:val="001A05D4"/>
    <w:rsid w:val="001D0FFE"/>
    <w:rsid w:val="001D5792"/>
    <w:rsid w:val="002250BA"/>
    <w:rsid w:val="00283B64"/>
    <w:rsid w:val="002A520A"/>
    <w:rsid w:val="002E1237"/>
    <w:rsid w:val="00324A20"/>
    <w:rsid w:val="00346874"/>
    <w:rsid w:val="003C0DB7"/>
    <w:rsid w:val="003D1AE9"/>
    <w:rsid w:val="003D2D54"/>
    <w:rsid w:val="003E2E57"/>
    <w:rsid w:val="003E399B"/>
    <w:rsid w:val="00444634"/>
    <w:rsid w:val="004779BC"/>
    <w:rsid w:val="004A7833"/>
    <w:rsid w:val="004D610F"/>
    <w:rsid w:val="00507019"/>
    <w:rsid w:val="00526F15"/>
    <w:rsid w:val="005C17EB"/>
    <w:rsid w:val="00603CA8"/>
    <w:rsid w:val="0063240A"/>
    <w:rsid w:val="006954D4"/>
    <w:rsid w:val="006960FB"/>
    <w:rsid w:val="006A5D5D"/>
    <w:rsid w:val="006C6F75"/>
    <w:rsid w:val="006D09D4"/>
    <w:rsid w:val="00727902"/>
    <w:rsid w:val="00730C80"/>
    <w:rsid w:val="007676F3"/>
    <w:rsid w:val="007760E4"/>
    <w:rsid w:val="00780B0E"/>
    <w:rsid w:val="007D77E5"/>
    <w:rsid w:val="007E0730"/>
    <w:rsid w:val="008469AA"/>
    <w:rsid w:val="0089347D"/>
    <w:rsid w:val="00895A27"/>
    <w:rsid w:val="00905E6A"/>
    <w:rsid w:val="0092781F"/>
    <w:rsid w:val="00A03757"/>
    <w:rsid w:val="00A32CC7"/>
    <w:rsid w:val="00A44A61"/>
    <w:rsid w:val="00A903A2"/>
    <w:rsid w:val="00AA2C80"/>
    <w:rsid w:val="00B20697"/>
    <w:rsid w:val="00B246E8"/>
    <w:rsid w:val="00B61D91"/>
    <w:rsid w:val="00B85F35"/>
    <w:rsid w:val="00BB3D37"/>
    <w:rsid w:val="00C71B89"/>
    <w:rsid w:val="00C8702B"/>
    <w:rsid w:val="00CB64A8"/>
    <w:rsid w:val="00CE21FA"/>
    <w:rsid w:val="00CE4770"/>
    <w:rsid w:val="00D00462"/>
    <w:rsid w:val="00D23ACE"/>
    <w:rsid w:val="00D64071"/>
    <w:rsid w:val="00DC5899"/>
    <w:rsid w:val="00E64CC0"/>
    <w:rsid w:val="00E71F1D"/>
    <w:rsid w:val="00E91BAA"/>
    <w:rsid w:val="00EA04BA"/>
    <w:rsid w:val="00EE1EA8"/>
    <w:rsid w:val="00F048D4"/>
    <w:rsid w:val="00F055E0"/>
    <w:rsid w:val="00F175E8"/>
    <w:rsid w:val="00F300B6"/>
    <w:rsid w:val="00F73E31"/>
    <w:rsid w:val="00F90CDB"/>
    <w:rsid w:val="00FC1269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DD5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2016RG-111-6430</_dlc_DocId>
    <_dlc_DocIdUrl xmlns="9f7bc583-7cbe-45b9-a2bd-8bbb6543b37e">
      <Url>http://tweb/sites/rg/ldp/lmu/_layouts/15/DocIdRedir.aspx?ID=2016RG-111-6430</Url>
      <Description>2016RG-111-6430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AF18E-697F-43A0-90FF-54EB92538E69}"/>
</file>

<file path=customXml/itemProps2.xml><?xml version="1.0" encoding="utf-8"?>
<ds:datastoreItem xmlns:ds="http://schemas.openxmlformats.org/officeDocument/2006/customXml" ds:itemID="{80CC5D36-6F17-4E3F-A3E0-E99CFD8399D7}"/>
</file>

<file path=customXml/itemProps3.xml><?xml version="1.0" encoding="utf-8"?>
<ds:datastoreItem xmlns:ds="http://schemas.openxmlformats.org/officeDocument/2006/customXml" ds:itemID="{147BBBD1-760A-4BF5-A4A5-6C5D2CB8D8C9}"/>
</file>

<file path=customXml/itemProps4.xml><?xml version="1.0" encoding="utf-8"?>
<ds:datastoreItem xmlns:ds="http://schemas.openxmlformats.org/officeDocument/2006/customXml" ds:itemID="{DAB19E3B-8D2E-4378-B15F-59BDB2EEF6F5}"/>
</file>

<file path=customXml/itemProps5.xml><?xml version="1.0" encoding="utf-8"?>
<ds:datastoreItem xmlns:ds="http://schemas.openxmlformats.org/officeDocument/2006/customXml" ds:itemID="{6FE89B80-EB20-49E6-B6AB-FF02E4763BD0}"/>
</file>

<file path=customXml/itemProps6.xml><?xml version="1.0" encoding="utf-8"?>
<ds:datastoreItem xmlns:ds="http://schemas.openxmlformats.org/officeDocument/2006/customXml" ds:itemID="{E7338A4E-A54A-403D-993E-9EB5C18D2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IATA s55 Notice of Consent</vt:lpstr>
    </vt:vector>
  </TitlesOfParts>
  <Company>Department of Treasury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IATA s55 Notice of Consent</dc:title>
  <dc:creator>Lauren Hogan</dc:creator>
  <cp:keywords>[SEC=DLM-ONLY:Sensitive:Legal]</cp:keywords>
  <cp:lastModifiedBy>Anderson, Sharon</cp:lastModifiedBy>
  <cp:revision>3</cp:revision>
  <cp:lastPrinted>2016-09-01T02:12:00Z</cp:lastPrinted>
  <dcterms:created xsi:type="dcterms:W3CDTF">2016-10-24T01:59:00Z</dcterms:created>
  <dcterms:modified xsi:type="dcterms:W3CDTF">2016-10-25T03:47:00Z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ee">
    <vt:lpwstr> </vt:lpwstr>
  </property>
  <property fmtid="{D5CDD505-2E9C-101B-9397-08002B2CF9AE}" pid="3" name="SecurityClassification">
    <vt:lpwstr>_x000d_</vt:lpwstr>
  </property>
  <property fmtid="{D5CDD505-2E9C-101B-9397-08002B2CF9AE}" pid="4" name="_NewReviewCycle">
    <vt:lpwstr/>
  </property>
  <property fmtid="{D5CDD505-2E9C-101B-9397-08002B2CF9AE}" pid="5" name="_dlc_DocId">
    <vt:lpwstr>2013MG-92-29204</vt:lpwstr>
  </property>
  <property fmtid="{D5CDD505-2E9C-101B-9397-08002B2CF9AE}" pid="6" name="_dlc_DocIdItemGuid">
    <vt:lpwstr>faa75ca2-ab7b-4cc1-8dfa-f46dc18e1180</vt:lpwstr>
  </property>
  <property fmtid="{D5CDD505-2E9C-101B-9397-08002B2CF9AE}" pid="7" name="_dlc_DocIdUrl">
    <vt:lpwstr>http://tweb/sites/mg/fsd/_layouts/DocIdRedir.aspx?ID=2013MG-92-29204, 2013MG-92-29204</vt:lpwstr>
  </property>
  <property fmtid="{D5CDD505-2E9C-101B-9397-08002B2CF9AE}" pid="8" name="display_urn:schemas-microsoft-com:office:office#Editor">
    <vt:lpwstr>Ni, Adam</vt:lpwstr>
  </property>
  <property fmtid="{D5CDD505-2E9C-101B-9397-08002B2CF9AE}" pid="9" name="display_urn:schemas-microsoft-com:office:office#Author">
    <vt:lpwstr>Ni, Adam</vt:lpwstr>
  </property>
  <property fmtid="{D5CDD505-2E9C-101B-9397-08002B2CF9AE}" pid="10" name="AlternateThumbnailUrl">
    <vt:lpwstr/>
  </property>
  <property fmtid="{D5CDD505-2E9C-101B-9397-08002B2CF9AE}" pid="11" name="Comments">
    <vt:lpwstr/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{faa75ca2-ab7b-4cc1-8dfa-f46dc18e1180}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RecordNumberSubmitted">
    <vt:lpwstr>R0001133839</vt:lpwstr>
  </property>
  <property fmtid="{D5CDD505-2E9C-101B-9397-08002B2CF9AE}" pid="20" name="RecordPoint_SubmissionCompleted">
    <vt:lpwstr>2016-10-24T13:05:59.3847456+11:00</vt:lpwstr>
  </property>
  <property fmtid="{D5CDD505-2E9C-101B-9397-08002B2CF9AE}" pid="21" name="PM_Originator_Hash_SHA1">
    <vt:lpwstr>86C9850FFE8B11880B0084481EB585B31543A022</vt:lpwstr>
  </property>
  <property fmtid="{D5CDD505-2E9C-101B-9397-08002B2CF9AE}" pid="22" name="PM_SecurityClassification">
    <vt:lpwstr>DLM-ONLY</vt:lpwstr>
  </property>
  <property fmtid="{D5CDD505-2E9C-101B-9397-08002B2CF9AE}" pid="23" name="PM_DisplayValueSecClassificationWithQualifier">
    <vt:lpwstr>Sensitive: Legal</vt:lpwstr>
  </property>
  <property fmtid="{D5CDD505-2E9C-101B-9397-08002B2CF9AE}" pid="24" name="PM_Qualifier">
    <vt:lpwstr>Sensitive:Legal</vt:lpwstr>
  </property>
  <property fmtid="{D5CDD505-2E9C-101B-9397-08002B2CF9AE}" pid="25" name="PM_Hash_SHA1">
    <vt:lpwstr>746022AFCEEE45C697F31BD4CC277CECF6275B95</vt:lpwstr>
  </property>
  <property fmtid="{D5CDD505-2E9C-101B-9397-08002B2CF9AE}" pid="26" name="PM_InsertionValue">
    <vt:lpwstr>Sensitive: Legal</vt:lpwstr>
  </property>
  <property fmtid="{D5CDD505-2E9C-101B-9397-08002B2CF9AE}" pid="27" name="PM_Hash_Salt">
    <vt:lpwstr>9B7E4DEDDA270FEE53C2C1B85C4911A4</vt:lpwstr>
  </property>
  <property fmtid="{D5CDD505-2E9C-101B-9397-08002B2CF9AE}" pid="28" name="PM_Hash_Version">
    <vt:lpwstr>2014.2</vt:lpwstr>
  </property>
  <property fmtid="{D5CDD505-2E9C-101B-9397-08002B2CF9AE}" pid="29" name="PM_Hash_Salt_Prev">
    <vt:lpwstr>2B9E725240F8A864FA05A8D163DD2643</vt:lpwstr>
  </property>
  <property fmtid="{D5CDD505-2E9C-101B-9397-08002B2CF9AE}" pid="30" name="PM_Caveats_Count">
    <vt:lpwstr>0</vt:lpwstr>
  </property>
  <property fmtid="{D5CDD505-2E9C-101B-9397-08002B2CF9AE}" pid="31" name="PM_SecurityClassification_Prev">
    <vt:lpwstr>DLM-ONLY</vt:lpwstr>
  </property>
  <property fmtid="{D5CDD505-2E9C-101B-9397-08002B2CF9AE}" pid="32" name="PM_Qualifier_Prev">
    <vt:lpwstr>Sensitive:Legal</vt:lpwstr>
  </property>
  <property fmtid="{D5CDD505-2E9C-101B-9397-08002B2CF9AE}" pid="33" name="_AdHocReviewCycleID">
    <vt:i4>308954576</vt:i4>
  </property>
  <property fmtid="{D5CDD505-2E9C-101B-9397-08002B2CF9AE}" pid="34" name="_EmailSubject">
    <vt:lpwstr>Gazetting of notices [SEC=PROTECTED]</vt:lpwstr>
  </property>
  <property fmtid="{D5CDD505-2E9C-101B-9397-08002B2CF9AE}" pid="35" name="_AuthorEmail">
    <vt:lpwstr>Leron.Kwong@TREASURY.GOV.AU</vt:lpwstr>
  </property>
  <property fmtid="{D5CDD505-2E9C-101B-9397-08002B2CF9AE}" pid="36" name="_AuthorEmailDisplayName">
    <vt:lpwstr>Kwong, Leron</vt:lpwstr>
  </property>
  <property fmtid="{D5CDD505-2E9C-101B-9397-08002B2CF9AE}" pid="37" name="_PreviousAdHocReviewCycleID">
    <vt:i4>308954576</vt:i4>
  </property>
  <property fmtid="{D5CDD505-2E9C-101B-9397-08002B2CF9AE}" pid="38" name="_ReviewingToolsShownOnce">
    <vt:lpwstr/>
  </property>
  <property fmtid="{D5CDD505-2E9C-101B-9397-08002B2CF9AE}" pid="39" name="RecordPoint_SubmissionDate">
    <vt:lpwstr/>
  </property>
  <property fmtid="{D5CDD505-2E9C-101B-9397-08002B2CF9AE}" pid="40" name="RecordPoint_ActiveItemMoved">
    <vt:lpwstr/>
  </property>
  <property fmtid="{D5CDD505-2E9C-101B-9397-08002B2CF9AE}" pid="41" name="RecordPoint_RecordFormat">
    <vt:lpwstr/>
  </property>
</Properties>
</file>