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7A748D" w:rsidRPr="00CE796A" w14:paraId="6B54FAED" w14:textId="77777777" w:rsidTr="0086189C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A9B4F5D" w14:textId="2806C19E" w:rsidR="007A748D" w:rsidRPr="00CE796A" w:rsidRDefault="007A748D" w:rsidP="0086189C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706E0BB6" wp14:editId="48C42686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3406924" w14:textId="77777777" w:rsidR="007A748D" w:rsidRPr="00CE796A" w:rsidRDefault="007A748D" w:rsidP="0086189C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CE796A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90E796B" w14:textId="77777777" w:rsidR="007A748D" w:rsidRPr="00CE796A" w:rsidRDefault="007A748D" w:rsidP="0086189C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7A748D" w:rsidRPr="00CE796A" w14:paraId="1878E175" w14:textId="77777777" w:rsidTr="0086189C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2B3602" w14:textId="77777777" w:rsidR="007A748D" w:rsidRPr="00CE796A" w:rsidRDefault="007A748D" w:rsidP="0086189C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32C3B163" w14:textId="77777777" w:rsidR="007A748D" w:rsidRPr="00840A06" w:rsidRDefault="007A748D" w:rsidP="0086189C">
            <w:pPr>
              <w:spacing w:after="0"/>
              <w:jc w:val="right"/>
              <w:rPr>
                <w:rFonts w:ascii="Arial" w:hAnsi="Arial" w:cs="Arial"/>
                <w:b/>
                <w:szCs w:val="24"/>
              </w:rPr>
            </w:pPr>
            <w:r w:rsidRPr="00840A06">
              <w:rPr>
                <w:rFonts w:ascii="Arial" w:hAnsi="Arial" w:cs="Arial"/>
                <w:b/>
                <w:szCs w:val="24"/>
              </w:rPr>
              <w:t>GOVERNMENT NOTICES</w:t>
            </w:r>
          </w:p>
        </w:tc>
      </w:tr>
      <w:bookmarkEnd w:id="0"/>
    </w:tbl>
    <w:p w14:paraId="6E4F4C53" w14:textId="281A2396" w:rsidR="001A0565" w:rsidRDefault="001A0565">
      <w:pPr>
        <w:jc w:val="center"/>
      </w:pPr>
    </w:p>
    <w:p w14:paraId="1186EF60" w14:textId="77777777" w:rsidR="007A748D" w:rsidRDefault="007A748D">
      <w:pPr>
        <w:jc w:val="center"/>
      </w:pPr>
      <w:bookmarkStart w:id="2" w:name="_GoBack"/>
      <w:bookmarkEnd w:id="2"/>
    </w:p>
    <w:p w14:paraId="732FFF50" w14:textId="77777777" w:rsidR="001A0565" w:rsidRDefault="001A0565">
      <w:pPr>
        <w:jc w:val="center"/>
        <w:rPr>
          <w:rFonts w:ascii="Garamond (PCL6)" w:hAnsi="Garamond (PCL6)"/>
          <w:i/>
          <w:sz w:val="32"/>
        </w:rPr>
      </w:pPr>
      <w:r>
        <w:rPr>
          <w:rFonts w:ascii="Garamond (PCL6)" w:hAnsi="Garamond (PCL6)"/>
          <w:i/>
          <w:sz w:val="32"/>
        </w:rPr>
        <w:t>Insurance</w:t>
      </w:r>
      <w:r w:rsidR="00170C91">
        <w:rPr>
          <w:rFonts w:ascii="Garamond (PCL6)" w:hAnsi="Garamond (PCL6)"/>
          <w:i/>
          <w:sz w:val="32"/>
        </w:rPr>
        <w:t xml:space="preserve"> </w:t>
      </w:r>
      <w:r>
        <w:rPr>
          <w:rFonts w:ascii="Garamond (PCL6)" w:hAnsi="Garamond (PCL6)"/>
          <w:i/>
          <w:sz w:val="32"/>
        </w:rPr>
        <w:t>Acquisitions and Takeovers Act 1991</w:t>
      </w:r>
    </w:p>
    <w:p w14:paraId="1362A750" w14:textId="70365BDB" w:rsidR="001A0565" w:rsidRDefault="0013725B">
      <w:pPr>
        <w:pStyle w:val="BodyText2"/>
      </w:pPr>
      <w:r>
        <w:t xml:space="preserve">NOTICE OF </w:t>
      </w:r>
      <w:r w:rsidR="001A5DCB">
        <w:t>UN</w:t>
      </w:r>
      <w:r w:rsidR="001A0565">
        <w:t>CONDITIONAL GO AHEAD DECISION</w:t>
      </w:r>
    </w:p>
    <w:p w14:paraId="4AB9564B" w14:textId="77777777" w:rsidR="001A0565" w:rsidRDefault="001A0565">
      <w:pPr>
        <w:spacing w:after="0"/>
        <w:rPr>
          <w:rFonts w:ascii="Times New Roman" w:hAnsi="Times New Roman"/>
        </w:rPr>
      </w:pPr>
    </w:p>
    <w:p w14:paraId="433057DC" w14:textId="77777777" w:rsidR="001A0565" w:rsidRDefault="001A0565">
      <w:pPr>
        <w:pStyle w:val="TDSTitle"/>
        <w:spacing w:after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SINCE:</w:t>
      </w:r>
    </w:p>
    <w:p w14:paraId="30A759E1" w14:textId="77777777" w:rsidR="001A0565" w:rsidRDefault="001A0565">
      <w:pPr>
        <w:spacing w:after="0"/>
        <w:rPr>
          <w:rFonts w:ascii="Times New Roman" w:hAnsi="Times New Roman"/>
        </w:rPr>
      </w:pPr>
    </w:p>
    <w:p w14:paraId="1F2FE71B" w14:textId="16F8D597" w:rsidR="001A0565" w:rsidRDefault="001A5DCB" w:rsidP="0015029C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ACE Insurance </w:t>
      </w:r>
      <w:r w:rsidR="00E91BAA">
        <w:rPr>
          <w:rFonts w:ascii="Times New Roman" w:hAnsi="Times New Roman"/>
        </w:rPr>
        <w:t xml:space="preserve">Limited </w:t>
      </w:r>
      <w:r w:rsidR="00E64CC0">
        <w:rPr>
          <w:rFonts w:ascii="Times New Roman" w:hAnsi="Times New Roman"/>
        </w:rPr>
        <w:t xml:space="preserve">ABN </w:t>
      </w:r>
      <w:r>
        <w:rPr>
          <w:rFonts w:ascii="Times New Roman" w:hAnsi="Times New Roman"/>
        </w:rPr>
        <w:t>23 001</w:t>
      </w:r>
      <w:r w:rsidR="00E91B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642 020</w:t>
      </w:r>
      <w:r w:rsidR="00EA04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(ACE Insurance Limited) </w:t>
      </w:r>
      <w:r w:rsidR="00730C80">
        <w:rPr>
          <w:rFonts w:ascii="Times New Roman" w:hAnsi="Times New Roman"/>
        </w:rPr>
        <w:t>is an Australian</w:t>
      </w:r>
      <w:r w:rsidR="00730C80">
        <w:rPr>
          <w:rFonts w:ascii="Times New Roman" w:hAnsi="Times New Roman"/>
        </w:rPr>
        <w:noBreakHyphen/>
        <w:t xml:space="preserve">registered insurance company under the </w:t>
      </w:r>
      <w:r w:rsidR="00040B9F">
        <w:rPr>
          <w:rFonts w:ascii="Times New Roman" w:hAnsi="Times New Roman"/>
          <w:i/>
        </w:rPr>
        <w:t xml:space="preserve">Insurance </w:t>
      </w:r>
      <w:r w:rsidR="00730C80">
        <w:rPr>
          <w:rFonts w:ascii="Times New Roman" w:hAnsi="Times New Roman"/>
          <w:i/>
        </w:rPr>
        <w:t>Acquisitions and Tak</w:t>
      </w:r>
      <w:r w:rsidR="00040B9F">
        <w:rPr>
          <w:rFonts w:ascii="Times New Roman" w:hAnsi="Times New Roman"/>
          <w:i/>
        </w:rPr>
        <w:t>eovers</w:t>
      </w:r>
      <w:r w:rsidR="00730C80">
        <w:rPr>
          <w:rFonts w:ascii="Times New Roman" w:hAnsi="Times New Roman"/>
          <w:i/>
        </w:rPr>
        <w:t xml:space="preserve"> Act 1991</w:t>
      </w:r>
      <w:r w:rsidR="00730C80">
        <w:rPr>
          <w:rFonts w:ascii="Times New Roman" w:hAnsi="Times New Roman"/>
        </w:rPr>
        <w:t xml:space="preserve"> (the Ac</w:t>
      </w:r>
      <w:r w:rsidR="00B20697">
        <w:rPr>
          <w:rFonts w:ascii="Times New Roman" w:hAnsi="Times New Roman"/>
        </w:rPr>
        <w:t>t</w:t>
      </w:r>
      <w:r w:rsidR="00730C80">
        <w:rPr>
          <w:rFonts w:ascii="Times New Roman" w:hAnsi="Times New Roman"/>
        </w:rPr>
        <w:t xml:space="preserve">), because it is a company </w:t>
      </w:r>
      <w:r>
        <w:rPr>
          <w:rFonts w:ascii="Times New Roman" w:hAnsi="Times New Roman"/>
        </w:rPr>
        <w:t>authorised</w:t>
      </w:r>
      <w:r w:rsidR="00F048D4">
        <w:rPr>
          <w:rFonts w:ascii="Times New Roman" w:hAnsi="Times New Roman"/>
        </w:rPr>
        <w:t xml:space="preserve"> </w:t>
      </w:r>
      <w:r w:rsidR="00730C80">
        <w:rPr>
          <w:rFonts w:ascii="Times New Roman" w:hAnsi="Times New Roman"/>
        </w:rPr>
        <w:t xml:space="preserve">under the </w:t>
      </w:r>
      <w:r w:rsidR="00905E6A">
        <w:rPr>
          <w:rFonts w:ascii="Times New Roman" w:hAnsi="Times New Roman"/>
          <w:i/>
        </w:rPr>
        <w:t>Insurance Act 19</w:t>
      </w:r>
      <w:r>
        <w:rPr>
          <w:rFonts w:ascii="Times New Roman" w:hAnsi="Times New Roman"/>
          <w:i/>
        </w:rPr>
        <w:t>73</w:t>
      </w:r>
      <w:r w:rsidR="001A0565">
        <w:rPr>
          <w:rFonts w:ascii="Times New Roman" w:hAnsi="Times New Roman"/>
        </w:rPr>
        <w:t xml:space="preserve">; </w:t>
      </w:r>
    </w:p>
    <w:p w14:paraId="2004C050" w14:textId="22498D7A" w:rsidR="001A0565" w:rsidRDefault="001A5DCB" w:rsidP="001A5DCB">
      <w:pPr>
        <w:numPr>
          <w:ilvl w:val="0"/>
          <w:numId w:val="1"/>
        </w:numPr>
        <w:tabs>
          <w:tab w:val="left" w:pos="426"/>
        </w:tabs>
        <w:jc w:val="both"/>
      </w:pPr>
      <w:r>
        <w:rPr>
          <w:rFonts w:ascii="Times New Roman" w:hAnsi="Times New Roman"/>
        </w:rPr>
        <w:t xml:space="preserve">ACE Insurance Limited </w:t>
      </w:r>
      <w:r w:rsidR="00E91BAA">
        <w:t xml:space="preserve">has given notice pursuant to paragraph </w:t>
      </w:r>
      <w:r w:rsidR="00E91BAA" w:rsidRPr="00507019">
        <w:t>38(b)</w:t>
      </w:r>
      <w:r w:rsidR="00E91BAA">
        <w:t xml:space="preserve"> of the Act that it proposes to </w:t>
      </w:r>
      <w:r w:rsidR="00F048D4">
        <w:t>carry out trigger propos</w:t>
      </w:r>
      <w:r>
        <w:t>als under section 36 of the Act</w:t>
      </w:r>
      <w:r w:rsidR="0013725B" w:rsidRPr="00040B9F">
        <w:t xml:space="preserve"> </w:t>
      </w:r>
      <w:r w:rsidR="007C068A">
        <w:t xml:space="preserve">by way of a scheme to be confirmed by the Federal Court of Australia under Division 3A of Part III of the </w:t>
      </w:r>
      <w:r w:rsidR="007C068A" w:rsidRPr="00014977">
        <w:rPr>
          <w:i/>
        </w:rPr>
        <w:t>Insurance Act 1973</w:t>
      </w:r>
      <w:r w:rsidR="007C068A">
        <w:rPr>
          <w:i/>
        </w:rPr>
        <w:t xml:space="preserve"> </w:t>
      </w:r>
      <w:r w:rsidR="007C068A">
        <w:t xml:space="preserve">to acquire </w:t>
      </w:r>
      <w:r w:rsidR="00EE1796">
        <w:t xml:space="preserve">all of </w:t>
      </w:r>
      <w:r w:rsidR="00B23AF8">
        <w:t xml:space="preserve">the interests, rights or benefits </w:t>
      </w:r>
      <w:r>
        <w:t xml:space="preserve">of Chubb </w:t>
      </w:r>
      <w:r w:rsidR="00655AAD">
        <w:t xml:space="preserve">Insurance Company of Australia Limited ABN </w:t>
      </w:r>
      <w:r w:rsidR="00975114">
        <w:t>69 003 710 647</w:t>
      </w:r>
      <w:r w:rsidR="00655AAD">
        <w:t xml:space="preserve"> </w:t>
      </w:r>
      <w:r w:rsidR="007C068A">
        <w:t xml:space="preserve">under </w:t>
      </w:r>
      <w:r w:rsidR="00BC2B28">
        <w:t xml:space="preserve">its </w:t>
      </w:r>
      <w:r w:rsidR="007C068A">
        <w:t>contracts of insurance</w:t>
      </w:r>
      <w:r w:rsidR="00EE1796">
        <w:t xml:space="preserve"> referable to </w:t>
      </w:r>
      <w:r w:rsidR="00BC2B28">
        <w:t>its</w:t>
      </w:r>
      <w:r w:rsidR="00EE1796">
        <w:t xml:space="preserve"> insurance business in Australia;</w:t>
      </w:r>
      <w:r w:rsidR="007C068A">
        <w:t xml:space="preserve"> </w:t>
      </w:r>
      <w:r>
        <w:t xml:space="preserve"> and</w:t>
      </w:r>
    </w:p>
    <w:p w14:paraId="30CF47CB" w14:textId="128A61EE" w:rsidR="00057AFE" w:rsidRPr="00057AFE" w:rsidRDefault="00057AFE" w:rsidP="00AA2C8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A2C80">
        <w:rPr>
          <w:rFonts w:ascii="Times New Roman" w:hAnsi="Times New Roman"/>
        </w:rPr>
        <w:t>I have complied with the relevant decision-making principles formulated under section 65 of the Act,</w:t>
      </w:r>
    </w:p>
    <w:p w14:paraId="61DBA38D" w14:textId="77777777" w:rsidR="00057AFE" w:rsidRDefault="00057AFE">
      <w:pPr>
        <w:pStyle w:val="BodyText"/>
        <w:spacing w:after="360"/>
      </w:pPr>
    </w:p>
    <w:p w14:paraId="4F6EAC58" w14:textId="6326C49D" w:rsidR="001A5DCB" w:rsidRPr="0013725B" w:rsidRDefault="00A03757" w:rsidP="001A5DCB">
      <w:pPr>
        <w:pStyle w:val="BodyText"/>
        <w:spacing w:after="360"/>
        <w:rPr>
          <w:i/>
        </w:rPr>
      </w:pPr>
      <w:r w:rsidRPr="003A7C99">
        <w:t>I, KELLY O’DWYER, Minister for Revenue and Financial Services, the responsible Minister</w:t>
      </w:r>
      <w:r w:rsidRPr="00667B90">
        <w:t xml:space="preserve"> of the Commonwealth by the operation of subsection 19A(1) of the </w:t>
      </w:r>
      <w:r w:rsidRPr="00667B90">
        <w:rPr>
          <w:i/>
        </w:rPr>
        <w:t>Acts Interpretation Act 1901</w:t>
      </w:r>
      <w:r w:rsidRPr="00667B90">
        <w:t xml:space="preserve">, under subsection </w:t>
      </w:r>
      <w:r w:rsidR="00E91BAA">
        <w:t>41</w:t>
      </w:r>
      <w:r w:rsidRPr="00667B90">
        <w:t xml:space="preserve">(1) of the Act, MAKE a decision that the Commonwealth Government has no objection to </w:t>
      </w:r>
      <w:r w:rsidR="001A5DCB">
        <w:t xml:space="preserve">ACE Insurance Limited </w:t>
      </w:r>
      <w:r w:rsidRPr="00667B90">
        <w:t>carrying out the trigger proposal</w:t>
      </w:r>
      <w:r w:rsidR="001A5DCB">
        <w:t>s.</w:t>
      </w:r>
    </w:p>
    <w:p w14:paraId="04029514" w14:textId="47D340B7" w:rsidR="00A03757" w:rsidRPr="00915E28" w:rsidRDefault="00A03757" w:rsidP="00A03757">
      <w:pPr>
        <w:pStyle w:val="Header"/>
        <w:rPr>
          <w:rFonts w:ascii="Times New Roman" w:hAnsi="Times New Roman"/>
          <w:color w:val="000000" w:themeColor="text1"/>
        </w:rPr>
      </w:pPr>
      <w:r w:rsidRPr="00915E28">
        <w:rPr>
          <w:rFonts w:ascii="Times New Roman" w:hAnsi="Times New Roman"/>
          <w:color w:val="000000" w:themeColor="text1"/>
        </w:rPr>
        <w:t xml:space="preserve">Dated: </w:t>
      </w:r>
      <w:r w:rsidR="007A748D"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/>
          <w:color w:val="000000" w:themeColor="text1"/>
        </w:rPr>
        <w:t xml:space="preserve"> </w:t>
      </w:r>
      <w:r w:rsidR="004B085E">
        <w:rPr>
          <w:rFonts w:ascii="Times New Roman" w:hAnsi="Times New Roman"/>
          <w:color w:val="000000" w:themeColor="text1"/>
        </w:rPr>
        <w:t>October</w:t>
      </w:r>
      <w:r w:rsidR="00F175E8" w:rsidRPr="00915E28">
        <w:rPr>
          <w:rFonts w:ascii="Times New Roman" w:hAnsi="Times New Roman"/>
          <w:color w:val="000000" w:themeColor="text1"/>
        </w:rPr>
        <w:t xml:space="preserve"> </w:t>
      </w:r>
      <w:r w:rsidRPr="00915E28">
        <w:rPr>
          <w:rFonts w:ascii="Times New Roman" w:hAnsi="Times New Roman"/>
          <w:color w:val="000000" w:themeColor="text1"/>
        </w:rPr>
        <w:t>2016</w:t>
      </w:r>
    </w:p>
    <w:p w14:paraId="122EDE20" w14:textId="77777777" w:rsidR="00B246E8" w:rsidRDefault="00B246E8" w:rsidP="00A03757"/>
    <w:p w14:paraId="39F7D6EC" w14:textId="77777777" w:rsidR="00B246E8" w:rsidRDefault="00B246E8" w:rsidP="00A03757"/>
    <w:p w14:paraId="721DCFD8" w14:textId="18F6BF80" w:rsidR="00A03757" w:rsidRDefault="00A03757" w:rsidP="00A03757">
      <w:pPr>
        <w:rPr>
          <w:rFonts w:ascii="Times New Roman" w:hAnsi="Times New Roman"/>
        </w:rPr>
      </w:pPr>
      <w:r w:rsidRPr="003A7C99">
        <w:t>KELLY O’DWYER</w:t>
      </w:r>
    </w:p>
    <w:p w14:paraId="16D6BBD9" w14:textId="4CDD5E97" w:rsidR="001A0565" w:rsidRDefault="00A03757" w:rsidP="00B246E8">
      <w:r>
        <w:rPr>
          <w:rFonts w:ascii="Times New Roman" w:hAnsi="Times New Roman"/>
        </w:rPr>
        <w:t>Minister for Revenue and Financial Services</w:t>
      </w:r>
    </w:p>
    <w:sectPr w:rsidR="001A05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992" w:left="1134" w:header="425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188AC" w14:textId="77777777" w:rsidR="006A1255" w:rsidRDefault="006A1255">
      <w:r>
        <w:separator/>
      </w:r>
    </w:p>
  </w:endnote>
  <w:endnote w:type="continuationSeparator" w:id="0">
    <w:p w14:paraId="1B7D7672" w14:textId="77777777" w:rsidR="006A1255" w:rsidRDefault="006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FE36" w14:textId="77777777" w:rsidR="00140E0C" w:rsidRDefault="00140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6E10" w14:textId="77777777" w:rsidR="00140E0C" w:rsidRDefault="00140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9E172" w14:textId="77777777" w:rsidR="00140E0C" w:rsidRDefault="0014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9D849" w14:textId="77777777" w:rsidR="006A1255" w:rsidRDefault="006A1255">
      <w:r>
        <w:separator/>
      </w:r>
    </w:p>
  </w:footnote>
  <w:footnote w:type="continuationSeparator" w:id="0">
    <w:p w14:paraId="4F1815AB" w14:textId="77777777" w:rsidR="006A1255" w:rsidRDefault="006A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B02C5" w14:textId="77777777" w:rsidR="00140E0C" w:rsidRDefault="00140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7B20" w14:textId="50337981" w:rsidR="00FD0BC0" w:rsidRDefault="00FD0B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1C93AEE" wp14:editId="5555B86A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1350010" cy="4254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001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F8CEA" w14:textId="49601080" w:rsidR="00FD0BC0" w:rsidRPr="00FD0BC0" w:rsidRDefault="00FD0BC0" w:rsidP="00FD0BC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C47C18">
                            <w:rPr>
                              <w:rFonts w:ascii="Arial" w:hAnsi="Arial" w:cs="Arial"/>
                              <w:bCs/>
                              <w:color w:val="FF000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36pt;width:106.3pt;height:33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" filled="f" stroked="f" strokeweight=".5pt">
              <v:textbox style="mso-fit-shape-to-text:t">
                <w:txbxContent>
                  <w:p w14:paraId="1A2F8CEA" w14:textId="49601080" w:rsidR="00FD0BC0" w:rsidRPr="00FD0BC0" w:rsidRDefault="00FD0BC0" w:rsidP="00FD0BC0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C47C18">
                      <w:rPr>
                        <w:rFonts w:ascii="Arial" w:hAnsi="Arial" w:cs="Arial"/>
                        <w:bCs/>
                        <w:color w:val="FF000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AFF81" w14:textId="77777777" w:rsidR="00140E0C" w:rsidRDefault="00140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9D"/>
    <w:multiLevelType w:val="multilevel"/>
    <w:tmpl w:val="54442B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219C9"/>
    <w:multiLevelType w:val="hybridMultilevel"/>
    <w:tmpl w:val="C2442C90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A5C60"/>
    <w:multiLevelType w:val="multilevel"/>
    <w:tmpl w:val="A7AE2CB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0F59E2"/>
    <w:multiLevelType w:val="multilevel"/>
    <w:tmpl w:val="AB267D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SpellingErrors/>
  <w:hideGrammaticalError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91"/>
    <w:rsid w:val="00040B9F"/>
    <w:rsid w:val="00046FB6"/>
    <w:rsid w:val="00057AFE"/>
    <w:rsid w:val="00057B4C"/>
    <w:rsid w:val="00075E53"/>
    <w:rsid w:val="00076D79"/>
    <w:rsid w:val="000852A1"/>
    <w:rsid w:val="00097BB1"/>
    <w:rsid w:val="000E20D4"/>
    <w:rsid w:val="00124C84"/>
    <w:rsid w:val="00134F62"/>
    <w:rsid w:val="00136F60"/>
    <w:rsid w:val="0013725B"/>
    <w:rsid w:val="00140E0C"/>
    <w:rsid w:val="0015029C"/>
    <w:rsid w:val="00170C91"/>
    <w:rsid w:val="00176B59"/>
    <w:rsid w:val="00194B81"/>
    <w:rsid w:val="001A0565"/>
    <w:rsid w:val="001A05D4"/>
    <w:rsid w:val="001A1FB9"/>
    <w:rsid w:val="001A5DCB"/>
    <w:rsid w:val="001B2D51"/>
    <w:rsid w:val="001D0FFE"/>
    <w:rsid w:val="001D5792"/>
    <w:rsid w:val="002250BA"/>
    <w:rsid w:val="00256E9A"/>
    <w:rsid w:val="00283B64"/>
    <w:rsid w:val="002A520A"/>
    <w:rsid w:val="002E1237"/>
    <w:rsid w:val="00324A20"/>
    <w:rsid w:val="00346874"/>
    <w:rsid w:val="003C0DB7"/>
    <w:rsid w:val="003C7005"/>
    <w:rsid w:val="003D1AE9"/>
    <w:rsid w:val="003D2D54"/>
    <w:rsid w:val="003E2E57"/>
    <w:rsid w:val="003E399B"/>
    <w:rsid w:val="00444634"/>
    <w:rsid w:val="004779BC"/>
    <w:rsid w:val="004A7833"/>
    <w:rsid w:val="004B085E"/>
    <w:rsid w:val="004D610F"/>
    <w:rsid w:val="00507019"/>
    <w:rsid w:val="00526F15"/>
    <w:rsid w:val="005C17EB"/>
    <w:rsid w:val="00603CA8"/>
    <w:rsid w:val="0063240A"/>
    <w:rsid w:val="00655AAD"/>
    <w:rsid w:val="006954D4"/>
    <w:rsid w:val="006960FB"/>
    <w:rsid w:val="006A1255"/>
    <w:rsid w:val="006A5D5D"/>
    <w:rsid w:val="006C6F75"/>
    <w:rsid w:val="00727902"/>
    <w:rsid w:val="00730C80"/>
    <w:rsid w:val="007676F3"/>
    <w:rsid w:val="007760E4"/>
    <w:rsid w:val="00780B0E"/>
    <w:rsid w:val="007A748D"/>
    <w:rsid w:val="007C068A"/>
    <w:rsid w:val="007C36AB"/>
    <w:rsid w:val="007D77E5"/>
    <w:rsid w:val="007E0730"/>
    <w:rsid w:val="008469AA"/>
    <w:rsid w:val="0089347D"/>
    <w:rsid w:val="00895A27"/>
    <w:rsid w:val="008E4FA8"/>
    <w:rsid w:val="00905E6A"/>
    <w:rsid w:val="0092781F"/>
    <w:rsid w:val="00975114"/>
    <w:rsid w:val="00A03757"/>
    <w:rsid w:val="00A32CC7"/>
    <w:rsid w:val="00A44A61"/>
    <w:rsid w:val="00A903A2"/>
    <w:rsid w:val="00AA2C80"/>
    <w:rsid w:val="00B20697"/>
    <w:rsid w:val="00B23AF8"/>
    <w:rsid w:val="00B246E8"/>
    <w:rsid w:val="00B61D91"/>
    <w:rsid w:val="00B85F35"/>
    <w:rsid w:val="00BB3D37"/>
    <w:rsid w:val="00BC2B28"/>
    <w:rsid w:val="00C47C18"/>
    <w:rsid w:val="00C71B89"/>
    <w:rsid w:val="00C8702B"/>
    <w:rsid w:val="00CB64A8"/>
    <w:rsid w:val="00CE21FA"/>
    <w:rsid w:val="00CE4770"/>
    <w:rsid w:val="00D00462"/>
    <w:rsid w:val="00D23ACE"/>
    <w:rsid w:val="00D64071"/>
    <w:rsid w:val="00DC5899"/>
    <w:rsid w:val="00E64CC0"/>
    <w:rsid w:val="00E71F1D"/>
    <w:rsid w:val="00E91BAA"/>
    <w:rsid w:val="00EA04BA"/>
    <w:rsid w:val="00EE1796"/>
    <w:rsid w:val="00EE1EA8"/>
    <w:rsid w:val="00F048D4"/>
    <w:rsid w:val="00F055E0"/>
    <w:rsid w:val="00F175E8"/>
    <w:rsid w:val="00F300B6"/>
    <w:rsid w:val="00F73E31"/>
    <w:rsid w:val="00F90CDB"/>
    <w:rsid w:val="00FC1269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0DD5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cap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double" w:sz="4" w:space="12" w:color="auto"/>
      </w:pBdr>
      <w:tabs>
        <w:tab w:val="center" w:pos="4820"/>
      </w:tabs>
      <w:jc w:val="center"/>
      <w:outlineLvl w:val="3"/>
    </w:pPr>
    <w:rPr>
      <w:b/>
      <w:kern w:val="16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2835"/>
        <w:tab w:val="center" w:pos="4820"/>
      </w:tabs>
      <w:spacing w:after="0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pPr>
      <w:spacing w:after="0"/>
      <w:jc w:val="center"/>
    </w:pPr>
    <w:rPr>
      <w:b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inglePara">
    <w:name w:val="Single Para"/>
    <w:basedOn w:val="Normal"/>
    <w:pPr>
      <w:spacing w:after="0"/>
    </w:pPr>
  </w:style>
  <w:style w:type="paragraph" w:customStyle="1" w:styleId="TDSAddressee">
    <w:name w:val="TDSAddressee"/>
    <w:basedOn w:val="Normal"/>
  </w:style>
  <w:style w:type="paragraph" w:customStyle="1" w:styleId="TDSTitle">
    <w:name w:val="TDSTitle"/>
    <w:basedOn w:val="Normal"/>
    <w:rPr>
      <w:b/>
      <w:caps/>
    </w:rPr>
  </w:style>
  <w:style w:type="paragraph" w:customStyle="1" w:styleId="TDSSummary">
    <w:name w:val="TDSSummary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ea">
    <w:name w:val="Area"/>
    <w:basedOn w:val="Normal"/>
    <w:pPr>
      <w:jc w:val="center"/>
    </w:pPr>
    <w:rPr>
      <w:rFonts w:ascii="Times New Roman" w:hAnsi="Times New Roman"/>
      <w:b/>
      <w:caps/>
      <w:sz w:val="28"/>
    </w:rPr>
  </w:style>
  <w:style w:type="paragraph" w:customStyle="1" w:styleId="Box">
    <w:name w:val="Box"/>
    <w:basedOn w:val="SinglePara"/>
    <w:pPr>
      <w:spacing w:before="40" w:after="40"/>
    </w:pPr>
    <w:rPr>
      <w:rFonts w:ascii="Tahoma" w:hAnsi="Tahoma"/>
      <w:sz w:val="20"/>
    </w:rPr>
  </w:style>
  <w:style w:type="paragraph" w:customStyle="1" w:styleId="boxfirstpara">
    <w:name w:val="boxfirstpara"/>
    <w:basedOn w:val="Box"/>
    <w:rPr>
      <w:sz w:val="6"/>
    </w:rPr>
  </w:style>
  <w:style w:type="paragraph" w:customStyle="1" w:styleId="NameSmall">
    <w:name w:val="NameSmall"/>
    <w:basedOn w:val="Normal"/>
    <w:pPr>
      <w:spacing w:after="60"/>
      <w:jc w:val="center"/>
    </w:pPr>
    <w:rPr>
      <w:rFonts w:ascii="Times New Roman" w:hAnsi="Times New Roman"/>
      <w:b/>
    </w:rPr>
  </w:style>
  <w:style w:type="paragraph" w:customStyle="1" w:styleId="URL">
    <w:name w:val="URL"/>
    <w:basedOn w:val="Normal"/>
    <w:pPr>
      <w:spacing w:after="120"/>
      <w:jc w:val="right"/>
    </w:pPr>
    <w:rPr>
      <w:rFonts w:ascii="Times New Roman" w:hAnsi="Times New Roman"/>
      <w:b/>
      <w:sz w:val="16"/>
    </w:rPr>
  </w:style>
  <w:style w:type="paragraph" w:customStyle="1" w:styleId="ParliamentHouse">
    <w:name w:val="Parliament House"/>
    <w:basedOn w:val="URL"/>
    <w:rPr>
      <w:caps/>
    </w:rPr>
  </w:style>
  <w:style w:type="paragraph" w:customStyle="1" w:styleId="Contact">
    <w:name w:val="Contact"/>
    <w:basedOn w:val="URL"/>
  </w:style>
  <w:style w:type="paragraph" w:styleId="BodyText">
    <w:name w:val="Body Text"/>
    <w:basedOn w:val="Normal"/>
    <w:pPr>
      <w:spacing w:after="480"/>
    </w:pPr>
    <w:rPr>
      <w:rFonts w:ascii="Times New Roman" w:hAnsi="Times New Roman"/>
      <w:b/>
    </w:rPr>
  </w:style>
  <w:style w:type="paragraph" w:customStyle="1" w:styleId="SingleParagraph">
    <w:name w:val="Single Paragraph"/>
    <w:basedOn w:val="Normal"/>
    <w:pPr>
      <w:spacing w:after="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0"/>
      <w:jc w:val="center"/>
    </w:pPr>
    <w:rPr>
      <w:rFonts w:ascii="Garamond (PCL6)" w:hAnsi="Garamond (PCL6)"/>
      <w:b/>
      <w:sz w:val="32"/>
    </w:rPr>
  </w:style>
  <w:style w:type="paragraph" w:styleId="BodyTextIndent">
    <w:name w:val="Body Text Indent"/>
    <w:basedOn w:val="Normal"/>
    <w:pPr>
      <w:tabs>
        <w:tab w:val="left" w:pos="426"/>
      </w:tabs>
      <w:spacing w:after="0"/>
      <w:ind w:left="426" w:hanging="426"/>
      <w:jc w:val="both"/>
    </w:pPr>
    <w:rPr>
      <w:rFonts w:ascii="Times New Roman" w:hAnsi="Times New Roman"/>
    </w:rPr>
  </w:style>
  <w:style w:type="paragraph" w:customStyle="1" w:styleId="Bullet">
    <w:name w:val="Bullet"/>
    <w:basedOn w:val="Normal"/>
    <w:rsid w:val="00444634"/>
    <w:pPr>
      <w:numPr>
        <w:numId w:val="3"/>
      </w:numPr>
      <w:jc w:val="both"/>
    </w:pPr>
    <w:rPr>
      <w:rFonts w:ascii="Times New Roman" w:hAnsi="Times New Roman"/>
    </w:rPr>
  </w:style>
  <w:style w:type="paragraph" w:customStyle="1" w:styleId="Dash">
    <w:name w:val="Dash"/>
    <w:basedOn w:val="Normal"/>
    <w:rsid w:val="00444634"/>
    <w:pPr>
      <w:numPr>
        <w:ilvl w:val="1"/>
        <w:numId w:val="3"/>
      </w:numPr>
      <w:jc w:val="both"/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444634"/>
    <w:pPr>
      <w:numPr>
        <w:ilvl w:val="2"/>
        <w:numId w:val="3"/>
      </w:numPr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7760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2016RG-111-6437</_dlc_DocId>
    <_dlc_DocIdUrl xmlns="9f7bc583-7cbe-45b9-a2bd-8bbb6543b37e">
      <Url>http://tweb/sites/rg/ldp/lmu/_layouts/15/DocIdRedir.aspx?ID=2016RG-111-6437</Url>
      <Description>2016RG-111-6437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81AF18E-697F-43A0-90FF-54EB92538E69}"/>
</file>

<file path=customXml/itemProps2.xml><?xml version="1.0" encoding="utf-8"?>
<ds:datastoreItem xmlns:ds="http://schemas.openxmlformats.org/officeDocument/2006/customXml" ds:itemID="{DD266BA6-F43F-4B20-8DF9-3DF63230CF18}"/>
</file>

<file path=customXml/itemProps3.xml><?xml version="1.0" encoding="utf-8"?>
<ds:datastoreItem xmlns:ds="http://schemas.openxmlformats.org/officeDocument/2006/customXml" ds:itemID="{C5A53D6E-E2FD-4D43-B9ED-5307EDA9F61A}"/>
</file>

<file path=customXml/itemProps4.xml><?xml version="1.0" encoding="utf-8"?>
<ds:datastoreItem xmlns:ds="http://schemas.openxmlformats.org/officeDocument/2006/customXml" ds:itemID="{AE6F188F-6970-47D1-A1FF-066C73CC34B9}"/>
</file>

<file path=customXml/itemProps5.xml><?xml version="1.0" encoding="utf-8"?>
<ds:datastoreItem xmlns:ds="http://schemas.openxmlformats.org/officeDocument/2006/customXml" ds:itemID="{3E1ABDB0-D0C8-4502-94B5-6F907B5BAAC0}"/>
</file>

<file path=customXml/itemProps6.xml><?xml version="1.0" encoding="utf-8"?>
<ds:datastoreItem xmlns:ds="http://schemas.openxmlformats.org/officeDocument/2006/customXml" ds:itemID="{52B6558B-BCBE-4983-9B32-8A5B9F028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2016-09-28T05:59:00Z</dcterms:created>
  <dcterms:modified xsi:type="dcterms:W3CDTF">2016-10-25T04:22:00Z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756ae0b6-029a-4088-aee6-c7fbd9be663f</vt:lpwstr>
  </property>
  <property fmtid="{D5CDD505-2E9C-101B-9397-08002B2CF9AE}" pid="5" name="_AdHocReviewCycleID">
    <vt:i4>-1595890666</vt:i4>
  </property>
  <property fmtid="{D5CDD505-2E9C-101B-9397-08002B2CF9AE}" pid="6" name="_NewReviewCycle">
    <vt:lpwstr/>
  </property>
  <property fmtid="{D5CDD505-2E9C-101B-9397-08002B2CF9AE}" pid="7" name="_PreviousAdHocReviewCycleID">
    <vt:i4>-1595890666</vt:i4>
  </property>
  <property fmtid="{D5CDD505-2E9C-101B-9397-08002B2CF9AE}" pid="8" name="RecordPoint_WorkflowType">
    <vt:lpwstr>ActiveSubmitStub</vt:lpwstr>
  </property>
  <property fmtid="{D5CDD505-2E9C-101B-9397-08002B2CF9AE}" pid="9" name="RecordPoint_ActiveItemListId">
    <vt:lpwstr>{1a010be9-83b3-4740-abb7-452f2d1120fe}</vt:lpwstr>
  </property>
  <property fmtid="{D5CDD505-2E9C-101B-9397-08002B2CF9AE}" pid="10" name="RecordPoint_ActiveItemUniqueId">
    <vt:lpwstr>{756ae0b6-029a-4088-aee6-c7fbd9be663f}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RecordNumberSubmitted">
    <vt:lpwstr>R0001134739</vt:lpwstr>
  </property>
  <property fmtid="{D5CDD505-2E9C-101B-9397-08002B2CF9AE}" pid="14" name="RecordPoint_SubmissionCompleted">
    <vt:lpwstr>2016-10-25T12:53:47.7940309+11:00</vt:lpwstr>
  </property>
  <property fmtid="{D5CDD505-2E9C-101B-9397-08002B2CF9AE}" pid="15" name="_ReviewingToolsShownOnce">
    <vt:lpwstr/>
  </property>
</Properties>
</file>