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EA" w:rsidRDefault="00984EE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65415385" r:id="rId9"/>
        </w:object>
      </w:r>
    </w:p>
    <w:p w:rsidR="00984EEA" w:rsidRDefault="00984EEA"/>
    <w:p w:rsidR="00984EEA" w:rsidRDefault="00984EEA" w:rsidP="00984EEA">
      <w:pPr>
        <w:spacing w:line="240" w:lineRule="auto"/>
      </w:pPr>
    </w:p>
    <w:p w:rsidR="00984EEA" w:rsidRDefault="00984EEA" w:rsidP="00984EEA"/>
    <w:p w:rsidR="00984EEA" w:rsidRDefault="00984EEA" w:rsidP="00984EEA"/>
    <w:p w:rsidR="00984EEA" w:rsidRDefault="00984EEA" w:rsidP="00984EEA"/>
    <w:p w:rsidR="00984EEA" w:rsidRDefault="00984EEA" w:rsidP="00984EEA"/>
    <w:p w:rsidR="0048364F" w:rsidRPr="005E6F75" w:rsidRDefault="00BF445D" w:rsidP="0048364F">
      <w:pPr>
        <w:pStyle w:val="ShortT"/>
      </w:pPr>
      <w:r w:rsidRPr="005E6F75">
        <w:t>Treasury Laws Amendment (2016 Measures No.</w:t>
      </w:r>
      <w:r w:rsidR="005E6F75" w:rsidRPr="005E6F75">
        <w:t> </w:t>
      </w:r>
      <w:r w:rsidR="00A0071E" w:rsidRPr="005E6F75">
        <w:t>1</w:t>
      </w:r>
      <w:r w:rsidRPr="005E6F75">
        <w:t>)</w:t>
      </w:r>
      <w:r w:rsidR="00C164CA" w:rsidRPr="005E6F75">
        <w:t xml:space="preserve"> </w:t>
      </w:r>
      <w:r w:rsidR="00984EEA">
        <w:t>Act</w:t>
      </w:r>
      <w:r w:rsidR="00C164CA" w:rsidRPr="005E6F75">
        <w:t xml:space="preserve"> 201</w:t>
      </w:r>
      <w:r w:rsidR="00915AC9">
        <w:t>7</w:t>
      </w:r>
    </w:p>
    <w:p w:rsidR="0048364F" w:rsidRPr="005E6F75" w:rsidRDefault="0048364F" w:rsidP="0048364F"/>
    <w:p w:rsidR="0048364F" w:rsidRPr="005E6F75" w:rsidRDefault="00C164CA" w:rsidP="00984EEA">
      <w:pPr>
        <w:pStyle w:val="Actno"/>
        <w:spacing w:before="400"/>
      </w:pPr>
      <w:r w:rsidRPr="005E6F75">
        <w:t>No.</w:t>
      </w:r>
      <w:r w:rsidR="00106616">
        <w:t xml:space="preserve"> 25</w:t>
      </w:r>
      <w:r w:rsidRPr="005E6F75">
        <w:t>, 201</w:t>
      </w:r>
      <w:r w:rsidR="00915AC9">
        <w:t>7</w:t>
      </w:r>
    </w:p>
    <w:p w:rsidR="0048364F" w:rsidRPr="005E6F75" w:rsidRDefault="0048364F" w:rsidP="0048364F"/>
    <w:p w:rsidR="00984EEA" w:rsidRDefault="00984EEA" w:rsidP="00984EEA"/>
    <w:p w:rsidR="00984EEA" w:rsidRDefault="00984EEA" w:rsidP="00984EEA"/>
    <w:p w:rsidR="00984EEA" w:rsidRDefault="00984EEA" w:rsidP="00984EEA"/>
    <w:p w:rsidR="00984EEA" w:rsidRDefault="00984EEA" w:rsidP="00984EEA"/>
    <w:p w:rsidR="0048364F" w:rsidRPr="005E6F75" w:rsidRDefault="00984EEA" w:rsidP="0048364F">
      <w:pPr>
        <w:pStyle w:val="LongT"/>
      </w:pPr>
      <w:r>
        <w:t>An Act</w:t>
      </w:r>
      <w:r w:rsidR="0048364F" w:rsidRPr="005E6F75">
        <w:t xml:space="preserve"> to </w:t>
      </w:r>
      <w:r w:rsidR="00BF445D" w:rsidRPr="005E6F75">
        <w:t xml:space="preserve">amend the </w:t>
      </w:r>
      <w:r w:rsidR="00CD098F" w:rsidRPr="005E6F75">
        <w:t xml:space="preserve">law relating to </w:t>
      </w:r>
      <w:r w:rsidR="003663E5" w:rsidRPr="005E6F75">
        <w:t>insurance</w:t>
      </w:r>
      <w:r w:rsidR="0048364F" w:rsidRPr="005E6F75">
        <w:t>,</w:t>
      </w:r>
      <w:r w:rsidR="00613AF3" w:rsidRPr="005E6F75">
        <w:t xml:space="preserve"> corporations, taxation and financial services,</w:t>
      </w:r>
      <w:r w:rsidR="0048364F" w:rsidRPr="005E6F75">
        <w:t xml:space="preserve"> and for related purposes</w:t>
      </w:r>
    </w:p>
    <w:p w:rsidR="0048364F" w:rsidRPr="005E6F75" w:rsidRDefault="0048364F" w:rsidP="0048364F">
      <w:pPr>
        <w:pStyle w:val="Header"/>
        <w:tabs>
          <w:tab w:val="clear" w:pos="4150"/>
          <w:tab w:val="clear" w:pos="8307"/>
        </w:tabs>
      </w:pPr>
      <w:r w:rsidRPr="005E6F75">
        <w:rPr>
          <w:rStyle w:val="CharAmSchNo"/>
        </w:rPr>
        <w:t xml:space="preserve"> </w:t>
      </w:r>
      <w:r w:rsidRPr="005E6F75">
        <w:rPr>
          <w:rStyle w:val="CharAmSchText"/>
        </w:rPr>
        <w:t xml:space="preserve"> </w:t>
      </w:r>
    </w:p>
    <w:p w:rsidR="0048364F" w:rsidRPr="005E6F75" w:rsidRDefault="0048364F" w:rsidP="0048364F">
      <w:pPr>
        <w:pStyle w:val="Header"/>
        <w:tabs>
          <w:tab w:val="clear" w:pos="4150"/>
          <w:tab w:val="clear" w:pos="8307"/>
        </w:tabs>
      </w:pPr>
      <w:r w:rsidRPr="005E6F75">
        <w:rPr>
          <w:rStyle w:val="CharAmPartNo"/>
        </w:rPr>
        <w:t xml:space="preserve"> </w:t>
      </w:r>
      <w:r w:rsidRPr="005E6F75">
        <w:rPr>
          <w:rStyle w:val="CharAmPartText"/>
        </w:rPr>
        <w:t xml:space="preserve"> </w:t>
      </w:r>
    </w:p>
    <w:p w:rsidR="00BF445D" w:rsidRPr="005E6F75" w:rsidRDefault="00BF445D" w:rsidP="0048364F">
      <w:pPr>
        <w:sectPr w:rsidR="00BF445D" w:rsidRPr="005E6F75" w:rsidSect="00984EE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E6F75" w:rsidRDefault="0048364F" w:rsidP="00376A4C">
      <w:pPr>
        <w:rPr>
          <w:sz w:val="36"/>
        </w:rPr>
      </w:pPr>
      <w:r w:rsidRPr="005E6F75">
        <w:rPr>
          <w:sz w:val="36"/>
        </w:rPr>
        <w:lastRenderedPageBreak/>
        <w:t>Contents</w:t>
      </w:r>
    </w:p>
    <w:bookmarkStart w:id="0" w:name="BKCheck15B_1"/>
    <w:bookmarkEnd w:id="0"/>
    <w:p w:rsidR="00106616" w:rsidRDefault="0010661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06616">
        <w:rPr>
          <w:noProof/>
        </w:rPr>
        <w:tab/>
      </w:r>
      <w:r w:rsidRPr="00106616">
        <w:rPr>
          <w:noProof/>
        </w:rPr>
        <w:fldChar w:fldCharType="begin"/>
      </w:r>
      <w:r w:rsidRPr="00106616">
        <w:rPr>
          <w:noProof/>
        </w:rPr>
        <w:instrText xml:space="preserve"> PAGEREF _Toc479251854 \h </w:instrText>
      </w:r>
      <w:r w:rsidRPr="00106616">
        <w:rPr>
          <w:noProof/>
        </w:rPr>
      </w:r>
      <w:r w:rsidRPr="00106616">
        <w:rPr>
          <w:noProof/>
        </w:rPr>
        <w:fldChar w:fldCharType="separate"/>
      </w:r>
      <w:r w:rsidR="004372F5">
        <w:rPr>
          <w:noProof/>
        </w:rPr>
        <w:t>1</w:t>
      </w:r>
      <w:r w:rsidRPr="00106616">
        <w:rPr>
          <w:noProof/>
        </w:rPr>
        <w:fldChar w:fldCharType="end"/>
      </w:r>
    </w:p>
    <w:p w:rsidR="00106616" w:rsidRDefault="00106616">
      <w:pPr>
        <w:pStyle w:val="TOC5"/>
        <w:rPr>
          <w:rFonts w:asciiTheme="minorHAnsi" w:eastAsiaTheme="minorEastAsia" w:hAnsiTheme="minorHAnsi" w:cstheme="minorBidi"/>
          <w:noProof/>
          <w:kern w:val="0"/>
          <w:sz w:val="22"/>
          <w:szCs w:val="22"/>
        </w:rPr>
      </w:pPr>
      <w:r>
        <w:rPr>
          <w:noProof/>
        </w:rPr>
        <w:t>2</w:t>
      </w:r>
      <w:r>
        <w:rPr>
          <w:noProof/>
        </w:rPr>
        <w:tab/>
        <w:t>Commencement</w:t>
      </w:r>
      <w:r w:rsidRPr="00106616">
        <w:rPr>
          <w:noProof/>
        </w:rPr>
        <w:tab/>
      </w:r>
      <w:r w:rsidRPr="00106616">
        <w:rPr>
          <w:noProof/>
        </w:rPr>
        <w:fldChar w:fldCharType="begin"/>
      </w:r>
      <w:r w:rsidRPr="00106616">
        <w:rPr>
          <w:noProof/>
        </w:rPr>
        <w:instrText xml:space="preserve"> PAGEREF _Toc479251855 \h </w:instrText>
      </w:r>
      <w:r w:rsidRPr="00106616">
        <w:rPr>
          <w:noProof/>
        </w:rPr>
      </w:r>
      <w:r w:rsidRPr="00106616">
        <w:rPr>
          <w:noProof/>
        </w:rPr>
        <w:fldChar w:fldCharType="separate"/>
      </w:r>
      <w:r w:rsidR="004372F5">
        <w:rPr>
          <w:noProof/>
        </w:rPr>
        <w:t>2</w:t>
      </w:r>
      <w:r w:rsidRPr="00106616">
        <w:rPr>
          <w:noProof/>
        </w:rPr>
        <w:fldChar w:fldCharType="end"/>
      </w:r>
    </w:p>
    <w:p w:rsidR="00106616" w:rsidRDefault="00106616">
      <w:pPr>
        <w:pStyle w:val="TOC5"/>
        <w:rPr>
          <w:rFonts w:asciiTheme="minorHAnsi" w:eastAsiaTheme="minorEastAsia" w:hAnsiTheme="minorHAnsi" w:cstheme="minorBidi"/>
          <w:noProof/>
          <w:kern w:val="0"/>
          <w:sz w:val="22"/>
          <w:szCs w:val="22"/>
        </w:rPr>
      </w:pPr>
      <w:r>
        <w:rPr>
          <w:noProof/>
        </w:rPr>
        <w:t>3</w:t>
      </w:r>
      <w:r>
        <w:rPr>
          <w:noProof/>
        </w:rPr>
        <w:tab/>
        <w:t>Schedules</w:t>
      </w:r>
      <w:r w:rsidRPr="00106616">
        <w:rPr>
          <w:noProof/>
        </w:rPr>
        <w:tab/>
      </w:r>
      <w:r w:rsidRPr="00106616">
        <w:rPr>
          <w:noProof/>
        </w:rPr>
        <w:fldChar w:fldCharType="begin"/>
      </w:r>
      <w:r w:rsidRPr="00106616">
        <w:rPr>
          <w:noProof/>
        </w:rPr>
        <w:instrText xml:space="preserve"> PAGEREF _Toc479251856 \h </w:instrText>
      </w:r>
      <w:r w:rsidRPr="00106616">
        <w:rPr>
          <w:noProof/>
        </w:rPr>
      </w:r>
      <w:r w:rsidRPr="00106616">
        <w:rPr>
          <w:noProof/>
        </w:rPr>
        <w:fldChar w:fldCharType="separate"/>
      </w:r>
      <w:r w:rsidR="004372F5">
        <w:rPr>
          <w:noProof/>
        </w:rPr>
        <w:t>3</w:t>
      </w:r>
      <w:r w:rsidRPr="00106616">
        <w:rPr>
          <w:noProof/>
        </w:rPr>
        <w:fldChar w:fldCharType="end"/>
      </w:r>
    </w:p>
    <w:p w:rsidR="00106616" w:rsidRDefault="00106616">
      <w:pPr>
        <w:pStyle w:val="TOC6"/>
        <w:rPr>
          <w:rFonts w:asciiTheme="minorHAnsi" w:eastAsiaTheme="minorEastAsia" w:hAnsiTheme="minorHAnsi" w:cstheme="minorBidi"/>
          <w:b w:val="0"/>
          <w:noProof/>
          <w:kern w:val="0"/>
          <w:sz w:val="22"/>
          <w:szCs w:val="22"/>
        </w:rPr>
      </w:pPr>
      <w:r>
        <w:rPr>
          <w:noProof/>
        </w:rPr>
        <w:t>Schedule 1—Amendment of the Terrorism Insurance Act 2003</w:t>
      </w:r>
      <w:r w:rsidRPr="00106616">
        <w:rPr>
          <w:b w:val="0"/>
          <w:noProof/>
          <w:sz w:val="18"/>
        </w:rPr>
        <w:tab/>
      </w:r>
      <w:r w:rsidRPr="00106616">
        <w:rPr>
          <w:b w:val="0"/>
          <w:noProof/>
          <w:sz w:val="18"/>
        </w:rPr>
        <w:fldChar w:fldCharType="begin"/>
      </w:r>
      <w:r w:rsidRPr="00106616">
        <w:rPr>
          <w:b w:val="0"/>
          <w:noProof/>
          <w:sz w:val="18"/>
        </w:rPr>
        <w:instrText xml:space="preserve"> PAGEREF _Toc479251857 \h </w:instrText>
      </w:r>
      <w:r w:rsidRPr="00106616">
        <w:rPr>
          <w:b w:val="0"/>
          <w:noProof/>
          <w:sz w:val="18"/>
        </w:rPr>
      </w:r>
      <w:r w:rsidRPr="00106616">
        <w:rPr>
          <w:b w:val="0"/>
          <w:noProof/>
          <w:sz w:val="18"/>
        </w:rPr>
        <w:fldChar w:fldCharType="separate"/>
      </w:r>
      <w:r w:rsidR="004372F5">
        <w:rPr>
          <w:b w:val="0"/>
          <w:noProof/>
          <w:sz w:val="18"/>
        </w:rPr>
        <w:t>4</w:t>
      </w:r>
      <w:r w:rsidRPr="00106616">
        <w:rPr>
          <w:b w:val="0"/>
          <w:noProof/>
          <w:sz w:val="18"/>
        </w:rPr>
        <w:fldChar w:fldCharType="end"/>
      </w:r>
    </w:p>
    <w:p w:rsidR="00106616" w:rsidRDefault="00106616">
      <w:pPr>
        <w:pStyle w:val="TOC9"/>
        <w:rPr>
          <w:rFonts w:asciiTheme="minorHAnsi" w:eastAsiaTheme="minorEastAsia" w:hAnsiTheme="minorHAnsi" w:cstheme="minorBidi"/>
          <w:i w:val="0"/>
          <w:noProof/>
          <w:kern w:val="0"/>
          <w:sz w:val="22"/>
          <w:szCs w:val="22"/>
        </w:rPr>
      </w:pPr>
      <w:r>
        <w:rPr>
          <w:noProof/>
        </w:rPr>
        <w:t>Terrorism Insurance Act 2003</w:t>
      </w:r>
      <w:r w:rsidRPr="00106616">
        <w:rPr>
          <w:i w:val="0"/>
          <w:noProof/>
          <w:sz w:val="18"/>
        </w:rPr>
        <w:tab/>
      </w:r>
      <w:r w:rsidRPr="00106616">
        <w:rPr>
          <w:i w:val="0"/>
          <w:noProof/>
          <w:sz w:val="18"/>
        </w:rPr>
        <w:fldChar w:fldCharType="begin"/>
      </w:r>
      <w:r w:rsidRPr="00106616">
        <w:rPr>
          <w:i w:val="0"/>
          <w:noProof/>
          <w:sz w:val="18"/>
        </w:rPr>
        <w:instrText xml:space="preserve"> PAGEREF _Toc479251858 \h </w:instrText>
      </w:r>
      <w:r w:rsidRPr="00106616">
        <w:rPr>
          <w:i w:val="0"/>
          <w:noProof/>
          <w:sz w:val="18"/>
        </w:rPr>
      </w:r>
      <w:r w:rsidRPr="00106616">
        <w:rPr>
          <w:i w:val="0"/>
          <w:noProof/>
          <w:sz w:val="18"/>
        </w:rPr>
        <w:fldChar w:fldCharType="separate"/>
      </w:r>
      <w:r w:rsidR="004372F5">
        <w:rPr>
          <w:i w:val="0"/>
          <w:noProof/>
          <w:sz w:val="18"/>
        </w:rPr>
        <w:t>4</w:t>
      </w:r>
      <w:r w:rsidRPr="00106616">
        <w:rPr>
          <w:i w:val="0"/>
          <w:noProof/>
          <w:sz w:val="18"/>
        </w:rPr>
        <w:fldChar w:fldCharType="end"/>
      </w:r>
    </w:p>
    <w:p w:rsidR="00106616" w:rsidRDefault="00106616">
      <w:pPr>
        <w:pStyle w:val="TOC6"/>
        <w:rPr>
          <w:rFonts w:asciiTheme="minorHAnsi" w:eastAsiaTheme="minorEastAsia" w:hAnsiTheme="minorHAnsi" w:cstheme="minorBidi"/>
          <w:b w:val="0"/>
          <w:noProof/>
          <w:kern w:val="0"/>
          <w:sz w:val="22"/>
          <w:szCs w:val="22"/>
        </w:rPr>
      </w:pPr>
      <w:r>
        <w:rPr>
          <w:noProof/>
        </w:rPr>
        <w:t xml:space="preserve">Schedule 2—Improving employee </w:t>
      </w:r>
      <w:bookmarkStart w:id="1" w:name="_GoBack"/>
      <w:bookmarkEnd w:id="1"/>
      <w:r>
        <w:rPr>
          <w:noProof/>
        </w:rPr>
        <w:t>share schemes</w:t>
      </w:r>
      <w:r w:rsidRPr="00106616">
        <w:rPr>
          <w:b w:val="0"/>
          <w:noProof/>
          <w:sz w:val="18"/>
        </w:rPr>
        <w:tab/>
      </w:r>
      <w:r w:rsidRPr="00106616">
        <w:rPr>
          <w:b w:val="0"/>
          <w:noProof/>
          <w:sz w:val="18"/>
        </w:rPr>
        <w:fldChar w:fldCharType="begin"/>
      </w:r>
      <w:r w:rsidRPr="00106616">
        <w:rPr>
          <w:b w:val="0"/>
          <w:noProof/>
          <w:sz w:val="18"/>
        </w:rPr>
        <w:instrText xml:space="preserve"> PAGEREF _Toc479251859 \h </w:instrText>
      </w:r>
      <w:r w:rsidRPr="00106616">
        <w:rPr>
          <w:b w:val="0"/>
          <w:noProof/>
          <w:sz w:val="18"/>
        </w:rPr>
      </w:r>
      <w:r w:rsidRPr="00106616">
        <w:rPr>
          <w:b w:val="0"/>
          <w:noProof/>
          <w:sz w:val="18"/>
        </w:rPr>
        <w:fldChar w:fldCharType="separate"/>
      </w:r>
      <w:r w:rsidR="004372F5">
        <w:rPr>
          <w:b w:val="0"/>
          <w:noProof/>
          <w:sz w:val="18"/>
        </w:rPr>
        <w:t>5</w:t>
      </w:r>
      <w:r w:rsidRPr="00106616">
        <w:rPr>
          <w:b w:val="0"/>
          <w:noProof/>
          <w:sz w:val="18"/>
        </w:rPr>
        <w:fldChar w:fldCharType="end"/>
      </w:r>
    </w:p>
    <w:p w:rsidR="00106616" w:rsidRDefault="00106616">
      <w:pPr>
        <w:pStyle w:val="TOC9"/>
        <w:rPr>
          <w:rFonts w:asciiTheme="minorHAnsi" w:eastAsiaTheme="minorEastAsia" w:hAnsiTheme="minorHAnsi" w:cstheme="minorBidi"/>
          <w:i w:val="0"/>
          <w:noProof/>
          <w:kern w:val="0"/>
          <w:sz w:val="22"/>
          <w:szCs w:val="22"/>
        </w:rPr>
      </w:pPr>
      <w:r>
        <w:rPr>
          <w:noProof/>
        </w:rPr>
        <w:t>Corporations Act 2001</w:t>
      </w:r>
      <w:r w:rsidRPr="00106616">
        <w:rPr>
          <w:i w:val="0"/>
          <w:noProof/>
          <w:sz w:val="18"/>
        </w:rPr>
        <w:tab/>
      </w:r>
      <w:r w:rsidRPr="00106616">
        <w:rPr>
          <w:i w:val="0"/>
          <w:noProof/>
          <w:sz w:val="18"/>
        </w:rPr>
        <w:fldChar w:fldCharType="begin"/>
      </w:r>
      <w:r w:rsidRPr="00106616">
        <w:rPr>
          <w:i w:val="0"/>
          <w:noProof/>
          <w:sz w:val="18"/>
        </w:rPr>
        <w:instrText xml:space="preserve"> PAGEREF _Toc479251860 \h </w:instrText>
      </w:r>
      <w:r w:rsidRPr="00106616">
        <w:rPr>
          <w:i w:val="0"/>
          <w:noProof/>
          <w:sz w:val="18"/>
        </w:rPr>
      </w:r>
      <w:r w:rsidRPr="00106616">
        <w:rPr>
          <w:i w:val="0"/>
          <w:noProof/>
          <w:sz w:val="18"/>
        </w:rPr>
        <w:fldChar w:fldCharType="separate"/>
      </w:r>
      <w:r w:rsidR="004372F5">
        <w:rPr>
          <w:i w:val="0"/>
          <w:noProof/>
          <w:sz w:val="18"/>
        </w:rPr>
        <w:t>5</w:t>
      </w:r>
      <w:r w:rsidRPr="00106616">
        <w:rPr>
          <w:i w:val="0"/>
          <w:noProof/>
          <w:sz w:val="18"/>
        </w:rPr>
        <w:fldChar w:fldCharType="end"/>
      </w:r>
    </w:p>
    <w:p w:rsidR="00106616" w:rsidRDefault="00106616">
      <w:pPr>
        <w:pStyle w:val="TOC6"/>
        <w:rPr>
          <w:rFonts w:asciiTheme="minorHAnsi" w:eastAsiaTheme="minorEastAsia" w:hAnsiTheme="minorHAnsi" w:cstheme="minorBidi"/>
          <w:b w:val="0"/>
          <w:noProof/>
          <w:kern w:val="0"/>
          <w:sz w:val="22"/>
          <w:szCs w:val="22"/>
        </w:rPr>
      </w:pPr>
      <w:r>
        <w:rPr>
          <w:noProof/>
        </w:rPr>
        <w:t>Schedule 3—DGR specific listings</w:t>
      </w:r>
      <w:r w:rsidRPr="00106616">
        <w:rPr>
          <w:b w:val="0"/>
          <w:noProof/>
          <w:sz w:val="18"/>
        </w:rPr>
        <w:tab/>
      </w:r>
      <w:r w:rsidRPr="00106616">
        <w:rPr>
          <w:b w:val="0"/>
          <w:noProof/>
          <w:sz w:val="18"/>
        </w:rPr>
        <w:fldChar w:fldCharType="begin"/>
      </w:r>
      <w:r w:rsidRPr="00106616">
        <w:rPr>
          <w:b w:val="0"/>
          <w:noProof/>
          <w:sz w:val="18"/>
        </w:rPr>
        <w:instrText xml:space="preserve"> PAGEREF _Toc479251863 \h </w:instrText>
      </w:r>
      <w:r w:rsidRPr="00106616">
        <w:rPr>
          <w:b w:val="0"/>
          <w:noProof/>
          <w:sz w:val="18"/>
        </w:rPr>
      </w:r>
      <w:r w:rsidRPr="00106616">
        <w:rPr>
          <w:b w:val="0"/>
          <w:noProof/>
          <w:sz w:val="18"/>
        </w:rPr>
        <w:fldChar w:fldCharType="separate"/>
      </w:r>
      <w:r w:rsidR="004372F5">
        <w:rPr>
          <w:b w:val="0"/>
          <w:noProof/>
          <w:sz w:val="18"/>
        </w:rPr>
        <w:t>8</w:t>
      </w:r>
      <w:r w:rsidRPr="00106616">
        <w:rPr>
          <w:b w:val="0"/>
          <w:noProof/>
          <w:sz w:val="18"/>
        </w:rPr>
        <w:fldChar w:fldCharType="end"/>
      </w:r>
    </w:p>
    <w:p w:rsidR="00106616" w:rsidRDefault="00106616">
      <w:pPr>
        <w:pStyle w:val="TOC7"/>
        <w:rPr>
          <w:rFonts w:asciiTheme="minorHAnsi" w:eastAsiaTheme="minorEastAsia" w:hAnsiTheme="minorHAnsi" w:cstheme="minorBidi"/>
          <w:noProof/>
          <w:kern w:val="0"/>
          <w:sz w:val="22"/>
          <w:szCs w:val="22"/>
        </w:rPr>
      </w:pPr>
      <w:r>
        <w:rPr>
          <w:noProof/>
        </w:rPr>
        <w:t>Part 1—Main amendments</w:t>
      </w:r>
      <w:r w:rsidRPr="00106616">
        <w:rPr>
          <w:noProof/>
          <w:sz w:val="18"/>
        </w:rPr>
        <w:tab/>
      </w:r>
      <w:r w:rsidRPr="00106616">
        <w:rPr>
          <w:noProof/>
          <w:sz w:val="18"/>
        </w:rPr>
        <w:fldChar w:fldCharType="begin"/>
      </w:r>
      <w:r w:rsidRPr="00106616">
        <w:rPr>
          <w:noProof/>
          <w:sz w:val="18"/>
        </w:rPr>
        <w:instrText xml:space="preserve"> PAGEREF _Toc479251864 \h </w:instrText>
      </w:r>
      <w:r w:rsidRPr="00106616">
        <w:rPr>
          <w:noProof/>
          <w:sz w:val="18"/>
        </w:rPr>
      </w:r>
      <w:r w:rsidRPr="00106616">
        <w:rPr>
          <w:noProof/>
          <w:sz w:val="18"/>
        </w:rPr>
        <w:fldChar w:fldCharType="separate"/>
      </w:r>
      <w:r w:rsidR="004372F5">
        <w:rPr>
          <w:noProof/>
          <w:sz w:val="18"/>
        </w:rPr>
        <w:t>8</w:t>
      </w:r>
      <w:r w:rsidRPr="00106616">
        <w:rPr>
          <w:noProof/>
          <w:sz w:val="18"/>
        </w:rPr>
        <w:fldChar w:fldCharType="end"/>
      </w:r>
    </w:p>
    <w:p w:rsidR="00106616" w:rsidRDefault="00106616">
      <w:pPr>
        <w:pStyle w:val="TOC9"/>
        <w:rPr>
          <w:rFonts w:asciiTheme="minorHAnsi" w:eastAsiaTheme="minorEastAsia" w:hAnsiTheme="minorHAnsi" w:cstheme="minorBidi"/>
          <w:i w:val="0"/>
          <w:noProof/>
          <w:kern w:val="0"/>
          <w:sz w:val="22"/>
          <w:szCs w:val="22"/>
        </w:rPr>
      </w:pPr>
      <w:r>
        <w:rPr>
          <w:noProof/>
        </w:rPr>
        <w:t>Income Tax Assessment Act 1997</w:t>
      </w:r>
      <w:r w:rsidRPr="00106616">
        <w:rPr>
          <w:i w:val="0"/>
          <w:noProof/>
          <w:sz w:val="18"/>
        </w:rPr>
        <w:tab/>
      </w:r>
      <w:r w:rsidRPr="00106616">
        <w:rPr>
          <w:i w:val="0"/>
          <w:noProof/>
          <w:sz w:val="18"/>
        </w:rPr>
        <w:fldChar w:fldCharType="begin"/>
      </w:r>
      <w:r w:rsidRPr="00106616">
        <w:rPr>
          <w:i w:val="0"/>
          <w:noProof/>
          <w:sz w:val="18"/>
        </w:rPr>
        <w:instrText xml:space="preserve"> PAGEREF _Toc479251865 \h </w:instrText>
      </w:r>
      <w:r w:rsidRPr="00106616">
        <w:rPr>
          <w:i w:val="0"/>
          <w:noProof/>
          <w:sz w:val="18"/>
        </w:rPr>
      </w:r>
      <w:r w:rsidRPr="00106616">
        <w:rPr>
          <w:i w:val="0"/>
          <w:noProof/>
          <w:sz w:val="18"/>
        </w:rPr>
        <w:fldChar w:fldCharType="separate"/>
      </w:r>
      <w:r w:rsidR="004372F5">
        <w:rPr>
          <w:i w:val="0"/>
          <w:noProof/>
          <w:sz w:val="18"/>
        </w:rPr>
        <w:t>8</w:t>
      </w:r>
      <w:r w:rsidRPr="00106616">
        <w:rPr>
          <w:i w:val="0"/>
          <w:noProof/>
          <w:sz w:val="18"/>
        </w:rPr>
        <w:fldChar w:fldCharType="end"/>
      </w:r>
    </w:p>
    <w:p w:rsidR="00106616" w:rsidRDefault="00106616">
      <w:pPr>
        <w:pStyle w:val="TOC7"/>
        <w:rPr>
          <w:rFonts w:asciiTheme="minorHAnsi" w:eastAsiaTheme="minorEastAsia" w:hAnsiTheme="minorHAnsi" w:cstheme="minorBidi"/>
          <w:noProof/>
          <w:kern w:val="0"/>
          <w:sz w:val="22"/>
          <w:szCs w:val="22"/>
        </w:rPr>
      </w:pPr>
      <w:r>
        <w:rPr>
          <w:noProof/>
        </w:rPr>
        <w:t>Part 2—Changing the name of the Ethics Centre</w:t>
      </w:r>
      <w:r w:rsidRPr="00106616">
        <w:rPr>
          <w:noProof/>
          <w:sz w:val="18"/>
        </w:rPr>
        <w:tab/>
      </w:r>
      <w:r w:rsidRPr="00106616">
        <w:rPr>
          <w:noProof/>
          <w:sz w:val="18"/>
        </w:rPr>
        <w:fldChar w:fldCharType="begin"/>
      </w:r>
      <w:r w:rsidRPr="00106616">
        <w:rPr>
          <w:noProof/>
          <w:sz w:val="18"/>
        </w:rPr>
        <w:instrText xml:space="preserve"> PAGEREF _Toc479251866 \h </w:instrText>
      </w:r>
      <w:r w:rsidRPr="00106616">
        <w:rPr>
          <w:noProof/>
          <w:sz w:val="18"/>
        </w:rPr>
      </w:r>
      <w:r w:rsidRPr="00106616">
        <w:rPr>
          <w:noProof/>
          <w:sz w:val="18"/>
        </w:rPr>
        <w:fldChar w:fldCharType="separate"/>
      </w:r>
      <w:r w:rsidR="004372F5">
        <w:rPr>
          <w:noProof/>
          <w:sz w:val="18"/>
        </w:rPr>
        <w:t>10</w:t>
      </w:r>
      <w:r w:rsidRPr="00106616">
        <w:rPr>
          <w:noProof/>
          <w:sz w:val="18"/>
        </w:rPr>
        <w:fldChar w:fldCharType="end"/>
      </w:r>
    </w:p>
    <w:p w:rsidR="00106616" w:rsidRDefault="00106616">
      <w:pPr>
        <w:pStyle w:val="TOC9"/>
        <w:rPr>
          <w:rFonts w:asciiTheme="minorHAnsi" w:eastAsiaTheme="minorEastAsia" w:hAnsiTheme="minorHAnsi" w:cstheme="minorBidi"/>
          <w:i w:val="0"/>
          <w:noProof/>
          <w:kern w:val="0"/>
          <w:sz w:val="22"/>
          <w:szCs w:val="22"/>
        </w:rPr>
      </w:pPr>
      <w:r>
        <w:rPr>
          <w:noProof/>
        </w:rPr>
        <w:t>Income Tax Assessment Act 1997</w:t>
      </w:r>
      <w:r w:rsidRPr="00106616">
        <w:rPr>
          <w:i w:val="0"/>
          <w:noProof/>
          <w:sz w:val="18"/>
        </w:rPr>
        <w:tab/>
      </w:r>
      <w:r w:rsidRPr="00106616">
        <w:rPr>
          <w:i w:val="0"/>
          <w:noProof/>
          <w:sz w:val="18"/>
        </w:rPr>
        <w:fldChar w:fldCharType="begin"/>
      </w:r>
      <w:r w:rsidRPr="00106616">
        <w:rPr>
          <w:i w:val="0"/>
          <w:noProof/>
          <w:sz w:val="18"/>
        </w:rPr>
        <w:instrText xml:space="preserve"> PAGEREF _Toc479251867 \h </w:instrText>
      </w:r>
      <w:r w:rsidRPr="00106616">
        <w:rPr>
          <w:i w:val="0"/>
          <w:noProof/>
          <w:sz w:val="18"/>
        </w:rPr>
      </w:r>
      <w:r w:rsidRPr="00106616">
        <w:rPr>
          <w:i w:val="0"/>
          <w:noProof/>
          <w:sz w:val="18"/>
        </w:rPr>
        <w:fldChar w:fldCharType="separate"/>
      </w:r>
      <w:r w:rsidR="004372F5">
        <w:rPr>
          <w:i w:val="0"/>
          <w:noProof/>
          <w:sz w:val="18"/>
        </w:rPr>
        <w:t>10</w:t>
      </w:r>
      <w:r w:rsidRPr="00106616">
        <w:rPr>
          <w:i w:val="0"/>
          <w:noProof/>
          <w:sz w:val="18"/>
        </w:rPr>
        <w:fldChar w:fldCharType="end"/>
      </w:r>
    </w:p>
    <w:p w:rsidR="00106616" w:rsidRDefault="00106616">
      <w:pPr>
        <w:pStyle w:val="TOC6"/>
        <w:rPr>
          <w:rFonts w:asciiTheme="minorHAnsi" w:eastAsiaTheme="minorEastAsia" w:hAnsiTheme="minorHAnsi" w:cstheme="minorBidi"/>
          <w:b w:val="0"/>
          <w:noProof/>
          <w:kern w:val="0"/>
          <w:sz w:val="22"/>
          <w:szCs w:val="22"/>
        </w:rPr>
      </w:pPr>
      <w:r>
        <w:rPr>
          <w:noProof/>
        </w:rPr>
        <w:t>Schedule 4—Ex</w:t>
      </w:r>
      <w:r>
        <w:rPr>
          <w:noProof/>
        </w:rPr>
        <w:noBreakHyphen/>
        <w:t>gratia disaster recovery payments to special category visa (subclass 444) holders</w:t>
      </w:r>
      <w:r w:rsidRPr="00106616">
        <w:rPr>
          <w:b w:val="0"/>
          <w:noProof/>
          <w:sz w:val="18"/>
        </w:rPr>
        <w:tab/>
      </w:r>
      <w:r w:rsidRPr="00106616">
        <w:rPr>
          <w:b w:val="0"/>
          <w:noProof/>
          <w:sz w:val="18"/>
        </w:rPr>
        <w:fldChar w:fldCharType="begin"/>
      </w:r>
      <w:r w:rsidRPr="00106616">
        <w:rPr>
          <w:b w:val="0"/>
          <w:noProof/>
          <w:sz w:val="18"/>
        </w:rPr>
        <w:instrText xml:space="preserve"> PAGEREF _Toc479251868 \h </w:instrText>
      </w:r>
      <w:r w:rsidRPr="00106616">
        <w:rPr>
          <w:b w:val="0"/>
          <w:noProof/>
          <w:sz w:val="18"/>
        </w:rPr>
      </w:r>
      <w:r w:rsidRPr="00106616">
        <w:rPr>
          <w:b w:val="0"/>
          <w:noProof/>
          <w:sz w:val="18"/>
        </w:rPr>
        <w:fldChar w:fldCharType="separate"/>
      </w:r>
      <w:r w:rsidR="004372F5">
        <w:rPr>
          <w:b w:val="0"/>
          <w:noProof/>
          <w:sz w:val="18"/>
        </w:rPr>
        <w:t>11</w:t>
      </w:r>
      <w:r w:rsidRPr="00106616">
        <w:rPr>
          <w:b w:val="0"/>
          <w:noProof/>
          <w:sz w:val="18"/>
        </w:rPr>
        <w:fldChar w:fldCharType="end"/>
      </w:r>
    </w:p>
    <w:p w:rsidR="00106616" w:rsidRDefault="00106616">
      <w:pPr>
        <w:pStyle w:val="TOC9"/>
        <w:rPr>
          <w:rFonts w:asciiTheme="minorHAnsi" w:eastAsiaTheme="minorEastAsia" w:hAnsiTheme="minorHAnsi" w:cstheme="minorBidi"/>
          <w:i w:val="0"/>
          <w:noProof/>
          <w:kern w:val="0"/>
          <w:sz w:val="22"/>
          <w:szCs w:val="22"/>
        </w:rPr>
      </w:pPr>
      <w:r>
        <w:rPr>
          <w:noProof/>
        </w:rPr>
        <w:t>Income Tax Assessment Act 1936</w:t>
      </w:r>
      <w:r w:rsidRPr="00106616">
        <w:rPr>
          <w:i w:val="0"/>
          <w:noProof/>
          <w:sz w:val="18"/>
        </w:rPr>
        <w:tab/>
      </w:r>
      <w:r w:rsidRPr="00106616">
        <w:rPr>
          <w:i w:val="0"/>
          <w:noProof/>
          <w:sz w:val="18"/>
        </w:rPr>
        <w:fldChar w:fldCharType="begin"/>
      </w:r>
      <w:r w:rsidRPr="00106616">
        <w:rPr>
          <w:i w:val="0"/>
          <w:noProof/>
          <w:sz w:val="18"/>
        </w:rPr>
        <w:instrText xml:space="preserve"> PAGEREF _Toc479251869 \h </w:instrText>
      </w:r>
      <w:r w:rsidRPr="00106616">
        <w:rPr>
          <w:i w:val="0"/>
          <w:noProof/>
          <w:sz w:val="18"/>
        </w:rPr>
      </w:r>
      <w:r w:rsidRPr="00106616">
        <w:rPr>
          <w:i w:val="0"/>
          <w:noProof/>
          <w:sz w:val="18"/>
        </w:rPr>
        <w:fldChar w:fldCharType="separate"/>
      </w:r>
      <w:r w:rsidR="004372F5">
        <w:rPr>
          <w:i w:val="0"/>
          <w:noProof/>
          <w:sz w:val="18"/>
        </w:rPr>
        <w:t>11</w:t>
      </w:r>
      <w:r w:rsidRPr="00106616">
        <w:rPr>
          <w:i w:val="0"/>
          <w:noProof/>
          <w:sz w:val="18"/>
        </w:rPr>
        <w:fldChar w:fldCharType="end"/>
      </w:r>
    </w:p>
    <w:p w:rsidR="00106616" w:rsidRDefault="00106616">
      <w:pPr>
        <w:pStyle w:val="TOC9"/>
        <w:rPr>
          <w:rFonts w:asciiTheme="minorHAnsi" w:eastAsiaTheme="minorEastAsia" w:hAnsiTheme="minorHAnsi" w:cstheme="minorBidi"/>
          <w:i w:val="0"/>
          <w:noProof/>
          <w:kern w:val="0"/>
          <w:sz w:val="22"/>
          <w:szCs w:val="22"/>
        </w:rPr>
      </w:pPr>
      <w:r>
        <w:rPr>
          <w:noProof/>
        </w:rPr>
        <w:t>Income Tax Assessment Act 1997</w:t>
      </w:r>
      <w:r w:rsidRPr="00106616">
        <w:rPr>
          <w:i w:val="0"/>
          <w:noProof/>
          <w:sz w:val="18"/>
        </w:rPr>
        <w:tab/>
      </w:r>
      <w:r w:rsidRPr="00106616">
        <w:rPr>
          <w:i w:val="0"/>
          <w:noProof/>
          <w:sz w:val="18"/>
        </w:rPr>
        <w:fldChar w:fldCharType="begin"/>
      </w:r>
      <w:r w:rsidRPr="00106616">
        <w:rPr>
          <w:i w:val="0"/>
          <w:noProof/>
          <w:sz w:val="18"/>
        </w:rPr>
        <w:instrText xml:space="preserve"> PAGEREF _Toc479251870 \h </w:instrText>
      </w:r>
      <w:r w:rsidRPr="00106616">
        <w:rPr>
          <w:i w:val="0"/>
          <w:noProof/>
          <w:sz w:val="18"/>
        </w:rPr>
      </w:r>
      <w:r w:rsidRPr="00106616">
        <w:rPr>
          <w:i w:val="0"/>
          <w:noProof/>
          <w:sz w:val="18"/>
        </w:rPr>
        <w:fldChar w:fldCharType="separate"/>
      </w:r>
      <w:r w:rsidR="004372F5">
        <w:rPr>
          <w:i w:val="0"/>
          <w:noProof/>
          <w:sz w:val="18"/>
        </w:rPr>
        <w:t>11</w:t>
      </w:r>
      <w:r w:rsidRPr="00106616">
        <w:rPr>
          <w:i w:val="0"/>
          <w:noProof/>
          <w:sz w:val="18"/>
        </w:rPr>
        <w:fldChar w:fldCharType="end"/>
      </w:r>
    </w:p>
    <w:p w:rsidR="00106616" w:rsidRDefault="00106616">
      <w:pPr>
        <w:pStyle w:val="TOC6"/>
        <w:rPr>
          <w:rFonts w:asciiTheme="minorHAnsi" w:eastAsiaTheme="minorEastAsia" w:hAnsiTheme="minorHAnsi" w:cstheme="minorBidi"/>
          <w:b w:val="0"/>
          <w:noProof/>
          <w:kern w:val="0"/>
          <w:sz w:val="22"/>
          <w:szCs w:val="22"/>
        </w:rPr>
      </w:pPr>
      <w:r>
        <w:rPr>
          <w:noProof/>
        </w:rPr>
        <w:t>Schedule 5—Client money</w:t>
      </w:r>
      <w:r w:rsidRPr="00106616">
        <w:rPr>
          <w:b w:val="0"/>
          <w:noProof/>
          <w:sz w:val="18"/>
        </w:rPr>
        <w:tab/>
      </w:r>
      <w:r w:rsidRPr="00106616">
        <w:rPr>
          <w:b w:val="0"/>
          <w:noProof/>
          <w:sz w:val="18"/>
        </w:rPr>
        <w:fldChar w:fldCharType="begin"/>
      </w:r>
      <w:r w:rsidRPr="00106616">
        <w:rPr>
          <w:b w:val="0"/>
          <w:noProof/>
          <w:sz w:val="18"/>
        </w:rPr>
        <w:instrText xml:space="preserve"> PAGEREF _Toc479251871 \h </w:instrText>
      </w:r>
      <w:r w:rsidRPr="00106616">
        <w:rPr>
          <w:b w:val="0"/>
          <w:noProof/>
          <w:sz w:val="18"/>
        </w:rPr>
      </w:r>
      <w:r w:rsidRPr="00106616">
        <w:rPr>
          <w:b w:val="0"/>
          <w:noProof/>
          <w:sz w:val="18"/>
        </w:rPr>
        <w:fldChar w:fldCharType="separate"/>
      </w:r>
      <w:r w:rsidR="004372F5">
        <w:rPr>
          <w:b w:val="0"/>
          <w:noProof/>
          <w:sz w:val="18"/>
        </w:rPr>
        <w:t>13</w:t>
      </w:r>
      <w:r w:rsidRPr="00106616">
        <w:rPr>
          <w:b w:val="0"/>
          <w:noProof/>
          <w:sz w:val="18"/>
        </w:rPr>
        <w:fldChar w:fldCharType="end"/>
      </w:r>
    </w:p>
    <w:p w:rsidR="00106616" w:rsidRDefault="00106616">
      <w:pPr>
        <w:pStyle w:val="TOC7"/>
        <w:rPr>
          <w:rFonts w:asciiTheme="minorHAnsi" w:eastAsiaTheme="minorEastAsia" w:hAnsiTheme="minorHAnsi" w:cstheme="minorBidi"/>
          <w:noProof/>
          <w:kern w:val="0"/>
          <w:sz w:val="22"/>
          <w:szCs w:val="22"/>
        </w:rPr>
      </w:pPr>
      <w:r>
        <w:rPr>
          <w:noProof/>
        </w:rPr>
        <w:t>Part 1—Client money and property</w:t>
      </w:r>
      <w:r w:rsidRPr="00106616">
        <w:rPr>
          <w:noProof/>
          <w:sz w:val="18"/>
        </w:rPr>
        <w:tab/>
      </w:r>
      <w:r w:rsidRPr="00106616">
        <w:rPr>
          <w:noProof/>
          <w:sz w:val="18"/>
        </w:rPr>
        <w:fldChar w:fldCharType="begin"/>
      </w:r>
      <w:r w:rsidRPr="00106616">
        <w:rPr>
          <w:noProof/>
          <w:sz w:val="18"/>
        </w:rPr>
        <w:instrText xml:space="preserve"> PAGEREF _Toc479251872 \h </w:instrText>
      </w:r>
      <w:r w:rsidRPr="00106616">
        <w:rPr>
          <w:noProof/>
          <w:sz w:val="18"/>
        </w:rPr>
      </w:r>
      <w:r w:rsidRPr="00106616">
        <w:rPr>
          <w:noProof/>
          <w:sz w:val="18"/>
        </w:rPr>
        <w:fldChar w:fldCharType="separate"/>
      </w:r>
      <w:r w:rsidR="004372F5">
        <w:rPr>
          <w:noProof/>
          <w:sz w:val="18"/>
        </w:rPr>
        <w:t>13</w:t>
      </w:r>
      <w:r w:rsidRPr="00106616">
        <w:rPr>
          <w:noProof/>
          <w:sz w:val="18"/>
        </w:rPr>
        <w:fldChar w:fldCharType="end"/>
      </w:r>
    </w:p>
    <w:p w:rsidR="00106616" w:rsidRDefault="00106616">
      <w:pPr>
        <w:pStyle w:val="TOC9"/>
        <w:rPr>
          <w:rFonts w:asciiTheme="minorHAnsi" w:eastAsiaTheme="minorEastAsia" w:hAnsiTheme="minorHAnsi" w:cstheme="minorBidi"/>
          <w:i w:val="0"/>
          <w:noProof/>
          <w:kern w:val="0"/>
          <w:sz w:val="22"/>
          <w:szCs w:val="22"/>
        </w:rPr>
      </w:pPr>
      <w:r>
        <w:rPr>
          <w:noProof/>
        </w:rPr>
        <w:t>Corporations Act 2001</w:t>
      </w:r>
      <w:r w:rsidRPr="00106616">
        <w:rPr>
          <w:i w:val="0"/>
          <w:noProof/>
          <w:sz w:val="18"/>
        </w:rPr>
        <w:tab/>
      </w:r>
      <w:r w:rsidRPr="00106616">
        <w:rPr>
          <w:i w:val="0"/>
          <w:noProof/>
          <w:sz w:val="18"/>
        </w:rPr>
        <w:fldChar w:fldCharType="begin"/>
      </w:r>
      <w:r w:rsidRPr="00106616">
        <w:rPr>
          <w:i w:val="0"/>
          <w:noProof/>
          <w:sz w:val="18"/>
        </w:rPr>
        <w:instrText xml:space="preserve"> PAGEREF _Toc479251873 \h </w:instrText>
      </w:r>
      <w:r w:rsidRPr="00106616">
        <w:rPr>
          <w:i w:val="0"/>
          <w:noProof/>
          <w:sz w:val="18"/>
        </w:rPr>
      </w:r>
      <w:r w:rsidRPr="00106616">
        <w:rPr>
          <w:i w:val="0"/>
          <w:noProof/>
          <w:sz w:val="18"/>
        </w:rPr>
        <w:fldChar w:fldCharType="separate"/>
      </w:r>
      <w:r w:rsidR="004372F5">
        <w:rPr>
          <w:i w:val="0"/>
          <w:noProof/>
          <w:sz w:val="18"/>
        </w:rPr>
        <w:t>13</w:t>
      </w:r>
      <w:r w:rsidRPr="00106616">
        <w:rPr>
          <w:i w:val="0"/>
          <w:noProof/>
          <w:sz w:val="18"/>
        </w:rPr>
        <w:fldChar w:fldCharType="end"/>
      </w:r>
    </w:p>
    <w:p w:rsidR="00106616" w:rsidRDefault="00106616">
      <w:pPr>
        <w:pStyle w:val="TOC7"/>
        <w:rPr>
          <w:rFonts w:asciiTheme="minorHAnsi" w:eastAsiaTheme="minorEastAsia" w:hAnsiTheme="minorHAnsi" w:cstheme="minorBidi"/>
          <w:noProof/>
          <w:kern w:val="0"/>
          <w:sz w:val="22"/>
          <w:szCs w:val="22"/>
        </w:rPr>
      </w:pPr>
      <w:r>
        <w:rPr>
          <w:noProof/>
        </w:rPr>
        <w:t>Part 2—Client money reporting rules</w:t>
      </w:r>
      <w:r w:rsidRPr="00106616">
        <w:rPr>
          <w:noProof/>
          <w:sz w:val="18"/>
        </w:rPr>
        <w:tab/>
      </w:r>
      <w:r w:rsidRPr="00106616">
        <w:rPr>
          <w:noProof/>
          <w:sz w:val="18"/>
        </w:rPr>
        <w:fldChar w:fldCharType="begin"/>
      </w:r>
      <w:r w:rsidRPr="00106616">
        <w:rPr>
          <w:noProof/>
          <w:sz w:val="18"/>
        </w:rPr>
        <w:instrText xml:space="preserve"> PAGEREF _Toc479251875 \h </w:instrText>
      </w:r>
      <w:r w:rsidRPr="00106616">
        <w:rPr>
          <w:noProof/>
          <w:sz w:val="18"/>
        </w:rPr>
      </w:r>
      <w:r w:rsidRPr="00106616">
        <w:rPr>
          <w:noProof/>
          <w:sz w:val="18"/>
        </w:rPr>
        <w:fldChar w:fldCharType="separate"/>
      </w:r>
      <w:r w:rsidR="004372F5">
        <w:rPr>
          <w:noProof/>
          <w:sz w:val="18"/>
        </w:rPr>
        <w:t>16</w:t>
      </w:r>
      <w:r w:rsidRPr="00106616">
        <w:rPr>
          <w:noProof/>
          <w:sz w:val="18"/>
        </w:rPr>
        <w:fldChar w:fldCharType="end"/>
      </w:r>
    </w:p>
    <w:p w:rsidR="00106616" w:rsidRDefault="00106616">
      <w:pPr>
        <w:pStyle w:val="TOC9"/>
        <w:rPr>
          <w:rFonts w:asciiTheme="minorHAnsi" w:eastAsiaTheme="minorEastAsia" w:hAnsiTheme="minorHAnsi" w:cstheme="minorBidi"/>
          <w:i w:val="0"/>
          <w:noProof/>
          <w:kern w:val="0"/>
          <w:sz w:val="22"/>
          <w:szCs w:val="22"/>
        </w:rPr>
      </w:pPr>
      <w:r>
        <w:rPr>
          <w:noProof/>
        </w:rPr>
        <w:t>Corporations Act 2001</w:t>
      </w:r>
      <w:r w:rsidRPr="00106616">
        <w:rPr>
          <w:i w:val="0"/>
          <w:noProof/>
          <w:sz w:val="18"/>
        </w:rPr>
        <w:tab/>
      </w:r>
      <w:r w:rsidRPr="00106616">
        <w:rPr>
          <w:i w:val="0"/>
          <w:noProof/>
          <w:sz w:val="18"/>
        </w:rPr>
        <w:fldChar w:fldCharType="begin"/>
      </w:r>
      <w:r w:rsidRPr="00106616">
        <w:rPr>
          <w:i w:val="0"/>
          <w:noProof/>
          <w:sz w:val="18"/>
        </w:rPr>
        <w:instrText xml:space="preserve"> PAGEREF _Toc479251876 \h </w:instrText>
      </w:r>
      <w:r w:rsidRPr="00106616">
        <w:rPr>
          <w:i w:val="0"/>
          <w:noProof/>
          <w:sz w:val="18"/>
        </w:rPr>
      </w:r>
      <w:r w:rsidRPr="00106616">
        <w:rPr>
          <w:i w:val="0"/>
          <w:noProof/>
          <w:sz w:val="18"/>
        </w:rPr>
        <w:fldChar w:fldCharType="separate"/>
      </w:r>
      <w:r w:rsidR="004372F5">
        <w:rPr>
          <w:i w:val="0"/>
          <w:noProof/>
          <w:sz w:val="18"/>
        </w:rPr>
        <w:t>16</w:t>
      </w:r>
      <w:r w:rsidRPr="00106616">
        <w:rPr>
          <w:i w:val="0"/>
          <w:noProof/>
          <w:sz w:val="18"/>
        </w:rPr>
        <w:fldChar w:fldCharType="end"/>
      </w:r>
    </w:p>
    <w:p w:rsidR="00055B5C" w:rsidRPr="005E6F75" w:rsidRDefault="00106616" w:rsidP="0048364F">
      <w:r>
        <w:fldChar w:fldCharType="end"/>
      </w:r>
    </w:p>
    <w:p w:rsidR="00060FF9" w:rsidRPr="005E6F75" w:rsidRDefault="00060FF9" w:rsidP="0048364F"/>
    <w:p w:rsidR="00FE7F93" w:rsidRPr="005E6F75" w:rsidRDefault="00FE7F93" w:rsidP="0048364F">
      <w:pPr>
        <w:sectPr w:rsidR="00FE7F93" w:rsidRPr="005E6F75" w:rsidSect="00984EE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84EEA" w:rsidRDefault="00984EEA">
      <w:r>
        <w:object w:dxaOrig="2146" w:dyaOrig="1561">
          <v:shape id="_x0000_i1026" type="#_x0000_t75" style="width:110.25pt;height:80.25pt" o:ole="" fillcolor="window">
            <v:imagedata r:id="rId8" o:title=""/>
          </v:shape>
          <o:OLEObject Type="Embed" ProgID="Word.Picture.8" ShapeID="_x0000_i1026" DrawAspect="Content" ObjectID="_1565415386" r:id="rId21"/>
        </w:object>
      </w:r>
    </w:p>
    <w:p w:rsidR="00984EEA" w:rsidRDefault="00984EEA"/>
    <w:p w:rsidR="00984EEA" w:rsidRDefault="00984EEA" w:rsidP="00984EEA">
      <w:pPr>
        <w:spacing w:line="240" w:lineRule="auto"/>
      </w:pPr>
    </w:p>
    <w:p w:rsidR="00984EEA" w:rsidRDefault="0071353B" w:rsidP="00984EEA">
      <w:pPr>
        <w:pStyle w:val="ShortTP1"/>
      </w:pPr>
      <w:fldSimple w:instr=" STYLEREF ShortT ">
        <w:r w:rsidR="004372F5">
          <w:rPr>
            <w:noProof/>
          </w:rPr>
          <w:t>Treasury Laws Amendment (2016 Measures No. 1) Act 2017</w:t>
        </w:r>
      </w:fldSimple>
    </w:p>
    <w:p w:rsidR="00984EEA" w:rsidRDefault="0071353B" w:rsidP="00984EEA">
      <w:pPr>
        <w:pStyle w:val="ActNoP1"/>
      </w:pPr>
      <w:fldSimple w:instr=" STYLEREF Actno ">
        <w:r w:rsidR="004372F5">
          <w:rPr>
            <w:noProof/>
          </w:rPr>
          <w:t>No. 25, 2017</w:t>
        </w:r>
      </w:fldSimple>
    </w:p>
    <w:p w:rsidR="00984EEA" w:rsidRPr="009A0728" w:rsidRDefault="00984EEA" w:rsidP="00984EEA">
      <w:pPr>
        <w:pBdr>
          <w:bottom w:val="single" w:sz="6" w:space="0" w:color="auto"/>
        </w:pBdr>
        <w:spacing w:before="400" w:line="240" w:lineRule="auto"/>
        <w:rPr>
          <w:rFonts w:eastAsia="Times New Roman"/>
          <w:b/>
          <w:sz w:val="28"/>
        </w:rPr>
      </w:pPr>
    </w:p>
    <w:p w:rsidR="00984EEA" w:rsidRPr="009A0728" w:rsidRDefault="00984EEA" w:rsidP="00984EEA">
      <w:pPr>
        <w:spacing w:line="40" w:lineRule="exact"/>
        <w:rPr>
          <w:rFonts w:eastAsia="Calibri"/>
          <w:b/>
          <w:sz w:val="28"/>
        </w:rPr>
      </w:pPr>
    </w:p>
    <w:p w:rsidR="00984EEA" w:rsidRPr="009A0728" w:rsidRDefault="00984EEA" w:rsidP="00984EEA">
      <w:pPr>
        <w:pBdr>
          <w:top w:val="single" w:sz="12" w:space="0" w:color="auto"/>
        </w:pBdr>
        <w:spacing w:line="240" w:lineRule="auto"/>
        <w:rPr>
          <w:rFonts w:eastAsia="Times New Roman"/>
          <w:b/>
          <w:sz w:val="28"/>
        </w:rPr>
      </w:pPr>
    </w:p>
    <w:p w:rsidR="00BF445D" w:rsidRPr="005E6F75" w:rsidRDefault="00984EEA" w:rsidP="005E6F75">
      <w:pPr>
        <w:pStyle w:val="Page1"/>
      </w:pPr>
      <w:r>
        <w:t>An Act</w:t>
      </w:r>
      <w:r w:rsidR="005E6F75" w:rsidRPr="005E6F75">
        <w:t xml:space="preserve"> to amend the law relating to insurance, corporations, taxation and financial services, and for related purposes</w:t>
      </w:r>
    </w:p>
    <w:p w:rsidR="00106616" w:rsidRDefault="00106616" w:rsidP="009943D5">
      <w:pPr>
        <w:pStyle w:val="AssentDt"/>
        <w:spacing w:before="240"/>
      </w:pPr>
      <w:r>
        <w:rPr>
          <w:sz w:val="24"/>
        </w:rPr>
        <w:t>[</w:t>
      </w:r>
      <w:r>
        <w:rPr>
          <w:i/>
          <w:sz w:val="24"/>
        </w:rPr>
        <w:t>Assented to 4 April 2017</w:t>
      </w:r>
      <w:r>
        <w:rPr>
          <w:sz w:val="24"/>
        </w:rPr>
        <w:t>]</w:t>
      </w:r>
    </w:p>
    <w:p w:rsidR="0048364F" w:rsidRPr="005E6F75" w:rsidRDefault="0048364F" w:rsidP="005E6F75">
      <w:pPr>
        <w:spacing w:before="240" w:line="240" w:lineRule="auto"/>
        <w:rPr>
          <w:sz w:val="32"/>
        </w:rPr>
      </w:pPr>
      <w:r w:rsidRPr="005E6F75">
        <w:rPr>
          <w:sz w:val="32"/>
        </w:rPr>
        <w:t>The Parliament of Australia enacts:</w:t>
      </w:r>
    </w:p>
    <w:p w:rsidR="0048364F" w:rsidRPr="005E6F75" w:rsidRDefault="0048364F" w:rsidP="005E6F75">
      <w:pPr>
        <w:pStyle w:val="ActHead5"/>
      </w:pPr>
      <w:bookmarkStart w:id="2" w:name="_Toc479251854"/>
      <w:r w:rsidRPr="005E6F75">
        <w:rPr>
          <w:rStyle w:val="CharSectno"/>
        </w:rPr>
        <w:t>1</w:t>
      </w:r>
      <w:r w:rsidRPr="005E6F75">
        <w:t xml:space="preserve">  Short title</w:t>
      </w:r>
      <w:bookmarkEnd w:id="2"/>
    </w:p>
    <w:p w:rsidR="00BF445D" w:rsidRPr="005E6F75" w:rsidRDefault="0048364F" w:rsidP="005E6F75">
      <w:pPr>
        <w:pStyle w:val="subsection"/>
      </w:pPr>
      <w:r w:rsidRPr="005E6F75">
        <w:tab/>
      </w:r>
      <w:r w:rsidRPr="005E6F75">
        <w:tab/>
        <w:t xml:space="preserve">This Act </w:t>
      </w:r>
      <w:r w:rsidR="00275197" w:rsidRPr="005E6F75">
        <w:t xml:space="preserve">is </w:t>
      </w:r>
      <w:r w:rsidRPr="005E6F75">
        <w:t xml:space="preserve">the </w:t>
      </w:r>
      <w:r w:rsidR="00BF445D" w:rsidRPr="005E6F75">
        <w:rPr>
          <w:i/>
        </w:rPr>
        <w:t>Treasury Laws Amendment (2016 Measures No.</w:t>
      </w:r>
      <w:r w:rsidR="005E6F75" w:rsidRPr="005E6F75">
        <w:rPr>
          <w:i/>
        </w:rPr>
        <w:t> </w:t>
      </w:r>
      <w:r w:rsidR="00BE20D6" w:rsidRPr="005E6F75">
        <w:rPr>
          <w:i/>
        </w:rPr>
        <w:t>1</w:t>
      </w:r>
      <w:r w:rsidR="00915AC9">
        <w:rPr>
          <w:i/>
        </w:rPr>
        <w:t>) Act 2017</w:t>
      </w:r>
      <w:r w:rsidR="00BF445D" w:rsidRPr="005E6F75">
        <w:t>.</w:t>
      </w:r>
    </w:p>
    <w:p w:rsidR="0048364F" w:rsidRPr="005E6F75" w:rsidRDefault="0048364F" w:rsidP="005E6F75">
      <w:pPr>
        <w:pStyle w:val="ActHead5"/>
      </w:pPr>
      <w:bookmarkStart w:id="3" w:name="_Toc479251855"/>
      <w:r w:rsidRPr="005E6F75">
        <w:rPr>
          <w:rStyle w:val="CharSectno"/>
        </w:rPr>
        <w:t>2</w:t>
      </w:r>
      <w:r w:rsidRPr="005E6F75">
        <w:t xml:space="preserve">  Commencement</w:t>
      </w:r>
      <w:bookmarkEnd w:id="3"/>
    </w:p>
    <w:p w:rsidR="0048364F" w:rsidRPr="005E6F75" w:rsidRDefault="0048364F" w:rsidP="005E6F75">
      <w:pPr>
        <w:pStyle w:val="subsection"/>
      </w:pPr>
      <w:r w:rsidRPr="005E6F75">
        <w:tab/>
        <w:t>(1)</w:t>
      </w:r>
      <w:r w:rsidRPr="005E6F75">
        <w:tab/>
        <w:t>Each provision of this Act specified in column 1 of the table commences, or is taken to have commenced, in accordance with column 2 of the table. Any other statement in column 2 has effect according to its terms.</w:t>
      </w:r>
    </w:p>
    <w:p w:rsidR="0048364F" w:rsidRPr="005E6F75" w:rsidRDefault="0048364F" w:rsidP="005E6F7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E6F75" w:rsidTr="003663E5">
        <w:trPr>
          <w:tblHeader/>
        </w:trPr>
        <w:tc>
          <w:tcPr>
            <w:tcW w:w="7111" w:type="dxa"/>
            <w:gridSpan w:val="3"/>
            <w:tcBorders>
              <w:top w:val="single" w:sz="12" w:space="0" w:color="auto"/>
              <w:bottom w:val="single" w:sz="6" w:space="0" w:color="auto"/>
            </w:tcBorders>
            <w:shd w:val="clear" w:color="auto" w:fill="auto"/>
          </w:tcPr>
          <w:p w:rsidR="0048364F" w:rsidRPr="005E6F75" w:rsidRDefault="0048364F" w:rsidP="005E6F75">
            <w:pPr>
              <w:pStyle w:val="TableHeading"/>
            </w:pPr>
            <w:r w:rsidRPr="005E6F75">
              <w:t>Commencement information</w:t>
            </w:r>
          </w:p>
        </w:tc>
      </w:tr>
      <w:tr w:rsidR="000B0088" w:rsidRPr="005E6F75" w:rsidTr="003663E5">
        <w:trPr>
          <w:tblHeader/>
        </w:trPr>
        <w:tc>
          <w:tcPr>
            <w:tcW w:w="1701" w:type="dxa"/>
            <w:tcBorders>
              <w:top w:val="single" w:sz="6" w:space="0" w:color="auto"/>
              <w:bottom w:val="single" w:sz="6" w:space="0" w:color="auto"/>
            </w:tcBorders>
            <w:shd w:val="clear" w:color="auto" w:fill="auto"/>
          </w:tcPr>
          <w:p w:rsidR="0048364F" w:rsidRPr="005E6F75" w:rsidRDefault="0048364F" w:rsidP="005E6F75">
            <w:pPr>
              <w:pStyle w:val="TableHeading"/>
            </w:pPr>
            <w:r w:rsidRPr="005E6F75">
              <w:t>Column 1</w:t>
            </w:r>
          </w:p>
        </w:tc>
        <w:tc>
          <w:tcPr>
            <w:tcW w:w="3828" w:type="dxa"/>
            <w:tcBorders>
              <w:top w:val="single" w:sz="6" w:space="0" w:color="auto"/>
              <w:bottom w:val="single" w:sz="6" w:space="0" w:color="auto"/>
            </w:tcBorders>
            <w:shd w:val="clear" w:color="auto" w:fill="auto"/>
          </w:tcPr>
          <w:p w:rsidR="0048364F" w:rsidRPr="005E6F75" w:rsidRDefault="0048364F" w:rsidP="005E6F75">
            <w:pPr>
              <w:pStyle w:val="TableHeading"/>
            </w:pPr>
            <w:r w:rsidRPr="005E6F75">
              <w:t>Column 2</w:t>
            </w:r>
          </w:p>
        </w:tc>
        <w:tc>
          <w:tcPr>
            <w:tcW w:w="1582" w:type="dxa"/>
            <w:tcBorders>
              <w:top w:val="single" w:sz="6" w:space="0" w:color="auto"/>
              <w:bottom w:val="single" w:sz="6" w:space="0" w:color="auto"/>
            </w:tcBorders>
            <w:shd w:val="clear" w:color="auto" w:fill="auto"/>
          </w:tcPr>
          <w:p w:rsidR="0048364F" w:rsidRPr="005E6F75" w:rsidRDefault="0048364F" w:rsidP="005E6F75">
            <w:pPr>
              <w:pStyle w:val="TableHeading"/>
            </w:pPr>
            <w:r w:rsidRPr="005E6F75">
              <w:t>Column 3</w:t>
            </w:r>
          </w:p>
        </w:tc>
      </w:tr>
      <w:tr w:rsidR="0048364F" w:rsidRPr="005E6F75" w:rsidTr="003663E5">
        <w:trPr>
          <w:tblHeader/>
        </w:trPr>
        <w:tc>
          <w:tcPr>
            <w:tcW w:w="1701" w:type="dxa"/>
            <w:tcBorders>
              <w:top w:val="single" w:sz="6" w:space="0" w:color="auto"/>
              <w:bottom w:val="single" w:sz="12" w:space="0" w:color="auto"/>
            </w:tcBorders>
            <w:shd w:val="clear" w:color="auto" w:fill="auto"/>
          </w:tcPr>
          <w:p w:rsidR="0048364F" w:rsidRPr="005E6F75" w:rsidRDefault="0048364F" w:rsidP="005E6F75">
            <w:pPr>
              <w:pStyle w:val="TableHeading"/>
            </w:pPr>
            <w:r w:rsidRPr="005E6F75">
              <w:t>Provisions</w:t>
            </w:r>
          </w:p>
        </w:tc>
        <w:tc>
          <w:tcPr>
            <w:tcW w:w="3828" w:type="dxa"/>
            <w:tcBorders>
              <w:top w:val="single" w:sz="6" w:space="0" w:color="auto"/>
              <w:bottom w:val="single" w:sz="12" w:space="0" w:color="auto"/>
            </w:tcBorders>
            <w:shd w:val="clear" w:color="auto" w:fill="auto"/>
          </w:tcPr>
          <w:p w:rsidR="0048364F" w:rsidRPr="005E6F75" w:rsidRDefault="0048364F" w:rsidP="005E6F75">
            <w:pPr>
              <w:pStyle w:val="TableHeading"/>
            </w:pPr>
            <w:r w:rsidRPr="005E6F75">
              <w:t>Commencement</w:t>
            </w:r>
          </w:p>
        </w:tc>
        <w:tc>
          <w:tcPr>
            <w:tcW w:w="1582" w:type="dxa"/>
            <w:tcBorders>
              <w:top w:val="single" w:sz="6" w:space="0" w:color="auto"/>
              <w:bottom w:val="single" w:sz="12" w:space="0" w:color="auto"/>
            </w:tcBorders>
            <w:shd w:val="clear" w:color="auto" w:fill="auto"/>
          </w:tcPr>
          <w:p w:rsidR="0048364F" w:rsidRPr="005E6F75" w:rsidRDefault="0048364F" w:rsidP="005E6F75">
            <w:pPr>
              <w:pStyle w:val="TableHeading"/>
            </w:pPr>
            <w:r w:rsidRPr="005E6F75">
              <w:t>Date/Details</w:t>
            </w:r>
          </w:p>
        </w:tc>
      </w:tr>
      <w:tr w:rsidR="000B0088" w:rsidRPr="005E6F75" w:rsidTr="003663E5">
        <w:tc>
          <w:tcPr>
            <w:tcW w:w="1701" w:type="dxa"/>
            <w:tcBorders>
              <w:top w:val="single" w:sz="12" w:space="0" w:color="auto"/>
            </w:tcBorders>
            <w:shd w:val="clear" w:color="auto" w:fill="auto"/>
          </w:tcPr>
          <w:p w:rsidR="000B0088" w:rsidRPr="005E6F75" w:rsidRDefault="000B0088" w:rsidP="005E6F75">
            <w:pPr>
              <w:pStyle w:val="Tabletext"/>
            </w:pPr>
            <w:r w:rsidRPr="005E6F75">
              <w:t>1.  Sections</w:t>
            </w:r>
            <w:r w:rsidR="005E6F75" w:rsidRPr="005E6F75">
              <w:t> </w:t>
            </w:r>
            <w:r w:rsidRPr="005E6F75">
              <w:t>1 to 3 and anything in this Act not elsewhere covered by this table</w:t>
            </w:r>
          </w:p>
        </w:tc>
        <w:tc>
          <w:tcPr>
            <w:tcW w:w="3828" w:type="dxa"/>
            <w:tcBorders>
              <w:top w:val="single" w:sz="12" w:space="0" w:color="auto"/>
            </w:tcBorders>
            <w:shd w:val="clear" w:color="auto" w:fill="auto"/>
          </w:tcPr>
          <w:p w:rsidR="000B0088" w:rsidRPr="005E6F75" w:rsidRDefault="000B0088" w:rsidP="005E6F75">
            <w:pPr>
              <w:pStyle w:val="Tabletext"/>
            </w:pPr>
            <w:r w:rsidRPr="005E6F75">
              <w:t>The day this Act receives the Royal Assent.</w:t>
            </w:r>
          </w:p>
        </w:tc>
        <w:tc>
          <w:tcPr>
            <w:tcW w:w="1582" w:type="dxa"/>
            <w:tcBorders>
              <w:top w:val="single" w:sz="12" w:space="0" w:color="auto"/>
            </w:tcBorders>
            <w:shd w:val="clear" w:color="auto" w:fill="auto"/>
          </w:tcPr>
          <w:p w:rsidR="000B0088" w:rsidRPr="005E6F75" w:rsidRDefault="00106616" w:rsidP="005E6F75">
            <w:pPr>
              <w:pStyle w:val="Tabletext"/>
            </w:pPr>
            <w:r>
              <w:t>4 April 2017</w:t>
            </w:r>
          </w:p>
        </w:tc>
      </w:tr>
      <w:tr w:rsidR="003663E5" w:rsidRPr="005E6F75" w:rsidTr="003663E5">
        <w:tc>
          <w:tcPr>
            <w:tcW w:w="1701" w:type="dxa"/>
            <w:shd w:val="clear" w:color="auto" w:fill="auto"/>
          </w:tcPr>
          <w:p w:rsidR="003663E5" w:rsidRPr="005E6F75" w:rsidRDefault="003663E5" w:rsidP="005E6F75">
            <w:pPr>
              <w:pStyle w:val="Tabletext"/>
            </w:pPr>
            <w:r w:rsidRPr="005E6F75">
              <w:t>2.  Schedule</w:t>
            </w:r>
            <w:r w:rsidR="005E6F75" w:rsidRPr="005E6F75">
              <w:t> </w:t>
            </w:r>
            <w:r w:rsidRPr="005E6F75">
              <w:t>1</w:t>
            </w:r>
          </w:p>
        </w:tc>
        <w:tc>
          <w:tcPr>
            <w:tcW w:w="3828" w:type="dxa"/>
            <w:shd w:val="clear" w:color="auto" w:fill="auto"/>
          </w:tcPr>
          <w:p w:rsidR="003663E5" w:rsidRPr="005E6F75" w:rsidRDefault="003663E5" w:rsidP="005E6F75">
            <w:pPr>
              <w:pStyle w:val="Tabletext"/>
            </w:pPr>
            <w:r w:rsidRPr="005E6F75">
              <w:t>1</w:t>
            </w:r>
            <w:r w:rsidR="005E6F75" w:rsidRPr="005E6F75">
              <w:t> </w:t>
            </w:r>
            <w:r w:rsidRPr="005E6F75">
              <w:t>July 2017.</w:t>
            </w:r>
          </w:p>
        </w:tc>
        <w:tc>
          <w:tcPr>
            <w:tcW w:w="1582" w:type="dxa"/>
            <w:shd w:val="clear" w:color="auto" w:fill="auto"/>
          </w:tcPr>
          <w:p w:rsidR="003663E5" w:rsidRPr="005E6F75" w:rsidRDefault="003663E5" w:rsidP="005E6F75">
            <w:pPr>
              <w:pStyle w:val="Tabletext"/>
            </w:pPr>
            <w:r w:rsidRPr="005E6F75">
              <w:t>1</w:t>
            </w:r>
            <w:r w:rsidR="005E6F75" w:rsidRPr="005E6F75">
              <w:t> </w:t>
            </w:r>
            <w:r w:rsidRPr="005E6F75">
              <w:t>July 2017</w:t>
            </w:r>
          </w:p>
        </w:tc>
      </w:tr>
      <w:tr w:rsidR="003663E5" w:rsidRPr="005E6F75" w:rsidTr="003663E5">
        <w:tc>
          <w:tcPr>
            <w:tcW w:w="1701" w:type="dxa"/>
            <w:shd w:val="clear" w:color="auto" w:fill="auto"/>
          </w:tcPr>
          <w:p w:rsidR="003663E5" w:rsidRPr="005E6F75" w:rsidRDefault="003663E5" w:rsidP="005E6F75">
            <w:pPr>
              <w:pStyle w:val="Tabletext"/>
            </w:pPr>
            <w:r w:rsidRPr="005E6F75">
              <w:t>3.  Schedule</w:t>
            </w:r>
            <w:r w:rsidR="005E6F75" w:rsidRPr="005E6F75">
              <w:t> </w:t>
            </w:r>
            <w:r w:rsidRPr="005E6F75">
              <w:t>2</w:t>
            </w:r>
          </w:p>
        </w:tc>
        <w:tc>
          <w:tcPr>
            <w:tcW w:w="3828" w:type="dxa"/>
            <w:shd w:val="clear" w:color="auto" w:fill="auto"/>
          </w:tcPr>
          <w:p w:rsidR="003663E5" w:rsidRPr="005E6F75" w:rsidRDefault="003663E5" w:rsidP="005E6F75">
            <w:pPr>
              <w:pStyle w:val="Tabletext"/>
            </w:pPr>
            <w:r w:rsidRPr="005E6F75">
              <w:t>The day after this Act receives the Royal Assent.</w:t>
            </w:r>
          </w:p>
        </w:tc>
        <w:tc>
          <w:tcPr>
            <w:tcW w:w="1582" w:type="dxa"/>
            <w:shd w:val="clear" w:color="auto" w:fill="auto"/>
          </w:tcPr>
          <w:p w:rsidR="003663E5" w:rsidRPr="005E6F75" w:rsidRDefault="00106616" w:rsidP="005E6F75">
            <w:pPr>
              <w:pStyle w:val="Tabletext"/>
            </w:pPr>
            <w:r>
              <w:t>5 April 2017</w:t>
            </w:r>
          </w:p>
        </w:tc>
      </w:tr>
      <w:tr w:rsidR="003663E5" w:rsidRPr="005E6F75" w:rsidTr="003663E5">
        <w:tc>
          <w:tcPr>
            <w:tcW w:w="1701" w:type="dxa"/>
            <w:shd w:val="clear" w:color="auto" w:fill="auto"/>
          </w:tcPr>
          <w:p w:rsidR="003663E5" w:rsidRPr="005E6F75" w:rsidRDefault="003663E5" w:rsidP="005E6F75">
            <w:pPr>
              <w:pStyle w:val="Tabletext"/>
            </w:pPr>
            <w:r w:rsidRPr="005E6F75">
              <w:t>4.  Schedule</w:t>
            </w:r>
            <w:r w:rsidR="005E6F75" w:rsidRPr="005E6F75">
              <w:t> </w:t>
            </w:r>
            <w:r w:rsidRPr="005E6F75">
              <w:t>3, Part</w:t>
            </w:r>
            <w:r w:rsidR="005E6F75" w:rsidRPr="005E6F75">
              <w:t> </w:t>
            </w:r>
            <w:r w:rsidRPr="005E6F75">
              <w:t>1</w:t>
            </w:r>
          </w:p>
        </w:tc>
        <w:tc>
          <w:tcPr>
            <w:tcW w:w="3828" w:type="dxa"/>
            <w:shd w:val="clear" w:color="auto" w:fill="auto"/>
          </w:tcPr>
          <w:p w:rsidR="003663E5" w:rsidRPr="005E6F75" w:rsidRDefault="00A66B02" w:rsidP="005E6F75">
            <w:pPr>
              <w:pStyle w:val="Tabletext"/>
            </w:pPr>
            <w:r w:rsidRPr="005E6F75">
              <w:t>The day after this Act receives the Royal Assent.</w:t>
            </w:r>
          </w:p>
        </w:tc>
        <w:tc>
          <w:tcPr>
            <w:tcW w:w="1582" w:type="dxa"/>
            <w:shd w:val="clear" w:color="auto" w:fill="auto"/>
          </w:tcPr>
          <w:p w:rsidR="003663E5" w:rsidRPr="005E6F75" w:rsidRDefault="00106616" w:rsidP="005E6F75">
            <w:pPr>
              <w:pStyle w:val="Tabletext"/>
            </w:pPr>
            <w:r>
              <w:t>5 April 2017</w:t>
            </w:r>
          </w:p>
        </w:tc>
      </w:tr>
      <w:tr w:rsidR="003663E5" w:rsidRPr="005E6F75" w:rsidTr="003663E5">
        <w:tc>
          <w:tcPr>
            <w:tcW w:w="1701" w:type="dxa"/>
            <w:shd w:val="clear" w:color="auto" w:fill="auto"/>
          </w:tcPr>
          <w:p w:rsidR="003663E5" w:rsidRPr="005E6F75" w:rsidRDefault="003663E5" w:rsidP="005E6F75">
            <w:pPr>
              <w:pStyle w:val="Tabletext"/>
            </w:pPr>
            <w:r w:rsidRPr="005E6F75">
              <w:t>5.  Schedule</w:t>
            </w:r>
            <w:r w:rsidR="005E6F75" w:rsidRPr="005E6F75">
              <w:t> </w:t>
            </w:r>
            <w:r w:rsidRPr="005E6F75">
              <w:t>3, Part</w:t>
            </w:r>
            <w:r w:rsidR="005E6F75" w:rsidRPr="005E6F75">
              <w:t> </w:t>
            </w:r>
            <w:r w:rsidRPr="005E6F75">
              <w:t>2</w:t>
            </w:r>
          </w:p>
        </w:tc>
        <w:tc>
          <w:tcPr>
            <w:tcW w:w="3828" w:type="dxa"/>
            <w:shd w:val="clear" w:color="auto" w:fill="auto"/>
          </w:tcPr>
          <w:p w:rsidR="003663E5" w:rsidRPr="005E6F75" w:rsidRDefault="003663E5" w:rsidP="005E6F75">
            <w:pPr>
              <w:pStyle w:val="Tabletext"/>
            </w:pPr>
            <w:r w:rsidRPr="005E6F75">
              <w:t>A single day to be fixed by Proclamation.</w:t>
            </w:r>
          </w:p>
          <w:p w:rsidR="003663E5" w:rsidRPr="005E6F75" w:rsidRDefault="003663E5" w:rsidP="005E6F75">
            <w:pPr>
              <w:pStyle w:val="Tabletext"/>
            </w:pPr>
            <w:r w:rsidRPr="005E6F75">
              <w:t>However, if the provisions do not commence within the period of 12 months beginning on the day this Act receives the Royal Assent, the provisions are repealed on the day after the end of that period.</w:t>
            </w:r>
          </w:p>
        </w:tc>
        <w:tc>
          <w:tcPr>
            <w:tcW w:w="1582" w:type="dxa"/>
            <w:shd w:val="clear" w:color="auto" w:fill="auto"/>
          </w:tcPr>
          <w:p w:rsidR="003663E5" w:rsidRDefault="0071353B" w:rsidP="005E6F75">
            <w:pPr>
              <w:pStyle w:val="Tabletext"/>
            </w:pPr>
            <w:r>
              <w:t>1 September 2017</w:t>
            </w:r>
          </w:p>
          <w:p w:rsidR="004246E3" w:rsidRPr="005E6F75" w:rsidRDefault="004246E3" w:rsidP="005E6F75">
            <w:pPr>
              <w:pStyle w:val="Tabletext"/>
            </w:pPr>
            <w:r>
              <w:t>(F2017N00067)</w:t>
            </w:r>
          </w:p>
        </w:tc>
      </w:tr>
      <w:tr w:rsidR="003663E5" w:rsidRPr="005E6F75" w:rsidTr="003663E5">
        <w:tc>
          <w:tcPr>
            <w:tcW w:w="1701" w:type="dxa"/>
            <w:tcBorders>
              <w:bottom w:val="single" w:sz="2" w:space="0" w:color="auto"/>
            </w:tcBorders>
            <w:shd w:val="clear" w:color="auto" w:fill="auto"/>
          </w:tcPr>
          <w:p w:rsidR="003663E5" w:rsidRPr="005E6F75" w:rsidRDefault="003663E5" w:rsidP="005E6F75">
            <w:pPr>
              <w:pStyle w:val="Tabletext"/>
            </w:pPr>
            <w:r w:rsidRPr="005E6F75">
              <w:t>6.  Schedule</w:t>
            </w:r>
            <w:r w:rsidR="005E6F75" w:rsidRPr="005E6F75">
              <w:t> </w:t>
            </w:r>
            <w:r w:rsidRPr="005E6F75">
              <w:t>4</w:t>
            </w:r>
          </w:p>
        </w:tc>
        <w:tc>
          <w:tcPr>
            <w:tcW w:w="3828" w:type="dxa"/>
            <w:tcBorders>
              <w:bottom w:val="single" w:sz="2" w:space="0" w:color="auto"/>
            </w:tcBorders>
            <w:shd w:val="clear" w:color="auto" w:fill="auto"/>
          </w:tcPr>
          <w:p w:rsidR="003663E5" w:rsidRPr="005E6F75" w:rsidRDefault="00462AF1" w:rsidP="005E6F75">
            <w:pPr>
              <w:pStyle w:val="Tabletext"/>
            </w:pPr>
            <w:r w:rsidRPr="005E6F75">
              <w:t>The day after this Act receives the Royal Assent.</w:t>
            </w:r>
          </w:p>
        </w:tc>
        <w:tc>
          <w:tcPr>
            <w:tcW w:w="1582" w:type="dxa"/>
            <w:tcBorders>
              <w:bottom w:val="single" w:sz="2" w:space="0" w:color="auto"/>
            </w:tcBorders>
            <w:shd w:val="clear" w:color="auto" w:fill="auto"/>
          </w:tcPr>
          <w:p w:rsidR="003663E5" w:rsidRPr="005E6F75" w:rsidRDefault="00106616" w:rsidP="005E6F75">
            <w:pPr>
              <w:pStyle w:val="Tabletext"/>
            </w:pPr>
            <w:r>
              <w:t>5 April 2017</w:t>
            </w:r>
          </w:p>
        </w:tc>
      </w:tr>
      <w:tr w:rsidR="003663E5" w:rsidRPr="005E6F75" w:rsidTr="003663E5">
        <w:tc>
          <w:tcPr>
            <w:tcW w:w="1701" w:type="dxa"/>
            <w:tcBorders>
              <w:top w:val="single" w:sz="2" w:space="0" w:color="auto"/>
              <w:bottom w:val="single" w:sz="12" w:space="0" w:color="auto"/>
            </w:tcBorders>
            <w:shd w:val="clear" w:color="auto" w:fill="auto"/>
          </w:tcPr>
          <w:p w:rsidR="003663E5" w:rsidRPr="005E6F75" w:rsidRDefault="003663E5" w:rsidP="005E6F75">
            <w:pPr>
              <w:pStyle w:val="Tabletext"/>
            </w:pPr>
            <w:r w:rsidRPr="005E6F75">
              <w:t>7.  Schedule</w:t>
            </w:r>
            <w:r w:rsidR="005E6F75" w:rsidRPr="005E6F75">
              <w:t> </w:t>
            </w:r>
            <w:r w:rsidRPr="005E6F75">
              <w:t>5</w:t>
            </w:r>
          </w:p>
        </w:tc>
        <w:tc>
          <w:tcPr>
            <w:tcW w:w="3828" w:type="dxa"/>
            <w:tcBorders>
              <w:top w:val="single" w:sz="2" w:space="0" w:color="auto"/>
              <w:bottom w:val="single" w:sz="12" w:space="0" w:color="auto"/>
            </w:tcBorders>
            <w:shd w:val="clear" w:color="auto" w:fill="auto"/>
          </w:tcPr>
          <w:p w:rsidR="003663E5" w:rsidRPr="005E6F75" w:rsidRDefault="003663E5" w:rsidP="005E6F75">
            <w:pPr>
              <w:pStyle w:val="Tabletext"/>
            </w:pPr>
            <w:r w:rsidRPr="005E6F75">
              <w:t>The day after the end of the period of 12 months beginning on the day this Act receives the Royal Assent.</w:t>
            </w:r>
          </w:p>
        </w:tc>
        <w:tc>
          <w:tcPr>
            <w:tcW w:w="1582" w:type="dxa"/>
            <w:tcBorders>
              <w:top w:val="single" w:sz="2" w:space="0" w:color="auto"/>
              <w:bottom w:val="single" w:sz="12" w:space="0" w:color="auto"/>
            </w:tcBorders>
            <w:shd w:val="clear" w:color="auto" w:fill="auto"/>
          </w:tcPr>
          <w:p w:rsidR="003663E5" w:rsidRPr="005E6F75" w:rsidRDefault="00106616" w:rsidP="005E6F75">
            <w:pPr>
              <w:pStyle w:val="Tabletext"/>
            </w:pPr>
            <w:r>
              <w:t>4 April 2018</w:t>
            </w:r>
          </w:p>
        </w:tc>
      </w:tr>
    </w:tbl>
    <w:p w:rsidR="0048364F" w:rsidRPr="005E6F75" w:rsidRDefault="00201D27" w:rsidP="005E6F75">
      <w:pPr>
        <w:pStyle w:val="notetext"/>
      </w:pPr>
      <w:r w:rsidRPr="005E6F75">
        <w:t>Note:</w:t>
      </w:r>
      <w:r w:rsidRPr="005E6F75">
        <w:tab/>
        <w:t>This table relates only to the provisions of this Act as originally enacted. It will not be amended to deal with any later amendments of this Act.</w:t>
      </w:r>
    </w:p>
    <w:p w:rsidR="0048364F" w:rsidRPr="005E6F75" w:rsidRDefault="0048364F" w:rsidP="005E6F75">
      <w:pPr>
        <w:pStyle w:val="subsection"/>
      </w:pPr>
      <w:r w:rsidRPr="005E6F75">
        <w:tab/>
        <w:t>(2)</w:t>
      </w:r>
      <w:r w:rsidRPr="005E6F75">
        <w:tab/>
      </w:r>
      <w:r w:rsidR="00201D27" w:rsidRPr="005E6F75">
        <w:t xml:space="preserve">Any information in </w:t>
      </w:r>
      <w:r w:rsidR="00877D48" w:rsidRPr="005E6F75">
        <w:t>c</w:t>
      </w:r>
      <w:r w:rsidR="00201D27" w:rsidRPr="005E6F75">
        <w:t>olumn 3 of the table is not part of this Act. Information may be inserted in this column, or information in it may be edited, in any published version of this Act.</w:t>
      </w:r>
    </w:p>
    <w:p w:rsidR="0048364F" w:rsidRPr="005E6F75" w:rsidRDefault="0048364F" w:rsidP="005E6F75">
      <w:pPr>
        <w:pStyle w:val="ActHead5"/>
      </w:pPr>
      <w:bookmarkStart w:id="4" w:name="_Toc479251856"/>
      <w:r w:rsidRPr="005E6F75">
        <w:rPr>
          <w:rStyle w:val="CharSectno"/>
        </w:rPr>
        <w:t>3</w:t>
      </w:r>
      <w:r w:rsidRPr="005E6F75">
        <w:t xml:space="preserve">  Schedules</w:t>
      </w:r>
      <w:bookmarkEnd w:id="4"/>
    </w:p>
    <w:p w:rsidR="0048364F" w:rsidRPr="005E6F75" w:rsidRDefault="0048364F" w:rsidP="005E6F75">
      <w:pPr>
        <w:pStyle w:val="subsection"/>
      </w:pPr>
      <w:r w:rsidRPr="005E6F75">
        <w:tab/>
      </w:r>
      <w:r w:rsidRPr="005E6F75">
        <w:tab/>
      </w:r>
      <w:r w:rsidR="00202618" w:rsidRPr="005E6F75">
        <w:t>Legislation that is specified in a Schedule to this Act is amended or repealed as set out in the applicable items in the Schedule concerned, and any other item in a Schedule to this Act has effect according to its terms.</w:t>
      </w:r>
    </w:p>
    <w:p w:rsidR="003663E5" w:rsidRPr="005E6F75" w:rsidRDefault="003663E5" w:rsidP="005E6F75">
      <w:pPr>
        <w:pStyle w:val="ActHead6"/>
        <w:pageBreakBefore/>
      </w:pPr>
      <w:bookmarkStart w:id="5" w:name="_Toc479251857"/>
      <w:bookmarkStart w:id="6" w:name="opcAmSched"/>
      <w:r w:rsidRPr="005E6F75">
        <w:rPr>
          <w:rStyle w:val="CharAmSchNo"/>
        </w:rPr>
        <w:t>Schedule</w:t>
      </w:r>
      <w:r w:rsidR="005E6F75" w:rsidRPr="005E6F75">
        <w:rPr>
          <w:rStyle w:val="CharAmSchNo"/>
        </w:rPr>
        <w:t> </w:t>
      </w:r>
      <w:r w:rsidRPr="005E6F75">
        <w:rPr>
          <w:rStyle w:val="CharAmSchNo"/>
        </w:rPr>
        <w:t>1</w:t>
      </w:r>
      <w:r w:rsidRPr="005E6F75">
        <w:t>—</w:t>
      </w:r>
      <w:r w:rsidRPr="005E6F75">
        <w:rPr>
          <w:rStyle w:val="CharAmSchText"/>
        </w:rPr>
        <w:t>Amendment of the Terrorism Insurance Act 2003</w:t>
      </w:r>
      <w:bookmarkEnd w:id="5"/>
    </w:p>
    <w:bookmarkEnd w:id="6"/>
    <w:p w:rsidR="0067649D" w:rsidRPr="005E6F75" w:rsidRDefault="0067649D" w:rsidP="005E6F75">
      <w:pPr>
        <w:pStyle w:val="Header"/>
      </w:pPr>
      <w:r w:rsidRPr="005E6F75">
        <w:rPr>
          <w:rStyle w:val="CharAmPartNo"/>
        </w:rPr>
        <w:t xml:space="preserve"> </w:t>
      </w:r>
      <w:r w:rsidRPr="005E6F75">
        <w:rPr>
          <w:rStyle w:val="CharAmPartText"/>
        </w:rPr>
        <w:t xml:space="preserve"> </w:t>
      </w:r>
    </w:p>
    <w:p w:rsidR="0067649D" w:rsidRPr="005E6F75" w:rsidRDefault="0067649D" w:rsidP="005E6F75">
      <w:pPr>
        <w:pStyle w:val="ActHead9"/>
        <w:rPr>
          <w:i w:val="0"/>
        </w:rPr>
      </w:pPr>
      <w:bookmarkStart w:id="7" w:name="_Toc479251858"/>
      <w:r w:rsidRPr="005E6F75">
        <w:t>Terrorism Insurance Act 2003</w:t>
      </w:r>
      <w:bookmarkEnd w:id="7"/>
    </w:p>
    <w:p w:rsidR="0067649D" w:rsidRPr="005E6F75" w:rsidRDefault="00467200" w:rsidP="005E6F75">
      <w:pPr>
        <w:pStyle w:val="ItemHead"/>
      </w:pPr>
      <w:r w:rsidRPr="005E6F75">
        <w:t>1</w:t>
      </w:r>
      <w:r w:rsidR="0067649D" w:rsidRPr="005E6F75">
        <w:t xml:space="preserve">  At the end of subsection</w:t>
      </w:r>
      <w:r w:rsidR="005E6F75" w:rsidRPr="005E6F75">
        <w:t> </w:t>
      </w:r>
      <w:r w:rsidR="0067649D" w:rsidRPr="005E6F75">
        <w:t>8(2)</w:t>
      </w:r>
    </w:p>
    <w:p w:rsidR="0067649D" w:rsidRPr="005E6F75" w:rsidRDefault="0067649D" w:rsidP="005E6F75">
      <w:pPr>
        <w:pStyle w:val="Item"/>
      </w:pPr>
      <w:r w:rsidRPr="005E6F75">
        <w:t>Add:</w:t>
      </w:r>
    </w:p>
    <w:p w:rsidR="0067649D" w:rsidRPr="005E6F75" w:rsidRDefault="0067649D" w:rsidP="005E6F75">
      <w:pPr>
        <w:pStyle w:val="paragraph"/>
      </w:pPr>
      <w:r w:rsidRPr="005E6F75">
        <w:tab/>
        <w:t>; or (c)</w:t>
      </w:r>
      <w:r w:rsidRPr="005E6F75">
        <w:tab/>
        <w:t>acts that are described using the word “chemical”, “biological”, “polluting”, “contaminating”, “pathogenic” or “poisoning” or words of similar effect.</w:t>
      </w:r>
    </w:p>
    <w:p w:rsidR="0067649D" w:rsidRPr="005E6F75" w:rsidRDefault="00467200" w:rsidP="005E6F75">
      <w:pPr>
        <w:pStyle w:val="ItemHead"/>
      </w:pPr>
      <w:r w:rsidRPr="005E6F75">
        <w:t>2</w:t>
      </w:r>
      <w:r w:rsidR="0067649D" w:rsidRPr="005E6F75">
        <w:t xml:space="preserve">  Application of amendments</w:t>
      </w:r>
    </w:p>
    <w:p w:rsidR="0067649D" w:rsidRPr="005E6F75" w:rsidRDefault="0067649D" w:rsidP="005E6F75">
      <w:pPr>
        <w:pStyle w:val="Item"/>
      </w:pPr>
      <w:r w:rsidRPr="005E6F75">
        <w:t>The amendments made by this Schedule apply in relation to:</w:t>
      </w:r>
    </w:p>
    <w:p w:rsidR="0067649D" w:rsidRPr="005E6F75" w:rsidRDefault="0067649D" w:rsidP="005E6F75">
      <w:pPr>
        <w:pStyle w:val="paragraph"/>
      </w:pPr>
      <w:r w:rsidRPr="005E6F75">
        <w:tab/>
        <w:t>(a)</w:t>
      </w:r>
      <w:r w:rsidRPr="005E6F75">
        <w:tab/>
        <w:t>an act or acts declared, at a particular time at or after the commencement of this Schedule, under section</w:t>
      </w:r>
      <w:r w:rsidR="005E6F75" w:rsidRPr="005E6F75">
        <w:t> </w:t>
      </w:r>
      <w:r w:rsidRPr="005E6F75">
        <w:t xml:space="preserve">6 of the </w:t>
      </w:r>
      <w:r w:rsidRPr="005E6F75">
        <w:rPr>
          <w:i/>
        </w:rPr>
        <w:t>Terrorism Insurance Act 2003</w:t>
      </w:r>
      <w:r w:rsidRPr="005E6F75">
        <w:t xml:space="preserve"> to be a declared terrorist incident; and</w:t>
      </w:r>
    </w:p>
    <w:p w:rsidR="0067649D" w:rsidRPr="005E6F75" w:rsidRDefault="0067649D" w:rsidP="005E6F75">
      <w:pPr>
        <w:pStyle w:val="paragraph"/>
      </w:pPr>
      <w:r w:rsidRPr="005E6F75">
        <w:tab/>
        <w:t>(b)</w:t>
      </w:r>
      <w:r w:rsidRPr="005E6F75">
        <w:tab/>
        <w:t>eligible insurance contracts in force at that time (whether made before, at or after the commencement of this Schedule).</w:t>
      </w:r>
    </w:p>
    <w:p w:rsidR="003663E5" w:rsidRPr="005E6F75" w:rsidRDefault="003663E5" w:rsidP="005E6F75">
      <w:pPr>
        <w:pStyle w:val="ActHead6"/>
        <w:pageBreakBefore/>
      </w:pPr>
      <w:bookmarkStart w:id="8" w:name="_Toc479251859"/>
      <w:r w:rsidRPr="005E6F75">
        <w:rPr>
          <w:rStyle w:val="CharAmSchNo"/>
        </w:rPr>
        <w:t>Schedule</w:t>
      </w:r>
      <w:r w:rsidR="005E6F75" w:rsidRPr="005E6F75">
        <w:rPr>
          <w:rStyle w:val="CharAmSchNo"/>
        </w:rPr>
        <w:t> </w:t>
      </w:r>
      <w:r w:rsidRPr="005E6F75">
        <w:rPr>
          <w:rStyle w:val="CharAmSchNo"/>
        </w:rPr>
        <w:t>2</w:t>
      </w:r>
      <w:r w:rsidRPr="005E6F75">
        <w:t>—</w:t>
      </w:r>
      <w:r w:rsidRPr="005E6F75">
        <w:rPr>
          <w:rStyle w:val="CharAmSchText"/>
        </w:rPr>
        <w:t>Improving employee share schemes</w:t>
      </w:r>
      <w:bookmarkEnd w:id="8"/>
    </w:p>
    <w:p w:rsidR="0067649D" w:rsidRPr="005E6F75" w:rsidRDefault="0067649D" w:rsidP="005E6F75">
      <w:pPr>
        <w:pStyle w:val="Header"/>
      </w:pPr>
      <w:r w:rsidRPr="005E6F75">
        <w:rPr>
          <w:rStyle w:val="CharAmPartNo"/>
        </w:rPr>
        <w:t xml:space="preserve"> </w:t>
      </w:r>
      <w:r w:rsidRPr="005E6F75">
        <w:rPr>
          <w:rStyle w:val="CharAmPartText"/>
        </w:rPr>
        <w:t xml:space="preserve"> </w:t>
      </w:r>
    </w:p>
    <w:p w:rsidR="0067649D" w:rsidRPr="005E6F75" w:rsidRDefault="0067649D" w:rsidP="005E6F75">
      <w:pPr>
        <w:pStyle w:val="ActHead9"/>
        <w:rPr>
          <w:i w:val="0"/>
        </w:rPr>
      </w:pPr>
      <w:bookmarkStart w:id="9" w:name="_Toc479251860"/>
      <w:r w:rsidRPr="005E6F75">
        <w:t>Corporations Act 2001</w:t>
      </w:r>
      <w:bookmarkEnd w:id="9"/>
    </w:p>
    <w:p w:rsidR="0067649D" w:rsidRPr="005E6F75" w:rsidRDefault="00467200" w:rsidP="005E6F75">
      <w:pPr>
        <w:pStyle w:val="ItemHead"/>
      </w:pPr>
      <w:r w:rsidRPr="005E6F75">
        <w:t>1</w:t>
      </w:r>
      <w:r w:rsidR="0067649D" w:rsidRPr="005E6F75">
        <w:t xml:space="preserve">  Section</w:t>
      </w:r>
      <w:r w:rsidR="005E6F75" w:rsidRPr="005E6F75">
        <w:t> </w:t>
      </w:r>
      <w:r w:rsidR="0067649D" w:rsidRPr="005E6F75">
        <w:t>9</w:t>
      </w:r>
    </w:p>
    <w:p w:rsidR="0067649D" w:rsidRPr="005E6F75" w:rsidRDefault="0067649D" w:rsidP="005E6F75">
      <w:pPr>
        <w:pStyle w:val="Item"/>
      </w:pPr>
      <w:r w:rsidRPr="005E6F75">
        <w:t>Insert:</w:t>
      </w:r>
    </w:p>
    <w:p w:rsidR="0067649D" w:rsidRPr="005E6F75" w:rsidRDefault="0067649D" w:rsidP="005E6F75">
      <w:pPr>
        <w:pStyle w:val="Definition"/>
        <w:rPr>
          <w:b/>
          <w:i/>
        </w:rPr>
      </w:pPr>
      <w:r w:rsidRPr="005E6F75">
        <w:rPr>
          <w:b/>
          <w:i/>
        </w:rPr>
        <w:t xml:space="preserve">aggregated turnover </w:t>
      </w:r>
      <w:r w:rsidRPr="005E6F75">
        <w:t xml:space="preserve">has the same meaning as in the </w:t>
      </w:r>
      <w:r w:rsidRPr="005E6F75">
        <w:rPr>
          <w:i/>
        </w:rPr>
        <w:t>Income Tax Assessment Act 1997.</w:t>
      </w:r>
    </w:p>
    <w:p w:rsidR="0067649D" w:rsidRPr="005E6F75" w:rsidRDefault="0067649D" w:rsidP="005E6F75">
      <w:pPr>
        <w:pStyle w:val="Definition"/>
        <w:rPr>
          <w:b/>
          <w:i/>
        </w:rPr>
      </w:pPr>
      <w:r w:rsidRPr="005E6F75">
        <w:rPr>
          <w:b/>
          <w:i/>
        </w:rPr>
        <w:t xml:space="preserve">approved stock exchange </w:t>
      </w:r>
      <w:r w:rsidRPr="005E6F75">
        <w:t xml:space="preserve">has the same meaning as in the </w:t>
      </w:r>
      <w:r w:rsidRPr="005E6F75">
        <w:rPr>
          <w:i/>
        </w:rPr>
        <w:t>Income Tax Assessment Act 1997.</w:t>
      </w:r>
    </w:p>
    <w:p w:rsidR="0067649D" w:rsidRPr="005E6F75" w:rsidRDefault="0067649D" w:rsidP="005E6F75">
      <w:pPr>
        <w:pStyle w:val="Definition"/>
      </w:pPr>
      <w:r w:rsidRPr="005E6F75">
        <w:rPr>
          <w:b/>
          <w:i/>
        </w:rPr>
        <w:t>equity interest</w:t>
      </w:r>
      <w:r w:rsidRPr="005E6F75">
        <w:t xml:space="preserve"> has the same meaning as in the </w:t>
      </w:r>
      <w:r w:rsidRPr="005E6F75">
        <w:rPr>
          <w:i/>
        </w:rPr>
        <w:t>Income Tax Assessment Act 1997</w:t>
      </w:r>
      <w:r w:rsidRPr="005E6F75">
        <w:t>.</w:t>
      </w:r>
    </w:p>
    <w:p w:rsidR="0067649D" w:rsidRPr="005E6F75" w:rsidRDefault="0067649D" w:rsidP="005E6F75">
      <w:pPr>
        <w:pStyle w:val="Definition"/>
      </w:pPr>
      <w:r w:rsidRPr="005E6F75">
        <w:rPr>
          <w:b/>
          <w:i/>
        </w:rPr>
        <w:t>ESS interest</w:t>
      </w:r>
      <w:r w:rsidRPr="005E6F75">
        <w:t xml:space="preserve"> has the same meaning as in the </w:t>
      </w:r>
      <w:r w:rsidRPr="005E6F75">
        <w:rPr>
          <w:i/>
        </w:rPr>
        <w:t>Income Tax Assessment Act 1997</w:t>
      </w:r>
      <w:r w:rsidRPr="005E6F75">
        <w:t>.</w:t>
      </w:r>
    </w:p>
    <w:p w:rsidR="0067649D" w:rsidRPr="005E6F75" w:rsidRDefault="0067649D" w:rsidP="005E6F75">
      <w:pPr>
        <w:pStyle w:val="Definition"/>
      </w:pPr>
      <w:r w:rsidRPr="005E6F75">
        <w:rPr>
          <w:b/>
          <w:i/>
        </w:rPr>
        <w:t>foreign law</w:t>
      </w:r>
      <w:r w:rsidRPr="005E6F75">
        <w:t xml:space="preserve"> has the same meaning as in the </w:t>
      </w:r>
      <w:r w:rsidRPr="005E6F75">
        <w:rPr>
          <w:i/>
        </w:rPr>
        <w:t>Income Tax Assessment Act 1997</w:t>
      </w:r>
      <w:r w:rsidRPr="005E6F75">
        <w:t>.</w:t>
      </w:r>
    </w:p>
    <w:p w:rsidR="0067649D" w:rsidRPr="005E6F75" w:rsidRDefault="0067649D" w:rsidP="005E6F75">
      <w:pPr>
        <w:pStyle w:val="Definition"/>
      </w:pPr>
      <w:r w:rsidRPr="005E6F75">
        <w:rPr>
          <w:b/>
          <w:i/>
        </w:rPr>
        <w:t>income year</w:t>
      </w:r>
      <w:r w:rsidRPr="005E6F75">
        <w:t xml:space="preserve"> has the same meaning as in the </w:t>
      </w:r>
      <w:r w:rsidRPr="005E6F75">
        <w:rPr>
          <w:i/>
        </w:rPr>
        <w:t>Income Tax Assessment Act 1997</w:t>
      </w:r>
      <w:r w:rsidRPr="005E6F75">
        <w:t>.</w:t>
      </w:r>
    </w:p>
    <w:p w:rsidR="0067649D" w:rsidRPr="005E6F75" w:rsidRDefault="00467200" w:rsidP="005E6F75">
      <w:pPr>
        <w:pStyle w:val="ItemHead"/>
      </w:pPr>
      <w:r w:rsidRPr="005E6F75">
        <w:t>2</w:t>
      </w:r>
      <w:r w:rsidR="0067649D" w:rsidRPr="005E6F75">
        <w:t xml:space="preserve">  After subparagraph</w:t>
      </w:r>
      <w:r w:rsidR="005E6F75" w:rsidRPr="005E6F75">
        <w:t> </w:t>
      </w:r>
      <w:r w:rsidR="0067649D" w:rsidRPr="005E6F75">
        <w:t>1274(2)(a)(iv)</w:t>
      </w:r>
    </w:p>
    <w:p w:rsidR="0067649D" w:rsidRPr="005E6F75" w:rsidRDefault="0067649D" w:rsidP="005E6F75">
      <w:pPr>
        <w:pStyle w:val="Item"/>
      </w:pPr>
      <w:r w:rsidRPr="005E6F75">
        <w:t>Insert:</w:t>
      </w:r>
    </w:p>
    <w:p w:rsidR="0067649D" w:rsidRPr="005E6F75" w:rsidRDefault="0067649D" w:rsidP="005E6F75">
      <w:pPr>
        <w:pStyle w:val="paragraphsub"/>
      </w:pPr>
      <w:r w:rsidRPr="005E6F75">
        <w:tab/>
        <w:t>(iva)</w:t>
      </w:r>
      <w:r w:rsidRPr="005E6F75">
        <w:tab/>
        <w:t>a disclosure document lodged under section</w:t>
      </w:r>
      <w:r w:rsidR="005E6F75" w:rsidRPr="005E6F75">
        <w:t> </w:t>
      </w:r>
      <w:r w:rsidRPr="005E6F75">
        <w:t>718, or a supplementary or replacement document lodged under section</w:t>
      </w:r>
      <w:r w:rsidR="005E6F75" w:rsidRPr="005E6F75">
        <w:t> </w:t>
      </w:r>
      <w:r w:rsidRPr="005E6F75">
        <w:t xml:space="preserve">719, in relation to an offer of an ESS interest, in a company (within the meaning of the </w:t>
      </w:r>
      <w:r w:rsidRPr="005E6F75">
        <w:rPr>
          <w:i/>
        </w:rPr>
        <w:t>Income Tax Assessment Act 1997</w:t>
      </w:r>
      <w:r w:rsidRPr="005E6F75">
        <w:t xml:space="preserve">), if the conditions set out in </w:t>
      </w:r>
      <w:r w:rsidR="005E6F75" w:rsidRPr="005E6F75">
        <w:t>subsection (</w:t>
      </w:r>
      <w:r w:rsidRPr="005E6F75">
        <w:t>2AA) are satisfied; or</w:t>
      </w:r>
    </w:p>
    <w:p w:rsidR="0067649D" w:rsidRPr="005E6F75" w:rsidRDefault="00467200" w:rsidP="005E6F75">
      <w:pPr>
        <w:pStyle w:val="ItemHead"/>
      </w:pPr>
      <w:r w:rsidRPr="005E6F75">
        <w:t>3</w:t>
      </w:r>
      <w:r w:rsidR="0067649D" w:rsidRPr="005E6F75">
        <w:t xml:space="preserve">  After subsection</w:t>
      </w:r>
      <w:r w:rsidR="005E6F75" w:rsidRPr="005E6F75">
        <w:t> </w:t>
      </w:r>
      <w:r w:rsidR="0067649D" w:rsidRPr="005E6F75">
        <w:t>1274(2)</w:t>
      </w:r>
    </w:p>
    <w:p w:rsidR="0067649D" w:rsidRPr="005E6F75" w:rsidRDefault="0067649D" w:rsidP="005E6F75">
      <w:pPr>
        <w:pStyle w:val="Item"/>
      </w:pPr>
      <w:r w:rsidRPr="005E6F75">
        <w:t>Insert:</w:t>
      </w:r>
    </w:p>
    <w:p w:rsidR="0067649D" w:rsidRPr="005E6F75" w:rsidRDefault="0067649D" w:rsidP="005E6F75">
      <w:pPr>
        <w:pStyle w:val="subsection"/>
      </w:pPr>
      <w:r w:rsidRPr="005E6F75">
        <w:tab/>
        <w:t>(2AA)</w:t>
      </w:r>
      <w:r w:rsidRPr="005E6F75">
        <w:tab/>
        <w:t xml:space="preserve">For the purposes of </w:t>
      </w:r>
      <w:r w:rsidR="005E6F75" w:rsidRPr="005E6F75">
        <w:t>subparagraph (</w:t>
      </w:r>
      <w:r w:rsidRPr="005E6F75">
        <w:t>2)(a)(iva), the conditions are the following:</w:t>
      </w:r>
    </w:p>
    <w:p w:rsidR="0067649D" w:rsidRPr="005E6F75" w:rsidRDefault="0067649D" w:rsidP="005E6F75">
      <w:pPr>
        <w:pStyle w:val="paragraph"/>
      </w:pPr>
      <w:r w:rsidRPr="005E6F75">
        <w:tab/>
        <w:t>(a)</w:t>
      </w:r>
      <w:r w:rsidRPr="005E6F75">
        <w:tab/>
        <w:t xml:space="preserve">the offer is under an employee share scheme (within the meaning of the </w:t>
      </w:r>
      <w:r w:rsidRPr="005E6F75">
        <w:rPr>
          <w:i/>
        </w:rPr>
        <w:t>Income Tax Assessment Act 1997</w:t>
      </w:r>
      <w:r w:rsidRPr="005E6F75">
        <w:t>);</w:t>
      </w:r>
    </w:p>
    <w:p w:rsidR="0067649D" w:rsidRPr="005E6F75" w:rsidRDefault="0067649D" w:rsidP="005E6F75">
      <w:pPr>
        <w:pStyle w:val="paragraph"/>
      </w:pPr>
      <w:r w:rsidRPr="005E6F75">
        <w:tab/>
        <w:t>(b)</w:t>
      </w:r>
      <w:r w:rsidRPr="005E6F75">
        <w:tab/>
        <w:t xml:space="preserve">the disclosure document or replacement document being lodged, or the disclosure document as supplemented by the supplementary document being lodged, states that the ESS interest, in the company (within the meaning of that Act) (the </w:t>
      </w:r>
      <w:r w:rsidRPr="005E6F75">
        <w:rPr>
          <w:b/>
          <w:i/>
        </w:rPr>
        <w:t>issuing company</w:t>
      </w:r>
      <w:r w:rsidRPr="005E6F75">
        <w:t>), will:</w:t>
      </w:r>
    </w:p>
    <w:p w:rsidR="0067649D" w:rsidRPr="005E6F75" w:rsidRDefault="0067649D" w:rsidP="005E6F75">
      <w:pPr>
        <w:pStyle w:val="paragraphsub"/>
      </w:pPr>
      <w:r w:rsidRPr="005E6F75">
        <w:tab/>
        <w:t>(i)</w:t>
      </w:r>
      <w:r w:rsidRPr="005E6F75">
        <w:tab/>
        <w:t>be made available only to employees of the issuing company or a subsidiary (within the meaning of that Act) of the issuing company; and</w:t>
      </w:r>
    </w:p>
    <w:p w:rsidR="0067649D" w:rsidRPr="005E6F75" w:rsidRDefault="0067649D" w:rsidP="005E6F75">
      <w:pPr>
        <w:pStyle w:val="paragraphsub"/>
      </w:pPr>
      <w:r w:rsidRPr="005E6F75">
        <w:tab/>
        <w:t>(ii)</w:t>
      </w:r>
      <w:r w:rsidRPr="005E6F75">
        <w:tab/>
        <w:t>relate only to ordinary shares;</w:t>
      </w:r>
    </w:p>
    <w:p w:rsidR="0067649D" w:rsidRPr="005E6F75" w:rsidRDefault="0067649D" w:rsidP="005E6F75">
      <w:pPr>
        <w:pStyle w:val="paragraph"/>
      </w:pPr>
      <w:r w:rsidRPr="005E6F75">
        <w:tab/>
        <w:t>(c)</w:t>
      </w:r>
      <w:r w:rsidRPr="005E6F75">
        <w:tab/>
        <w:t xml:space="preserve">no equity interests in any of the following companies are listed for quotation in the official list of any approved stock exchange at the end of the issuing company’s most recent income year (the </w:t>
      </w:r>
      <w:r w:rsidRPr="005E6F75">
        <w:rPr>
          <w:b/>
          <w:i/>
        </w:rPr>
        <w:t>pre</w:t>
      </w:r>
      <w:r w:rsidR="00BF31FE">
        <w:rPr>
          <w:b/>
          <w:i/>
        </w:rPr>
        <w:noBreakHyphen/>
      </w:r>
      <w:r w:rsidRPr="005E6F75">
        <w:rPr>
          <w:b/>
          <w:i/>
        </w:rPr>
        <w:t>lodgement year</w:t>
      </w:r>
      <w:r w:rsidRPr="005E6F75">
        <w:t>) before the income year in which the disclosure document or replacement document, or the disclosure document being supplemented by the supplementary document, is lodged:</w:t>
      </w:r>
    </w:p>
    <w:p w:rsidR="0067649D" w:rsidRPr="005E6F75" w:rsidRDefault="0067649D" w:rsidP="005E6F75">
      <w:pPr>
        <w:pStyle w:val="paragraphsub"/>
      </w:pPr>
      <w:r w:rsidRPr="005E6F75">
        <w:tab/>
        <w:t>(i)</w:t>
      </w:r>
      <w:r w:rsidRPr="005E6F75">
        <w:tab/>
        <w:t>the issuing company;</w:t>
      </w:r>
    </w:p>
    <w:p w:rsidR="0067649D" w:rsidRPr="005E6F75" w:rsidRDefault="0067649D" w:rsidP="005E6F75">
      <w:pPr>
        <w:pStyle w:val="paragraphsub"/>
      </w:pPr>
      <w:r w:rsidRPr="005E6F75">
        <w:tab/>
        <w:t>(ii)</w:t>
      </w:r>
      <w:r w:rsidRPr="005E6F75">
        <w:tab/>
        <w:t>any subsidiary (within the meaning of that Act) of the issuing company at the end of the pre</w:t>
      </w:r>
      <w:r w:rsidR="00BF31FE">
        <w:noBreakHyphen/>
      </w:r>
      <w:r w:rsidRPr="005E6F75">
        <w:t>lodgement year;</w:t>
      </w:r>
    </w:p>
    <w:p w:rsidR="0067649D" w:rsidRPr="005E6F75" w:rsidRDefault="0067649D" w:rsidP="005E6F75">
      <w:pPr>
        <w:pStyle w:val="paragraphsub"/>
      </w:pPr>
      <w:r w:rsidRPr="005E6F75">
        <w:tab/>
        <w:t>(iii)</w:t>
      </w:r>
      <w:r w:rsidRPr="005E6F75">
        <w:tab/>
        <w:t>any holding company of the issuing company at the end of the pre</w:t>
      </w:r>
      <w:r w:rsidR="00BF31FE">
        <w:noBreakHyphen/>
      </w:r>
      <w:r w:rsidRPr="005E6F75">
        <w:t>lodgement year;</w:t>
      </w:r>
    </w:p>
    <w:p w:rsidR="0067649D" w:rsidRPr="005E6F75" w:rsidRDefault="0067649D" w:rsidP="005E6F75">
      <w:pPr>
        <w:pStyle w:val="paragraphsub"/>
      </w:pPr>
      <w:r w:rsidRPr="005E6F75">
        <w:tab/>
        <w:t>(iv)</w:t>
      </w:r>
      <w:r w:rsidRPr="005E6F75">
        <w:tab/>
        <w:t>any subsidiary (within the meaning of that Act) of a holding company of the issuing company at the end of the pre</w:t>
      </w:r>
      <w:r w:rsidR="00BF31FE">
        <w:noBreakHyphen/>
      </w:r>
      <w:r w:rsidRPr="005E6F75">
        <w:t>lodgement year;</w:t>
      </w:r>
    </w:p>
    <w:p w:rsidR="0067649D" w:rsidRPr="005E6F75" w:rsidRDefault="0067649D" w:rsidP="005E6F75">
      <w:pPr>
        <w:pStyle w:val="paragraph"/>
      </w:pPr>
      <w:r w:rsidRPr="005E6F75">
        <w:tab/>
        <w:t>(d)</w:t>
      </w:r>
      <w:r w:rsidRPr="005E6F75">
        <w:tab/>
        <w:t xml:space="preserve">the issuing company and each of the other companies mentioned in </w:t>
      </w:r>
      <w:r w:rsidR="005E6F75" w:rsidRPr="005E6F75">
        <w:t>paragraph (</w:t>
      </w:r>
      <w:r w:rsidRPr="005E6F75">
        <w:t>c) were incorporated by or under an Australian law or foreign law less than 10 years before the end of the pre</w:t>
      </w:r>
      <w:r w:rsidR="00BF31FE">
        <w:noBreakHyphen/>
      </w:r>
      <w:r w:rsidRPr="005E6F75">
        <w:t>lodgement year;</w:t>
      </w:r>
    </w:p>
    <w:p w:rsidR="0067649D" w:rsidRPr="005E6F75" w:rsidRDefault="0067649D" w:rsidP="005E6F75">
      <w:pPr>
        <w:pStyle w:val="paragraph"/>
      </w:pPr>
      <w:r w:rsidRPr="005E6F75">
        <w:tab/>
        <w:t>(e)</w:t>
      </w:r>
      <w:r w:rsidRPr="005E6F75">
        <w:tab/>
        <w:t>the issuing company had an aggregated turnover not exceeding $50 million for the pre</w:t>
      </w:r>
      <w:r w:rsidR="00BF31FE">
        <w:noBreakHyphen/>
      </w:r>
      <w:r w:rsidRPr="005E6F75">
        <w:t>lodgement year.</w:t>
      </w:r>
    </w:p>
    <w:p w:rsidR="0067649D" w:rsidRPr="005E6F75" w:rsidRDefault="0067649D" w:rsidP="005E6F75">
      <w:pPr>
        <w:pStyle w:val="subsection"/>
      </w:pPr>
      <w:r w:rsidRPr="005E6F75">
        <w:tab/>
        <w:t>(2AB)</w:t>
      </w:r>
      <w:r w:rsidRPr="005E6F75">
        <w:tab/>
        <w:t>Subsection</w:t>
      </w:r>
      <w:r w:rsidR="005E6F75" w:rsidRPr="005E6F75">
        <w:t> </w:t>
      </w:r>
      <w:r w:rsidRPr="005E6F75">
        <w:t>83A</w:t>
      </w:r>
      <w:r w:rsidR="00BF31FE">
        <w:noBreakHyphen/>
      </w:r>
      <w:r w:rsidRPr="005E6F75">
        <w:t xml:space="preserve">33(7) of the </w:t>
      </w:r>
      <w:r w:rsidRPr="005E6F75">
        <w:rPr>
          <w:i/>
        </w:rPr>
        <w:t xml:space="preserve">Income Tax Assessment Act 1997 </w:t>
      </w:r>
      <w:r w:rsidRPr="005E6F75">
        <w:t>also</w:t>
      </w:r>
      <w:r w:rsidRPr="005E6F75">
        <w:rPr>
          <w:i/>
        </w:rPr>
        <w:t xml:space="preserve"> </w:t>
      </w:r>
      <w:r w:rsidRPr="005E6F75">
        <w:t xml:space="preserve">applies for the purposes of </w:t>
      </w:r>
      <w:r w:rsidR="005E6F75" w:rsidRPr="005E6F75">
        <w:t>subsection (</w:t>
      </w:r>
      <w:r w:rsidRPr="005E6F75">
        <w:t>2AA) of this section.</w:t>
      </w:r>
    </w:p>
    <w:p w:rsidR="0067649D" w:rsidRPr="005E6F75" w:rsidRDefault="00467200" w:rsidP="005E6F75">
      <w:pPr>
        <w:pStyle w:val="ItemHead"/>
      </w:pPr>
      <w:r w:rsidRPr="005E6F75">
        <w:t>4</w:t>
      </w:r>
      <w:r w:rsidR="0067649D" w:rsidRPr="005E6F75">
        <w:t xml:space="preserve">  In the appropriate position in Chapter</w:t>
      </w:r>
      <w:r w:rsidR="005E6F75" w:rsidRPr="005E6F75">
        <w:t> </w:t>
      </w:r>
      <w:r w:rsidR="0067649D" w:rsidRPr="005E6F75">
        <w:t>10</w:t>
      </w:r>
    </w:p>
    <w:p w:rsidR="0067649D" w:rsidRPr="005E6F75" w:rsidRDefault="0067649D" w:rsidP="005E6F75">
      <w:pPr>
        <w:pStyle w:val="Item"/>
      </w:pPr>
      <w:r w:rsidRPr="005E6F75">
        <w:t>Insert:</w:t>
      </w:r>
    </w:p>
    <w:p w:rsidR="0067649D" w:rsidRPr="005E6F75" w:rsidRDefault="0067649D" w:rsidP="005E6F75">
      <w:pPr>
        <w:pStyle w:val="ActHead2"/>
      </w:pPr>
      <w:bookmarkStart w:id="10" w:name="_Toc479251861"/>
      <w:r w:rsidRPr="005E6F75">
        <w:rPr>
          <w:rStyle w:val="CharPartNo"/>
        </w:rPr>
        <w:t>Part</w:t>
      </w:r>
      <w:r w:rsidR="005E6F75" w:rsidRPr="005E6F75">
        <w:rPr>
          <w:rStyle w:val="CharPartNo"/>
        </w:rPr>
        <w:t> </w:t>
      </w:r>
      <w:r w:rsidRPr="005E6F75">
        <w:rPr>
          <w:rStyle w:val="CharPartNo"/>
        </w:rPr>
        <w:t>10.28</w:t>
      </w:r>
      <w:r w:rsidRPr="005E6F75">
        <w:t>—</w:t>
      </w:r>
      <w:r w:rsidRPr="005E6F75">
        <w:rPr>
          <w:rStyle w:val="CharPartText"/>
        </w:rPr>
        <w:t>Transitional provisions relating to the Treasury Laws Amendment (2016 Measures No.</w:t>
      </w:r>
      <w:r w:rsidR="005E6F75" w:rsidRPr="005E6F75">
        <w:rPr>
          <w:rStyle w:val="CharPartText"/>
        </w:rPr>
        <w:t> </w:t>
      </w:r>
      <w:r w:rsidRPr="005E6F75">
        <w:rPr>
          <w:rStyle w:val="CharPartText"/>
        </w:rPr>
        <w:t>1) Act 201</w:t>
      </w:r>
      <w:r w:rsidR="009A14D7">
        <w:rPr>
          <w:rStyle w:val="CharPartText"/>
        </w:rPr>
        <w:t>7</w:t>
      </w:r>
      <w:bookmarkEnd w:id="10"/>
    </w:p>
    <w:p w:rsidR="0067649D" w:rsidRPr="005E6F75" w:rsidRDefault="0067649D" w:rsidP="005E6F75">
      <w:pPr>
        <w:pStyle w:val="Header"/>
      </w:pPr>
      <w:r w:rsidRPr="005E6F75">
        <w:rPr>
          <w:rStyle w:val="CharDivNo"/>
        </w:rPr>
        <w:t xml:space="preserve"> </w:t>
      </w:r>
      <w:r w:rsidRPr="005E6F75">
        <w:rPr>
          <w:rStyle w:val="CharDivText"/>
        </w:rPr>
        <w:t xml:space="preserve"> </w:t>
      </w:r>
    </w:p>
    <w:p w:rsidR="0067649D" w:rsidRPr="005E6F75" w:rsidRDefault="0067649D" w:rsidP="005E6F75">
      <w:pPr>
        <w:pStyle w:val="ActHead5"/>
      </w:pPr>
      <w:bookmarkStart w:id="11" w:name="_Toc479251862"/>
      <w:r w:rsidRPr="005E6F75">
        <w:rPr>
          <w:rStyle w:val="CharSectno"/>
        </w:rPr>
        <w:t>1637</w:t>
      </w:r>
      <w:r w:rsidRPr="005E6F75">
        <w:t xml:space="preserve">  Application of subparagraph</w:t>
      </w:r>
      <w:r w:rsidR="005E6F75" w:rsidRPr="005E6F75">
        <w:t> </w:t>
      </w:r>
      <w:r w:rsidRPr="005E6F75">
        <w:t>1274(2)(a)(iva) and subsections</w:t>
      </w:r>
      <w:r w:rsidR="005E6F75" w:rsidRPr="005E6F75">
        <w:t> </w:t>
      </w:r>
      <w:r w:rsidRPr="005E6F75">
        <w:t>1274(2AA) and (2AB)</w:t>
      </w:r>
      <w:bookmarkEnd w:id="11"/>
    </w:p>
    <w:p w:rsidR="0067649D" w:rsidRPr="005E6F75" w:rsidRDefault="0067649D" w:rsidP="005E6F75">
      <w:pPr>
        <w:pStyle w:val="subsection"/>
      </w:pPr>
      <w:r w:rsidRPr="005E6F75">
        <w:tab/>
      </w:r>
      <w:r w:rsidRPr="005E6F75">
        <w:tab/>
        <w:t>Subparagraph 1274(2)(a)(iva) and subsections</w:t>
      </w:r>
      <w:r w:rsidR="005E6F75" w:rsidRPr="005E6F75">
        <w:t> </w:t>
      </w:r>
      <w:r w:rsidRPr="005E6F75">
        <w:t>1274(2AA) and (2AB), as inserted by Schedule</w:t>
      </w:r>
      <w:r w:rsidR="005E6F75" w:rsidRPr="005E6F75">
        <w:t> </w:t>
      </w:r>
      <w:r w:rsidRPr="005E6F75">
        <w:t xml:space="preserve">2 to the </w:t>
      </w:r>
      <w:r w:rsidRPr="005E6F75">
        <w:rPr>
          <w:i/>
        </w:rPr>
        <w:t>Treasury Laws Amendment (2016 Measures No.</w:t>
      </w:r>
      <w:r w:rsidR="005E6F75" w:rsidRPr="005E6F75">
        <w:rPr>
          <w:i/>
        </w:rPr>
        <w:t> </w:t>
      </w:r>
      <w:r w:rsidR="009A14D7">
        <w:rPr>
          <w:i/>
        </w:rPr>
        <w:t>1) Act 2017</w:t>
      </w:r>
      <w:r w:rsidRPr="005E6F75">
        <w:t>, apply to the following:</w:t>
      </w:r>
    </w:p>
    <w:p w:rsidR="0067649D" w:rsidRPr="005E6F75" w:rsidRDefault="0067649D" w:rsidP="005E6F75">
      <w:pPr>
        <w:pStyle w:val="paragraph"/>
      </w:pPr>
      <w:r w:rsidRPr="005E6F75">
        <w:tab/>
        <w:t>(a)</w:t>
      </w:r>
      <w:r w:rsidRPr="005E6F75">
        <w:tab/>
        <w:t>a disclosure document lodged under section</w:t>
      </w:r>
      <w:r w:rsidR="005E6F75" w:rsidRPr="005E6F75">
        <w:t> </w:t>
      </w:r>
      <w:r w:rsidRPr="005E6F75">
        <w:t>718 after that Schedule commences;</w:t>
      </w:r>
    </w:p>
    <w:p w:rsidR="0067649D" w:rsidRPr="005E6F75" w:rsidRDefault="0067649D" w:rsidP="005E6F75">
      <w:pPr>
        <w:pStyle w:val="paragraph"/>
      </w:pPr>
      <w:r w:rsidRPr="005E6F75">
        <w:tab/>
        <w:t>(b)</w:t>
      </w:r>
      <w:r w:rsidRPr="005E6F75">
        <w:tab/>
        <w:t>a replacement document lodged under section</w:t>
      </w:r>
      <w:r w:rsidR="005E6F75" w:rsidRPr="005E6F75">
        <w:t> </w:t>
      </w:r>
      <w:r w:rsidRPr="005E6F75">
        <w:t>719 after that commencement;</w:t>
      </w:r>
    </w:p>
    <w:p w:rsidR="0067649D" w:rsidRPr="005E6F75" w:rsidRDefault="0067649D" w:rsidP="005E6F75">
      <w:pPr>
        <w:pStyle w:val="paragraph"/>
      </w:pPr>
      <w:r w:rsidRPr="005E6F75">
        <w:tab/>
        <w:t>(c)</w:t>
      </w:r>
      <w:r w:rsidRPr="005E6F75">
        <w:tab/>
        <w:t>a supplementary document lodged under section</w:t>
      </w:r>
      <w:r w:rsidR="005E6F75" w:rsidRPr="005E6F75">
        <w:t> </w:t>
      </w:r>
      <w:r w:rsidRPr="005E6F75">
        <w:t>719 after that commencement if the disclosure document it supplements was also lodged after that commencement.</w:t>
      </w:r>
    </w:p>
    <w:p w:rsidR="003663E5" w:rsidRPr="005E6F75" w:rsidRDefault="003663E5" w:rsidP="005E6F75">
      <w:pPr>
        <w:pStyle w:val="ActHead6"/>
        <w:pageBreakBefore/>
      </w:pPr>
      <w:bookmarkStart w:id="12" w:name="_Toc479251863"/>
      <w:r w:rsidRPr="005E6F75">
        <w:rPr>
          <w:rStyle w:val="CharAmSchNo"/>
        </w:rPr>
        <w:t>Schedule</w:t>
      </w:r>
      <w:r w:rsidR="005E6F75" w:rsidRPr="005E6F75">
        <w:rPr>
          <w:rStyle w:val="CharAmSchNo"/>
        </w:rPr>
        <w:t> </w:t>
      </w:r>
      <w:r w:rsidRPr="005E6F75">
        <w:rPr>
          <w:rStyle w:val="CharAmSchNo"/>
        </w:rPr>
        <w:t>3</w:t>
      </w:r>
      <w:r w:rsidRPr="005E6F75">
        <w:t>—</w:t>
      </w:r>
      <w:r w:rsidRPr="005E6F75">
        <w:rPr>
          <w:rStyle w:val="CharAmSchText"/>
        </w:rPr>
        <w:t>DGR specific listings</w:t>
      </w:r>
      <w:bookmarkEnd w:id="12"/>
    </w:p>
    <w:p w:rsidR="0067649D" w:rsidRPr="005E6F75" w:rsidRDefault="0067649D" w:rsidP="005E6F75">
      <w:pPr>
        <w:pStyle w:val="ActHead7"/>
      </w:pPr>
      <w:bookmarkStart w:id="13" w:name="_Toc479251864"/>
      <w:r w:rsidRPr="005E6F75">
        <w:rPr>
          <w:rStyle w:val="CharAmPartNo"/>
        </w:rPr>
        <w:t>Part</w:t>
      </w:r>
      <w:r w:rsidR="005E6F75" w:rsidRPr="005E6F75">
        <w:rPr>
          <w:rStyle w:val="CharAmPartNo"/>
        </w:rPr>
        <w:t> </w:t>
      </w:r>
      <w:r w:rsidRPr="005E6F75">
        <w:rPr>
          <w:rStyle w:val="CharAmPartNo"/>
        </w:rPr>
        <w:t>1</w:t>
      </w:r>
      <w:r w:rsidRPr="005E6F75">
        <w:t>—</w:t>
      </w:r>
      <w:r w:rsidRPr="005E6F75">
        <w:rPr>
          <w:rStyle w:val="CharAmPartText"/>
        </w:rPr>
        <w:t>Main amendments</w:t>
      </w:r>
      <w:bookmarkEnd w:id="13"/>
    </w:p>
    <w:p w:rsidR="0067649D" w:rsidRPr="005E6F75" w:rsidRDefault="0067649D" w:rsidP="005E6F75">
      <w:pPr>
        <w:pStyle w:val="ActHead9"/>
        <w:rPr>
          <w:i w:val="0"/>
        </w:rPr>
      </w:pPr>
      <w:bookmarkStart w:id="14" w:name="_Toc479251865"/>
      <w:r w:rsidRPr="005E6F75">
        <w:t>Income Tax Assessment Act 1997</w:t>
      </w:r>
      <w:bookmarkEnd w:id="14"/>
    </w:p>
    <w:p w:rsidR="0067649D" w:rsidRPr="005E6F75" w:rsidRDefault="00467200" w:rsidP="005E6F75">
      <w:pPr>
        <w:pStyle w:val="ItemHead"/>
      </w:pPr>
      <w:r w:rsidRPr="005E6F75">
        <w:t>1</w:t>
      </w:r>
      <w:r w:rsidR="0067649D" w:rsidRPr="005E6F75">
        <w:t xml:space="preserve">  Subsection</w:t>
      </w:r>
      <w:r w:rsidR="005E6F75" w:rsidRPr="005E6F75">
        <w:t> </w:t>
      </w:r>
      <w:r w:rsidR="0067649D" w:rsidRPr="005E6F75">
        <w:t>30</w:t>
      </w:r>
      <w:r w:rsidR="00BF31FE">
        <w:noBreakHyphen/>
      </w:r>
      <w:r w:rsidR="0067649D" w:rsidRPr="005E6F75">
        <w:t>20(2) (at the end of the table)</w:t>
      </w:r>
    </w:p>
    <w:p w:rsidR="0067649D" w:rsidRPr="005E6F75" w:rsidRDefault="0067649D" w:rsidP="005E6F75">
      <w:pPr>
        <w:pStyle w:val="Item"/>
      </w:pPr>
      <w:r w:rsidRPr="005E6F75">
        <w:t>Add:</w:t>
      </w:r>
    </w:p>
    <w:tbl>
      <w:tblPr>
        <w:tblW w:w="7307" w:type="dxa"/>
        <w:tblInd w:w="23" w:type="dxa"/>
        <w:tblLayout w:type="fixed"/>
        <w:tblLook w:val="0020" w:firstRow="1" w:lastRow="0" w:firstColumn="0" w:lastColumn="0" w:noHBand="0" w:noVBand="0"/>
      </w:tblPr>
      <w:tblGrid>
        <w:gridCol w:w="854"/>
        <w:gridCol w:w="3766"/>
        <w:gridCol w:w="2687"/>
      </w:tblGrid>
      <w:tr w:rsidR="0067649D" w:rsidRPr="005E6F75" w:rsidTr="0067649D">
        <w:trPr>
          <w:cantSplit/>
        </w:trPr>
        <w:tc>
          <w:tcPr>
            <w:tcW w:w="854" w:type="dxa"/>
            <w:tcBorders>
              <w:bottom w:val="single" w:sz="4" w:space="0" w:color="auto"/>
            </w:tcBorders>
            <w:shd w:val="clear" w:color="auto" w:fill="auto"/>
          </w:tcPr>
          <w:p w:rsidR="0067649D" w:rsidRPr="005E6F75" w:rsidRDefault="0067649D" w:rsidP="005E6F75">
            <w:pPr>
              <w:pStyle w:val="Tabletext"/>
            </w:pPr>
            <w:r w:rsidRPr="005E6F75">
              <w:t>1.2.20</w:t>
            </w:r>
          </w:p>
        </w:tc>
        <w:tc>
          <w:tcPr>
            <w:tcW w:w="3766" w:type="dxa"/>
            <w:tcBorders>
              <w:bottom w:val="single" w:sz="4" w:space="0" w:color="auto"/>
            </w:tcBorders>
            <w:shd w:val="clear" w:color="auto" w:fill="auto"/>
          </w:tcPr>
          <w:p w:rsidR="0067649D" w:rsidRPr="005E6F75" w:rsidRDefault="0067649D" w:rsidP="005E6F75">
            <w:pPr>
              <w:pStyle w:val="Tabletext"/>
            </w:pPr>
            <w:r w:rsidRPr="005E6F75">
              <w:t>The Australasian College of Dermatologists</w:t>
            </w:r>
          </w:p>
        </w:tc>
        <w:tc>
          <w:tcPr>
            <w:tcW w:w="2687" w:type="dxa"/>
            <w:tcBorders>
              <w:bottom w:val="single" w:sz="4" w:space="0" w:color="auto"/>
            </w:tcBorders>
            <w:shd w:val="clear" w:color="auto" w:fill="auto"/>
          </w:tcPr>
          <w:p w:rsidR="0067649D" w:rsidRPr="005E6F75" w:rsidRDefault="0067649D" w:rsidP="005E6F75">
            <w:pPr>
              <w:pStyle w:val="Tabletext"/>
            </w:pPr>
            <w:r w:rsidRPr="005E6F75">
              <w:t>the gift must be made for education or research in medical knowledge or science</w:t>
            </w:r>
          </w:p>
        </w:tc>
      </w:tr>
      <w:tr w:rsidR="0067649D" w:rsidRPr="005E6F75" w:rsidTr="0067649D">
        <w:trPr>
          <w:cantSplit/>
        </w:trPr>
        <w:tc>
          <w:tcPr>
            <w:tcW w:w="854" w:type="dxa"/>
            <w:tcBorders>
              <w:top w:val="single" w:sz="4" w:space="0" w:color="auto"/>
              <w:bottom w:val="single" w:sz="4" w:space="0" w:color="auto"/>
            </w:tcBorders>
            <w:shd w:val="clear" w:color="auto" w:fill="auto"/>
          </w:tcPr>
          <w:p w:rsidR="0067649D" w:rsidRPr="005E6F75" w:rsidRDefault="0067649D" w:rsidP="005E6F75">
            <w:pPr>
              <w:pStyle w:val="Tabletext"/>
            </w:pPr>
            <w:r w:rsidRPr="005E6F75">
              <w:t>1.2.21</w:t>
            </w:r>
          </w:p>
        </w:tc>
        <w:tc>
          <w:tcPr>
            <w:tcW w:w="3766" w:type="dxa"/>
            <w:tcBorders>
              <w:top w:val="single" w:sz="4" w:space="0" w:color="auto"/>
              <w:bottom w:val="single" w:sz="4" w:space="0" w:color="auto"/>
            </w:tcBorders>
            <w:shd w:val="clear" w:color="auto" w:fill="auto"/>
          </w:tcPr>
          <w:p w:rsidR="0067649D" w:rsidRPr="005E6F75" w:rsidRDefault="0067649D" w:rsidP="005E6F75">
            <w:pPr>
              <w:pStyle w:val="Tabletext"/>
            </w:pPr>
            <w:r w:rsidRPr="005E6F75">
              <w:t>College of Intensive Care Medicine of Australia and New Zealand</w:t>
            </w:r>
          </w:p>
        </w:tc>
        <w:tc>
          <w:tcPr>
            <w:tcW w:w="2687" w:type="dxa"/>
            <w:tcBorders>
              <w:top w:val="single" w:sz="4" w:space="0" w:color="auto"/>
              <w:bottom w:val="single" w:sz="4" w:space="0" w:color="auto"/>
            </w:tcBorders>
            <w:shd w:val="clear" w:color="auto" w:fill="auto"/>
          </w:tcPr>
          <w:p w:rsidR="0067649D" w:rsidRPr="005E6F75" w:rsidRDefault="0067649D" w:rsidP="005E6F75">
            <w:pPr>
              <w:pStyle w:val="Tabletext"/>
            </w:pPr>
            <w:r w:rsidRPr="005E6F75">
              <w:t>the gift must be made for education or research in medical knowledge or science</w:t>
            </w:r>
          </w:p>
        </w:tc>
      </w:tr>
      <w:tr w:rsidR="0067649D" w:rsidRPr="005E6F75" w:rsidTr="0067649D">
        <w:trPr>
          <w:cantSplit/>
        </w:trPr>
        <w:tc>
          <w:tcPr>
            <w:tcW w:w="854" w:type="dxa"/>
            <w:tcBorders>
              <w:top w:val="single" w:sz="4" w:space="0" w:color="auto"/>
            </w:tcBorders>
            <w:shd w:val="clear" w:color="auto" w:fill="auto"/>
          </w:tcPr>
          <w:p w:rsidR="0067649D" w:rsidRPr="005E6F75" w:rsidRDefault="0067649D" w:rsidP="005E6F75">
            <w:pPr>
              <w:pStyle w:val="Tabletext"/>
            </w:pPr>
            <w:r w:rsidRPr="005E6F75">
              <w:t>1.2.22</w:t>
            </w:r>
          </w:p>
        </w:tc>
        <w:tc>
          <w:tcPr>
            <w:tcW w:w="3766" w:type="dxa"/>
            <w:tcBorders>
              <w:top w:val="single" w:sz="4" w:space="0" w:color="auto"/>
            </w:tcBorders>
            <w:shd w:val="clear" w:color="auto" w:fill="auto"/>
          </w:tcPr>
          <w:p w:rsidR="0067649D" w:rsidRPr="005E6F75" w:rsidRDefault="0067649D" w:rsidP="005E6F75">
            <w:pPr>
              <w:pStyle w:val="Tabletext"/>
            </w:pPr>
            <w:r w:rsidRPr="005E6F75">
              <w:t>The Royal Australian and New Zealand College of Ophthalmologists</w:t>
            </w:r>
          </w:p>
        </w:tc>
        <w:tc>
          <w:tcPr>
            <w:tcW w:w="2687" w:type="dxa"/>
            <w:tcBorders>
              <w:top w:val="single" w:sz="4" w:space="0" w:color="auto"/>
            </w:tcBorders>
            <w:shd w:val="clear" w:color="auto" w:fill="auto"/>
          </w:tcPr>
          <w:p w:rsidR="0067649D" w:rsidRPr="005E6F75" w:rsidRDefault="0067649D" w:rsidP="005E6F75">
            <w:pPr>
              <w:pStyle w:val="Tabletext"/>
            </w:pPr>
            <w:r w:rsidRPr="005E6F75">
              <w:t>the gift must be made for education or research in medical knowledge or science</w:t>
            </w:r>
          </w:p>
        </w:tc>
      </w:tr>
    </w:tbl>
    <w:p w:rsidR="0067649D" w:rsidRPr="005E6F75" w:rsidRDefault="00467200" w:rsidP="005E6F75">
      <w:pPr>
        <w:pStyle w:val="ItemHead"/>
      </w:pPr>
      <w:r w:rsidRPr="005E6F75">
        <w:t>2</w:t>
      </w:r>
      <w:r w:rsidR="0067649D" w:rsidRPr="005E6F75">
        <w:t xml:space="preserve">  Subsection</w:t>
      </w:r>
      <w:r w:rsidR="005E6F75" w:rsidRPr="005E6F75">
        <w:t> </w:t>
      </w:r>
      <w:r w:rsidR="0067649D" w:rsidRPr="005E6F75">
        <w:t>30</w:t>
      </w:r>
      <w:r w:rsidR="00BF31FE">
        <w:noBreakHyphen/>
      </w:r>
      <w:r w:rsidR="0067649D" w:rsidRPr="005E6F75">
        <w:t>25(2) (at the end of the table)</w:t>
      </w:r>
    </w:p>
    <w:p w:rsidR="0067649D" w:rsidRPr="005E6F75" w:rsidRDefault="0067649D" w:rsidP="005E6F75">
      <w:pPr>
        <w:pStyle w:val="Item"/>
      </w:pPr>
      <w:r w:rsidRPr="005E6F75">
        <w:t>Add:</w:t>
      </w:r>
    </w:p>
    <w:tbl>
      <w:tblPr>
        <w:tblW w:w="7328" w:type="dxa"/>
        <w:tblInd w:w="9" w:type="dxa"/>
        <w:tblLayout w:type="fixed"/>
        <w:tblLook w:val="0020" w:firstRow="1" w:lastRow="0" w:firstColumn="0" w:lastColumn="0" w:noHBand="0" w:noVBand="0"/>
      </w:tblPr>
      <w:tblGrid>
        <w:gridCol w:w="827"/>
        <w:gridCol w:w="4260"/>
        <w:gridCol w:w="2241"/>
      </w:tblGrid>
      <w:tr w:rsidR="0067649D" w:rsidRPr="005E6F75" w:rsidTr="0067649D">
        <w:tc>
          <w:tcPr>
            <w:tcW w:w="827" w:type="dxa"/>
            <w:shd w:val="clear" w:color="auto" w:fill="auto"/>
          </w:tcPr>
          <w:p w:rsidR="0067649D" w:rsidRPr="005E6F75" w:rsidRDefault="0067649D" w:rsidP="005E6F75">
            <w:pPr>
              <w:pStyle w:val="Tabletext"/>
            </w:pPr>
            <w:r w:rsidRPr="005E6F75">
              <w:t>2.2.44</w:t>
            </w:r>
          </w:p>
        </w:tc>
        <w:tc>
          <w:tcPr>
            <w:tcW w:w="4260" w:type="dxa"/>
            <w:shd w:val="clear" w:color="auto" w:fill="auto"/>
          </w:tcPr>
          <w:p w:rsidR="0067649D" w:rsidRPr="005E6F75" w:rsidRDefault="0067649D" w:rsidP="005E6F75">
            <w:pPr>
              <w:pStyle w:val="Tabletext"/>
            </w:pPr>
            <w:r w:rsidRPr="005E6F75">
              <w:t>Australian Science Innovations Incorporated</w:t>
            </w:r>
          </w:p>
        </w:tc>
        <w:tc>
          <w:tcPr>
            <w:tcW w:w="2241" w:type="dxa"/>
            <w:shd w:val="clear" w:color="auto" w:fill="auto"/>
          </w:tcPr>
          <w:p w:rsidR="0067649D" w:rsidRPr="005E6F75" w:rsidRDefault="0067649D" w:rsidP="005E6F75">
            <w:pPr>
              <w:pStyle w:val="Tabletext"/>
            </w:pPr>
            <w:r w:rsidRPr="005E6F75">
              <w:t>the gift must be made on or after 1</w:t>
            </w:r>
            <w:r w:rsidR="005E6F75" w:rsidRPr="005E6F75">
              <w:t> </w:t>
            </w:r>
            <w:r w:rsidRPr="005E6F75">
              <w:t>January 2016</w:t>
            </w:r>
          </w:p>
        </w:tc>
      </w:tr>
    </w:tbl>
    <w:p w:rsidR="0067649D" w:rsidRPr="005E6F75" w:rsidRDefault="00467200" w:rsidP="005E6F75">
      <w:pPr>
        <w:pStyle w:val="ItemHead"/>
      </w:pPr>
      <w:r w:rsidRPr="005E6F75">
        <w:t>3</w:t>
      </w:r>
      <w:r w:rsidR="0067649D" w:rsidRPr="005E6F75">
        <w:t xml:space="preserve">  Subsection</w:t>
      </w:r>
      <w:r w:rsidR="005E6F75" w:rsidRPr="005E6F75">
        <w:t> </w:t>
      </w:r>
      <w:r w:rsidR="0067649D" w:rsidRPr="005E6F75">
        <w:t>30</w:t>
      </w:r>
      <w:r w:rsidR="00BF31FE">
        <w:noBreakHyphen/>
      </w:r>
      <w:r w:rsidR="0067649D" w:rsidRPr="005E6F75">
        <w:t>40(2) (at the end of the table)</w:t>
      </w:r>
    </w:p>
    <w:p w:rsidR="0067649D" w:rsidRPr="005E6F75" w:rsidRDefault="0067649D" w:rsidP="005E6F75">
      <w:pPr>
        <w:pStyle w:val="Item"/>
      </w:pPr>
      <w:r w:rsidRPr="005E6F75">
        <w:t>Add:</w:t>
      </w:r>
    </w:p>
    <w:tbl>
      <w:tblPr>
        <w:tblW w:w="7223" w:type="dxa"/>
        <w:tblInd w:w="107" w:type="dxa"/>
        <w:tblLayout w:type="fixed"/>
        <w:tblCellMar>
          <w:left w:w="107" w:type="dxa"/>
          <w:right w:w="107" w:type="dxa"/>
        </w:tblCellMar>
        <w:tblLook w:val="0000" w:firstRow="0" w:lastRow="0" w:firstColumn="0" w:lastColumn="0" w:noHBand="0" w:noVBand="0"/>
      </w:tblPr>
      <w:tblGrid>
        <w:gridCol w:w="851"/>
        <w:gridCol w:w="3881"/>
        <w:gridCol w:w="2491"/>
      </w:tblGrid>
      <w:tr w:rsidR="0067649D" w:rsidRPr="005E6F75" w:rsidTr="0067649D">
        <w:tc>
          <w:tcPr>
            <w:tcW w:w="851" w:type="dxa"/>
            <w:shd w:val="clear" w:color="auto" w:fill="auto"/>
          </w:tcPr>
          <w:p w:rsidR="0067649D" w:rsidRPr="005E6F75" w:rsidRDefault="0067649D" w:rsidP="005E6F75">
            <w:pPr>
              <w:pStyle w:val="Tabletext"/>
              <w:keepNext/>
              <w:keepLines/>
            </w:pPr>
            <w:r w:rsidRPr="005E6F75">
              <w:t>3.2.14</w:t>
            </w:r>
          </w:p>
        </w:tc>
        <w:tc>
          <w:tcPr>
            <w:tcW w:w="3881" w:type="dxa"/>
            <w:shd w:val="clear" w:color="auto" w:fill="auto"/>
          </w:tcPr>
          <w:p w:rsidR="0067649D" w:rsidRPr="005E6F75" w:rsidRDefault="0067649D" w:rsidP="005E6F75">
            <w:pPr>
              <w:pStyle w:val="Tabletext"/>
              <w:keepNext/>
              <w:keepLines/>
            </w:pPr>
            <w:r w:rsidRPr="005E6F75">
              <w:t>The Ethics Centre Incorporated</w:t>
            </w:r>
          </w:p>
        </w:tc>
        <w:tc>
          <w:tcPr>
            <w:tcW w:w="2491" w:type="dxa"/>
            <w:shd w:val="clear" w:color="auto" w:fill="auto"/>
          </w:tcPr>
          <w:p w:rsidR="0067649D" w:rsidRPr="005E6F75" w:rsidRDefault="0067649D" w:rsidP="005E6F75">
            <w:pPr>
              <w:pStyle w:val="Tabletext"/>
              <w:keepNext/>
              <w:keepLines/>
            </w:pPr>
            <w:r w:rsidRPr="005E6F75">
              <w:t>the gift must be made on or after 24</w:t>
            </w:r>
            <w:r w:rsidR="005E6F75" w:rsidRPr="005E6F75">
              <w:t> </w:t>
            </w:r>
            <w:r w:rsidRPr="005E6F75">
              <w:t>February 2016</w:t>
            </w:r>
          </w:p>
        </w:tc>
      </w:tr>
    </w:tbl>
    <w:p w:rsidR="0067649D" w:rsidRPr="005E6F75" w:rsidRDefault="00467200" w:rsidP="005E6F75">
      <w:pPr>
        <w:pStyle w:val="ItemHead"/>
      </w:pPr>
      <w:r w:rsidRPr="005E6F75">
        <w:t>4</w:t>
      </w:r>
      <w:r w:rsidR="0067649D" w:rsidRPr="005E6F75">
        <w:t xml:space="preserve">  Subsection</w:t>
      </w:r>
      <w:r w:rsidR="005E6F75" w:rsidRPr="005E6F75">
        <w:t> </w:t>
      </w:r>
      <w:r w:rsidR="0067649D" w:rsidRPr="005E6F75">
        <w:t>30</w:t>
      </w:r>
      <w:r w:rsidR="00BF31FE">
        <w:noBreakHyphen/>
      </w:r>
      <w:r w:rsidR="0067649D" w:rsidRPr="005E6F75">
        <w:t>80(2) (at the end of the table)</w:t>
      </w:r>
    </w:p>
    <w:p w:rsidR="0067649D" w:rsidRPr="005E6F75" w:rsidRDefault="0067649D" w:rsidP="005E6F75">
      <w:pPr>
        <w:pStyle w:val="Item"/>
      </w:pPr>
      <w:r w:rsidRPr="005E6F75">
        <w:t>Add:</w:t>
      </w:r>
    </w:p>
    <w:tbl>
      <w:tblPr>
        <w:tblW w:w="0" w:type="auto"/>
        <w:tblInd w:w="23" w:type="dxa"/>
        <w:tblLayout w:type="fixed"/>
        <w:tblCellMar>
          <w:left w:w="107" w:type="dxa"/>
          <w:right w:w="107" w:type="dxa"/>
        </w:tblCellMar>
        <w:tblLook w:val="0000" w:firstRow="0" w:lastRow="0" w:firstColumn="0" w:lastColumn="0" w:noHBand="0" w:noVBand="0"/>
      </w:tblPr>
      <w:tblGrid>
        <w:gridCol w:w="793"/>
        <w:gridCol w:w="3911"/>
        <w:gridCol w:w="2561"/>
      </w:tblGrid>
      <w:tr w:rsidR="0067649D" w:rsidRPr="005E6F75" w:rsidTr="0067649D">
        <w:tc>
          <w:tcPr>
            <w:tcW w:w="793" w:type="dxa"/>
            <w:shd w:val="clear" w:color="auto" w:fill="auto"/>
          </w:tcPr>
          <w:p w:rsidR="0067649D" w:rsidRPr="005E6F75" w:rsidRDefault="0067649D" w:rsidP="005E6F75">
            <w:pPr>
              <w:pStyle w:val="Tabletext"/>
            </w:pPr>
            <w:r w:rsidRPr="005E6F75">
              <w:t>9.2.27</w:t>
            </w:r>
          </w:p>
        </w:tc>
        <w:tc>
          <w:tcPr>
            <w:tcW w:w="3911" w:type="dxa"/>
            <w:shd w:val="clear" w:color="auto" w:fill="auto"/>
          </w:tcPr>
          <w:p w:rsidR="0067649D" w:rsidRPr="005E6F75" w:rsidRDefault="0067649D" w:rsidP="005E6F75">
            <w:pPr>
              <w:pStyle w:val="Tabletext"/>
            </w:pPr>
            <w:r w:rsidRPr="005E6F75">
              <w:t>Cambridge Australia Scholarships Limited</w:t>
            </w:r>
          </w:p>
        </w:tc>
        <w:tc>
          <w:tcPr>
            <w:tcW w:w="2561" w:type="dxa"/>
            <w:shd w:val="clear" w:color="auto" w:fill="auto"/>
          </w:tcPr>
          <w:p w:rsidR="0067649D" w:rsidRPr="005E6F75" w:rsidRDefault="0067649D" w:rsidP="005E6F75">
            <w:pPr>
              <w:pStyle w:val="Tabletext"/>
            </w:pPr>
            <w:r w:rsidRPr="005E6F75">
              <w:t>the gift must be made on or after 1</w:t>
            </w:r>
            <w:r w:rsidR="005E6F75" w:rsidRPr="005E6F75">
              <w:t> </w:t>
            </w:r>
            <w:r w:rsidRPr="005E6F75">
              <w:t>July 2016 and before 1</w:t>
            </w:r>
            <w:r w:rsidR="005E6F75" w:rsidRPr="005E6F75">
              <w:t> </w:t>
            </w:r>
            <w:r w:rsidRPr="005E6F75">
              <w:t>July 2021</w:t>
            </w:r>
          </w:p>
        </w:tc>
      </w:tr>
    </w:tbl>
    <w:p w:rsidR="0067649D" w:rsidRPr="005E6F75" w:rsidRDefault="00467200" w:rsidP="005E6F75">
      <w:pPr>
        <w:pStyle w:val="ItemHead"/>
      </w:pPr>
      <w:r w:rsidRPr="005E6F75">
        <w:t>5</w:t>
      </w:r>
      <w:r w:rsidR="0067649D" w:rsidRPr="005E6F75">
        <w:t xml:space="preserve">  Section</w:t>
      </w:r>
      <w:r w:rsidR="005E6F75" w:rsidRPr="005E6F75">
        <w:t> </w:t>
      </w:r>
      <w:r w:rsidR="0067649D" w:rsidRPr="005E6F75">
        <w:t>30</w:t>
      </w:r>
      <w:r w:rsidR="00BF31FE">
        <w:noBreakHyphen/>
      </w:r>
      <w:r w:rsidR="0067649D" w:rsidRPr="005E6F75">
        <w:t>315 (after table item</w:t>
      </w:r>
      <w:r w:rsidR="005E6F75" w:rsidRPr="005E6F75">
        <w:t> </w:t>
      </w:r>
      <w:r w:rsidR="0067649D" w:rsidRPr="005E6F75">
        <w:t>9AB)</w:t>
      </w:r>
    </w:p>
    <w:p w:rsidR="0067649D" w:rsidRPr="005E6F75" w:rsidRDefault="0067649D" w:rsidP="005E6F75">
      <w:pPr>
        <w:pStyle w:val="Item"/>
      </w:pPr>
      <w:r w:rsidRPr="005E6F75">
        <w:t>Insert:</w:t>
      </w:r>
    </w:p>
    <w:tbl>
      <w:tblPr>
        <w:tblW w:w="7300" w:type="dxa"/>
        <w:tblInd w:w="38" w:type="dxa"/>
        <w:tblLayout w:type="fixed"/>
        <w:tblLook w:val="0000" w:firstRow="0" w:lastRow="0" w:firstColumn="0" w:lastColumn="0" w:noHBand="0" w:noVBand="0"/>
      </w:tblPr>
      <w:tblGrid>
        <w:gridCol w:w="1064"/>
        <w:gridCol w:w="3941"/>
        <w:gridCol w:w="2295"/>
      </w:tblGrid>
      <w:tr w:rsidR="0067649D" w:rsidRPr="005E6F75" w:rsidTr="0067649D">
        <w:tc>
          <w:tcPr>
            <w:tcW w:w="1063" w:type="dxa"/>
            <w:shd w:val="clear" w:color="auto" w:fill="auto"/>
          </w:tcPr>
          <w:p w:rsidR="0067649D" w:rsidRPr="005E6F75" w:rsidRDefault="0067649D" w:rsidP="005E6F75">
            <w:pPr>
              <w:pStyle w:val="Tabletext"/>
            </w:pPr>
            <w:r w:rsidRPr="005E6F75">
              <w:t>9AC</w:t>
            </w:r>
          </w:p>
        </w:tc>
        <w:tc>
          <w:tcPr>
            <w:tcW w:w="3937" w:type="dxa"/>
            <w:shd w:val="clear" w:color="auto" w:fill="auto"/>
          </w:tcPr>
          <w:p w:rsidR="0067649D" w:rsidRPr="005E6F75" w:rsidRDefault="0067649D" w:rsidP="005E6F75">
            <w:pPr>
              <w:pStyle w:val="Tabletext"/>
            </w:pPr>
            <w:r w:rsidRPr="005E6F75">
              <w:t>Australasian College of Dermatologists</w:t>
            </w:r>
          </w:p>
        </w:tc>
        <w:tc>
          <w:tcPr>
            <w:tcW w:w="2293" w:type="dxa"/>
            <w:shd w:val="clear" w:color="auto" w:fill="auto"/>
          </w:tcPr>
          <w:p w:rsidR="0067649D" w:rsidRPr="005E6F75" w:rsidRDefault="0067649D" w:rsidP="005E6F75">
            <w:pPr>
              <w:pStyle w:val="Tabletext"/>
            </w:pPr>
            <w:r w:rsidRPr="005E6F75">
              <w:t>item</w:t>
            </w:r>
            <w:r w:rsidR="005E6F75" w:rsidRPr="005E6F75">
              <w:t> </w:t>
            </w:r>
            <w:r w:rsidRPr="005E6F75">
              <w:t>1.2.20</w:t>
            </w:r>
          </w:p>
        </w:tc>
      </w:tr>
    </w:tbl>
    <w:p w:rsidR="0067649D" w:rsidRPr="005E6F75" w:rsidRDefault="00467200" w:rsidP="005E6F75">
      <w:pPr>
        <w:pStyle w:val="ItemHead"/>
      </w:pPr>
      <w:r w:rsidRPr="005E6F75">
        <w:t>6</w:t>
      </w:r>
      <w:r w:rsidR="0067649D" w:rsidRPr="005E6F75">
        <w:t xml:space="preserve">  Section</w:t>
      </w:r>
      <w:r w:rsidR="005E6F75" w:rsidRPr="005E6F75">
        <w:t> </w:t>
      </w:r>
      <w:r w:rsidR="0067649D" w:rsidRPr="005E6F75">
        <w:t>30</w:t>
      </w:r>
      <w:r w:rsidR="00BF31FE">
        <w:noBreakHyphen/>
      </w:r>
      <w:r w:rsidR="0067649D" w:rsidRPr="005E6F75">
        <w:t>315 (after table item</w:t>
      </w:r>
      <w:r w:rsidR="005E6F75" w:rsidRPr="005E6F75">
        <w:t> </w:t>
      </w:r>
      <w:r w:rsidR="0067649D" w:rsidRPr="005E6F75">
        <w:t>25B)</w:t>
      </w:r>
    </w:p>
    <w:p w:rsidR="0067649D" w:rsidRPr="005E6F75" w:rsidRDefault="0067649D" w:rsidP="005E6F75">
      <w:pPr>
        <w:pStyle w:val="Item"/>
      </w:pPr>
      <w:r w:rsidRPr="005E6F75">
        <w:t>Insert:</w:t>
      </w:r>
    </w:p>
    <w:tbl>
      <w:tblPr>
        <w:tblW w:w="7300" w:type="dxa"/>
        <w:tblInd w:w="38" w:type="dxa"/>
        <w:tblLayout w:type="fixed"/>
        <w:tblLook w:val="0020" w:firstRow="1" w:lastRow="0" w:firstColumn="0" w:lastColumn="0" w:noHBand="0" w:noVBand="0"/>
      </w:tblPr>
      <w:tblGrid>
        <w:gridCol w:w="1064"/>
        <w:gridCol w:w="3941"/>
        <w:gridCol w:w="2295"/>
      </w:tblGrid>
      <w:tr w:rsidR="0067649D" w:rsidRPr="005E6F75" w:rsidTr="0067649D">
        <w:tc>
          <w:tcPr>
            <w:tcW w:w="1063" w:type="dxa"/>
            <w:shd w:val="clear" w:color="auto" w:fill="auto"/>
          </w:tcPr>
          <w:p w:rsidR="0067649D" w:rsidRPr="005E6F75" w:rsidRDefault="0067649D" w:rsidP="005E6F75">
            <w:pPr>
              <w:pStyle w:val="Tabletext"/>
            </w:pPr>
            <w:r w:rsidRPr="005E6F75">
              <w:t>26</w:t>
            </w:r>
          </w:p>
        </w:tc>
        <w:tc>
          <w:tcPr>
            <w:tcW w:w="3937" w:type="dxa"/>
            <w:shd w:val="clear" w:color="auto" w:fill="auto"/>
          </w:tcPr>
          <w:p w:rsidR="0067649D" w:rsidRPr="005E6F75" w:rsidRDefault="0067649D" w:rsidP="005E6F75">
            <w:pPr>
              <w:pStyle w:val="Tabletext"/>
            </w:pPr>
            <w:r w:rsidRPr="005E6F75">
              <w:t>Australian Science Innovations Incorporated</w:t>
            </w:r>
          </w:p>
        </w:tc>
        <w:tc>
          <w:tcPr>
            <w:tcW w:w="2293" w:type="dxa"/>
            <w:shd w:val="clear" w:color="auto" w:fill="auto"/>
          </w:tcPr>
          <w:p w:rsidR="0067649D" w:rsidRPr="005E6F75" w:rsidRDefault="0067649D" w:rsidP="005E6F75">
            <w:pPr>
              <w:pStyle w:val="Tabletext"/>
            </w:pPr>
            <w:r w:rsidRPr="005E6F75">
              <w:t>item</w:t>
            </w:r>
            <w:r w:rsidR="005E6F75" w:rsidRPr="005E6F75">
              <w:t> </w:t>
            </w:r>
            <w:r w:rsidRPr="005E6F75">
              <w:t>2.2.44</w:t>
            </w:r>
          </w:p>
        </w:tc>
      </w:tr>
    </w:tbl>
    <w:p w:rsidR="0067649D" w:rsidRPr="005E6F75" w:rsidRDefault="00467200" w:rsidP="005E6F75">
      <w:pPr>
        <w:pStyle w:val="ItemHead"/>
      </w:pPr>
      <w:r w:rsidRPr="005E6F75">
        <w:t>7</w:t>
      </w:r>
      <w:r w:rsidR="0067649D" w:rsidRPr="005E6F75">
        <w:t xml:space="preserve">  Section</w:t>
      </w:r>
      <w:r w:rsidR="005E6F75" w:rsidRPr="005E6F75">
        <w:t> </w:t>
      </w:r>
      <w:r w:rsidR="0067649D" w:rsidRPr="005E6F75">
        <w:t>30</w:t>
      </w:r>
      <w:r w:rsidR="00BF31FE">
        <w:noBreakHyphen/>
      </w:r>
      <w:r w:rsidR="0067649D" w:rsidRPr="005E6F75">
        <w:t>315 (after table item</w:t>
      </w:r>
      <w:r w:rsidR="005E6F75" w:rsidRPr="005E6F75">
        <w:t> </w:t>
      </w:r>
      <w:r w:rsidR="0067649D" w:rsidRPr="005E6F75">
        <w:t>28ABA)</w:t>
      </w:r>
    </w:p>
    <w:p w:rsidR="0067649D" w:rsidRPr="005E6F75" w:rsidRDefault="0067649D" w:rsidP="005E6F75">
      <w:pPr>
        <w:pStyle w:val="Item"/>
      </w:pPr>
      <w:r w:rsidRPr="005E6F75">
        <w:t>Insert:</w:t>
      </w:r>
    </w:p>
    <w:tbl>
      <w:tblPr>
        <w:tblW w:w="7300" w:type="dxa"/>
        <w:tblInd w:w="38" w:type="dxa"/>
        <w:tblLayout w:type="fixed"/>
        <w:tblLook w:val="0000" w:firstRow="0" w:lastRow="0" w:firstColumn="0" w:lastColumn="0" w:noHBand="0" w:noVBand="0"/>
      </w:tblPr>
      <w:tblGrid>
        <w:gridCol w:w="1064"/>
        <w:gridCol w:w="3941"/>
        <w:gridCol w:w="2295"/>
      </w:tblGrid>
      <w:tr w:rsidR="0067649D" w:rsidRPr="005E6F75" w:rsidTr="0067649D">
        <w:tc>
          <w:tcPr>
            <w:tcW w:w="1064" w:type="dxa"/>
            <w:shd w:val="clear" w:color="auto" w:fill="auto"/>
          </w:tcPr>
          <w:p w:rsidR="0067649D" w:rsidRPr="005E6F75" w:rsidRDefault="0067649D" w:rsidP="005E6F75">
            <w:pPr>
              <w:pStyle w:val="Tabletext"/>
            </w:pPr>
            <w:r w:rsidRPr="005E6F75">
              <w:t>28AC</w:t>
            </w:r>
          </w:p>
        </w:tc>
        <w:tc>
          <w:tcPr>
            <w:tcW w:w="3941" w:type="dxa"/>
            <w:shd w:val="clear" w:color="auto" w:fill="auto"/>
          </w:tcPr>
          <w:p w:rsidR="0067649D" w:rsidRPr="005E6F75" w:rsidRDefault="0067649D" w:rsidP="005E6F75">
            <w:pPr>
              <w:pStyle w:val="Tabletext"/>
            </w:pPr>
            <w:r w:rsidRPr="005E6F75">
              <w:t>Cambridge Australia Scholarships Limited</w:t>
            </w:r>
          </w:p>
        </w:tc>
        <w:tc>
          <w:tcPr>
            <w:tcW w:w="2295" w:type="dxa"/>
            <w:shd w:val="clear" w:color="auto" w:fill="auto"/>
          </w:tcPr>
          <w:p w:rsidR="0067649D" w:rsidRPr="005E6F75" w:rsidRDefault="0067649D" w:rsidP="005E6F75">
            <w:pPr>
              <w:pStyle w:val="Tabletext"/>
            </w:pPr>
            <w:r w:rsidRPr="005E6F75">
              <w:t>item</w:t>
            </w:r>
            <w:r w:rsidR="005E6F75" w:rsidRPr="005E6F75">
              <w:t> </w:t>
            </w:r>
            <w:r w:rsidRPr="005E6F75">
              <w:t>9.2.27</w:t>
            </w:r>
          </w:p>
        </w:tc>
      </w:tr>
    </w:tbl>
    <w:p w:rsidR="0067649D" w:rsidRPr="005E6F75" w:rsidRDefault="00467200" w:rsidP="005E6F75">
      <w:pPr>
        <w:pStyle w:val="ItemHead"/>
      </w:pPr>
      <w:r w:rsidRPr="005E6F75">
        <w:t>8</w:t>
      </w:r>
      <w:r w:rsidR="0067649D" w:rsidRPr="005E6F75">
        <w:t xml:space="preserve">  Section</w:t>
      </w:r>
      <w:r w:rsidR="005E6F75" w:rsidRPr="005E6F75">
        <w:t> </w:t>
      </w:r>
      <w:r w:rsidR="0067649D" w:rsidRPr="005E6F75">
        <w:t>30</w:t>
      </w:r>
      <w:r w:rsidR="00BF31FE">
        <w:noBreakHyphen/>
      </w:r>
      <w:r w:rsidR="0067649D" w:rsidRPr="005E6F75">
        <w:t>315 (after table item</w:t>
      </w:r>
      <w:r w:rsidR="005E6F75" w:rsidRPr="005E6F75">
        <w:t> </w:t>
      </w:r>
      <w:r w:rsidR="0067649D" w:rsidRPr="005E6F75">
        <w:t>33)</w:t>
      </w:r>
    </w:p>
    <w:p w:rsidR="0067649D" w:rsidRPr="005E6F75" w:rsidRDefault="0067649D" w:rsidP="005E6F75">
      <w:pPr>
        <w:pStyle w:val="Item"/>
      </w:pPr>
      <w:r w:rsidRPr="005E6F75">
        <w:t>Insert:</w:t>
      </w:r>
    </w:p>
    <w:tbl>
      <w:tblPr>
        <w:tblW w:w="7300" w:type="dxa"/>
        <w:tblInd w:w="38" w:type="dxa"/>
        <w:tblLayout w:type="fixed"/>
        <w:tblLook w:val="0000" w:firstRow="0" w:lastRow="0" w:firstColumn="0" w:lastColumn="0" w:noHBand="0" w:noVBand="0"/>
      </w:tblPr>
      <w:tblGrid>
        <w:gridCol w:w="1064"/>
        <w:gridCol w:w="3941"/>
        <w:gridCol w:w="2295"/>
      </w:tblGrid>
      <w:tr w:rsidR="0067649D" w:rsidRPr="005E6F75" w:rsidTr="0067649D">
        <w:tc>
          <w:tcPr>
            <w:tcW w:w="1064" w:type="dxa"/>
            <w:shd w:val="clear" w:color="auto" w:fill="auto"/>
          </w:tcPr>
          <w:p w:rsidR="0067649D" w:rsidRPr="005E6F75" w:rsidRDefault="0067649D" w:rsidP="005E6F75">
            <w:pPr>
              <w:pStyle w:val="Tabletext"/>
            </w:pPr>
            <w:r w:rsidRPr="005E6F75">
              <w:t>34</w:t>
            </w:r>
          </w:p>
        </w:tc>
        <w:tc>
          <w:tcPr>
            <w:tcW w:w="3941" w:type="dxa"/>
            <w:shd w:val="clear" w:color="auto" w:fill="auto"/>
          </w:tcPr>
          <w:p w:rsidR="0067649D" w:rsidRPr="005E6F75" w:rsidRDefault="0067649D" w:rsidP="005E6F75">
            <w:pPr>
              <w:pStyle w:val="Tabletext"/>
            </w:pPr>
            <w:r w:rsidRPr="005E6F75">
              <w:t>College of Intensive Care Medicine of Australia and New Zealand</w:t>
            </w:r>
          </w:p>
        </w:tc>
        <w:tc>
          <w:tcPr>
            <w:tcW w:w="2295" w:type="dxa"/>
            <w:shd w:val="clear" w:color="auto" w:fill="auto"/>
          </w:tcPr>
          <w:p w:rsidR="0067649D" w:rsidRPr="005E6F75" w:rsidRDefault="0067649D" w:rsidP="005E6F75">
            <w:pPr>
              <w:pStyle w:val="Tabletext"/>
            </w:pPr>
            <w:r w:rsidRPr="005E6F75">
              <w:t>item</w:t>
            </w:r>
            <w:r w:rsidR="005E6F75" w:rsidRPr="005E6F75">
              <w:t> </w:t>
            </w:r>
            <w:r w:rsidRPr="005E6F75">
              <w:t>1.2.21</w:t>
            </w:r>
          </w:p>
        </w:tc>
      </w:tr>
    </w:tbl>
    <w:p w:rsidR="0067649D" w:rsidRPr="005E6F75" w:rsidRDefault="00467200" w:rsidP="005E6F75">
      <w:pPr>
        <w:pStyle w:val="ItemHead"/>
      </w:pPr>
      <w:r w:rsidRPr="005E6F75">
        <w:t>9</w:t>
      </w:r>
      <w:r w:rsidR="0067649D" w:rsidRPr="005E6F75">
        <w:t xml:space="preserve">  Section</w:t>
      </w:r>
      <w:r w:rsidR="005E6F75" w:rsidRPr="005E6F75">
        <w:t> </w:t>
      </w:r>
      <w:r w:rsidR="0067649D" w:rsidRPr="005E6F75">
        <w:t>30</w:t>
      </w:r>
      <w:r w:rsidR="00BF31FE">
        <w:noBreakHyphen/>
      </w:r>
      <w:r w:rsidR="0067649D" w:rsidRPr="005E6F75">
        <w:t>315 (after table item</w:t>
      </w:r>
      <w:r w:rsidR="005E6F75" w:rsidRPr="005E6F75">
        <w:t> </w:t>
      </w:r>
      <w:r w:rsidR="0067649D" w:rsidRPr="005E6F75">
        <w:t>48)</w:t>
      </w:r>
    </w:p>
    <w:p w:rsidR="0067649D" w:rsidRPr="005E6F75" w:rsidRDefault="0067649D" w:rsidP="005E6F75">
      <w:pPr>
        <w:pStyle w:val="Item"/>
      </w:pPr>
      <w:r w:rsidRPr="005E6F75">
        <w:t>Insert:</w:t>
      </w:r>
    </w:p>
    <w:tbl>
      <w:tblPr>
        <w:tblW w:w="7300" w:type="dxa"/>
        <w:tblInd w:w="38" w:type="dxa"/>
        <w:tblLayout w:type="fixed"/>
        <w:tblLook w:val="0000" w:firstRow="0" w:lastRow="0" w:firstColumn="0" w:lastColumn="0" w:noHBand="0" w:noVBand="0"/>
      </w:tblPr>
      <w:tblGrid>
        <w:gridCol w:w="1064"/>
        <w:gridCol w:w="3941"/>
        <w:gridCol w:w="2295"/>
      </w:tblGrid>
      <w:tr w:rsidR="0067649D" w:rsidRPr="005E6F75" w:rsidTr="0067649D">
        <w:tc>
          <w:tcPr>
            <w:tcW w:w="1064" w:type="dxa"/>
            <w:shd w:val="clear" w:color="auto" w:fill="auto"/>
          </w:tcPr>
          <w:p w:rsidR="0067649D" w:rsidRPr="005E6F75" w:rsidRDefault="0067649D" w:rsidP="005E6F75">
            <w:pPr>
              <w:pStyle w:val="Tabletext"/>
            </w:pPr>
            <w:r w:rsidRPr="005E6F75">
              <w:t>48AAA</w:t>
            </w:r>
          </w:p>
        </w:tc>
        <w:tc>
          <w:tcPr>
            <w:tcW w:w="3941" w:type="dxa"/>
            <w:shd w:val="clear" w:color="auto" w:fill="auto"/>
          </w:tcPr>
          <w:p w:rsidR="0067649D" w:rsidRPr="005E6F75" w:rsidRDefault="0067649D" w:rsidP="005E6F75">
            <w:pPr>
              <w:pStyle w:val="Tabletext"/>
            </w:pPr>
            <w:r w:rsidRPr="005E6F75">
              <w:t>Ethics Centre Incorporated</w:t>
            </w:r>
          </w:p>
        </w:tc>
        <w:tc>
          <w:tcPr>
            <w:tcW w:w="2295" w:type="dxa"/>
            <w:shd w:val="clear" w:color="auto" w:fill="auto"/>
          </w:tcPr>
          <w:p w:rsidR="0067649D" w:rsidRPr="005E6F75" w:rsidRDefault="0067649D" w:rsidP="005E6F75">
            <w:pPr>
              <w:pStyle w:val="Tabletext"/>
            </w:pPr>
            <w:r w:rsidRPr="005E6F75">
              <w:t>item</w:t>
            </w:r>
            <w:r w:rsidR="005E6F75" w:rsidRPr="005E6F75">
              <w:t> </w:t>
            </w:r>
            <w:r w:rsidRPr="005E6F75">
              <w:t>3.2.14</w:t>
            </w:r>
          </w:p>
        </w:tc>
      </w:tr>
    </w:tbl>
    <w:p w:rsidR="0067649D" w:rsidRPr="005E6F75" w:rsidRDefault="00467200" w:rsidP="005E6F75">
      <w:pPr>
        <w:pStyle w:val="ItemHead"/>
      </w:pPr>
      <w:r w:rsidRPr="005E6F75">
        <w:t>10</w:t>
      </w:r>
      <w:r w:rsidR="0067649D" w:rsidRPr="005E6F75">
        <w:t xml:space="preserve">  Section</w:t>
      </w:r>
      <w:r w:rsidR="005E6F75" w:rsidRPr="005E6F75">
        <w:t> </w:t>
      </w:r>
      <w:r w:rsidR="0067649D" w:rsidRPr="005E6F75">
        <w:t>30</w:t>
      </w:r>
      <w:r w:rsidR="00BF31FE">
        <w:noBreakHyphen/>
      </w:r>
      <w:r w:rsidR="0067649D" w:rsidRPr="005E6F75">
        <w:t>315 (after table item</w:t>
      </w:r>
      <w:r w:rsidR="005E6F75" w:rsidRPr="005E6F75">
        <w:t> </w:t>
      </w:r>
      <w:r w:rsidR="0067649D" w:rsidRPr="005E6F75">
        <w:t>97A)</w:t>
      </w:r>
    </w:p>
    <w:p w:rsidR="0067649D" w:rsidRPr="005E6F75" w:rsidRDefault="0067649D" w:rsidP="005E6F75">
      <w:pPr>
        <w:pStyle w:val="Item"/>
      </w:pPr>
      <w:r w:rsidRPr="005E6F75">
        <w:t>Insert:</w:t>
      </w:r>
    </w:p>
    <w:tbl>
      <w:tblPr>
        <w:tblW w:w="7300" w:type="dxa"/>
        <w:tblInd w:w="38" w:type="dxa"/>
        <w:tblLayout w:type="fixed"/>
        <w:tblLook w:val="0000" w:firstRow="0" w:lastRow="0" w:firstColumn="0" w:lastColumn="0" w:noHBand="0" w:noVBand="0"/>
      </w:tblPr>
      <w:tblGrid>
        <w:gridCol w:w="1064"/>
        <w:gridCol w:w="3941"/>
        <w:gridCol w:w="2295"/>
      </w:tblGrid>
      <w:tr w:rsidR="0067649D" w:rsidRPr="005E6F75" w:rsidTr="0067649D">
        <w:tc>
          <w:tcPr>
            <w:tcW w:w="1063" w:type="dxa"/>
            <w:shd w:val="clear" w:color="auto" w:fill="auto"/>
          </w:tcPr>
          <w:p w:rsidR="0067649D" w:rsidRPr="005E6F75" w:rsidRDefault="0067649D" w:rsidP="005E6F75">
            <w:pPr>
              <w:pStyle w:val="Tabletext"/>
            </w:pPr>
            <w:r w:rsidRPr="005E6F75">
              <w:t>97B</w:t>
            </w:r>
          </w:p>
        </w:tc>
        <w:tc>
          <w:tcPr>
            <w:tcW w:w="3937" w:type="dxa"/>
            <w:shd w:val="clear" w:color="auto" w:fill="auto"/>
          </w:tcPr>
          <w:p w:rsidR="0067649D" w:rsidRPr="005E6F75" w:rsidRDefault="0067649D" w:rsidP="005E6F75">
            <w:pPr>
              <w:pStyle w:val="Tabletext"/>
            </w:pPr>
            <w:r w:rsidRPr="005E6F75">
              <w:t>Royal Australian and New Zealand College of Ophthalmologists</w:t>
            </w:r>
          </w:p>
        </w:tc>
        <w:tc>
          <w:tcPr>
            <w:tcW w:w="2293" w:type="dxa"/>
            <w:shd w:val="clear" w:color="auto" w:fill="auto"/>
          </w:tcPr>
          <w:p w:rsidR="0067649D" w:rsidRPr="005E6F75" w:rsidRDefault="0067649D" w:rsidP="005E6F75">
            <w:pPr>
              <w:pStyle w:val="Tabletext"/>
            </w:pPr>
            <w:r w:rsidRPr="005E6F75">
              <w:t>item</w:t>
            </w:r>
            <w:r w:rsidR="005E6F75" w:rsidRPr="005E6F75">
              <w:t> </w:t>
            </w:r>
            <w:r w:rsidRPr="005E6F75">
              <w:t>1.2.22</w:t>
            </w:r>
          </w:p>
        </w:tc>
      </w:tr>
    </w:tbl>
    <w:p w:rsidR="0067649D" w:rsidRPr="005E6F75" w:rsidRDefault="00467200" w:rsidP="005E6F75">
      <w:pPr>
        <w:pStyle w:val="ItemHead"/>
      </w:pPr>
      <w:r w:rsidRPr="005E6F75">
        <w:t>11</w:t>
      </w:r>
      <w:r w:rsidR="0067649D" w:rsidRPr="005E6F75">
        <w:t xml:space="preserve">  Application of amendments</w:t>
      </w:r>
    </w:p>
    <w:p w:rsidR="0067649D" w:rsidRPr="005E6F75" w:rsidRDefault="0067649D" w:rsidP="005E6F75">
      <w:pPr>
        <w:pStyle w:val="Item"/>
      </w:pPr>
      <w:r w:rsidRPr="005E6F75">
        <w:t>The amendments made by items</w:t>
      </w:r>
      <w:r w:rsidR="005E6F75" w:rsidRPr="005E6F75">
        <w:t> </w:t>
      </w:r>
      <w:r w:rsidRPr="005E6F75">
        <w:t>1, 5, 8 and 10 of this Schedule apply in relation to gifts or contributions made on or after the commencement of this item.</w:t>
      </w:r>
    </w:p>
    <w:p w:rsidR="0067649D" w:rsidRPr="005E6F75" w:rsidRDefault="0067649D" w:rsidP="005E6F75">
      <w:pPr>
        <w:pStyle w:val="ActHead7"/>
        <w:pageBreakBefore/>
      </w:pPr>
      <w:bookmarkStart w:id="15" w:name="_Toc479251866"/>
      <w:r w:rsidRPr="005E6F75">
        <w:rPr>
          <w:rStyle w:val="CharAmPartNo"/>
        </w:rPr>
        <w:t>Part</w:t>
      </w:r>
      <w:r w:rsidR="005E6F75" w:rsidRPr="005E6F75">
        <w:rPr>
          <w:rStyle w:val="CharAmPartNo"/>
        </w:rPr>
        <w:t> </w:t>
      </w:r>
      <w:r w:rsidRPr="005E6F75">
        <w:rPr>
          <w:rStyle w:val="CharAmPartNo"/>
        </w:rPr>
        <w:t>2</w:t>
      </w:r>
      <w:r w:rsidRPr="005E6F75">
        <w:t>—</w:t>
      </w:r>
      <w:r w:rsidRPr="005E6F75">
        <w:rPr>
          <w:rStyle w:val="CharAmPartText"/>
        </w:rPr>
        <w:t>Changing the name of the Ethics Centre</w:t>
      </w:r>
      <w:bookmarkEnd w:id="15"/>
    </w:p>
    <w:p w:rsidR="0067649D" w:rsidRPr="005E6F75" w:rsidRDefault="0067649D" w:rsidP="005E6F75">
      <w:pPr>
        <w:pStyle w:val="ActHead9"/>
        <w:rPr>
          <w:i w:val="0"/>
        </w:rPr>
      </w:pPr>
      <w:bookmarkStart w:id="16" w:name="_Toc479251867"/>
      <w:r w:rsidRPr="005E6F75">
        <w:t>Income Tax Assessment Act 1997</w:t>
      </w:r>
      <w:bookmarkEnd w:id="16"/>
    </w:p>
    <w:p w:rsidR="0067649D" w:rsidRPr="005E6F75" w:rsidRDefault="00467200" w:rsidP="005E6F75">
      <w:pPr>
        <w:pStyle w:val="ItemHead"/>
      </w:pPr>
      <w:r w:rsidRPr="005E6F75">
        <w:t>12</w:t>
      </w:r>
      <w:r w:rsidR="0067649D" w:rsidRPr="005E6F75">
        <w:t xml:space="preserve">  Subsection</w:t>
      </w:r>
      <w:r w:rsidR="005E6F75" w:rsidRPr="005E6F75">
        <w:t> </w:t>
      </w:r>
      <w:r w:rsidR="0067649D" w:rsidRPr="005E6F75">
        <w:t>30</w:t>
      </w:r>
      <w:r w:rsidR="00BF31FE">
        <w:noBreakHyphen/>
      </w:r>
      <w:r w:rsidR="0067649D" w:rsidRPr="005E6F75">
        <w:t>40(2) (table item</w:t>
      </w:r>
      <w:r w:rsidR="005E6F75" w:rsidRPr="005E6F75">
        <w:t> </w:t>
      </w:r>
      <w:r w:rsidR="0067649D" w:rsidRPr="005E6F75">
        <w:t>3.2.14)</w:t>
      </w:r>
    </w:p>
    <w:p w:rsidR="0067649D" w:rsidRPr="005E6F75" w:rsidRDefault="0067649D" w:rsidP="005E6F75">
      <w:pPr>
        <w:pStyle w:val="Item"/>
      </w:pPr>
      <w:r w:rsidRPr="005E6F75">
        <w:t>Omit “The Ethics Centre Incorporated”, substitute “The Ethics Centre Limited”.</w:t>
      </w:r>
    </w:p>
    <w:p w:rsidR="0067649D" w:rsidRPr="005E6F75" w:rsidRDefault="00467200" w:rsidP="005E6F75">
      <w:pPr>
        <w:pStyle w:val="ItemHead"/>
      </w:pPr>
      <w:r w:rsidRPr="005E6F75">
        <w:t>13</w:t>
      </w:r>
      <w:r w:rsidR="0067649D" w:rsidRPr="005E6F75">
        <w:t xml:space="preserve">  Section</w:t>
      </w:r>
      <w:r w:rsidR="005E6F75" w:rsidRPr="005E6F75">
        <w:t> </w:t>
      </w:r>
      <w:r w:rsidR="0067649D" w:rsidRPr="005E6F75">
        <w:t>30</w:t>
      </w:r>
      <w:r w:rsidR="00BF31FE">
        <w:noBreakHyphen/>
      </w:r>
      <w:r w:rsidR="0067649D" w:rsidRPr="005E6F75">
        <w:t>315 (table item</w:t>
      </w:r>
      <w:r w:rsidR="005E6F75" w:rsidRPr="005E6F75">
        <w:t> </w:t>
      </w:r>
      <w:r w:rsidR="0067649D" w:rsidRPr="005E6F75">
        <w:t>48AAA)</w:t>
      </w:r>
    </w:p>
    <w:p w:rsidR="0067649D" w:rsidRPr="005E6F75" w:rsidRDefault="0067649D" w:rsidP="005E6F75">
      <w:pPr>
        <w:pStyle w:val="Item"/>
      </w:pPr>
      <w:r w:rsidRPr="005E6F75">
        <w:t>Omit “Ethics Centre Incorporated”, substitute “Ethics Centre Limited”.</w:t>
      </w:r>
    </w:p>
    <w:p w:rsidR="0067649D" w:rsidRPr="005E6F75" w:rsidRDefault="00467200" w:rsidP="005E6F75">
      <w:pPr>
        <w:pStyle w:val="ItemHead"/>
      </w:pPr>
      <w:r w:rsidRPr="005E6F75">
        <w:t>14</w:t>
      </w:r>
      <w:r w:rsidR="0067649D" w:rsidRPr="005E6F75">
        <w:t xml:space="preserve">  Application of amendments</w:t>
      </w:r>
    </w:p>
    <w:p w:rsidR="0067649D" w:rsidRPr="005E6F75" w:rsidRDefault="0067649D" w:rsidP="005E6F75">
      <w:pPr>
        <w:pStyle w:val="Item"/>
      </w:pPr>
      <w:r w:rsidRPr="005E6F75">
        <w:t>The amendments made by this Part apply in relation to gifts or contributions made on or after the day The Ethics Centre Incorporated’s name changes to The Ethics Centre Limited.</w:t>
      </w:r>
    </w:p>
    <w:p w:rsidR="003663E5" w:rsidRPr="005E6F75" w:rsidRDefault="003663E5" w:rsidP="005E6F75">
      <w:pPr>
        <w:pStyle w:val="ActHead6"/>
        <w:pageBreakBefore/>
      </w:pPr>
      <w:bookmarkStart w:id="17" w:name="_Toc479251868"/>
      <w:r w:rsidRPr="005E6F75">
        <w:rPr>
          <w:rStyle w:val="CharAmSchNo"/>
        </w:rPr>
        <w:t>Schedule</w:t>
      </w:r>
      <w:r w:rsidR="005E6F75" w:rsidRPr="005E6F75">
        <w:rPr>
          <w:rStyle w:val="CharAmSchNo"/>
        </w:rPr>
        <w:t> </w:t>
      </w:r>
      <w:r w:rsidRPr="005E6F75">
        <w:rPr>
          <w:rStyle w:val="CharAmSchNo"/>
        </w:rPr>
        <w:t>4</w:t>
      </w:r>
      <w:r w:rsidRPr="005E6F75">
        <w:t>—</w:t>
      </w:r>
      <w:r w:rsidRPr="005E6F75">
        <w:rPr>
          <w:rStyle w:val="CharAmSchText"/>
        </w:rPr>
        <w:t>Ex</w:t>
      </w:r>
      <w:r w:rsidR="00BF31FE">
        <w:rPr>
          <w:rStyle w:val="CharAmSchText"/>
        </w:rPr>
        <w:noBreakHyphen/>
      </w:r>
      <w:r w:rsidRPr="005E6F75">
        <w:rPr>
          <w:rStyle w:val="CharAmSchText"/>
        </w:rPr>
        <w:t>gratia disaster recovery payments to special category visa (subclass 444) holders</w:t>
      </w:r>
      <w:bookmarkEnd w:id="17"/>
    </w:p>
    <w:p w:rsidR="0067649D" w:rsidRPr="005E6F75" w:rsidRDefault="0067649D" w:rsidP="005E6F75">
      <w:pPr>
        <w:pStyle w:val="Header"/>
      </w:pPr>
      <w:r w:rsidRPr="005E6F75">
        <w:rPr>
          <w:rStyle w:val="CharAmPartNo"/>
        </w:rPr>
        <w:t xml:space="preserve"> </w:t>
      </w:r>
      <w:r w:rsidRPr="005E6F75">
        <w:rPr>
          <w:rStyle w:val="CharAmPartText"/>
        </w:rPr>
        <w:t xml:space="preserve"> </w:t>
      </w:r>
    </w:p>
    <w:p w:rsidR="0067649D" w:rsidRPr="005E6F75" w:rsidRDefault="0067649D" w:rsidP="005E6F75">
      <w:pPr>
        <w:pStyle w:val="ActHead9"/>
        <w:rPr>
          <w:i w:val="0"/>
        </w:rPr>
      </w:pPr>
      <w:bookmarkStart w:id="18" w:name="_Toc479251869"/>
      <w:r w:rsidRPr="005E6F75">
        <w:t>Income Tax Assessment Act 1936</w:t>
      </w:r>
      <w:bookmarkEnd w:id="18"/>
    </w:p>
    <w:p w:rsidR="0067649D" w:rsidRPr="005E6F75" w:rsidRDefault="00467200" w:rsidP="005E6F75">
      <w:pPr>
        <w:pStyle w:val="ItemHead"/>
      </w:pPr>
      <w:r w:rsidRPr="005E6F75">
        <w:t>1</w:t>
      </w:r>
      <w:r w:rsidR="0067649D" w:rsidRPr="005E6F75">
        <w:t xml:space="preserve">  Subsection</w:t>
      </w:r>
      <w:r w:rsidR="005E6F75" w:rsidRPr="005E6F75">
        <w:t> </w:t>
      </w:r>
      <w:r w:rsidR="0067649D" w:rsidRPr="005E6F75">
        <w:t xml:space="preserve">160AAA(1) (after </w:t>
      </w:r>
      <w:r w:rsidR="005E6F75" w:rsidRPr="005E6F75">
        <w:t>paragraph (</w:t>
      </w:r>
      <w:r w:rsidR="0067649D" w:rsidRPr="005E6F75">
        <w:t xml:space="preserve">aa) of the definition of </w:t>
      </w:r>
      <w:r w:rsidR="0067649D" w:rsidRPr="005E6F75">
        <w:rPr>
          <w:i/>
        </w:rPr>
        <w:t>rebatable benefit</w:t>
      </w:r>
      <w:r w:rsidR="0067649D" w:rsidRPr="005E6F75">
        <w:t>)</w:t>
      </w:r>
    </w:p>
    <w:p w:rsidR="0067649D" w:rsidRPr="005E6F75" w:rsidRDefault="0067649D" w:rsidP="005E6F75">
      <w:pPr>
        <w:pStyle w:val="Item"/>
      </w:pPr>
      <w:r w:rsidRPr="005E6F75">
        <w:t>Insert:</w:t>
      </w:r>
    </w:p>
    <w:p w:rsidR="0067649D" w:rsidRPr="005E6F75" w:rsidRDefault="0067649D" w:rsidP="005E6F75">
      <w:pPr>
        <w:pStyle w:val="paragraph"/>
      </w:pPr>
      <w:r w:rsidRPr="005E6F75">
        <w:tab/>
        <w:t>(ab)</w:t>
      </w:r>
      <w:r w:rsidRPr="005E6F75">
        <w:tab/>
        <w:t>paid from the Commonwealth by way of an ex</w:t>
      </w:r>
      <w:r w:rsidR="00BF31FE">
        <w:noBreakHyphen/>
      </w:r>
      <w:r w:rsidRPr="005E6F75">
        <w:t xml:space="preserve">gratia payment to which </w:t>
      </w:r>
      <w:r w:rsidR="005E6F75" w:rsidRPr="005E6F75">
        <w:t>subsection (</w:t>
      </w:r>
      <w:r w:rsidRPr="005E6F75">
        <w:t>2) applies; or</w:t>
      </w:r>
    </w:p>
    <w:p w:rsidR="0067649D" w:rsidRPr="005E6F75" w:rsidRDefault="00467200" w:rsidP="005E6F75">
      <w:pPr>
        <w:pStyle w:val="ItemHead"/>
      </w:pPr>
      <w:r w:rsidRPr="005E6F75">
        <w:t>2</w:t>
      </w:r>
      <w:r w:rsidR="0067649D" w:rsidRPr="005E6F75">
        <w:t xml:space="preserve">  After subsection</w:t>
      </w:r>
      <w:r w:rsidR="005E6F75" w:rsidRPr="005E6F75">
        <w:t> </w:t>
      </w:r>
      <w:r w:rsidR="0067649D" w:rsidRPr="005E6F75">
        <w:t>160AAA(1)</w:t>
      </w:r>
    </w:p>
    <w:p w:rsidR="0067649D" w:rsidRPr="005E6F75" w:rsidRDefault="0067649D" w:rsidP="005E6F75">
      <w:pPr>
        <w:pStyle w:val="Item"/>
      </w:pPr>
      <w:r w:rsidRPr="005E6F75">
        <w:t>Insert:</w:t>
      </w:r>
    </w:p>
    <w:p w:rsidR="0067649D" w:rsidRPr="005E6F75" w:rsidRDefault="0067649D" w:rsidP="005E6F75">
      <w:pPr>
        <w:pStyle w:val="subsection"/>
      </w:pPr>
      <w:r w:rsidRPr="005E6F75">
        <w:tab/>
        <w:t>(2)</w:t>
      </w:r>
      <w:r w:rsidRPr="005E6F75">
        <w:tab/>
        <w:t>This subsection applies to an ex</w:t>
      </w:r>
      <w:r w:rsidR="00BF31FE">
        <w:noBreakHyphen/>
      </w:r>
      <w:r w:rsidRPr="005E6F75">
        <w:t>gratia payment known as income support allowance for special category visa (subclass 444) holders if the payment is for a disaster:</w:t>
      </w:r>
    </w:p>
    <w:p w:rsidR="0067649D" w:rsidRPr="005E6F75" w:rsidRDefault="0067649D" w:rsidP="005E6F75">
      <w:pPr>
        <w:pStyle w:val="paragraph"/>
      </w:pPr>
      <w:r w:rsidRPr="005E6F75">
        <w:tab/>
        <w:t>(a)</w:t>
      </w:r>
      <w:r w:rsidRPr="005E6F75">
        <w:tab/>
        <w:t>occurring in Australia during the 2014</w:t>
      </w:r>
      <w:r w:rsidR="00BF31FE">
        <w:noBreakHyphen/>
      </w:r>
      <w:r w:rsidRPr="005E6F75">
        <w:t>15 financial year or a later financial year; and</w:t>
      </w:r>
    </w:p>
    <w:p w:rsidR="0067649D" w:rsidRPr="005E6F75" w:rsidRDefault="0067649D" w:rsidP="005E6F75">
      <w:pPr>
        <w:pStyle w:val="paragraph"/>
      </w:pPr>
      <w:r w:rsidRPr="005E6F75">
        <w:tab/>
        <w:t>(b)</w:t>
      </w:r>
      <w:r w:rsidRPr="005E6F75">
        <w:tab/>
        <w:t>for which a determination under subsection</w:t>
      </w:r>
      <w:r w:rsidR="005E6F75" w:rsidRPr="005E6F75">
        <w:t> </w:t>
      </w:r>
      <w:r w:rsidRPr="005E6F75">
        <w:t xml:space="preserve">36A(1) of the </w:t>
      </w:r>
      <w:r w:rsidRPr="005E6F75">
        <w:rPr>
          <w:i/>
        </w:rPr>
        <w:t>Social Security Act 1991</w:t>
      </w:r>
      <w:r w:rsidRPr="005E6F75">
        <w:t xml:space="preserve"> has been made.</w:t>
      </w:r>
    </w:p>
    <w:p w:rsidR="0067649D" w:rsidRPr="005E6F75" w:rsidRDefault="0067649D" w:rsidP="005E6F75">
      <w:pPr>
        <w:pStyle w:val="ActHead9"/>
        <w:rPr>
          <w:i w:val="0"/>
        </w:rPr>
      </w:pPr>
      <w:bookmarkStart w:id="19" w:name="_Toc479251870"/>
      <w:r w:rsidRPr="005E6F75">
        <w:t>Income Tax Assessment Act 1997</w:t>
      </w:r>
      <w:bookmarkEnd w:id="19"/>
    </w:p>
    <w:p w:rsidR="0067649D" w:rsidRPr="005E6F75" w:rsidRDefault="00467200" w:rsidP="005E6F75">
      <w:pPr>
        <w:pStyle w:val="ItemHead"/>
      </w:pPr>
      <w:r w:rsidRPr="005E6F75">
        <w:t>3</w:t>
      </w:r>
      <w:r w:rsidR="0067649D" w:rsidRPr="005E6F75">
        <w:t xml:space="preserve">  Section</w:t>
      </w:r>
      <w:r w:rsidR="005E6F75" w:rsidRPr="005E6F75">
        <w:t> </w:t>
      </w:r>
      <w:r w:rsidR="0067649D" w:rsidRPr="005E6F75">
        <w:t>11</w:t>
      </w:r>
      <w:r w:rsidR="00BF31FE">
        <w:noBreakHyphen/>
      </w:r>
      <w:r w:rsidR="0067649D" w:rsidRPr="005E6F75">
        <w:t>15 (table item headed “welfare”)</w:t>
      </w:r>
    </w:p>
    <w:p w:rsidR="0067649D" w:rsidRPr="005E6F75" w:rsidRDefault="0067649D" w:rsidP="005E6F75">
      <w:pPr>
        <w:pStyle w:val="Item"/>
      </w:pPr>
      <w:r w:rsidRPr="005E6F75">
        <w:t>Before:</w:t>
      </w:r>
    </w:p>
    <w:tbl>
      <w:tblPr>
        <w:tblW w:w="7204" w:type="dxa"/>
        <w:tblInd w:w="106" w:type="dxa"/>
        <w:tblLayout w:type="fixed"/>
        <w:tblLook w:val="0000" w:firstRow="0" w:lastRow="0" w:firstColumn="0" w:lastColumn="0" w:noHBand="0" w:noVBand="0"/>
      </w:tblPr>
      <w:tblGrid>
        <w:gridCol w:w="5225"/>
        <w:gridCol w:w="1979"/>
      </w:tblGrid>
      <w:tr w:rsidR="0067649D" w:rsidRPr="005E6F75" w:rsidTr="0067649D">
        <w:tc>
          <w:tcPr>
            <w:tcW w:w="5225" w:type="dxa"/>
            <w:shd w:val="clear" w:color="auto" w:fill="auto"/>
          </w:tcPr>
          <w:p w:rsidR="0067649D" w:rsidRPr="005E6F75" w:rsidRDefault="0067649D" w:rsidP="005E6F75">
            <w:pPr>
              <w:pStyle w:val="tableIndentText"/>
              <w:tabs>
                <w:tab w:val="left" w:leader="dot" w:pos="6124"/>
              </w:tabs>
              <w:rPr>
                <w:rFonts w:ascii="Times New Roman" w:hAnsi="Times New Roman"/>
              </w:rPr>
            </w:pPr>
            <w:r w:rsidRPr="005E6F75">
              <w:rPr>
                <w:rFonts w:ascii="Times New Roman" w:hAnsi="Times New Roman"/>
              </w:rPr>
              <w:t>maintenance payment</w:t>
            </w:r>
            <w:r w:rsidRPr="005E6F75">
              <w:rPr>
                <w:rFonts w:ascii="Times New Roman" w:hAnsi="Times New Roman"/>
              </w:rPr>
              <w:tab/>
            </w:r>
          </w:p>
        </w:tc>
        <w:tc>
          <w:tcPr>
            <w:tcW w:w="1979" w:type="dxa"/>
            <w:shd w:val="clear" w:color="auto" w:fill="auto"/>
          </w:tcPr>
          <w:p w:rsidR="0067649D" w:rsidRPr="005E6F75" w:rsidRDefault="0067649D" w:rsidP="005E6F75">
            <w:pPr>
              <w:pStyle w:val="tableText0"/>
              <w:spacing w:line="240" w:lineRule="auto"/>
            </w:pPr>
            <w:r w:rsidRPr="005E6F75">
              <w:t>51</w:t>
            </w:r>
            <w:r w:rsidR="00BF31FE">
              <w:noBreakHyphen/>
            </w:r>
            <w:r w:rsidRPr="005E6F75">
              <w:t>30 and 51</w:t>
            </w:r>
            <w:r w:rsidR="00BF31FE">
              <w:noBreakHyphen/>
            </w:r>
            <w:r w:rsidRPr="005E6F75">
              <w:t>50</w:t>
            </w:r>
          </w:p>
        </w:tc>
      </w:tr>
    </w:tbl>
    <w:p w:rsidR="0067649D" w:rsidRPr="005E6F75" w:rsidRDefault="0067649D" w:rsidP="005E6F75">
      <w:pPr>
        <w:pStyle w:val="Item"/>
      </w:pPr>
      <w:r w:rsidRPr="005E6F75">
        <w:t>insert:</w:t>
      </w:r>
    </w:p>
    <w:tbl>
      <w:tblPr>
        <w:tblW w:w="7204" w:type="dxa"/>
        <w:tblInd w:w="106" w:type="dxa"/>
        <w:tblLayout w:type="fixed"/>
        <w:tblLook w:val="0000" w:firstRow="0" w:lastRow="0" w:firstColumn="0" w:lastColumn="0" w:noHBand="0" w:noVBand="0"/>
      </w:tblPr>
      <w:tblGrid>
        <w:gridCol w:w="5225"/>
        <w:gridCol w:w="1979"/>
      </w:tblGrid>
      <w:tr w:rsidR="0067649D" w:rsidRPr="005E6F75" w:rsidTr="0067649D">
        <w:trPr>
          <w:cantSplit/>
        </w:trPr>
        <w:tc>
          <w:tcPr>
            <w:tcW w:w="5225" w:type="dxa"/>
          </w:tcPr>
          <w:p w:rsidR="0067649D" w:rsidRPr="005E6F75" w:rsidRDefault="0067649D" w:rsidP="005E6F75">
            <w:pPr>
              <w:pStyle w:val="tableIndentText"/>
              <w:tabs>
                <w:tab w:val="left" w:leader="dot" w:pos="6124"/>
              </w:tabs>
              <w:rPr>
                <w:rFonts w:ascii="Times New Roman" w:hAnsi="Times New Roman"/>
              </w:rPr>
            </w:pPr>
            <w:r w:rsidRPr="005E6F75">
              <w:rPr>
                <w:rFonts w:ascii="Times New Roman" w:hAnsi="Times New Roman"/>
              </w:rPr>
              <w:t>Disaster recovery payments to special category visa (subclass 444) holders</w:t>
            </w:r>
            <w:r w:rsidRPr="005E6F75">
              <w:rPr>
                <w:rFonts w:ascii="Times New Roman" w:hAnsi="Times New Roman"/>
              </w:rPr>
              <w:tab/>
            </w:r>
          </w:p>
        </w:tc>
        <w:tc>
          <w:tcPr>
            <w:tcW w:w="1979" w:type="dxa"/>
          </w:tcPr>
          <w:p w:rsidR="0067649D" w:rsidRPr="005E6F75" w:rsidRDefault="0067649D" w:rsidP="005E6F75">
            <w:pPr>
              <w:pStyle w:val="tableText0"/>
              <w:spacing w:line="240" w:lineRule="auto"/>
            </w:pPr>
            <w:r w:rsidRPr="005E6F75">
              <w:br/>
              <w:t>51</w:t>
            </w:r>
            <w:r w:rsidR="00BF31FE">
              <w:noBreakHyphen/>
            </w:r>
            <w:r w:rsidRPr="005E6F75">
              <w:t>30</w:t>
            </w:r>
          </w:p>
        </w:tc>
      </w:tr>
    </w:tbl>
    <w:p w:rsidR="0067649D" w:rsidRPr="005E6F75" w:rsidRDefault="00467200" w:rsidP="005E6F75">
      <w:pPr>
        <w:pStyle w:val="ItemHead"/>
      </w:pPr>
      <w:r w:rsidRPr="005E6F75">
        <w:t>4</w:t>
      </w:r>
      <w:r w:rsidR="0067649D" w:rsidRPr="005E6F75">
        <w:t xml:space="preserve">  Section</w:t>
      </w:r>
      <w:r w:rsidR="005E6F75" w:rsidRPr="005E6F75">
        <w:t> </w:t>
      </w:r>
      <w:r w:rsidR="0067649D" w:rsidRPr="005E6F75">
        <w:t>13</w:t>
      </w:r>
      <w:r w:rsidR="00BF31FE">
        <w:noBreakHyphen/>
      </w:r>
      <w:r w:rsidR="0067649D" w:rsidRPr="005E6F75">
        <w:t>1 (table item headed “social security and other benefit payments”)</w:t>
      </w:r>
    </w:p>
    <w:p w:rsidR="0067649D" w:rsidRPr="005E6F75" w:rsidRDefault="0067649D" w:rsidP="005E6F75">
      <w:pPr>
        <w:pStyle w:val="Item"/>
      </w:pPr>
      <w:r w:rsidRPr="005E6F75">
        <w:t>After:</w:t>
      </w:r>
    </w:p>
    <w:tbl>
      <w:tblPr>
        <w:tblW w:w="7204" w:type="dxa"/>
        <w:tblInd w:w="106" w:type="dxa"/>
        <w:tblLayout w:type="fixed"/>
        <w:tblLook w:val="0000" w:firstRow="0" w:lastRow="0" w:firstColumn="0" w:lastColumn="0" w:noHBand="0" w:noVBand="0"/>
      </w:tblPr>
      <w:tblGrid>
        <w:gridCol w:w="5225"/>
        <w:gridCol w:w="1979"/>
      </w:tblGrid>
      <w:tr w:rsidR="0067649D" w:rsidRPr="005E6F75" w:rsidTr="0067649D">
        <w:tc>
          <w:tcPr>
            <w:tcW w:w="5225" w:type="dxa"/>
            <w:shd w:val="clear" w:color="auto" w:fill="auto"/>
          </w:tcPr>
          <w:p w:rsidR="0067649D" w:rsidRPr="005E6F75" w:rsidRDefault="0067649D" w:rsidP="005E6F75">
            <w:pPr>
              <w:pStyle w:val="tableIndentText"/>
              <w:tabs>
                <w:tab w:val="left" w:leader="dot" w:pos="6124"/>
              </w:tabs>
              <w:rPr>
                <w:rFonts w:ascii="Times New Roman" w:hAnsi="Times New Roman"/>
              </w:rPr>
            </w:pPr>
            <w:r w:rsidRPr="005E6F75">
              <w:rPr>
                <w:rFonts w:ascii="Times New Roman" w:hAnsi="Times New Roman"/>
              </w:rPr>
              <w:t>Cyclone Larry or Cyclone Monica income support payment</w:t>
            </w:r>
            <w:r w:rsidRPr="005E6F75">
              <w:rPr>
                <w:rFonts w:ascii="Times New Roman" w:hAnsi="Times New Roman"/>
              </w:rPr>
              <w:tab/>
            </w:r>
          </w:p>
        </w:tc>
        <w:tc>
          <w:tcPr>
            <w:tcW w:w="1979" w:type="dxa"/>
            <w:shd w:val="clear" w:color="auto" w:fill="auto"/>
          </w:tcPr>
          <w:p w:rsidR="0067649D" w:rsidRPr="005E6F75" w:rsidRDefault="0067649D" w:rsidP="005E6F75">
            <w:pPr>
              <w:pStyle w:val="tableText0"/>
              <w:spacing w:line="240" w:lineRule="auto"/>
              <w:rPr>
                <w:b/>
              </w:rPr>
            </w:pPr>
            <w:r w:rsidRPr="005E6F75">
              <w:br/>
            </w:r>
            <w:r w:rsidRPr="005E6F75">
              <w:rPr>
                <w:b/>
              </w:rPr>
              <w:t>160AAA(3)</w:t>
            </w:r>
          </w:p>
        </w:tc>
      </w:tr>
    </w:tbl>
    <w:p w:rsidR="0067649D" w:rsidRPr="005E6F75" w:rsidRDefault="0067649D" w:rsidP="005E6F75">
      <w:pPr>
        <w:pStyle w:val="Item"/>
      </w:pPr>
      <w:r w:rsidRPr="005E6F75">
        <w:t>insert:</w:t>
      </w:r>
    </w:p>
    <w:tbl>
      <w:tblPr>
        <w:tblW w:w="7204" w:type="dxa"/>
        <w:tblInd w:w="106" w:type="dxa"/>
        <w:tblLayout w:type="fixed"/>
        <w:tblLook w:val="0000" w:firstRow="0" w:lastRow="0" w:firstColumn="0" w:lastColumn="0" w:noHBand="0" w:noVBand="0"/>
      </w:tblPr>
      <w:tblGrid>
        <w:gridCol w:w="5225"/>
        <w:gridCol w:w="1979"/>
      </w:tblGrid>
      <w:tr w:rsidR="0067649D" w:rsidRPr="005E6F75" w:rsidTr="0067649D">
        <w:trPr>
          <w:cantSplit/>
        </w:trPr>
        <w:tc>
          <w:tcPr>
            <w:tcW w:w="5225" w:type="dxa"/>
          </w:tcPr>
          <w:p w:rsidR="0067649D" w:rsidRPr="005E6F75" w:rsidRDefault="0067649D" w:rsidP="005E6F75">
            <w:pPr>
              <w:pStyle w:val="tableIndentText"/>
              <w:tabs>
                <w:tab w:val="left" w:leader="dot" w:pos="6124"/>
              </w:tabs>
              <w:rPr>
                <w:rFonts w:ascii="Times New Roman" w:hAnsi="Times New Roman"/>
              </w:rPr>
            </w:pPr>
            <w:r w:rsidRPr="005E6F75">
              <w:rPr>
                <w:rFonts w:ascii="Times New Roman" w:hAnsi="Times New Roman"/>
              </w:rPr>
              <w:t>Disaster income support allowance for special category visa (subclass 444) holders</w:t>
            </w:r>
            <w:r w:rsidRPr="005E6F75">
              <w:rPr>
                <w:rFonts w:ascii="Times New Roman" w:hAnsi="Times New Roman"/>
              </w:rPr>
              <w:tab/>
            </w:r>
          </w:p>
        </w:tc>
        <w:tc>
          <w:tcPr>
            <w:tcW w:w="1979" w:type="dxa"/>
          </w:tcPr>
          <w:p w:rsidR="0067649D" w:rsidRPr="005E6F75" w:rsidRDefault="0067649D" w:rsidP="005E6F75">
            <w:pPr>
              <w:pStyle w:val="tableText0"/>
              <w:spacing w:line="240" w:lineRule="auto"/>
            </w:pPr>
            <w:r w:rsidRPr="005E6F75">
              <w:br/>
            </w:r>
            <w:r w:rsidRPr="005E6F75">
              <w:rPr>
                <w:b/>
              </w:rPr>
              <w:t>160AAA(3)</w:t>
            </w:r>
          </w:p>
        </w:tc>
      </w:tr>
    </w:tbl>
    <w:p w:rsidR="0067649D" w:rsidRPr="005E6F75" w:rsidRDefault="00467200" w:rsidP="005E6F75">
      <w:pPr>
        <w:pStyle w:val="ItemHead"/>
      </w:pPr>
      <w:r w:rsidRPr="005E6F75">
        <w:t>5</w:t>
      </w:r>
      <w:r w:rsidR="0067649D" w:rsidRPr="005E6F75">
        <w:t xml:space="preserve">  Section</w:t>
      </w:r>
      <w:r w:rsidR="005E6F75" w:rsidRPr="005E6F75">
        <w:t> </w:t>
      </w:r>
      <w:r w:rsidR="0067649D" w:rsidRPr="005E6F75">
        <w:t>51</w:t>
      </w:r>
      <w:r w:rsidR="00BF31FE">
        <w:noBreakHyphen/>
      </w:r>
      <w:r w:rsidR="0067649D" w:rsidRPr="005E6F75">
        <w:t>30 (after table item</w:t>
      </w:r>
      <w:r w:rsidR="005E6F75" w:rsidRPr="005E6F75">
        <w:t> </w:t>
      </w:r>
      <w:r w:rsidR="0067649D" w:rsidRPr="005E6F75">
        <w:t>5.1)</w:t>
      </w:r>
    </w:p>
    <w:p w:rsidR="0067649D" w:rsidRPr="005E6F75" w:rsidRDefault="0067649D" w:rsidP="005E6F75">
      <w:pPr>
        <w:pStyle w:val="Item"/>
      </w:pPr>
      <w:r w:rsidRPr="005E6F75">
        <w:t>Insert:</w:t>
      </w:r>
    </w:p>
    <w:tbl>
      <w:tblPr>
        <w:tblW w:w="0" w:type="auto"/>
        <w:tblInd w:w="108" w:type="dxa"/>
        <w:tblLayout w:type="fixed"/>
        <w:tblLook w:val="0000" w:firstRow="0" w:lastRow="0" w:firstColumn="0" w:lastColumn="0" w:noHBand="0" w:noVBand="0"/>
      </w:tblPr>
      <w:tblGrid>
        <w:gridCol w:w="686"/>
        <w:gridCol w:w="1992"/>
        <w:gridCol w:w="2572"/>
        <w:gridCol w:w="1696"/>
      </w:tblGrid>
      <w:tr w:rsidR="0067649D" w:rsidRPr="005E6F75" w:rsidTr="0067649D">
        <w:tc>
          <w:tcPr>
            <w:tcW w:w="686" w:type="dxa"/>
            <w:shd w:val="clear" w:color="auto" w:fill="auto"/>
          </w:tcPr>
          <w:p w:rsidR="0067649D" w:rsidRPr="005E6F75" w:rsidRDefault="0067649D" w:rsidP="005E6F75">
            <w:pPr>
              <w:pStyle w:val="Tabletext"/>
            </w:pPr>
            <w:r w:rsidRPr="005E6F75">
              <w:t>5.2</w:t>
            </w:r>
          </w:p>
        </w:tc>
        <w:tc>
          <w:tcPr>
            <w:tcW w:w="1992" w:type="dxa"/>
            <w:shd w:val="clear" w:color="auto" w:fill="auto"/>
          </w:tcPr>
          <w:p w:rsidR="0067649D" w:rsidRPr="005E6F75" w:rsidRDefault="0067649D" w:rsidP="005E6F75">
            <w:pPr>
              <w:pStyle w:val="Tabletext"/>
            </w:pPr>
            <w:r w:rsidRPr="005E6F75">
              <w:t>an individual in receipt of an ex</w:t>
            </w:r>
            <w:r w:rsidR="00BF31FE">
              <w:noBreakHyphen/>
            </w:r>
            <w:r w:rsidRPr="005E6F75">
              <w:t>gratia payment from the Commonwealth known as disaster recovery payment for special category visa (subclass 444) holders for a disaster:</w:t>
            </w:r>
          </w:p>
          <w:p w:rsidR="0067649D" w:rsidRPr="005E6F75" w:rsidRDefault="0067649D" w:rsidP="005E6F75">
            <w:pPr>
              <w:pStyle w:val="Tablea"/>
            </w:pPr>
            <w:r w:rsidRPr="005E6F75">
              <w:t>(a) that occurred in Australia during the 2014</w:t>
            </w:r>
            <w:r w:rsidR="00BF31FE">
              <w:noBreakHyphen/>
            </w:r>
            <w:r w:rsidRPr="005E6F75">
              <w:t xml:space="preserve">15 </w:t>
            </w:r>
            <w:r w:rsidR="005E6F75" w:rsidRPr="005E6F75">
              <w:rPr>
                <w:position w:val="6"/>
                <w:sz w:val="16"/>
              </w:rPr>
              <w:t>*</w:t>
            </w:r>
            <w:r w:rsidRPr="005E6F75">
              <w:t>financial year or a later financial year; and</w:t>
            </w:r>
          </w:p>
          <w:p w:rsidR="0067649D" w:rsidRPr="005E6F75" w:rsidRDefault="0067649D" w:rsidP="005E6F75">
            <w:pPr>
              <w:pStyle w:val="Tablea"/>
            </w:pPr>
            <w:r w:rsidRPr="005E6F75">
              <w:t>(b) for which a determination under section</w:t>
            </w:r>
            <w:r w:rsidR="005E6F75" w:rsidRPr="005E6F75">
              <w:t> </w:t>
            </w:r>
            <w:r w:rsidRPr="005E6F75">
              <w:t xml:space="preserve">1061L of the </w:t>
            </w:r>
            <w:r w:rsidRPr="005E6F75">
              <w:rPr>
                <w:i/>
              </w:rPr>
              <w:t>Social Security Act 1991</w:t>
            </w:r>
            <w:r w:rsidRPr="005E6F75">
              <w:t xml:space="preserve"> has been made</w:t>
            </w:r>
          </w:p>
        </w:tc>
        <w:tc>
          <w:tcPr>
            <w:tcW w:w="2572" w:type="dxa"/>
            <w:shd w:val="clear" w:color="auto" w:fill="auto"/>
          </w:tcPr>
          <w:p w:rsidR="0067649D" w:rsidRPr="005E6F75" w:rsidRDefault="0067649D" w:rsidP="005E6F75">
            <w:pPr>
              <w:pStyle w:val="Tabletext"/>
            </w:pPr>
            <w:r w:rsidRPr="005E6F75">
              <w:t>the payment</w:t>
            </w:r>
          </w:p>
        </w:tc>
        <w:tc>
          <w:tcPr>
            <w:tcW w:w="1696" w:type="dxa"/>
            <w:shd w:val="clear" w:color="auto" w:fill="auto"/>
          </w:tcPr>
          <w:p w:rsidR="0067649D" w:rsidRPr="005E6F75" w:rsidRDefault="0067649D" w:rsidP="005E6F75">
            <w:pPr>
              <w:pStyle w:val="Tabletext"/>
            </w:pPr>
          </w:p>
        </w:tc>
      </w:tr>
    </w:tbl>
    <w:p w:rsidR="0067649D" w:rsidRPr="005E6F75" w:rsidRDefault="0067649D" w:rsidP="005E6F75">
      <w:pPr>
        <w:pStyle w:val="Tabletext"/>
      </w:pPr>
    </w:p>
    <w:p w:rsidR="003663E5" w:rsidRPr="005E6F75" w:rsidRDefault="003663E5" w:rsidP="005E6F75">
      <w:pPr>
        <w:pStyle w:val="ActHead6"/>
        <w:pageBreakBefore/>
      </w:pPr>
      <w:bookmarkStart w:id="20" w:name="_Toc479251871"/>
      <w:bookmarkStart w:id="21" w:name="opcCurrentFind"/>
      <w:r w:rsidRPr="005E6F75">
        <w:rPr>
          <w:rStyle w:val="CharAmSchNo"/>
        </w:rPr>
        <w:t>Schedule</w:t>
      </w:r>
      <w:r w:rsidR="005E6F75" w:rsidRPr="005E6F75">
        <w:rPr>
          <w:rStyle w:val="CharAmSchNo"/>
        </w:rPr>
        <w:t> </w:t>
      </w:r>
      <w:r w:rsidRPr="005E6F75">
        <w:rPr>
          <w:rStyle w:val="CharAmSchNo"/>
        </w:rPr>
        <w:t>5</w:t>
      </w:r>
      <w:r w:rsidRPr="005E6F75">
        <w:t>—</w:t>
      </w:r>
      <w:r w:rsidRPr="005E6F75">
        <w:rPr>
          <w:rStyle w:val="CharAmSchText"/>
        </w:rPr>
        <w:t>Client money</w:t>
      </w:r>
      <w:bookmarkEnd w:id="20"/>
    </w:p>
    <w:p w:rsidR="0067649D" w:rsidRPr="005E6F75" w:rsidRDefault="0067649D" w:rsidP="005E6F75">
      <w:pPr>
        <w:pStyle w:val="ActHead7"/>
      </w:pPr>
      <w:bookmarkStart w:id="22" w:name="_Toc479251872"/>
      <w:bookmarkEnd w:id="21"/>
      <w:r w:rsidRPr="005E6F75">
        <w:rPr>
          <w:rStyle w:val="CharAmPartNo"/>
        </w:rPr>
        <w:t>Part</w:t>
      </w:r>
      <w:r w:rsidR="005E6F75" w:rsidRPr="005E6F75">
        <w:rPr>
          <w:rStyle w:val="CharAmPartNo"/>
        </w:rPr>
        <w:t> </w:t>
      </w:r>
      <w:r w:rsidRPr="005E6F75">
        <w:rPr>
          <w:rStyle w:val="CharAmPartNo"/>
        </w:rPr>
        <w:t>1</w:t>
      </w:r>
      <w:r w:rsidRPr="005E6F75">
        <w:t>—</w:t>
      </w:r>
      <w:r w:rsidRPr="005E6F75">
        <w:rPr>
          <w:rStyle w:val="CharAmPartText"/>
        </w:rPr>
        <w:t>Client money and property</w:t>
      </w:r>
      <w:bookmarkEnd w:id="22"/>
    </w:p>
    <w:p w:rsidR="0067649D" w:rsidRPr="005E6F75" w:rsidRDefault="0067649D" w:rsidP="005E6F75">
      <w:pPr>
        <w:pStyle w:val="ActHead9"/>
        <w:rPr>
          <w:i w:val="0"/>
        </w:rPr>
      </w:pPr>
      <w:bookmarkStart w:id="23" w:name="_Toc479251873"/>
      <w:r w:rsidRPr="005E6F75">
        <w:t>Corporations Act 2001</w:t>
      </w:r>
      <w:bookmarkEnd w:id="23"/>
    </w:p>
    <w:p w:rsidR="0067649D" w:rsidRPr="005E6F75" w:rsidRDefault="00467200" w:rsidP="005E6F75">
      <w:pPr>
        <w:pStyle w:val="ItemHead"/>
      </w:pPr>
      <w:r w:rsidRPr="005E6F75">
        <w:t>1</w:t>
      </w:r>
      <w:r w:rsidR="0067649D" w:rsidRPr="005E6F75">
        <w:t xml:space="preserve">  Section</w:t>
      </w:r>
      <w:r w:rsidR="005E6F75" w:rsidRPr="005E6F75">
        <w:t> </w:t>
      </w:r>
      <w:r w:rsidR="0067649D" w:rsidRPr="005E6F75">
        <w:t>761A</w:t>
      </w:r>
    </w:p>
    <w:p w:rsidR="0067649D" w:rsidRPr="005E6F75" w:rsidRDefault="0067649D" w:rsidP="005E6F75">
      <w:pPr>
        <w:pStyle w:val="Item"/>
      </w:pPr>
      <w:r w:rsidRPr="005E6F75">
        <w:t>Insert:</w:t>
      </w:r>
    </w:p>
    <w:p w:rsidR="0067649D" w:rsidRPr="005E6F75" w:rsidRDefault="0067649D" w:rsidP="005E6F75">
      <w:pPr>
        <w:pStyle w:val="Definition"/>
      </w:pPr>
      <w:r w:rsidRPr="005E6F75">
        <w:rPr>
          <w:b/>
          <w:i/>
        </w:rPr>
        <w:t>authorised clearing and settlement facility</w:t>
      </w:r>
      <w:r w:rsidRPr="005E6F75">
        <w:t xml:space="preserve"> means:</w:t>
      </w:r>
    </w:p>
    <w:p w:rsidR="0067649D" w:rsidRPr="005E6F75" w:rsidRDefault="0067649D" w:rsidP="005E6F75">
      <w:pPr>
        <w:pStyle w:val="paragraph"/>
      </w:pPr>
      <w:r w:rsidRPr="005E6F75">
        <w:tab/>
        <w:t>(a)</w:t>
      </w:r>
      <w:r w:rsidRPr="005E6F75">
        <w:tab/>
        <w:t>a licensed CS facility; or</w:t>
      </w:r>
    </w:p>
    <w:p w:rsidR="0067649D" w:rsidRPr="005E6F75" w:rsidRDefault="0067649D" w:rsidP="005E6F75">
      <w:pPr>
        <w:pStyle w:val="paragraph"/>
      </w:pPr>
      <w:r w:rsidRPr="005E6F75">
        <w:tab/>
        <w:t>(b)</w:t>
      </w:r>
      <w:r w:rsidRPr="005E6F75">
        <w:tab/>
        <w:t>a clearing and settlement facility that satisfies the following requirements:</w:t>
      </w:r>
    </w:p>
    <w:p w:rsidR="0067649D" w:rsidRPr="005E6F75" w:rsidRDefault="0067649D" w:rsidP="005E6F75">
      <w:pPr>
        <w:pStyle w:val="paragraphsub"/>
      </w:pPr>
      <w:r w:rsidRPr="005E6F75">
        <w:tab/>
        <w:t>(i)</w:t>
      </w:r>
      <w:r w:rsidRPr="005E6F75">
        <w:tab/>
        <w:t>the operator of the facility is authorised to operate the facility in the foreign country in which the operator’s principal place of business is located;</w:t>
      </w:r>
    </w:p>
    <w:p w:rsidR="0067649D" w:rsidRPr="005E6F75" w:rsidRDefault="0067649D" w:rsidP="005E6F75">
      <w:pPr>
        <w:pStyle w:val="paragraphsub"/>
      </w:pPr>
      <w:r w:rsidRPr="005E6F75">
        <w:tab/>
        <w:t>(ii)</w:t>
      </w:r>
      <w:r w:rsidRPr="005E6F75">
        <w:tab/>
        <w:t>any requirements specified in regulations made for the purposes of this subparagraph.</w:t>
      </w:r>
    </w:p>
    <w:p w:rsidR="0067649D" w:rsidRPr="005E6F75" w:rsidRDefault="0067649D" w:rsidP="005E6F75">
      <w:pPr>
        <w:pStyle w:val="Definition"/>
      </w:pPr>
      <w:r w:rsidRPr="005E6F75">
        <w:rPr>
          <w:b/>
          <w:i/>
        </w:rPr>
        <w:t>derivative retail client money</w:t>
      </w:r>
      <w:r w:rsidRPr="005E6F75">
        <w:t>: money paid as mentioned in subsection</w:t>
      </w:r>
      <w:r w:rsidR="005E6F75" w:rsidRPr="005E6F75">
        <w:t> </w:t>
      </w:r>
      <w:r w:rsidRPr="005E6F75">
        <w:t xml:space="preserve">981A(1) is </w:t>
      </w:r>
      <w:r w:rsidRPr="005E6F75">
        <w:rPr>
          <w:b/>
          <w:i/>
        </w:rPr>
        <w:t>derivative retail client money</w:t>
      </w:r>
      <w:r w:rsidRPr="005E6F75">
        <w:t xml:space="preserve"> if:</w:t>
      </w:r>
    </w:p>
    <w:p w:rsidR="0067649D" w:rsidRPr="005E6F75" w:rsidRDefault="0067649D" w:rsidP="005E6F75">
      <w:pPr>
        <w:pStyle w:val="paragraph"/>
      </w:pPr>
      <w:r w:rsidRPr="005E6F75">
        <w:tab/>
        <w:t>(a)</w:t>
      </w:r>
      <w:r w:rsidRPr="005E6F75">
        <w:tab/>
        <w:t>either:</w:t>
      </w:r>
    </w:p>
    <w:p w:rsidR="0067649D" w:rsidRPr="005E6F75" w:rsidRDefault="0067649D" w:rsidP="005E6F75">
      <w:pPr>
        <w:pStyle w:val="paragraphsub"/>
      </w:pPr>
      <w:r w:rsidRPr="005E6F75">
        <w:tab/>
        <w:t>(i)</w:t>
      </w:r>
      <w:r w:rsidRPr="005E6F75">
        <w:tab/>
        <w:t>the financial service referred to in subparagraph</w:t>
      </w:r>
      <w:r w:rsidR="005E6F75" w:rsidRPr="005E6F75">
        <w:t> </w:t>
      </w:r>
      <w:r w:rsidRPr="005E6F75">
        <w:t>981A(1)(a)(i) is or relates to a dealing in a derivative; or</w:t>
      </w:r>
    </w:p>
    <w:p w:rsidR="0067649D" w:rsidRPr="005E6F75" w:rsidRDefault="0067649D" w:rsidP="005E6F75">
      <w:pPr>
        <w:pStyle w:val="paragraphsub"/>
      </w:pPr>
      <w:r w:rsidRPr="005E6F75">
        <w:tab/>
        <w:t>(ii)</w:t>
      </w:r>
      <w:r w:rsidRPr="005E6F75">
        <w:tab/>
        <w:t>the financial product referred to in subparagraph</w:t>
      </w:r>
      <w:r w:rsidR="005E6F75" w:rsidRPr="005E6F75">
        <w:t> </w:t>
      </w:r>
      <w:r w:rsidRPr="005E6F75">
        <w:t>981A(1)(a)(ii) is a derivative; and</w:t>
      </w:r>
    </w:p>
    <w:p w:rsidR="0067649D" w:rsidRPr="005E6F75" w:rsidRDefault="0067649D" w:rsidP="005E6F75">
      <w:pPr>
        <w:pStyle w:val="paragraph"/>
      </w:pPr>
      <w:r w:rsidRPr="005E6F75">
        <w:tab/>
        <w:t>(b)</w:t>
      </w:r>
      <w:r w:rsidRPr="005E6F75">
        <w:tab/>
        <w:t>the financial service or product would be provided to the client as a retail client if:</w:t>
      </w:r>
    </w:p>
    <w:p w:rsidR="0067649D" w:rsidRPr="005E6F75" w:rsidRDefault="0067649D" w:rsidP="005E6F75">
      <w:pPr>
        <w:pStyle w:val="paragraphsub"/>
      </w:pPr>
      <w:r w:rsidRPr="005E6F75">
        <w:tab/>
        <w:t>(i)</w:t>
      </w:r>
      <w:r w:rsidRPr="005E6F75">
        <w:tab/>
        <w:t>the service or product were provided to the client when the money is paid; and</w:t>
      </w:r>
    </w:p>
    <w:p w:rsidR="0067649D" w:rsidRPr="005E6F75" w:rsidRDefault="0067649D" w:rsidP="005E6F75">
      <w:pPr>
        <w:pStyle w:val="paragraphsub"/>
      </w:pPr>
      <w:r w:rsidRPr="005E6F75">
        <w:tab/>
        <w:t>(ii)</w:t>
      </w:r>
      <w:r w:rsidRPr="005E6F75">
        <w:tab/>
        <w:t>section</w:t>
      </w:r>
      <w:r w:rsidR="005E6F75" w:rsidRPr="005E6F75">
        <w:t> </w:t>
      </w:r>
      <w:r w:rsidRPr="005E6F75">
        <w:t>761GA (about sophisticated investors) did not apply.</w:t>
      </w:r>
    </w:p>
    <w:p w:rsidR="0067649D" w:rsidRPr="005E6F75" w:rsidRDefault="0067649D" w:rsidP="005E6F75">
      <w:pPr>
        <w:pStyle w:val="Definition"/>
      </w:pPr>
      <w:r w:rsidRPr="005E6F75">
        <w:rPr>
          <w:b/>
          <w:i/>
        </w:rPr>
        <w:t>derivative retail client property</w:t>
      </w:r>
      <w:r w:rsidRPr="005E6F75">
        <w:t>: property given as mentioned in subsection</w:t>
      </w:r>
      <w:r w:rsidR="005E6F75" w:rsidRPr="005E6F75">
        <w:t> </w:t>
      </w:r>
      <w:r w:rsidRPr="005E6F75">
        <w:t xml:space="preserve">984A(1) is </w:t>
      </w:r>
      <w:r w:rsidRPr="005E6F75">
        <w:rPr>
          <w:b/>
          <w:i/>
        </w:rPr>
        <w:t>derivative retail client property</w:t>
      </w:r>
      <w:r w:rsidRPr="005E6F75">
        <w:t xml:space="preserve"> if:</w:t>
      </w:r>
    </w:p>
    <w:p w:rsidR="0067649D" w:rsidRPr="005E6F75" w:rsidRDefault="0067649D" w:rsidP="005E6F75">
      <w:pPr>
        <w:pStyle w:val="paragraph"/>
      </w:pPr>
      <w:r w:rsidRPr="005E6F75">
        <w:tab/>
        <w:t>(a)</w:t>
      </w:r>
      <w:r w:rsidRPr="005E6F75">
        <w:tab/>
        <w:t>either:</w:t>
      </w:r>
    </w:p>
    <w:p w:rsidR="0067649D" w:rsidRPr="005E6F75" w:rsidRDefault="0067649D" w:rsidP="005E6F75">
      <w:pPr>
        <w:pStyle w:val="paragraphsub"/>
      </w:pPr>
      <w:r w:rsidRPr="005E6F75">
        <w:tab/>
        <w:t>(i)</w:t>
      </w:r>
      <w:r w:rsidRPr="005E6F75">
        <w:tab/>
        <w:t>the financial service referred to in subparagraph</w:t>
      </w:r>
      <w:r w:rsidR="005E6F75" w:rsidRPr="005E6F75">
        <w:t> </w:t>
      </w:r>
      <w:r w:rsidRPr="005E6F75">
        <w:t>984A(1)(a)(i) is or relates to a dealing in a derivative; or</w:t>
      </w:r>
    </w:p>
    <w:p w:rsidR="0067649D" w:rsidRPr="005E6F75" w:rsidRDefault="0067649D" w:rsidP="005E6F75">
      <w:pPr>
        <w:pStyle w:val="paragraphsub"/>
      </w:pPr>
      <w:r w:rsidRPr="005E6F75">
        <w:tab/>
        <w:t>(ii)</w:t>
      </w:r>
      <w:r w:rsidRPr="005E6F75">
        <w:tab/>
        <w:t>the financial product referred to in subparagraph</w:t>
      </w:r>
      <w:r w:rsidR="005E6F75" w:rsidRPr="005E6F75">
        <w:t> </w:t>
      </w:r>
      <w:r w:rsidRPr="005E6F75">
        <w:t>984A(1)(a)(ii) is a derivative; and</w:t>
      </w:r>
    </w:p>
    <w:p w:rsidR="0067649D" w:rsidRPr="005E6F75" w:rsidRDefault="0067649D" w:rsidP="005E6F75">
      <w:pPr>
        <w:pStyle w:val="paragraph"/>
      </w:pPr>
      <w:r w:rsidRPr="005E6F75">
        <w:tab/>
        <w:t>(b)</w:t>
      </w:r>
      <w:r w:rsidRPr="005E6F75">
        <w:tab/>
        <w:t>the financial service or product would be provided to the client as a retail client if:</w:t>
      </w:r>
    </w:p>
    <w:p w:rsidR="0067649D" w:rsidRPr="005E6F75" w:rsidRDefault="0067649D" w:rsidP="005E6F75">
      <w:pPr>
        <w:pStyle w:val="paragraphsub"/>
      </w:pPr>
      <w:r w:rsidRPr="005E6F75">
        <w:tab/>
        <w:t>(i)</w:t>
      </w:r>
      <w:r w:rsidRPr="005E6F75">
        <w:tab/>
        <w:t>the service or product were provided to the client when the property is given; and</w:t>
      </w:r>
    </w:p>
    <w:p w:rsidR="0067649D" w:rsidRPr="005E6F75" w:rsidRDefault="0067649D" w:rsidP="005E6F75">
      <w:pPr>
        <w:pStyle w:val="paragraphsub"/>
      </w:pPr>
      <w:r w:rsidRPr="005E6F75">
        <w:tab/>
        <w:t>(ii)</w:t>
      </w:r>
      <w:r w:rsidRPr="005E6F75">
        <w:tab/>
        <w:t>section</w:t>
      </w:r>
      <w:r w:rsidR="005E6F75" w:rsidRPr="005E6F75">
        <w:t> </w:t>
      </w:r>
      <w:r w:rsidRPr="005E6F75">
        <w:t>761GA (about sophisticated investors) did not apply.</w:t>
      </w:r>
    </w:p>
    <w:p w:rsidR="0067649D" w:rsidRPr="005E6F75" w:rsidRDefault="00467200" w:rsidP="005E6F75">
      <w:pPr>
        <w:pStyle w:val="ItemHead"/>
      </w:pPr>
      <w:r w:rsidRPr="005E6F75">
        <w:t>2</w:t>
      </w:r>
      <w:r w:rsidR="0067649D" w:rsidRPr="005E6F75">
        <w:t xml:space="preserve">  Section</w:t>
      </w:r>
      <w:r w:rsidR="005E6F75" w:rsidRPr="005E6F75">
        <w:t> </w:t>
      </w:r>
      <w:r w:rsidR="0067649D" w:rsidRPr="005E6F75">
        <w:t>981D</w:t>
      </w:r>
    </w:p>
    <w:p w:rsidR="0067649D" w:rsidRPr="005E6F75" w:rsidRDefault="0067649D" w:rsidP="005E6F75">
      <w:pPr>
        <w:pStyle w:val="Item"/>
      </w:pPr>
      <w:r w:rsidRPr="005E6F75">
        <w:t>Before “Despite”, insert “(1)”.</w:t>
      </w:r>
    </w:p>
    <w:p w:rsidR="0067649D" w:rsidRPr="005E6F75" w:rsidRDefault="00467200" w:rsidP="005E6F75">
      <w:pPr>
        <w:pStyle w:val="ItemHead"/>
      </w:pPr>
      <w:r w:rsidRPr="005E6F75">
        <w:t>3</w:t>
      </w:r>
      <w:r w:rsidR="0067649D" w:rsidRPr="005E6F75">
        <w:t xml:space="preserve">  At the end of section</w:t>
      </w:r>
      <w:r w:rsidR="005E6F75" w:rsidRPr="005E6F75">
        <w:t> </w:t>
      </w:r>
      <w:r w:rsidR="0067649D" w:rsidRPr="005E6F75">
        <w:t>981D</w:t>
      </w:r>
    </w:p>
    <w:p w:rsidR="0067649D" w:rsidRPr="005E6F75" w:rsidRDefault="0067649D" w:rsidP="005E6F75">
      <w:pPr>
        <w:pStyle w:val="Item"/>
      </w:pPr>
      <w:r w:rsidRPr="005E6F75">
        <w:t>Add:</w:t>
      </w:r>
    </w:p>
    <w:p w:rsidR="0067649D" w:rsidRPr="005E6F75" w:rsidRDefault="0067649D" w:rsidP="005E6F75">
      <w:pPr>
        <w:pStyle w:val="subsection"/>
      </w:pPr>
      <w:r w:rsidRPr="005E6F75">
        <w:tab/>
        <w:t>(2)</w:t>
      </w:r>
      <w:r w:rsidRPr="005E6F75">
        <w:tab/>
        <w:t xml:space="preserve">However, if the money is derivative retail client money, </w:t>
      </w:r>
      <w:r w:rsidR="005E6F75" w:rsidRPr="005E6F75">
        <w:t>subsection (</w:t>
      </w:r>
      <w:r w:rsidRPr="005E6F75">
        <w:t>1) only applies to an obligation if:</w:t>
      </w:r>
    </w:p>
    <w:p w:rsidR="0067649D" w:rsidRPr="005E6F75" w:rsidRDefault="0067649D" w:rsidP="005E6F75">
      <w:pPr>
        <w:pStyle w:val="paragraph"/>
      </w:pPr>
      <w:r w:rsidRPr="005E6F75">
        <w:tab/>
        <w:t>(a)</w:t>
      </w:r>
      <w:r w:rsidRPr="005E6F75">
        <w:tab/>
        <w:t xml:space="preserve">the entry into of the derivative referred to in </w:t>
      </w:r>
      <w:r w:rsidR="005E6F75" w:rsidRPr="005E6F75">
        <w:t>paragraph (</w:t>
      </w:r>
      <w:r w:rsidRPr="005E6F75">
        <w:t>1)(a) or (b) was or will be cleared through an authorised clearing and settlement facility; and</w:t>
      </w:r>
    </w:p>
    <w:p w:rsidR="0067649D" w:rsidRPr="005E6F75" w:rsidRDefault="0067649D" w:rsidP="005E6F75">
      <w:pPr>
        <w:pStyle w:val="paragraph"/>
      </w:pPr>
      <w:r w:rsidRPr="005E6F75">
        <w:tab/>
        <w:t>(b)</w:t>
      </w:r>
      <w:r w:rsidRPr="005E6F75">
        <w:tab/>
        <w:t>the licensee incurred the obligation, in connection with the derivative, under the operating rules of the facility.</w:t>
      </w:r>
    </w:p>
    <w:p w:rsidR="0067649D" w:rsidRPr="005E6F75" w:rsidRDefault="00467200" w:rsidP="005E6F75">
      <w:pPr>
        <w:pStyle w:val="ItemHead"/>
      </w:pPr>
      <w:r w:rsidRPr="005E6F75">
        <w:t>4</w:t>
      </w:r>
      <w:r w:rsidR="0067649D" w:rsidRPr="005E6F75">
        <w:t xml:space="preserve">  At the end of section</w:t>
      </w:r>
      <w:r w:rsidR="005E6F75" w:rsidRPr="005E6F75">
        <w:t> </w:t>
      </w:r>
      <w:r w:rsidR="0067649D" w:rsidRPr="005E6F75">
        <w:t>984B</w:t>
      </w:r>
    </w:p>
    <w:p w:rsidR="0067649D" w:rsidRPr="005E6F75" w:rsidRDefault="0067649D" w:rsidP="005E6F75">
      <w:pPr>
        <w:pStyle w:val="Item"/>
      </w:pPr>
      <w:r w:rsidRPr="005E6F75">
        <w:t>Add:</w:t>
      </w:r>
    </w:p>
    <w:p w:rsidR="0067649D" w:rsidRPr="005E6F75" w:rsidRDefault="0067649D" w:rsidP="005E6F75">
      <w:pPr>
        <w:pStyle w:val="subsection"/>
      </w:pPr>
      <w:r w:rsidRPr="005E6F75">
        <w:tab/>
        <w:t>(3)</w:t>
      </w:r>
      <w:r w:rsidRPr="005E6F75">
        <w:tab/>
        <w:t xml:space="preserve">However, if the property is derivative retail client property, </w:t>
      </w:r>
      <w:r w:rsidR="005E6F75" w:rsidRPr="005E6F75">
        <w:t>subsection (</w:t>
      </w:r>
      <w:r w:rsidRPr="005E6F75">
        <w:t>2) only applies to an obligation if:</w:t>
      </w:r>
    </w:p>
    <w:p w:rsidR="0067649D" w:rsidRPr="005E6F75" w:rsidRDefault="0067649D" w:rsidP="005E6F75">
      <w:pPr>
        <w:pStyle w:val="paragraph"/>
      </w:pPr>
      <w:r w:rsidRPr="005E6F75">
        <w:tab/>
        <w:t>(a)</w:t>
      </w:r>
      <w:r w:rsidRPr="005E6F75">
        <w:tab/>
        <w:t xml:space="preserve">the entry into of the derivative referred to in </w:t>
      </w:r>
      <w:r w:rsidR="005E6F75" w:rsidRPr="005E6F75">
        <w:t>paragraph (</w:t>
      </w:r>
      <w:r w:rsidRPr="005E6F75">
        <w:t>2)(a) or (b) was or will be cleared through an authorised clearing and settlement facility; and</w:t>
      </w:r>
    </w:p>
    <w:p w:rsidR="0067649D" w:rsidRPr="005E6F75" w:rsidRDefault="0067649D" w:rsidP="005E6F75">
      <w:pPr>
        <w:pStyle w:val="paragraph"/>
      </w:pPr>
      <w:r w:rsidRPr="005E6F75">
        <w:tab/>
        <w:t>(b)</w:t>
      </w:r>
      <w:r w:rsidRPr="005E6F75">
        <w:tab/>
        <w:t>the licensee incurred the obligation, in connection with the derivative, under the operating rules of the facility.</w:t>
      </w:r>
    </w:p>
    <w:p w:rsidR="00C00449" w:rsidRPr="005E6F75" w:rsidRDefault="00562C54" w:rsidP="005E6F75">
      <w:pPr>
        <w:pStyle w:val="ItemHead"/>
      </w:pPr>
      <w:r w:rsidRPr="005E6F75">
        <w:t xml:space="preserve">5  </w:t>
      </w:r>
      <w:r w:rsidR="00C00449" w:rsidRPr="005E6F75">
        <w:t>Before section</w:t>
      </w:r>
      <w:r w:rsidR="005E6F75" w:rsidRPr="005E6F75">
        <w:t> </w:t>
      </w:r>
      <w:r w:rsidR="00C00449" w:rsidRPr="005E6F75">
        <w:t>1637</w:t>
      </w:r>
    </w:p>
    <w:p w:rsidR="00C00449" w:rsidRPr="005E6F75" w:rsidRDefault="00C00449" w:rsidP="005E6F75">
      <w:pPr>
        <w:pStyle w:val="Item"/>
      </w:pPr>
      <w:r w:rsidRPr="005E6F75">
        <w:t>Insert:</w:t>
      </w:r>
    </w:p>
    <w:p w:rsidR="00DB39D8" w:rsidRPr="005E6F75" w:rsidRDefault="00DB39D8" w:rsidP="005E6F75">
      <w:pPr>
        <w:pStyle w:val="ActHead5"/>
      </w:pPr>
      <w:bookmarkStart w:id="24" w:name="_Toc479251874"/>
      <w:r w:rsidRPr="005E6F75">
        <w:rPr>
          <w:rStyle w:val="CharSectno"/>
        </w:rPr>
        <w:t>163</w:t>
      </w:r>
      <w:r w:rsidR="00C00449" w:rsidRPr="005E6F75">
        <w:rPr>
          <w:rStyle w:val="CharSectno"/>
        </w:rPr>
        <w:t>6A</w:t>
      </w:r>
      <w:r w:rsidRPr="005E6F75">
        <w:t xml:space="preserve">  Application of subsections</w:t>
      </w:r>
      <w:r w:rsidR="005E6F75" w:rsidRPr="005E6F75">
        <w:t> </w:t>
      </w:r>
      <w:r w:rsidRPr="005E6F75">
        <w:t xml:space="preserve">981D(2) and </w:t>
      </w:r>
      <w:r w:rsidR="00D475C3" w:rsidRPr="005E6F75">
        <w:t>984B</w:t>
      </w:r>
      <w:r w:rsidRPr="005E6F75">
        <w:t>(3)</w:t>
      </w:r>
      <w:bookmarkEnd w:id="24"/>
    </w:p>
    <w:p w:rsidR="0067649D" w:rsidRPr="005E6F75" w:rsidRDefault="00DB39D8" w:rsidP="005E6F75">
      <w:pPr>
        <w:pStyle w:val="subsection"/>
      </w:pPr>
      <w:r w:rsidRPr="005E6F75">
        <w:tab/>
      </w:r>
      <w:r w:rsidR="0067649D" w:rsidRPr="005E6F75">
        <w:t>(1)</w:t>
      </w:r>
      <w:r w:rsidR="0067649D" w:rsidRPr="005E6F75">
        <w:tab/>
        <w:t>Subsection</w:t>
      </w:r>
      <w:r w:rsidR="005E6F75" w:rsidRPr="005E6F75">
        <w:t> </w:t>
      </w:r>
      <w:r w:rsidR="0067649D" w:rsidRPr="005E6F75">
        <w:t>981D(2), as added by th</w:t>
      </w:r>
      <w:r w:rsidRPr="005E6F75">
        <w:t>e</w:t>
      </w:r>
      <w:r w:rsidR="0067649D" w:rsidRPr="005E6F75">
        <w:t xml:space="preserve"> </w:t>
      </w:r>
      <w:r w:rsidRPr="005E6F75">
        <w:rPr>
          <w:i/>
        </w:rPr>
        <w:t>Treasury Laws Amendment (2016 Measures No.</w:t>
      </w:r>
      <w:r w:rsidR="005E6F75" w:rsidRPr="005E6F75">
        <w:rPr>
          <w:i/>
        </w:rPr>
        <w:t> </w:t>
      </w:r>
      <w:r w:rsidR="0002158A">
        <w:rPr>
          <w:i/>
        </w:rPr>
        <w:t>1) Act 2017</w:t>
      </w:r>
      <w:r w:rsidR="0067649D" w:rsidRPr="005E6F75">
        <w:t xml:space="preserve">, applies to a use of money on or after the commencement of this </w:t>
      </w:r>
      <w:r w:rsidRPr="005E6F75">
        <w:t>section</w:t>
      </w:r>
      <w:r w:rsidR="0067649D" w:rsidRPr="005E6F75">
        <w:t>, whether the money was paid to the licensee as mentioned in subsection</w:t>
      </w:r>
      <w:r w:rsidR="005E6F75" w:rsidRPr="005E6F75">
        <w:t> </w:t>
      </w:r>
      <w:r w:rsidR="0067649D" w:rsidRPr="005E6F75">
        <w:t>981A(1) before, on or after that commencement.</w:t>
      </w:r>
    </w:p>
    <w:p w:rsidR="0067649D" w:rsidRPr="005E6F75" w:rsidRDefault="00DB39D8" w:rsidP="005E6F75">
      <w:pPr>
        <w:pStyle w:val="subsection"/>
      </w:pPr>
      <w:r w:rsidRPr="005E6F75">
        <w:tab/>
      </w:r>
      <w:r w:rsidR="0067649D" w:rsidRPr="005E6F75">
        <w:t>(2)</w:t>
      </w:r>
      <w:r w:rsidR="0067649D" w:rsidRPr="005E6F75">
        <w:tab/>
        <w:t>Subsection</w:t>
      </w:r>
      <w:r w:rsidR="005E6F75" w:rsidRPr="005E6F75">
        <w:t> </w:t>
      </w:r>
      <w:r w:rsidR="0067649D" w:rsidRPr="005E6F75">
        <w:t>984B(3)</w:t>
      </w:r>
      <w:r w:rsidRPr="005E6F75">
        <w:t xml:space="preserve">, as added by the </w:t>
      </w:r>
      <w:r w:rsidRPr="005E6F75">
        <w:rPr>
          <w:i/>
        </w:rPr>
        <w:t>Treasury Laws Amendment (2016 Measures No.</w:t>
      </w:r>
      <w:r w:rsidR="005E6F75" w:rsidRPr="005E6F75">
        <w:rPr>
          <w:i/>
        </w:rPr>
        <w:t> </w:t>
      </w:r>
      <w:r w:rsidR="0002158A">
        <w:rPr>
          <w:i/>
        </w:rPr>
        <w:t>1) Act 2017</w:t>
      </w:r>
      <w:r w:rsidR="0067649D" w:rsidRPr="005E6F75">
        <w:t xml:space="preserve">, applies to a use of property on or after the commencement of this </w:t>
      </w:r>
      <w:r w:rsidR="00476727" w:rsidRPr="005E6F75">
        <w:t>section</w:t>
      </w:r>
      <w:r w:rsidR="0067649D" w:rsidRPr="005E6F75">
        <w:t>, whether the property was given to the licensee as mentioned in subsection</w:t>
      </w:r>
      <w:r w:rsidR="005E6F75" w:rsidRPr="005E6F75">
        <w:t> </w:t>
      </w:r>
      <w:r w:rsidR="0067649D" w:rsidRPr="005E6F75">
        <w:t>984A(1) before, on or after that commencement.</w:t>
      </w:r>
    </w:p>
    <w:p w:rsidR="0067649D" w:rsidRPr="005E6F75" w:rsidRDefault="0067649D" w:rsidP="005E6F75">
      <w:pPr>
        <w:pStyle w:val="ActHead7"/>
        <w:pageBreakBefore/>
      </w:pPr>
      <w:bookmarkStart w:id="25" w:name="_Toc479251875"/>
      <w:r w:rsidRPr="005E6F75">
        <w:rPr>
          <w:rStyle w:val="CharAmPartNo"/>
        </w:rPr>
        <w:t>Part</w:t>
      </w:r>
      <w:r w:rsidR="005E6F75" w:rsidRPr="005E6F75">
        <w:rPr>
          <w:rStyle w:val="CharAmPartNo"/>
        </w:rPr>
        <w:t> </w:t>
      </w:r>
      <w:r w:rsidRPr="005E6F75">
        <w:rPr>
          <w:rStyle w:val="CharAmPartNo"/>
        </w:rPr>
        <w:t>2</w:t>
      </w:r>
      <w:r w:rsidRPr="005E6F75">
        <w:t>—</w:t>
      </w:r>
      <w:r w:rsidRPr="005E6F75">
        <w:rPr>
          <w:rStyle w:val="CharAmPartText"/>
        </w:rPr>
        <w:t>Client money reporting rules</w:t>
      </w:r>
      <w:bookmarkEnd w:id="25"/>
    </w:p>
    <w:p w:rsidR="0067649D" w:rsidRPr="005E6F75" w:rsidRDefault="0067649D" w:rsidP="005E6F75">
      <w:pPr>
        <w:pStyle w:val="ActHead9"/>
        <w:rPr>
          <w:i w:val="0"/>
        </w:rPr>
      </w:pPr>
      <w:bookmarkStart w:id="26" w:name="_Toc479251876"/>
      <w:r w:rsidRPr="005E6F75">
        <w:t>Corporations Act 2001</w:t>
      </w:r>
      <w:bookmarkEnd w:id="26"/>
    </w:p>
    <w:p w:rsidR="0067649D" w:rsidRPr="005E6F75" w:rsidRDefault="00467200" w:rsidP="005E6F75">
      <w:pPr>
        <w:pStyle w:val="ItemHead"/>
      </w:pPr>
      <w:r w:rsidRPr="005E6F75">
        <w:t>6</w:t>
      </w:r>
      <w:r w:rsidR="0067649D" w:rsidRPr="005E6F75">
        <w:t xml:space="preserve">  Section</w:t>
      </w:r>
      <w:r w:rsidR="005E6F75" w:rsidRPr="005E6F75">
        <w:t> </w:t>
      </w:r>
      <w:r w:rsidR="0067649D" w:rsidRPr="005E6F75">
        <w:t>761A</w:t>
      </w:r>
    </w:p>
    <w:p w:rsidR="0067649D" w:rsidRPr="005E6F75" w:rsidRDefault="0067649D" w:rsidP="005E6F75">
      <w:pPr>
        <w:pStyle w:val="Item"/>
      </w:pPr>
      <w:r w:rsidRPr="005E6F75">
        <w:t>Insert:</w:t>
      </w:r>
    </w:p>
    <w:p w:rsidR="0067649D" w:rsidRPr="005E6F75" w:rsidRDefault="0067649D" w:rsidP="005E6F75">
      <w:pPr>
        <w:pStyle w:val="Definition"/>
      </w:pPr>
      <w:r w:rsidRPr="005E6F75">
        <w:rPr>
          <w:b/>
          <w:i/>
        </w:rPr>
        <w:t>client money reporting rules</w:t>
      </w:r>
      <w:r w:rsidRPr="005E6F75">
        <w:t xml:space="preserve"> has the meaning given by section</w:t>
      </w:r>
      <w:r w:rsidR="005E6F75" w:rsidRPr="005E6F75">
        <w:t> </w:t>
      </w:r>
      <w:r w:rsidRPr="005E6F75">
        <w:t>981J.</w:t>
      </w:r>
    </w:p>
    <w:p w:rsidR="0067649D" w:rsidRPr="005E6F75" w:rsidRDefault="00467200" w:rsidP="005E6F75">
      <w:pPr>
        <w:pStyle w:val="ItemHead"/>
      </w:pPr>
      <w:r w:rsidRPr="005E6F75">
        <w:t>7</w:t>
      </w:r>
      <w:r w:rsidR="0067649D" w:rsidRPr="005E6F75">
        <w:t xml:space="preserve">  After paragraph</w:t>
      </w:r>
      <w:r w:rsidR="005E6F75" w:rsidRPr="005E6F75">
        <w:t> </w:t>
      </w:r>
      <w:r w:rsidR="0067649D" w:rsidRPr="005E6F75">
        <w:t>793B(2)(c)</w:t>
      </w:r>
    </w:p>
    <w:p w:rsidR="0067649D" w:rsidRPr="005E6F75" w:rsidRDefault="0067649D" w:rsidP="005E6F75">
      <w:pPr>
        <w:pStyle w:val="Item"/>
      </w:pPr>
      <w:r w:rsidRPr="005E6F75">
        <w:t>Insert:</w:t>
      </w:r>
    </w:p>
    <w:p w:rsidR="0067649D" w:rsidRPr="005E6F75" w:rsidRDefault="0067649D" w:rsidP="005E6F75">
      <w:pPr>
        <w:pStyle w:val="paragraph"/>
      </w:pPr>
      <w:r w:rsidRPr="005E6F75">
        <w:tab/>
        <w:t>(d)</w:t>
      </w:r>
      <w:r w:rsidRPr="005E6F75">
        <w:tab/>
        <w:t>the client money reporting rules;</w:t>
      </w:r>
    </w:p>
    <w:p w:rsidR="0067649D" w:rsidRPr="005E6F75" w:rsidRDefault="00467200" w:rsidP="005E6F75">
      <w:pPr>
        <w:pStyle w:val="ItemHead"/>
      </w:pPr>
      <w:r w:rsidRPr="005E6F75">
        <w:t>8</w:t>
      </w:r>
      <w:r w:rsidR="0067649D" w:rsidRPr="005E6F75">
        <w:t xml:space="preserve">  At the end of subsection</w:t>
      </w:r>
      <w:r w:rsidR="005E6F75" w:rsidRPr="005E6F75">
        <w:t> </w:t>
      </w:r>
      <w:r w:rsidR="0067649D" w:rsidRPr="005E6F75">
        <w:t>793B(2)</w:t>
      </w:r>
    </w:p>
    <w:p w:rsidR="0067649D" w:rsidRPr="005E6F75" w:rsidRDefault="0067649D" w:rsidP="005E6F75">
      <w:pPr>
        <w:pStyle w:val="Item"/>
      </w:pPr>
      <w:r w:rsidRPr="005E6F75">
        <w:t>Add:</w:t>
      </w:r>
    </w:p>
    <w:p w:rsidR="0067649D" w:rsidRPr="005E6F75" w:rsidRDefault="0067649D" w:rsidP="005E6F75">
      <w:pPr>
        <w:pStyle w:val="notetext"/>
      </w:pPr>
      <w:r w:rsidRPr="005E6F75">
        <w:t>Note 3:</w:t>
      </w:r>
      <w:r w:rsidRPr="005E6F75">
        <w:tab/>
        <w:t>If there is an inconsistency between the market integrity rules, the derivative transaction rules or the derivative trade repository rules and the client money reporting rules, the market integrity rules, the derivative transaction rules or the derivative trade repository rules prevail: see subsection</w:t>
      </w:r>
      <w:r w:rsidR="005E6F75" w:rsidRPr="005E6F75">
        <w:t> </w:t>
      </w:r>
      <w:r w:rsidRPr="005E6F75">
        <w:t>981M(2).</w:t>
      </w:r>
    </w:p>
    <w:p w:rsidR="0067649D" w:rsidRPr="005E6F75" w:rsidRDefault="00467200" w:rsidP="005E6F75">
      <w:pPr>
        <w:pStyle w:val="ItemHead"/>
      </w:pPr>
      <w:r w:rsidRPr="005E6F75">
        <w:t>9</w:t>
      </w:r>
      <w:r w:rsidR="0067649D" w:rsidRPr="005E6F75">
        <w:t xml:space="preserve">  After paragraph</w:t>
      </w:r>
      <w:r w:rsidR="005E6F75" w:rsidRPr="005E6F75">
        <w:t> </w:t>
      </w:r>
      <w:r w:rsidR="0067649D" w:rsidRPr="005E6F75">
        <w:t>822B(2)(b)</w:t>
      </w:r>
    </w:p>
    <w:p w:rsidR="0067649D" w:rsidRPr="005E6F75" w:rsidRDefault="0067649D" w:rsidP="005E6F75">
      <w:pPr>
        <w:pStyle w:val="Item"/>
      </w:pPr>
      <w:r w:rsidRPr="005E6F75">
        <w:t>Insert:</w:t>
      </w:r>
    </w:p>
    <w:p w:rsidR="0067649D" w:rsidRPr="005E6F75" w:rsidRDefault="0067649D" w:rsidP="005E6F75">
      <w:pPr>
        <w:pStyle w:val="paragraph"/>
      </w:pPr>
      <w:r w:rsidRPr="005E6F75">
        <w:tab/>
        <w:t>(c)</w:t>
      </w:r>
      <w:r w:rsidRPr="005E6F75">
        <w:tab/>
        <w:t>the client money reporting rules;</w:t>
      </w:r>
    </w:p>
    <w:p w:rsidR="0067649D" w:rsidRPr="005E6F75" w:rsidRDefault="00467200" w:rsidP="005E6F75">
      <w:pPr>
        <w:pStyle w:val="ItemHead"/>
      </w:pPr>
      <w:r w:rsidRPr="005E6F75">
        <w:t>10</w:t>
      </w:r>
      <w:r w:rsidR="0067649D" w:rsidRPr="005E6F75">
        <w:t xml:space="preserve">  Subsection</w:t>
      </w:r>
      <w:r w:rsidR="005E6F75" w:rsidRPr="005E6F75">
        <w:t> </w:t>
      </w:r>
      <w:r w:rsidR="0067649D" w:rsidRPr="005E6F75">
        <w:t>822B(2) (note)</w:t>
      </w:r>
    </w:p>
    <w:p w:rsidR="0067649D" w:rsidRPr="005E6F75" w:rsidRDefault="0067649D" w:rsidP="005E6F75">
      <w:pPr>
        <w:pStyle w:val="Item"/>
      </w:pPr>
      <w:r w:rsidRPr="005E6F75">
        <w:t>Omit “Note”, substitute “Note 1”.</w:t>
      </w:r>
    </w:p>
    <w:p w:rsidR="0067649D" w:rsidRPr="005E6F75" w:rsidRDefault="00467200" w:rsidP="005E6F75">
      <w:pPr>
        <w:pStyle w:val="ItemHead"/>
      </w:pPr>
      <w:r w:rsidRPr="005E6F75">
        <w:t>11</w:t>
      </w:r>
      <w:r w:rsidR="0067649D" w:rsidRPr="005E6F75">
        <w:t xml:space="preserve">  At the end of subsection</w:t>
      </w:r>
      <w:r w:rsidR="005E6F75" w:rsidRPr="005E6F75">
        <w:t> </w:t>
      </w:r>
      <w:r w:rsidR="0067649D" w:rsidRPr="005E6F75">
        <w:t>822B(2)</w:t>
      </w:r>
    </w:p>
    <w:p w:rsidR="0067649D" w:rsidRPr="005E6F75" w:rsidRDefault="0067649D" w:rsidP="005E6F75">
      <w:pPr>
        <w:pStyle w:val="Item"/>
      </w:pPr>
      <w:r w:rsidRPr="005E6F75">
        <w:t>Add:</w:t>
      </w:r>
    </w:p>
    <w:p w:rsidR="0067649D" w:rsidRPr="005E6F75" w:rsidRDefault="0067649D" w:rsidP="005E6F75">
      <w:pPr>
        <w:pStyle w:val="notetext"/>
      </w:pPr>
      <w:r w:rsidRPr="005E6F75">
        <w:t>Note 2:</w:t>
      </w:r>
      <w:r w:rsidRPr="005E6F75">
        <w:tab/>
        <w:t>If there is an inconsistency between the derivative transaction rules or the derivative trade repository rules and the client money reporting rules, the derivative transaction rules or the derivative trade repository rules prevail: see subsection</w:t>
      </w:r>
      <w:r w:rsidR="005E6F75" w:rsidRPr="005E6F75">
        <w:t> </w:t>
      </w:r>
      <w:r w:rsidRPr="005E6F75">
        <w:t>981M(2).</w:t>
      </w:r>
    </w:p>
    <w:p w:rsidR="0067649D" w:rsidRPr="005E6F75" w:rsidRDefault="00467200" w:rsidP="005E6F75">
      <w:pPr>
        <w:pStyle w:val="ItemHead"/>
      </w:pPr>
      <w:r w:rsidRPr="005E6F75">
        <w:t>12</w:t>
      </w:r>
      <w:r w:rsidR="0067649D" w:rsidRPr="005E6F75">
        <w:t xml:space="preserve">  At the end of subsection</w:t>
      </w:r>
      <w:r w:rsidR="005E6F75" w:rsidRPr="005E6F75">
        <w:t> </w:t>
      </w:r>
      <w:r w:rsidR="0067649D" w:rsidRPr="005E6F75">
        <w:t>901E(2)</w:t>
      </w:r>
    </w:p>
    <w:p w:rsidR="0067649D" w:rsidRPr="005E6F75" w:rsidRDefault="0067649D" w:rsidP="005E6F75">
      <w:pPr>
        <w:pStyle w:val="Item"/>
      </w:pPr>
      <w:r w:rsidRPr="005E6F75">
        <w:t>Add:</w:t>
      </w:r>
    </w:p>
    <w:p w:rsidR="0067649D" w:rsidRPr="005E6F75" w:rsidRDefault="0067649D" w:rsidP="005E6F75">
      <w:pPr>
        <w:pStyle w:val="notetext"/>
      </w:pPr>
      <w:r w:rsidRPr="005E6F75">
        <w:t>Note 3:</w:t>
      </w:r>
      <w:r w:rsidRPr="005E6F75">
        <w:tab/>
        <w:t>If there is an inconsistency between the derivative transaction rules and the client money reporting rules, the derivative transaction rules prevail: see subsection</w:t>
      </w:r>
      <w:r w:rsidR="005E6F75" w:rsidRPr="005E6F75">
        <w:t> </w:t>
      </w:r>
      <w:r w:rsidRPr="005E6F75">
        <w:t>981M(2).</w:t>
      </w:r>
    </w:p>
    <w:p w:rsidR="0067649D" w:rsidRPr="005E6F75" w:rsidRDefault="00467200" w:rsidP="005E6F75">
      <w:pPr>
        <w:pStyle w:val="ItemHead"/>
      </w:pPr>
      <w:r w:rsidRPr="005E6F75">
        <w:t>13</w:t>
      </w:r>
      <w:r w:rsidR="0067649D" w:rsidRPr="005E6F75">
        <w:t xml:space="preserve">  At the end of section</w:t>
      </w:r>
      <w:r w:rsidR="005E6F75" w:rsidRPr="005E6F75">
        <w:t> </w:t>
      </w:r>
      <w:r w:rsidR="0067649D" w:rsidRPr="005E6F75">
        <w:t>903D</w:t>
      </w:r>
    </w:p>
    <w:p w:rsidR="0067649D" w:rsidRPr="005E6F75" w:rsidRDefault="0067649D" w:rsidP="005E6F75">
      <w:pPr>
        <w:pStyle w:val="Item"/>
      </w:pPr>
      <w:r w:rsidRPr="005E6F75">
        <w:t>Add:</w:t>
      </w:r>
    </w:p>
    <w:p w:rsidR="0067649D" w:rsidRPr="005E6F75" w:rsidRDefault="0067649D" w:rsidP="005E6F75">
      <w:pPr>
        <w:pStyle w:val="notetext"/>
      </w:pPr>
      <w:r w:rsidRPr="005E6F75">
        <w:t>Note 6:</w:t>
      </w:r>
      <w:r w:rsidRPr="005E6F75">
        <w:tab/>
        <w:t>If there is an inconsistency between the derivative trade repository rules and the client money reporting rules, the derivative trade repository rules prevail: see subsection</w:t>
      </w:r>
      <w:r w:rsidR="005E6F75" w:rsidRPr="005E6F75">
        <w:t> </w:t>
      </w:r>
      <w:r w:rsidRPr="005E6F75">
        <w:t>981M(2).</w:t>
      </w:r>
    </w:p>
    <w:p w:rsidR="0067649D" w:rsidRPr="005E6F75" w:rsidRDefault="00467200" w:rsidP="005E6F75">
      <w:pPr>
        <w:pStyle w:val="ItemHead"/>
      </w:pPr>
      <w:r w:rsidRPr="005E6F75">
        <w:t>14</w:t>
      </w:r>
      <w:r w:rsidR="0067649D" w:rsidRPr="005E6F75">
        <w:t xml:space="preserve">  After Subdivision A of Division</w:t>
      </w:r>
      <w:r w:rsidR="005E6F75" w:rsidRPr="005E6F75">
        <w:t> </w:t>
      </w:r>
      <w:r w:rsidR="0067649D" w:rsidRPr="005E6F75">
        <w:t>2 of Part</w:t>
      </w:r>
      <w:r w:rsidR="005E6F75" w:rsidRPr="005E6F75">
        <w:t> </w:t>
      </w:r>
      <w:r w:rsidR="0067649D" w:rsidRPr="005E6F75">
        <w:t>7.8</w:t>
      </w:r>
    </w:p>
    <w:p w:rsidR="0067649D" w:rsidRPr="005E6F75" w:rsidRDefault="0067649D" w:rsidP="005E6F75">
      <w:pPr>
        <w:pStyle w:val="Item"/>
      </w:pPr>
      <w:r w:rsidRPr="005E6F75">
        <w:t>Insert:</w:t>
      </w:r>
    </w:p>
    <w:p w:rsidR="0067649D" w:rsidRPr="005E6F75" w:rsidRDefault="0067649D" w:rsidP="005E6F75">
      <w:pPr>
        <w:pStyle w:val="ActHead4"/>
      </w:pPr>
      <w:bookmarkStart w:id="27" w:name="_Toc479251877"/>
      <w:r w:rsidRPr="005E6F75">
        <w:rPr>
          <w:rStyle w:val="CharSubdNo"/>
        </w:rPr>
        <w:t>Subdivision AA</w:t>
      </w:r>
      <w:r w:rsidRPr="005E6F75">
        <w:t>—</w:t>
      </w:r>
      <w:r w:rsidRPr="005E6F75">
        <w:rPr>
          <w:rStyle w:val="CharSubdText"/>
        </w:rPr>
        <w:t>Client money reporting rules</w:t>
      </w:r>
      <w:bookmarkEnd w:id="27"/>
    </w:p>
    <w:p w:rsidR="0067649D" w:rsidRPr="005E6F75" w:rsidRDefault="0067649D" w:rsidP="005E6F75">
      <w:pPr>
        <w:pStyle w:val="ActHead5"/>
      </w:pPr>
      <w:bookmarkStart w:id="28" w:name="_Toc479251878"/>
      <w:r w:rsidRPr="005E6F75">
        <w:rPr>
          <w:rStyle w:val="CharSectno"/>
        </w:rPr>
        <w:t>981J</w:t>
      </w:r>
      <w:r w:rsidRPr="005E6F75">
        <w:t xml:space="preserve">  Client money reporting rules</w:t>
      </w:r>
      <w:bookmarkEnd w:id="28"/>
    </w:p>
    <w:p w:rsidR="0067649D" w:rsidRPr="005E6F75" w:rsidRDefault="0067649D" w:rsidP="005E6F75">
      <w:pPr>
        <w:pStyle w:val="subsection"/>
      </w:pPr>
      <w:r w:rsidRPr="005E6F75">
        <w:tab/>
        <w:t>(1)</w:t>
      </w:r>
      <w:r w:rsidRPr="005E6F75">
        <w:tab/>
        <w:t xml:space="preserve">ASIC may, by legislative instrument, make rules (the </w:t>
      </w:r>
      <w:r w:rsidRPr="005E6F75">
        <w:rPr>
          <w:b/>
          <w:i/>
        </w:rPr>
        <w:t>client money reporting rules</w:t>
      </w:r>
      <w:r w:rsidRPr="005E6F75">
        <w:t>) dealing with matters as permitted by this Subdivision, for purposes relating to derivative retail client money.</w:t>
      </w:r>
    </w:p>
    <w:p w:rsidR="0067649D" w:rsidRPr="005E6F75" w:rsidRDefault="0067649D" w:rsidP="005E6F75">
      <w:pPr>
        <w:pStyle w:val="subsection"/>
      </w:pPr>
      <w:r w:rsidRPr="005E6F75">
        <w:tab/>
        <w:t>(2)</w:t>
      </w:r>
      <w:r w:rsidRPr="005E6F75">
        <w:tab/>
        <w:t>The regulations may provide that the client money reporting rules:</w:t>
      </w:r>
    </w:p>
    <w:p w:rsidR="0067649D" w:rsidRPr="005E6F75" w:rsidRDefault="0067649D" w:rsidP="005E6F75">
      <w:pPr>
        <w:pStyle w:val="paragraph"/>
      </w:pPr>
      <w:r w:rsidRPr="005E6F75">
        <w:tab/>
        <w:t>(a)</w:t>
      </w:r>
      <w:r w:rsidRPr="005E6F75">
        <w:tab/>
        <w:t>cannot impose requirements (or certain kinds of requirements) in relation to certain classes of persons or money; or</w:t>
      </w:r>
    </w:p>
    <w:p w:rsidR="0067649D" w:rsidRPr="005E6F75" w:rsidRDefault="0067649D" w:rsidP="005E6F75">
      <w:pPr>
        <w:pStyle w:val="paragraph"/>
      </w:pPr>
      <w:r w:rsidRPr="005E6F75">
        <w:tab/>
        <w:t>(b)</w:t>
      </w:r>
      <w:r w:rsidRPr="005E6F75">
        <w:tab/>
        <w:t>can only impose requirements (or certain kinds of requirements) in relation to certain classes of persons or money in certain circumstances.</w:t>
      </w:r>
    </w:p>
    <w:p w:rsidR="0067649D" w:rsidRPr="005E6F75" w:rsidRDefault="0067649D" w:rsidP="005E6F75">
      <w:pPr>
        <w:pStyle w:val="ActHead5"/>
      </w:pPr>
      <w:bookmarkStart w:id="29" w:name="_Toc479251879"/>
      <w:r w:rsidRPr="005E6F75">
        <w:rPr>
          <w:rStyle w:val="CharSectno"/>
        </w:rPr>
        <w:t>981K</w:t>
      </w:r>
      <w:r w:rsidRPr="005E6F75">
        <w:t xml:space="preserve">  Matters that may be dealt with in client money reporting rules</w:t>
      </w:r>
      <w:bookmarkEnd w:id="29"/>
    </w:p>
    <w:p w:rsidR="0067649D" w:rsidRPr="005E6F75" w:rsidRDefault="0067649D" w:rsidP="005E6F75">
      <w:pPr>
        <w:pStyle w:val="subsection"/>
      </w:pPr>
      <w:r w:rsidRPr="005E6F75">
        <w:tab/>
        <w:t>(1)</w:t>
      </w:r>
      <w:r w:rsidRPr="005E6F75">
        <w:tab/>
        <w:t>The client money reporting rules may impose any of the following kinds of requirements:</w:t>
      </w:r>
    </w:p>
    <w:p w:rsidR="0067649D" w:rsidRPr="005E6F75" w:rsidRDefault="0067649D" w:rsidP="005E6F75">
      <w:pPr>
        <w:pStyle w:val="paragraph"/>
      </w:pPr>
      <w:r w:rsidRPr="005E6F75">
        <w:tab/>
        <w:t>(a)</w:t>
      </w:r>
      <w:r w:rsidRPr="005E6F75">
        <w:tab/>
        <w:t xml:space="preserve">requirements to report information (see also </w:t>
      </w:r>
      <w:r w:rsidR="005E6F75" w:rsidRPr="005E6F75">
        <w:t>paragraph (</w:t>
      </w:r>
      <w:r w:rsidRPr="005E6F75">
        <w:t>2)(b));</w:t>
      </w:r>
    </w:p>
    <w:p w:rsidR="0067649D" w:rsidRPr="005E6F75" w:rsidRDefault="0067649D" w:rsidP="005E6F75">
      <w:pPr>
        <w:pStyle w:val="paragraph"/>
      </w:pPr>
      <w:r w:rsidRPr="005E6F75">
        <w:tab/>
        <w:t>(b)</w:t>
      </w:r>
      <w:r w:rsidRPr="005E6F75">
        <w:tab/>
        <w:t xml:space="preserve">reconciliation requirements (see also </w:t>
      </w:r>
      <w:r w:rsidR="005E6F75" w:rsidRPr="005E6F75">
        <w:t>paragraph (</w:t>
      </w:r>
      <w:r w:rsidRPr="005E6F75">
        <w:t>2)(c));</w:t>
      </w:r>
    </w:p>
    <w:p w:rsidR="0067649D" w:rsidRPr="005E6F75" w:rsidRDefault="0067649D" w:rsidP="005E6F75">
      <w:pPr>
        <w:pStyle w:val="paragraph"/>
      </w:pPr>
      <w:r w:rsidRPr="005E6F75">
        <w:tab/>
        <w:t>(c)</w:t>
      </w:r>
      <w:r w:rsidRPr="005E6F75">
        <w:tab/>
        <w:t xml:space="preserve">requirements that are incidental or related to the requirements mentioned in </w:t>
      </w:r>
      <w:r w:rsidR="005E6F75" w:rsidRPr="005E6F75">
        <w:t>paragraph (</w:t>
      </w:r>
      <w:r w:rsidRPr="005E6F75">
        <w:t>a) or (b).</w:t>
      </w:r>
    </w:p>
    <w:p w:rsidR="0067649D" w:rsidRPr="005E6F75" w:rsidRDefault="0067649D" w:rsidP="005E6F75">
      <w:pPr>
        <w:pStyle w:val="subsection"/>
      </w:pPr>
      <w:r w:rsidRPr="005E6F75">
        <w:tab/>
        <w:t>(2)</w:t>
      </w:r>
      <w:r w:rsidRPr="005E6F75">
        <w:tab/>
        <w:t xml:space="preserve">The client money reporting rules may also deal with matters incidental or related to requirements referred to in </w:t>
      </w:r>
      <w:r w:rsidR="005E6F75" w:rsidRPr="005E6F75">
        <w:t>subsection (</w:t>
      </w:r>
      <w:r w:rsidRPr="005E6F75">
        <w:t>1), including any of the following:</w:t>
      </w:r>
    </w:p>
    <w:p w:rsidR="0067649D" w:rsidRPr="005E6F75" w:rsidRDefault="0067649D" w:rsidP="005E6F75">
      <w:pPr>
        <w:pStyle w:val="paragraph"/>
      </w:pPr>
      <w:r w:rsidRPr="005E6F75">
        <w:tab/>
        <w:t>(a)</w:t>
      </w:r>
      <w:r w:rsidRPr="005E6F75">
        <w:tab/>
        <w:t>the classes of money in relation to which particular requirements apply;</w:t>
      </w:r>
    </w:p>
    <w:p w:rsidR="0067649D" w:rsidRPr="005E6F75" w:rsidRDefault="0067649D" w:rsidP="005E6F75">
      <w:pPr>
        <w:pStyle w:val="paragraph"/>
      </w:pPr>
      <w:r w:rsidRPr="005E6F75">
        <w:tab/>
        <w:t>(b)</w:t>
      </w:r>
      <w:r w:rsidRPr="005E6F75">
        <w:tab/>
        <w:t>for requirements to report information:</w:t>
      </w:r>
    </w:p>
    <w:p w:rsidR="0067649D" w:rsidRPr="005E6F75" w:rsidRDefault="0067649D" w:rsidP="005E6F75">
      <w:pPr>
        <w:pStyle w:val="paragraphsub"/>
      </w:pPr>
      <w:r w:rsidRPr="005E6F75">
        <w:tab/>
        <w:t>(i)</w:t>
      </w:r>
      <w:r w:rsidRPr="005E6F75">
        <w:tab/>
        <w:t>to whom information is required to be reported; and</w:t>
      </w:r>
    </w:p>
    <w:p w:rsidR="0067649D" w:rsidRPr="005E6F75" w:rsidRDefault="0067649D" w:rsidP="005E6F75">
      <w:pPr>
        <w:pStyle w:val="paragraphsub"/>
      </w:pPr>
      <w:r w:rsidRPr="005E6F75">
        <w:tab/>
        <w:t>(ii)</w:t>
      </w:r>
      <w:r w:rsidRPr="005E6F75">
        <w:tab/>
        <w:t>the information that is required to be reported;</w:t>
      </w:r>
    </w:p>
    <w:p w:rsidR="0067649D" w:rsidRPr="005E6F75" w:rsidRDefault="0067649D" w:rsidP="005E6F75">
      <w:pPr>
        <w:pStyle w:val="paragraph"/>
      </w:pPr>
      <w:r w:rsidRPr="005E6F75">
        <w:tab/>
        <w:t>(c)</w:t>
      </w:r>
      <w:r w:rsidRPr="005E6F75">
        <w:tab/>
        <w:t>for reconciliation requirements:</w:t>
      </w:r>
    </w:p>
    <w:p w:rsidR="0067649D" w:rsidRPr="005E6F75" w:rsidRDefault="0067649D" w:rsidP="005E6F75">
      <w:pPr>
        <w:pStyle w:val="paragraphsub"/>
      </w:pPr>
      <w:r w:rsidRPr="005E6F75">
        <w:tab/>
        <w:t>(i)</w:t>
      </w:r>
      <w:r w:rsidRPr="005E6F75">
        <w:tab/>
        <w:t>the information that is required to be reconciled; and</w:t>
      </w:r>
    </w:p>
    <w:p w:rsidR="0067649D" w:rsidRPr="005E6F75" w:rsidRDefault="0067649D" w:rsidP="005E6F75">
      <w:pPr>
        <w:pStyle w:val="paragraphsub"/>
      </w:pPr>
      <w:r w:rsidRPr="005E6F75">
        <w:tab/>
        <w:t>(ii)</w:t>
      </w:r>
      <w:r w:rsidRPr="005E6F75">
        <w:tab/>
        <w:t>how reconciliations are required to be reviewed or approved, including who is required to review or approve reconciliations; and</w:t>
      </w:r>
    </w:p>
    <w:p w:rsidR="0067649D" w:rsidRPr="005E6F75" w:rsidRDefault="0067649D" w:rsidP="005E6F75">
      <w:pPr>
        <w:pStyle w:val="paragraphsub"/>
      </w:pPr>
      <w:r w:rsidRPr="005E6F75">
        <w:tab/>
        <w:t>(iii)</w:t>
      </w:r>
      <w:r w:rsidRPr="005E6F75">
        <w:tab/>
        <w:t>to whom reconciliations are required to be submitted;</w:t>
      </w:r>
    </w:p>
    <w:p w:rsidR="0067649D" w:rsidRPr="005E6F75" w:rsidRDefault="0067649D" w:rsidP="005E6F75">
      <w:pPr>
        <w:pStyle w:val="paragraph"/>
      </w:pPr>
      <w:r w:rsidRPr="005E6F75">
        <w:tab/>
        <w:t>(d)</w:t>
      </w:r>
      <w:r w:rsidRPr="005E6F75">
        <w:tab/>
        <w:t>the financial services licensees who are required to comply with requirements imposed by the rules;</w:t>
      </w:r>
    </w:p>
    <w:p w:rsidR="0067649D" w:rsidRPr="005E6F75" w:rsidRDefault="0067649D" w:rsidP="005E6F75">
      <w:pPr>
        <w:pStyle w:val="paragraph"/>
      </w:pPr>
      <w:r w:rsidRPr="005E6F75">
        <w:tab/>
        <w:t>(e)</w:t>
      </w:r>
      <w:r w:rsidRPr="005E6F75">
        <w:tab/>
        <w:t>the manner and form in which persons must comply with requirements imposed by the rules;</w:t>
      </w:r>
    </w:p>
    <w:p w:rsidR="0067649D" w:rsidRPr="005E6F75" w:rsidRDefault="0067649D" w:rsidP="005E6F75">
      <w:pPr>
        <w:pStyle w:val="paragraph"/>
      </w:pPr>
      <w:r w:rsidRPr="005E6F75">
        <w:tab/>
        <w:t>(f)</w:t>
      </w:r>
      <w:r w:rsidRPr="005E6F75">
        <w:tab/>
        <w:t>the circumstances in which persons are, or may be, relieved from complying with requirements in the rules that would otherwise apply to them;</w:t>
      </w:r>
    </w:p>
    <w:p w:rsidR="0067649D" w:rsidRPr="005E6F75" w:rsidRDefault="0067649D" w:rsidP="005E6F75">
      <w:pPr>
        <w:pStyle w:val="paragraph"/>
      </w:pPr>
      <w:r w:rsidRPr="005E6F75">
        <w:tab/>
        <w:t>(g)</w:t>
      </w:r>
      <w:r w:rsidRPr="005E6F75">
        <w:tab/>
        <w:t>the keeping of records, or the provision of records or other information, relating to accounts maintained for the purposes of section</w:t>
      </w:r>
      <w:r w:rsidR="005E6F75" w:rsidRPr="005E6F75">
        <w:t> </w:t>
      </w:r>
      <w:r w:rsidRPr="005E6F75">
        <w:t>981B;</w:t>
      </w:r>
    </w:p>
    <w:p w:rsidR="0067649D" w:rsidRPr="005E6F75" w:rsidRDefault="0067649D" w:rsidP="005E6F75">
      <w:pPr>
        <w:pStyle w:val="paragraph"/>
      </w:pPr>
      <w:r w:rsidRPr="005E6F75">
        <w:tab/>
        <w:t>(h)</w:t>
      </w:r>
      <w:r w:rsidRPr="005E6F75">
        <w:tab/>
        <w:t>the keeping of records, or the provision of records or other information, relating to compliance with (or determining whether there has been compliance with) the rules;</w:t>
      </w:r>
    </w:p>
    <w:p w:rsidR="0067649D" w:rsidRPr="005E6F75" w:rsidRDefault="0067649D" w:rsidP="005E6F75">
      <w:pPr>
        <w:pStyle w:val="paragraph"/>
      </w:pPr>
      <w:r w:rsidRPr="005E6F75">
        <w:tab/>
        <w:t>(i)</w:t>
      </w:r>
      <w:r w:rsidRPr="005E6F75">
        <w:tab/>
        <w:t>any matters that the regulations provide, for the purposes of this paragraph, may be dealt with in the client money reporting rules;</w:t>
      </w:r>
    </w:p>
    <w:p w:rsidR="0067649D" w:rsidRPr="005E6F75" w:rsidRDefault="0067649D" w:rsidP="005E6F75">
      <w:pPr>
        <w:pStyle w:val="paragraph"/>
      </w:pPr>
      <w:r w:rsidRPr="005E6F75">
        <w:tab/>
        <w:t>(j)</w:t>
      </w:r>
      <w:r w:rsidRPr="005E6F75">
        <w:tab/>
        <w:t>any other matters that the provisions of this Act provide may be dealt with in the client money rules.</w:t>
      </w:r>
    </w:p>
    <w:p w:rsidR="0067649D" w:rsidRPr="005E6F75" w:rsidRDefault="0067649D" w:rsidP="005E6F75">
      <w:pPr>
        <w:pStyle w:val="subsection"/>
      </w:pPr>
      <w:r w:rsidRPr="005E6F75">
        <w:tab/>
        <w:t>(3)</w:t>
      </w:r>
      <w:r w:rsidRPr="005E6F75">
        <w:tab/>
        <w:t>The client money reporting rules may include a penalty amount for a rule. A penalty amount must not exceed $1,000,000.</w:t>
      </w:r>
    </w:p>
    <w:p w:rsidR="0067649D" w:rsidRPr="005E6F75" w:rsidRDefault="0067649D" w:rsidP="005E6F75">
      <w:pPr>
        <w:pStyle w:val="ActHead5"/>
      </w:pPr>
      <w:bookmarkStart w:id="30" w:name="_Toc479251880"/>
      <w:r w:rsidRPr="005E6F75">
        <w:rPr>
          <w:rStyle w:val="CharSectno"/>
        </w:rPr>
        <w:t>981L</w:t>
      </w:r>
      <w:r w:rsidRPr="005E6F75">
        <w:t xml:space="preserve">  ASIC to consult before making rules</w:t>
      </w:r>
      <w:bookmarkEnd w:id="30"/>
    </w:p>
    <w:p w:rsidR="0067649D" w:rsidRPr="005E6F75" w:rsidRDefault="0067649D" w:rsidP="005E6F75">
      <w:pPr>
        <w:pStyle w:val="subsection"/>
      </w:pPr>
      <w:r w:rsidRPr="005E6F75">
        <w:tab/>
        <w:t>(1)</w:t>
      </w:r>
      <w:r w:rsidRPr="005E6F75">
        <w:tab/>
        <w:t>ASIC must not make a client money reporting rule unless ASIC has consulted the public about the proposed rule.</w:t>
      </w:r>
    </w:p>
    <w:p w:rsidR="0067649D" w:rsidRPr="005E6F75" w:rsidRDefault="0067649D" w:rsidP="005E6F75">
      <w:pPr>
        <w:pStyle w:val="subsection"/>
      </w:pPr>
      <w:r w:rsidRPr="005E6F75">
        <w:tab/>
        <w:t>(2)</w:t>
      </w:r>
      <w:r w:rsidRPr="005E6F75">
        <w:tab/>
        <w:t xml:space="preserve">Without limiting the ways in which ASIC may comply with the obligation in </w:t>
      </w:r>
      <w:r w:rsidR="005E6F75" w:rsidRPr="005E6F75">
        <w:t>subsection (</w:t>
      </w:r>
      <w:r w:rsidRPr="005E6F75">
        <w:t>1) to consult the public about a proposed rule, ASIC is taken to comply with that obligation if ASIC, on its website:</w:t>
      </w:r>
    </w:p>
    <w:p w:rsidR="0067649D" w:rsidRPr="005E6F75" w:rsidRDefault="0067649D" w:rsidP="005E6F75">
      <w:pPr>
        <w:pStyle w:val="paragraph"/>
      </w:pPr>
      <w:r w:rsidRPr="005E6F75">
        <w:tab/>
        <w:t>(a)</w:t>
      </w:r>
      <w:r w:rsidRPr="005E6F75">
        <w:tab/>
        <w:t>makes the proposed rule, or a description of the content of the proposed rule, available; and</w:t>
      </w:r>
    </w:p>
    <w:p w:rsidR="0067649D" w:rsidRPr="005E6F75" w:rsidRDefault="0067649D" w:rsidP="005E6F75">
      <w:pPr>
        <w:pStyle w:val="paragraph"/>
      </w:pPr>
      <w:r w:rsidRPr="005E6F75">
        <w:tab/>
        <w:t>(b)</w:t>
      </w:r>
      <w:r w:rsidRPr="005E6F75">
        <w:tab/>
        <w:t>invites the public to comment on the proposed rule.</w:t>
      </w:r>
    </w:p>
    <w:p w:rsidR="0067649D" w:rsidRPr="005E6F75" w:rsidRDefault="0067649D" w:rsidP="005E6F75">
      <w:pPr>
        <w:pStyle w:val="subsection"/>
      </w:pPr>
      <w:r w:rsidRPr="005E6F75">
        <w:tab/>
        <w:t>(3)</w:t>
      </w:r>
      <w:r w:rsidRPr="005E6F75">
        <w:tab/>
        <w:t xml:space="preserve">A failure to consult as required by </w:t>
      </w:r>
      <w:r w:rsidR="005E6F75" w:rsidRPr="005E6F75">
        <w:t>subsection (</w:t>
      </w:r>
      <w:r w:rsidRPr="005E6F75">
        <w:t>1) does not invalidate a client money reporting rule.</w:t>
      </w:r>
    </w:p>
    <w:p w:rsidR="0067649D" w:rsidRPr="005E6F75" w:rsidRDefault="0067649D" w:rsidP="005E6F75">
      <w:pPr>
        <w:pStyle w:val="ActHead5"/>
      </w:pPr>
      <w:bookmarkStart w:id="31" w:name="_Toc479251881"/>
      <w:r w:rsidRPr="005E6F75">
        <w:rPr>
          <w:rStyle w:val="CharSectno"/>
        </w:rPr>
        <w:t>981M</w:t>
      </w:r>
      <w:r w:rsidRPr="005E6F75">
        <w:t xml:space="preserve">  Complying with client money reporting rules</w:t>
      </w:r>
      <w:bookmarkEnd w:id="31"/>
    </w:p>
    <w:p w:rsidR="0067649D" w:rsidRPr="005E6F75" w:rsidRDefault="0067649D" w:rsidP="005E6F75">
      <w:pPr>
        <w:pStyle w:val="subsection"/>
      </w:pPr>
      <w:r w:rsidRPr="005E6F75">
        <w:tab/>
        <w:t>(1)</w:t>
      </w:r>
      <w:r w:rsidRPr="005E6F75">
        <w:tab/>
        <w:t>Financial services licensees must comply with the client money reporting rules.</w:t>
      </w:r>
    </w:p>
    <w:p w:rsidR="0067649D" w:rsidRPr="005E6F75" w:rsidRDefault="0067649D" w:rsidP="005E6F75">
      <w:pPr>
        <w:pStyle w:val="notetext"/>
      </w:pPr>
      <w:r w:rsidRPr="005E6F75">
        <w:t>Note:</w:t>
      </w:r>
      <w:r w:rsidRPr="005E6F75">
        <w:tab/>
        <w:t>This subsection is a civil penalty provision (see section</w:t>
      </w:r>
      <w:r w:rsidR="005E6F75" w:rsidRPr="005E6F75">
        <w:t> </w:t>
      </w:r>
      <w:r w:rsidRPr="005E6F75">
        <w:t>1317E). For relief from liability to a civil penalty relating to this subsection, see section</w:t>
      </w:r>
      <w:r w:rsidR="005E6F75" w:rsidRPr="005E6F75">
        <w:t> </w:t>
      </w:r>
      <w:r w:rsidRPr="005E6F75">
        <w:t>1317S.</w:t>
      </w:r>
    </w:p>
    <w:p w:rsidR="0067649D" w:rsidRPr="005E6F75" w:rsidRDefault="0067649D" w:rsidP="005E6F75">
      <w:pPr>
        <w:pStyle w:val="subsection"/>
      </w:pPr>
      <w:r w:rsidRPr="005E6F75">
        <w:tab/>
        <w:t>(2)</w:t>
      </w:r>
      <w:r w:rsidRPr="005E6F75">
        <w:tab/>
        <w:t>If there is an inconsistency between the client money reporting rules, and any of the following other rules:</w:t>
      </w:r>
    </w:p>
    <w:p w:rsidR="0067649D" w:rsidRPr="005E6F75" w:rsidRDefault="0067649D" w:rsidP="005E6F75">
      <w:pPr>
        <w:pStyle w:val="paragraph"/>
      </w:pPr>
      <w:r w:rsidRPr="005E6F75">
        <w:tab/>
        <w:t>(a)</w:t>
      </w:r>
      <w:r w:rsidRPr="005E6F75">
        <w:tab/>
        <w:t>the market integrity rules;</w:t>
      </w:r>
    </w:p>
    <w:p w:rsidR="0067649D" w:rsidRPr="005E6F75" w:rsidRDefault="0067649D" w:rsidP="005E6F75">
      <w:pPr>
        <w:pStyle w:val="paragraph"/>
      </w:pPr>
      <w:r w:rsidRPr="005E6F75">
        <w:tab/>
        <w:t>(b)</w:t>
      </w:r>
      <w:r w:rsidRPr="005E6F75">
        <w:tab/>
        <w:t>the derivative transaction rules;</w:t>
      </w:r>
    </w:p>
    <w:p w:rsidR="0067649D" w:rsidRPr="005E6F75" w:rsidRDefault="0067649D" w:rsidP="005E6F75">
      <w:pPr>
        <w:pStyle w:val="paragraph"/>
      </w:pPr>
      <w:r w:rsidRPr="005E6F75">
        <w:tab/>
        <w:t>(c)</w:t>
      </w:r>
      <w:r w:rsidRPr="005E6F75">
        <w:tab/>
        <w:t>the derivative trade repository rules;</w:t>
      </w:r>
    </w:p>
    <w:p w:rsidR="0067649D" w:rsidRPr="005E6F75" w:rsidRDefault="0067649D" w:rsidP="005E6F75">
      <w:pPr>
        <w:pStyle w:val="subsection2"/>
      </w:pPr>
      <w:r w:rsidRPr="005E6F75">
        <w:t>those other rules prevail to the extent of the inconsistency.</w:t>
      </w:r>
    </w:p>
    <w:p w:rsidR="0067649D" w:rsidRPr="005E6F75" w:rsidRDefault="0067649D" w:rsidP="005E6F75">
      <w:pPr>
        <w:pStyle w:val="notetext"/>
      </w:pPr>
      <w:r w:rsidRPr="005E6F75">
        <w:t>Note:</w:t>
      </w:r>
      <w:r w:rsidRPr="005E6F75">
        <w:tab/>
        <w:t>If there is an inconsistency between the client money reporting rules and the operating rules of a licensed market or of a licensed CS facility, the client money reporting rules prevail: see subsections</w:t>
      </w:r>
      <w:r w:rsidR="005E6F75" w:rsidRPr="005E6F75">
        <w:t> </w:t>
      </w:r>
      <w:r w:rsidRPr="005E6F75">
        <w:t>793B(2) and 822B(2).</w:t>
      </w:r>
    </w:p>
    <w:p w:rsidR="0067649D" w:rsidRPr="005E6F75" w:rsidRDefault="0067649D" w:rsidP="005E6F75">
      <w:pPr>
        <w:pStyle w:val="ActHead5"/>
      </w:pPr>
      <w:bookmarkStart w:id="32" w:name="_Toc479251882"/>
      <w:r w:rsidRPr="005E6F75">
        <w:rPr>
          <w:rStyle w:val="CharSectno"/>
        </w:rPr>
        <w:t>981N</w:t>
      </w:r>
      <w:r w:rsidRPr="005E6F75">
        <w:t xml:space="preserve">  Alternatives to civil proceedings</w:t>
      </w:r>
      <w:bookmarkEnd w:id="32"/>
    </w:p>
    <w:p w:rsidR="0067649D" w:rsidRPr="005E6F75" w:rsidRDefault="0067649D" w:rsidP="005E6F75">
      <w:pPr>
        <w:pStyle w:val="subsection"/>
      </w:pPr>
      <w:r w:rsidRPr="005E6F75">
        <w:tab/>
        <w:t>(1)</w:t>
      </w:r>
      <w:r w:rsidRPr="005E6F75">
        <w:tab/>
        <w:t>The regulations may provide for a person who is alleged to have contravened subsection</w:t>
      </w:r>
      <w:r w:rsidR="005E6F75" w:rsidRPr="005E6F75">
        <w:t> </w:t>
      </w:r>
      <w:r w:rsidRPr="005E6F75">
        <w:t>981M(1) (complying with client money reporting rules) to do one or more of the following as an alternative to civil proceedings:</w:t>
      </w:r>
    </w:p>
    <w:p w:rsidR="0067649D" w:rsidRPr="005E6F75" w:rsidRDefault="0067649D" w:rsidP="005E6F75">
      <w:pPr>
        <w:pStyle w:val="paragraph"/>
      </w:pPr>
      <w:r w:rsidRPr="005E6F75">
        <w:tab/>
        <w:t>(a)</w:t>
      </w:r>
      <w:r w:rsidRPr="005E6F75">
        <w:tab/>
        <w:t>pay a penalty to the Commonwealth;</w:t>
      </w:r>
    </w:p>
    <w:p w:rsidR="0067649D" w:rsidRPr="005E6F75" w:rsidRDefault="0067649D" w:rsidP="005E6F75">
      <w:pPr>
        <w:pStyle w:val="paragraph"/>
      </w:pPr>
      <w:r w:rsidRPr="005E6F75">
        <w:tab/>
        <w:t>(b)</w:t>
      </w:r>
      <w:r w:rsidRPr="005E6F75">
        <w:tab/>
        <w:t>undertake or institute remedial measures (including education programs);</w:t>
      </w:r>
    </w:p>
    <w:p w:rsidR="0067649D" w:rsidRPr="005E6F75" w:rsidRDefault="0067649D" w:rsidP="005E6F75">
      <w:pPr>
        <w:pStyle w:val="paragraph"/>
      </w:pPr>
      <w:r w:rsidRPr="005E6F75">
        <w:tab/>
        <w:t>(c)</w:t>
      </w:r>
      <w:r w:rsidRPr="005E6F75">
        <w:tab/>
        <w:t>accept sanctions other than the payment of a penalty to the Commonwealth;</w:t>
      </w:r>
    </w:p>
    <w:p w:rsidR="0067649D" w:rsidRPr="005E6F75" w:rsidRDefault="0067649D" w:rsidP="005E6F75">
      <w:pPr>
        <w:pStyle w:val="paragraph"/>
      </w:pPr>
      <w:r w:rsidRPr="005E6F75">
        <w:tab/>
        <w:t>(d)</w:t>
      </w:r>
      <w:r w:rsidRPr="005E6F75">
        <w:tab/>
        <w:t>enter into a legally enforceable undertaking.</w:t>
      </w:r>
    </w:p>
    <w:p w:rsidR="0067649D" w:rsidRPr="005E6F75" w:rsidRDefault="0067649D" w:rsidP="005E6F75">
      <w:pPr>
        <w:pStyle w:val="subsection"/>
      </w:pPr>
      <w:r w:rsidRPr="005E6F75">
        <w:tab/>
        <w:t>(2)</w:t>
      </w:r>
      <w:r w:rsidRPr="005E6F75">
        <w:tab/>
        <w:t xml:space="preserve">The penalty payable under regulations made for the purposes of </w:t>
      </w:r>
      <w:r w:rsidR="005E6F75" w:rsidRPr="005E6F75">
        <w:t>paragraph (</w:t>
      </w:r>
      <w:r w:rsidRPr="005E6F75">
        <w:t>1)(a) in relation to a client money rule must not exceed three</w:t>
      </w:r>
      <w:r w:rsidR="00BF31FE">
        <w:noBreakHyphen/>
      </w:r>
      <w:r w:rsidRPr="005E6F75">
        <w:t>fifths of the penalty amount set out in the client money rules for the rule.</w:t>
      </w:r>
    </w:p>
    <w:p w:rsidR="0067649D" w:rsidRPr="005E6F75" w:rsidRDefault="0067649D" w:rsidP="005E6F75">
      <w:pPr>
        <w:pStyle w:val="subsection"/>
      </w:pPr>
      <w:r w:rsidRPr="005E6F75">
        <w:tab/>
        <w:t>(3)</w:t>
      </w:r>
      <w:r w:rsidRPr="005E6F75">
        <w:tab/>
        <w:t xml:space="preserve">Without limiting regulations that may be made for the purposes of </w:t>
      </w:r>
      <w:r w:rsidR="005E6F75" w:rsidRPr="005E6F75">
        <w:t>paragraph (</w:t>
      </w:r>
      <w:r w:rsidRPr="005E6F75">
        <w:t>1)(d), those regulations may provide for one or more of the following kinds of undertakings:</w:t>
      </w:r>
    </w:p>
    <w:p w:rsidR="0067649D" w:rsidRPr="005E6F75" w:rsidRDefault="0067649D" w:rsidP="005E6F75">
      <w:pPr>
        <w:pStyle w:val="paragraph"/>
      </w:pPr>
      <w:r w:rsidRPr="005E6F75">
        <w:tab/>
        <w:t>(a)</w:t>
      </w:r>
      <w:r w:rsidRPr="005E6F75">
        <w:tab/>
        <w:t>an undertaking to take specified action within a specified period;</w:t>
      </w:r>
    </w:p>
    <w:p w:rsidR="0067649D" w:rsidRPr="005E6F75" w:rsidRDefault="0067649D" w:rsidP="005E6F75">
      <w:pPr>
        <w:pStyle w:val="paragraph"/>
      </w:pPr>
      <w:r w:rsidRPr="005E6F75">
        <w:tab/>
        <w:t>(b)</w:t>
      </w:r>
      <w:r w:rsidRPr="005E6F75">
        <w:tab/>
        <w:t>an undertaking to refrain from taking specified action;</w:t>
      </w:r>
    </w:p>
    <w:p w:rsidR="0067649D" w:rsidRPr="005E6F75" w:rsidRDefault="0067649D" w:rsidP="005E6F75">
      <w:pPr>
        <w:pStyle w:val="paragraph"/>
      </w:pPr>
      <w:r w:rsidRPr="005E6F75">
        <w:tab/>
        <w:t>(c)</w:t>
      </w:r>
      <w:r w:rsidRPr="005E6F75">
        <w:tab/>
        <w:t>an undertaking to pay a specified amount within a specified period to the Commonwealth or to some other specified person.</w:t>
      </w:r>
    </w:p>
    <w:p w:rsidR="0067649D" w:rsidRPr="005E6F75" w:rsidRDefault="0067649D" w:rsidP="005E6F75">
      <w:pPr>
        <w:pStyle w:val="ActHead5"/>
      </w:pPr>
      <w:bookmarkStart w:id="33" w:name="_Toc479251883"/>
      <w:r w:rsidRPr="005E6F75">
        <w:rPr>
          <w:rStyle w:val="CharSectno"/>
        </w:rPr>
        <w:t>981P</w:t>
      </w:r>
      <w:r w:rsidRPr="005E6F75">
        <w:t xml:space="preserve">  Compliance with requirements to provide data or other information to ASIC: protection from liability</w:t>
      </w:r>
      <w:bookmarkEnd w:id="33"/>
    </w:p>
    <w:p w:rsidR="0067649D" w:rsidRPr="005E6F75" w:rsidRDefault="0067649D" w:rsidP="005E6F75">
      <w:pPr>
        <w:pStyle w:val="subsection"/>
      </w:pPr>
      <w:r w:rsidRPr="005E6F75">
        <w:tab/>
      </w:r>
      <w:r w:rsidRPr="005E6F75">
        <w:tab/>
        <w:t>If:</w:t>
      </w:r>
    </w:p>
    <w:p w:rsidR="0067649D" w:rsidRPr="005E6F75" w:rsidRDefault="0067649D" w:rsidP="005E6F75">
      <w:pPr>
        <w:pStyle w:val="paragraph"/>
      </w:pPr>
      <w:r w:rsidRPr="005E6F75">
        <w:tab/>
        <w:t>(a)</w:t>
      </w:r>
      <w:r w:rsidRPr="005E6F75">
        <w:tab/>
        <w:t>a financial services licensee, or a person acting on behalf of a financial services licensee:</w:t>
      </w:r>
    </w:p>
    <w:p w:rsidR="0067649D" w:rsidRPr="005E6F75" w:rsidRDefault="0067649D" w:rsidP="005E6F75">
      <w:pPr>
        <w:pStyle w:val="paragraphsub"/>
      </w:pPr>
      <w:r w:rsidRPr="005E6F75">
        <w:tab/>
        <w:t>(i)</w:t>
      </w:r>
      <w:r w:rsidRPr="005E6F75">
        <w:tab/>
        <w:t>provides data or information to ASIC; or</w:t>
      </w:r>
    </w:p>
    <w:p w:rsidR="0067649D" w:rsidRPr="005E6F75" w:rsidRDefault="0067649D" w:rsidP="005E6F75">
      <w:pPr>
        <w:pStyle w:val="paragraphsub"/>
      </w:pPr>
      <w:r w:rsidRPr="005E6F75">
        <w:tab/>
        <w:t>(ii)</w:t>
      </w:r>
      <w:r w:rsidRPr="005E6F75">
        <w:tab/>
        <w:t>otherwise allows ASIC access to data or information; and</w:t>
      </w:r>
    </w:p>
    <w:p w:rsidR="0067649D" w:rsidRPr="005E6F75" w:rsidRDefault="0067649D" w:rsidP="005E6F75">
      <w:pPr>
        <w:pStyle w:val="paragraph"/>
      </w:pPr>
      <w:r w:rsidRPr="005E6F75">
        <w:tab/>
        <w:t>(b)</w:t>
      </w:r>
      <w:r w:rsidRPr="005E6F75">
        <w:tab/>
        <w:t>the licensee or person does so, in good faith, in compliance with a requirement imposed by or under a provision of the client money reporting rules;</w:t>
      </w:r>
    </w:p>
    <w:p w:rsidR="0067649D" w:rsidRPr="005E6F75" w:rsidRDefault="0067649D" w:rsidP="005E6F75">
      <w:pPr>
        <w:pStyle w:val="subsection2"/>
      </w:pPr>
      <w:r w:rsidRPr="005E6F75">
        <w:t xml:space="preserve">the licensee or person is not liable to an action or other proceeding, whether civil or criminal, for or in relation to the conduct mentioned in </w:t>
      </w:r>
      <w:r w:rsidR="005E6F75" w:rsidRPr="005E6F75">
        <w:t>paragraph (</w:t>
      </w:r>
      <w:r w:rsidRPr="005E6F75">
        <w:t>a).</w:t>
      </w:r>
    </w:p>
    <w:p w:rsidR="0067649D" w:rsidRPr="005E6F75" w:rsidRDefault="00467200" w:rsidP="005E6F75">
      <w:pPr>
        <w:pStyle w:val="ItemHead"/>
      </w:pPr>
      <w:r w:rsidRPr="005E6F75">
        <w:t>15</w:t>
      </w:r>
      <w:r w:rsidR="0067649D" w:rsidRPr="005E6F75">
        <w:t xml:space="preserve">  At the end of paragraph</w:t>
      </w:r>
      <w:r w:rsidR="005E6F75" w:rsidRPr="005E6F75">
        <w:t> </w:t>
      </w:r>
      <w:r w:rsidR="0067649D" w:rsidRPr="005E6F75">
        <w:t>1100A(1)(b)</w:t>
      </w:r>
    </w:p>
    <w:p w:rsidR="0067649D" w:rsidRPr="005E6F75" w:rsidRDefault="0067649D" w:rsidP="005E6F75">
      <w:pPr>
        <w:pStyle w:val="Item"/>
      </w:pPr>
      <w:r w:rsidRPr="005E6F75">
        <w:t>Add “or 981M(1) (complying with client money reporting rules)”.</w:t>
      </w:r>
    </w:p>
    <w:p w:rsidR="0067649D" w:rsidRPr="005E6F75" w:rsidRDefault="00467200" w:rsidP="005E6F75">
      <w:pPr>
        <w:pStyle w:val="ItemHead"/>
      </w:pPr>
      <w:r w:rsidRPr="005E6F75">
        <w:t>16</w:t>
      </w:r>
      <w:r w:rsidR="0067649D" w:rsidRPr="005E6F75">
        <w:t xml:space="preserve">  Paragraph 1101B(1)(d)</w:t>
      </w:r>
    </w:p>
    <w:p w:rsidR="0067649D" w:rsidRPr="005E6F75" w:rsidRDefault="0067649D" w:rsidP="005E6F75">
      <w:pPr>
        <w:pStyle w:val="Item"/>
      </w:pPr>
      <w:r w:rsidRPr="005E6F75">
        <w:t>After “subsection</w:t>
      </w:r>
      <w:r w:rsidR="005E6F75" w:rsidRPr="005E6F75">
        <w:t> </w:t>
      </w:r>
      <w:r w:rsidRPr="005E6F75">
        <w:t>798H(1) (complying with market integrity rules)”, insert “or 981M(1) (complying with client money reporting rules)”.</w:t>
      </w:r>
    </w:p>
    <w:p w:rsidR="0067649D" w:rsidRPr="005E6F75" w:rsidRDefault="00467200" w:rsidP="005E6F75">
      <w:pPr>
        <w:pStyle w:val="ItemHead"/>
      </w:pPr>
      <w:r w:rsidRPr="005E6F75">
        <w:t>17</w:t>
      </w:r>
      <w:r w:rsidR="0067649D" w:rsidRPr="005E6F75">
        <w:t xml:space="preserve">  Paragraph 1101B(4)(b)</w:t>
      </w:r>
    </w:p>
    <w:p w:rsidR="0067649D" w:rsidRPr="005E6F75" w:rsidRDefault="0067649D" w:rsidP="005E6F75">
      <w:pPr>
        <w:pStyle w:val="Item"/>
      </w:pPr>
      <w:r w:rsidRPr="005E6F75">
        <w:t>Omit “or of the derivative transaction rules or the derivative trade repository rules”, substitute “of the derivative transaction rules, of the derivative trade repository rules or of the client money reporting rules”.</w:t>
      </w:r>
    </w:p>
    <w:p w:rsidR="0067649D" w:rsidRPr="005E6F75" w:rsidRDefault="00467200" w:rsidP="005E6F75">
      <w:pPr>
        <w:pStyle w:val="ItemHead"/>
      </w:pPr>
      <w:r w:rsidRPr="005E6F75">
        <w:t>18</w:t>
      </w:r>
      <w:r w:rsidR="0067649D" w:rsidRPr="005E6F75">
        <w:t xml:space="preserve">  Subparagraphs</w:t>
      </w:r>
      <w:r w:rsidR="005E6F75" w:rsidRPr="005E6F75">
        <w:t> </w:t>
      </w:r>
      <w:r w:rsidR="0067649D" w:rsidRPr="005E6F75">
        <w:t>1101B(4)(c)(i) and (d)(i)</w:t>
      </w:r>
    </w:p>
    <w:p w:rsidR="0067649D" w:rsidRPr="005E6F75" w:rsidRDefault="0067649D" w:rsidP="005E6F75">
      <w:pPr>
        <w:pStyle w:val="Item"/>
      </w:pPr>
      <w:r w:rsidRPr="005E6F75">
        <w:t>Omit “or of the derivative transaction rules or the derivative trade repository rules”, substitute “of the derivative transaction rules, of the derivative trade repository rules or of the client money reporting rules”.</w:t>
      </w:r>
    </w:p>
    <w:p w:rsidR="0067649D" w:rsidRPr="005E6F75" w:rsidRDefault="00467200" w:rsidP="005E6F75">
      <w:pPr>
        <w:pStyle w:val="ItemHead"/>
      </w:pPr>
      <w:r w:rsidRPr="005E6F75">
        <w:t>19</w:t>
      </w:r>
      <w:r w:rsidR="0067649D" w:rsidRPr="005E6F75">
        <w:t xml:space="preserve">  After paragraph</w:t>
      </w:r>
      <w:r w:rsidR="005E6F75" w:rsidRPr="005E6F75">
        <w:t> </w:t>
      </w:r>
      <w:r w:rsidR="0067649D" w:rsidRPr="005E6F75">
        <w:t>1317C(gdc)</w:t>
      </w:r>
    </w:p>
    <w:p w:rsidR="0067649D" w:rsidRPr="005E6F75" w:rsidRDefault="0067649D" w:rsidP="005E6F75">
      <w:pPr>
        <w:pStyle w:val="Item"/>
      </w:pPr>
      <w:r w:rsidRPr="005E6F75">
        <w:t>Insert:</w:t>
      </w:r>
    </w:p>
    <w:p w:rsidR="0067649D" w:rsidRPr="005E6F75" w:rsidRDefault="0067649D" w:rsidP="005E6F75">
      <w:pPr>
        <w:pStyle w:val="paragraph"/>
      </w:pPr>
      <w:r w:rsidRPr="005E6F75">
        <w:tab/>
        <w:t>(gdd)</w:t>
      </w:r>
      <w:r w:rsidRPr="005E6F75">
        <w:tab/>
        <w:t>a decision by ASIC to make client money reporting rules under section</w:t>
      </w:r>
      <w:r w:rsidR="005E6F75" w:rsidRPr="005E6F75">
        <w:t> </w:t>
      </w:r>
      <w:r w:rsidRPr="005E6F75">
        <w:t>981J; or</w:t>
      </w:r>
    </w:p>
    <w:p w:rsidR="0067649D" w:rsidRPr="005E6F75" w:rsidRDefault="0067649D" w:rsidP="005E6F75">
      <w:pPr>
        <w:pStyle w:val="paragraph"/>
      </w:pPr>
      <w:r w:rsidRPr="005E6F75">
        <w:tab/>
        <w:t>(gde)</w:t>
      </w:r>
      <w:r w:rsidRPr="005E6F75">
        <w:tab/>
        <w:t>a decision by ASIC to do or not do anything under regulations made for the purposes of section</w:t>
      </w:r>
      <w:r w:rsidR="005E6F75" w:rsidRPr="005E6F75">
        <w:t> </w:t>
      </w:r>
      <w:r w:rsidRPr="005E6F75">
        <w:t>981N (alternatives to civil proceedings for contraventions of client money reporting rules); or</w:t>
      </w:r>
    </w:p>
    <w:p w:rsidR="0067649D" w:rsidRPr="005E6F75" w:rsidRDefault="00467200" w:rsidP="005E6F75">
      <w:pPr>
        <w:pStyle w:val="ItemHead"/>
      </w:pPr>
      <w:r w:rsidRPr="005E6F75">
        <w:t>20</w:t>
      </w:r>
      <w:r w:rsidR="0067649D" w:rsidRPr="005E6F75">
        <w:t xml:space="preserve">  Section</w:t>
      </w:r>
      <w:r w:rsidR="005E6F75" w:rsidRPr="005E6F75">
        <w:t> </w:t>
      </w:r>
      <w:r w:rsidR="0067649D" w:rsidRPr="005E6F75">
        <w:t>1317DA (</w:t>
      </w:r>
      <w:r w:rsidR="005E6F75" w:rsidRPr="005E6F75">
        <w:t>paragraph (</w:t>
      </w:r>
      <w:r w:rsidR="0067649D" w:rsidRPr="005E6F75">
        <w:t xml:space="preserve">b) of the definition of </w:t>
      </w:r>
      <w:r w:rsidR="0067649D" w:rsidRPr="005E6F75">
        <w:rPr>
          <w:i/>
        </w:rPr>
        <w:t>financial services civil penalty provision</w:t>
      </w:r>
      <w:r w:rsidR="0067649D" w:rsidRPr="005E6F75">
        <w:t>)</w:t>
      </w:r>
    </w:p>
    <w:p w:rsidR="0067649D" w:rsidRPr="005E6F75" w:rsidRDefault="0067649D" w:rsidP="005E6F75">
      <w:pPr>
        <w:pStyle w:val="Item"/>
      </w:pPr>
      <w:r w:rsidRPr="005E6F75">
        <w:t>Repeal the paragraph, substitute:</w:t>
      </w:r>
    </w:p>
    <w:p w:rsidR="0067649D" w:rsidRPr="005E6F75" w:rsidRDefault="0067649D" w:rsidP="005E6F75">
      <w:pPr>
        <w:pStyle w:val="paragraph"/>
      </w:pPr>
      <w:r w:rsidRPr="005E6F75">
        <w:tab/>
        <w:t>(b)</w:t>
      </w:r>
      <w:r w:rsidRPr="005E6F75">
        <w:tab/>
        <w:t>items</w:t>
      </w:r>
      <w:r w:rsidR="005E6F75" w:rsidRPr="005E6F75">
        <w:t> </w:t>
      </w:r>
      <w:r w:rsidRPr="005E6F75">
        <w:t>23 to 31;</w:t>
      </w:r>
    </w:p>
    <w:p w:rsidR="0067649D" w:rsidRPr="005E6F75" w:rsidRDefault="0067649D" w:rsidP="005E6F75">
      <w:pPr>
        <w:pStyle w:val="paragraph"/>
      </w:pPr>
      <w:r w:rsidRPr="005E6F75">
        <w:tab/>
        <w:t>(c)</w:t>
      </w:r>
      <w:r w:rsidRPr="005E6F75">
        <w:tab/>
        <w:t>items</w:t>
      </w:r>
      <w:r w:rsidR="005E6F75" w:rsidRPr="005E6F75">
        <w:t> </w:t>
      </w:r>
      <w:r w:rsidRPr="005E6F75">
        <w:t>32 to 45.</w:t>
      </w:r>
    </w:p>
    <w:p w:rsidR="0067649D" w:rsidRPr="005E6F75" w:rsidRDefault="00467200" w:rsidP="005E6F75">
      <w:pPr>
        <w:pStyle w:val="ItemHead"/>
      </w:pPr>
      <w:r w:rsidRPr="005E6F75">
        <w:t>21</w:t>
      </w:r>
      <w:r w:rsidR="0067649D" w:rsidRPr="005E6F75">
        <w:t xml:space="preserve">  Subsection</w:t>
      </w:r>
      <w:r w:rsidR="005E6F75" w:rsidRPr="005E6F75">
        <w:t> </w:t>
      </w:r>
      <w:r w:rsidR="0067649D" w:rsidRPr="005E6F75">
        <w:t>1317E(1) (after table item</w:t>
      </w:r>
      <w:r w:rsidR="005E6F75" w:rsidRPr="005E6F75">
        <w:t> </w:t>
      </w:r>
      <w:r w:rsidR="0067649D" w:rsidRPr="005E6F75">
        <w:t>31)</w:t>
      </w:r>
    </w:p>
    <w:p w:rsidR="0067649D" w:rsidRPr="005E6F75" w:rsidRDefault="0067649D" w:rsidP="005E6F75">
      <w:pPr>
        <w:pStyle w:val="Item"/>
      </w:pPr>
      <w:r w:rsidRPr="005E6F75">
        <w:t>Insert:</w:t>
      </w:r>
    </w:p>
    <w:tbl>
      <w:tblPr>
        <w:tblW w:w="0" w:type="auto"/>
        <w:tblInd w:w="113" w:type="dxa"/>
        <w:tblLayout w:type="fixed"/>
        <w:tblLook w:val="0000" w:firstRow="0" w:lastRow="0" w:firstColumn="0" w:lastColumn="0" w:noHBand="0" w:noVBand="0"/>
      </w:tblPr>
      <w:tblGrid>
        <w:gridCol w:w="714"/>
        <w:gridCol w:w="2967"/>
        <w:gridCol w:w="3402"/>
      </w:tblGrid>
      <w:tr w:rsidR="0067649D" w:rsidRPr="005E6F75" w:rsidTr="0067649D">
        <w:tc>
          <w:tcPr>
            <w:tcW w:w="714" w:type="dxa"/>
            <w:shd w:val="clear" w:color="auto" w:fill="auto"/>
          </w:tcPr>
          <w:p w:rsidR="0067649D" w:rsidRPr="005E6F75" w:rsidRDefault="0067649D" w:rsidP="005E6F75">
            <w:pPr>
              <w:pStyle w:val="Tabletext"/>
            </w:pPr>
            <w:r w:rsidRPr="005E6F75">
              <w:t>31A</w:t>
            </w:r>
          </w:p>
        </w:tc>
        <w:tc>
          <w:tcPr>
            <w:tcW w:w="2967" w:type="dxa"/>
            <w:shd w:val="clear" w:color="auto" w:fill="auto"/>
          </w:tcPr>
          <w:p w:rsidR="0067649D" w:rsidRPr="005E6F75" w:rsidRDefault="0067649D" w:rsidP="005E6F75">
            <w:pPr>
              <w:pStyle w:val="Tabletext"/>
            </w:pPr>
            <w:r w:rsidRPr="005E6F75">
              <w:t>subsection</w:t>
            </w:r>
            <w:r w:rsidR="005E6F75" w:rsidRPr="005E6F75">
              <w:t> </w:t>
            </w:r>
            <w:r w:rsidRPr="005E6F75">
              <w:t>981M(1)</w:t>
            </w:r>
          </w:p>
        </w:tc>
        <w:tc>
          <w:tcPr>
            <w:tcW w:w="3402" w:type="dxa"/>
            <w:shd w:val="clear" w:color="auto" w:fill="auto"/>
          </w:tcPr>
          <w:p w:rsidR="0067649D" w:rsidRPr="005E6F75" w:rsidRDefault="0067649D" w:rsidP="005E6F75">
            <w:pPr>
              <w:pStyle w:val="Tabletext"/>
            </w:pPr>
            <w:r w:rsidRPr="005E6F75">
              <w:t>complying with client money reporting rules</w:t>
            </w:r>
          </w:p>
        </w:tc>
      </w:tr>
    </w:tbl>
    <w:p w:rsidR="0067649D" w:rsidRPr="005E6F75" w:rsidRDefault="00467200" w:rsidP="005E6F75">
      <w:pPr>
        <w:pStyle w:val="ItemHead"/>
      </w:pPr>
      <w:r w:rsidRPr="005E6F75">
        <w:t>22</w:t>
      </w:r>
      <w:r w:rsidR="0067649D" w:rsidRPr="005E6F75">
        <w:t xml:space="preserve">  Subsection</w:t>
      </w:r>
      <w:r w:rsidR="005E6F75" w:rsidRPr="005E6F75">
        <w:t> </w:t>
      </w:r>
      <w:r w:rsidR="0067649D" w:rsidRPr="005E6F75">
        <w:t>1317G(1C) (heading)</w:t>
      </w:r>
    </w:p>
    <w:p w:rsidR="0067649D" w:rsidRPr="005E6F75" w:rsidRDefault="0067649D" w:rsidP="005E6F75">
      <w:pPr>
        <w:pStyle w:val="Item"/>
      </w:pPr>
      <w:r w:rsidRPr="005E6F75">
        <w:t>Repeal the heading, substitute:</w:t>
      </w:r>
    </w:p>
    <w:p w:rsidR="0067649D" w:rsidRPr="005E6F75" w:rsidRDefault="0067649D" w:rsidP="005E6F75">
      <w:pPr>
        <w:pStyle w:val="SubsectionHead"/>
      </w:pPr>
      <w:r w:rsidRPr="005E6F75">
        <w:t>Market integrity rules and client money reporting rules</w:t>
      </w:r>
    </w:p>
    <w:p w:rsidR="0067649D" w:rsidRPr="005E6F75" w:rsidRDefault="00467200" w:rsidP="005E6F75">
      <w:pPr>
        <w:pStyle w:val="ItemHead"/>
      </w:pPr>
      <w:r w:rsidRPr="005E6F75">
        <w:t>23</w:t>
      </w:r>
      <w:r w:rsidR="0067649D" w:rsidRPr="005E6F75">
        <w:t xml:space="preserve">  At the end of paragraph</w:t>
      </w:r>
      <w:r w:rsidR="005E6F75" w:rsidRPr="005E6F75">
        <w:t> </w:t>
      </w:r>
      <w:r w:rsidR="0067649D" w:rsidRPr="005E6F75">
        <w:t>1317G(1C)(b)</w:t>
      </w:r>
    </w:p>
    <w:p w:rsidR="0067649D" w:rsidRPr="005E6F75" w:rsidRDefault="0067649D" w:rsidP="005E6F75">
      <w:pPr>
        <w:pStyle w:val="Item"/>
      </w:pPr>
      <w:r w:rsidRPr="005E6F75">
        <w:t>Add “or 981M(1) (complying with client money reporting rules)”.</w:t>
      </w:r>
    </w:p>
    <w:p w:rsidR="0067649D" w:rsidRPr="005E6F75" w:rsidRDefault="00467200" w:rsidP="005E6F75">
      <w:pPr>
        <w:pStyle w:val="ItemHead"/>
      </w:pPr>
      <w:r w:rsidRPr="005E6F75">
        <w:t>24</w:t>
      </w:r>
      <w:r w:rsidR="0067649D" w:rsidRPr="005E6F75">
        <w:t xml:space="preserve">  Subsection</w:t>
      </w:r>
      <w:r w:rsidR="005E6F75" w:rsidRPr="005E6F75">
        <w:t> </w:t>
      </w:r>
      <w:r w:rsidR="0067649D" w:rsidRPr="005E6F75">
        <w:t>1317G(1D)</w:t>
      </w:r>
    </w:p>
    <w:p w:rsidR="0067649D" w:rsidRPr="005E6F75" w:rsidRDefault="0067649D" w:rsidP="005E6F75">
      <w:pPr>
        <w:pStyle w:val="Item"/>
      </w:pPr>
      <w:r w:rsidRPr="005E6F75">
        <w:t>Omit “is the penalty amount set out in the market integrity rules”, substitute “or client money reporting rule is the penalty amount set out in the market integrity rules or client money reporting rules”.</w:t>
      </w:r>
    </w:p>
    <w:p w:rsidR="0067649D" w:rsidRPr="005E6F75" w:rsidRDefault="00467200" w:rsidP="005E6F75">
      <w:pPr>
        <w:pStyle w:val="ItemHead"/>
      </w:pPr>
      <w:r w:rsidRPr="005E6F75">
        <w:t>25</w:t>
      </w:r>
      <w:r w:rsidR="0067649D" w:rsidRPr="005E6F75">
        <w:t xml:space="preserve">  Section</w:t>
      </w:r>
      <w:r w:rsidR="005E6F75" w:rsidRPr="005E6F75">
        <w:t> </w:t>
      </w:r>
      <w:r w:rsidR="0067649D" w:rsidRPr="005E6F75">
        <w:t>1317HB (heading)</w:t>
      </w:r>
    </w:p>
    <w:p w:rsidR="0067649D" w:rsidRPr="005E6F75" w:rsidRDefault="0067649D" w:rsidP="005E6F75">
      <w:pPr>
        <w:pStyle w:val="Item"/>
      </w:pPr>
      <w:r w:rsidRPr="005E6F75">
        <w:t>Repeal the heading, substitute:</w:t>
      </w:r>
    </w:p>
    <w:p w:rsidR="0067649D" w:rsidRPr="005E6F75" w:rsidRDefault="0067649D" w:rsidP="005E6F75">
      <w:pPr>
        <w:pStyle w:val="ActHead5"/>
        <w:rPr>
          <w:i/>
        </w:rPr>
      </w:pPr>
      <w:bookmarkStart w:id="34" w:name="_Toc479251884"/>
      <w:r w:rsidRPr="005E6F75">
        <w:rPr>
          <w:rStyle w:val="CharSectno"/>
        </w:rPr>
        <w:t>1317HB</w:t>
      </w:r>
      <w:r w:rsidRPr="005E6F75">
        <w:t xml:space="preserve">  Compensation orders—market integrity rules and client money reporting rules</w:t>
      </w:r>
      <w:bookmarkEnd w:id="34"/>
    </w:p>
    <w:p w:rsidR="0067649D" w:rsidRPr="005E6F75" w:rsidRDefault="00467200" w:rsidP="005E6F75">
      <w:pPr>
        <w:pStyle w:val="ItemHead"/>
      </w:pPr>
      <w:r w:rsidRPr="005E6F75">
        <w:t>26</w:t>
      </w:r>
      <w:r w:rsidR="0067649D" w:rsidRPr="005E6F75">
        <w:t xml:space="preserve">  Paragraph 1317HB(1)(a)</w:t>
      </w:r>
    </w:p>
    <w:p w:rsidR="0067649D" w:rsidRPr="005E6F75" w:rsidRDefault="0067649D" w:rsidP="005E6F75">
      <w:pPr>
        <w:pStyle w:val="Item"/>
      </w:pPr>
      <w:r w:rsidRPr="005E6F75">
        <w:t>After “subsection</w:t>
      </w:r>
      <w:r w:rsidR="005E6F75" w:rsidRPr="005E6F75">
        <w:t> </w:t>
      </w:r>
      <w:r w:rsidRPr="005E6F75">
        <w:t>798H(1) (complying with market integrity rules)”, insert “or 981M(1) (complying with client money reporting rules)”.</w:t>
      </w:r>
    </w:p>
    <w:p w:rsidR="0067649D" w:rsidRPr="005E6F75" w:rsidRDefault="00467200" w:rsidP="005E6F75">
      <w:pPr>
        <w:pStyle w:val="ItemHead"/>
      </w:pPr>
      <w:r w:rsidRPr="005E6F75">
        <w:t>27</w:t>
      </w:r>
      <w:r w:rsidR="0067649D" w:rsidRPr="005E6F75">
        <w:t xml:space="preserve">  Section</w:t>
      </w:r>
      <w:r w:rsidR="005E6F75" w:rsidRPr="005E6F75">
        <w:t> </w:t>
      </w:r>
      <w:r w:rsidR="0067649D" w:rsidRPr="005E6F75">
        <w:t>1324B</w:t>
      </w:r>
    </w:p>
    <w:p w:rsidR="0067649D" w:rsidRPr="005E6F75" w:rsidRDefault="0067649D" w:rsidP="005E6F75">
      <w:pPr>
        <w:pStyle w:val="Item"/>
      </w:pPr>
      <w:r w:rsidRPr="005E6F75">
        <w:t>After “section</w:t>
      </w:r>
      <w:r w:rsidR="005E6F75" w:rsidRPr="005E6F75">
        <w:t> </w:t>
      </w:r>
      <w:r w:rsidRPr="005E6F75">
        <w:t>901E or 903D”, insert “, subsection</w:t>
      </w:r>
      <w:r w:rsidR="005E6F75" w:rsidRPr="005E6F75">
        <w:t> </w:t>
      </w:r>
      <w:r w:rsidRPr="005E6F75">
        <w:t>981M(1)”.</w:t>
      </w:r>
    </w:p>
    <w:p w:rsidR="0067649D" w:rsidRPr="005E6F75" w:rsidRDefault="00467200" w:rsidP="005E6F75">
      <w:pPr>
        <w:pStyle w:val="ItemHead"/>
      </w:pPr>
      <w:r w:rsidRPr="005E6F75">
        <w:t>28</w:t>
      </w:r>
      <w:r w:rsidR="0067649D" w:rsidRPr="005E6F75">
        <w:t xml:space="preserve">  Subsections</w:t>
      </w:r>
      <w:r w:rsidR="005E6F75" w:rsidRPr="005E6F75">
        <w:t> </w:t>
      </w:r>
      <w:r w:rsidR="0067649D" w:rsidRPr="005E6F75">
        <w:t>1325(1), (2) and (3)</w:t>
      </w:r>
    </w:p>
    <w:p w:rsidR="00BF31FE" w:rsidRDefault="0067649D" w:rsidP="005E6F75">
      <w:pPr>
        <w:pStyle w:val="Item"/>
      </w:pPr>
      <w:r w:rsidRPr="005E6F75">
        <w:t>After “subsection</w:t>
      </w:r>
      <w:r w:rsidR="005E6F75" w:rsidRPr="005E6F75">
        <w:t> </w:t>
      </w:r>
      <w:r w:rsidRPr="005E6F75">
        <w:t>798H(1)” (wherever occurring), insert “or 981M(1)”.</w:t>
      </w:r>
    </w:p>
    <w:p w:rsidR="00984EEA" w:rsidRDefault="00984EEA" w:rsidP="00106616"/>
    <w:p w:rsidR="00984EEA" w:rsidRDefault="00984EEA" w:rsidP="00984EEA">
      <w:pPr>
        <w:pStyle w:val="AssentBk"/>
        <w:keepNext/>
      </w:pPr>
    </w:p>
    <w:p w:rsidR="00984EEA" w:rsidRDefault="00984EEA" w:rsidP="00984EEA">
      <w:pPr>
        <w:pStyle w:val="AssentBk"/>
        <w:keepNext/>
      </w:pPr>
    </w:p>
    <w:p w:rsidR="00106616" w:rsidRDefault="00106616" w:rsidP="000C5962">
      <w:pPr>
        <w:pStyle w:val="2ndRd"/>
        <w:keepNext/>
        <w:pBdr>
          <w:top w:val="single" w:sz="2" w:space="1" w:color="auto"/>
        </w:pBdr>
      </w:pPr>
    </w:p>
    <w:p w:rsidR="00106616" w:rsidRDefault="00106616" w:rsidP="000C5962">
      <w:pPr>
        <w:pStyle w:val="2ndRd"/>
        <w:keepNext/>
        <w:spacing w:line="260" w:lineRule="atLeast"/>
        <w:rPr>
          <w:i/>
        </w:rPr>
      </w:pPr>
      <w:r>
        <w:t>[</w:t>
      </w:r>
      <w:r>
        <w:rPr>
          <w:i/>
        </w:rPr>
        <w:t>Minister’s second reading speech made in—</w:t>
      </w:r>
    </w:p>
    <w:p w:rsidR="00106616" w:rsidRDefault="00106616" w:rsidP="000C5962">
      <w:pPr>
        <w:pStyle w:val="2ndRd"/>
        <w:keepNext/>
        <w:spacing w:line="260" w:lineRule="atLeast"/>
        <w:rPr>
          <w:i/>
        </w:rPr>
      </w:pPr>
      <w:r>
        <w:rPr>
          <w:i/>
        </w:rPr>
        <w:t>House of Representatives on 1 December 2016</w:t>
      </w:r>
    </w:p>
    <w:p w:rsidR="00106616" w:rsidRDefault="00106616" w:rsidP="000C5962">
      <w:pPr>
        <w:pStyle w:val="2ndRd"/>
        <w:keepNext/>
        <w:spacing w:line="260" w:lineRule="atLeast"/>
        <w:rPr>
          <w:i/>
        </w:rPr>
      </w:pPr>
      <w:r>
        <w:rPr>
          <w:i/>
        </w:rPr>
        <w:t>Senate on 14 February 2017</w:t>
      </w:r>
      <w:r>
        <w:t>]</w:t>
      </w:r>
    </w:p>
    <w:p w:rsidR="00106616" w:rsidRDefault="00106616" w:rsidP="000C5962"/>
    <w:p w:rsidR="00984EEA" w:rsidRPr="00106616" w:rsidRDefault="00106616" w:rsidP="00106616">
      <w:pPr>
        <w:framePr w:hSpace="180" w:wrap="around" w:vAnchor="text" w:hAnchor="page" w:x="2386" w:y="2929"/>
      </w:pPr>
      <w:r>
        <w:t>(206/16)</w:t>
      </w:r>
    </w:p>
    <w:p w:rsidR="00106616" w:rsidRDefault="00106616"/>
    <w:sectPr w:rsidR="00106616" w:rsidSect="00984EE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EA" w:rsidRDefault="00984EEA" w:rsidP="0048364F">
      <w:pPr>
        <w:spacing w:line="240" w:lineRule="auto"/>
      </w:pPr>
      <w:r>
        <w:separator/>
      </w:r>
    </w:p>
  </w:endnote>
  <w:endnote w:type="continuationSeparator" w:id="0">
    <w:p w:rsidR="00984EEA" w:rsidRDefault="00984EE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5F1388" w:rsidRDefault="00984EEA" w:rsidP="005E6F7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16" w:rsidRDefault="00106616" w:rsidP="007517B8">
    <w:pPr>
      <w:pStyle w:val="ScalePlusRef"/>
    </w:pPr>
    <w:r>
      <w:t>Note: An electronic version of this Act is available on the Federal Register of Legislation (</w:t>
    </w:r>
    <w:hyperlink r:id="rId1" w:history="1">
      <w:r>
        <w:t>https://www.legislation.gov.au/</w:t>
      </w:r>
    </w:hyperlink>
    <w:r>
      <w:t>)</w:t>
    </w:r>
  </w:p>
  <w:p w:rsidR="00106616" w:rsidRDefault="00106616" w:rsidP="007517B8"/>
  <w:p w:rsidR="00106616" w:rsidRDefault="00106616" w:rsidP="007517B8"/>
  <w:p w:rsidR="00984EEA" w:rsidRDefault="00984EEA" w:rsidP="005E6F75">
    <w:pPr>
      <w:pStyle w:val="Footer"/>
      <w:spacing w:before="120"/>
    </w:pPr>
  </w:p>
  <w:p w:rsidR="00984EEA" w:rsidRPr="005F1388" w:rsidRDefault="00984EE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ED79B6" w:rsidRDefault="00984EEA" w:rsidP="005E6F7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Default="00984EEA" w:rsidP="005E6F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4EEA" w:rsidTr="0067649D">
      <w:tc>
        <w:tcPr>
          <w:tcW w:w="646" w:type="dxa"/>
        </w:tcPr>
        <w:p w:rsidR="00984EEA" w:rsidRDefault="00984EEA" w:rsidP="0067649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43D5">
            <w:rPr>
              <w:i/>
              <w:noProof/>
              <w:sz w:val="18"/>
            </w:rPr>
            <w:t>xvi</w:t>
          </w:r>
          <w:r w:rsidRPr="00ED79B6">
            <w:rPr>
              <w:i/>
              <w:sz w:val="18"/>
            </w:rPr>
            <w:fldChar w:fldCharType="end"/>
          </w:r>
        </w:p>
      </w:tc>
      <w:tc>
        <w:tcPr>
          <w:tcW w:w="5387" w:type="dxa"/>
        </w:tcPr>
        <w:p w:rsidR="00984EEA" w:rsidRDefault="00984EEA" w:rsidP="0067649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372F5">
            <w:rPr>
              <w:i/>
              <w:sz w:val="18"/>
            </w:rPr>
            <w:t>Treasury Laws Amendment (2016 Measures No. 1) Act 2017</w:t>
          </w:r>
          <w:r w:rsidRPr="00ED79B6">
            <w:rPr>
              <w:i/>
              <w:sz w:val="18"/>
            </w:rPr>
            <w:fldChar w:fldCharType="end"/>
          </w:r>
        </w:p>
      </w:tc>
      <w:tc>
        <w:tcPr>
          <w:tcW w:w="1270" w:type="dxa"/>
        </w:tcPr>
        <w:p w:rsidR="00984EEA" w:rsidRDefault="00984EEA" w:rsidP="0067649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372F5">
            <w:rPr>
              <w:i/>
              <w:sz w:val="18"/>
            </w:rPr>
            <w:t>No. 25, 2017</w:t>
          </w:r>
          <w:r w:rsidRPr="00ED79B6">
            <w:rPr>
              <w:i/>
              <w:sz w:val="18"/>
            </w:rPr>
            <w:fldChar w:fldCharType="end"/>
          </w:r>
        </w:p>
      </w:tc>
    </w:tr>
  </w:tbl>
  <w:p w:rsidR="00984EEA" w:rsidRDefault="00984EE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Default="00984EEA" w:rsidP="005E6F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4EEA" w:rsidTr="0067649D">
      <w:tc>
        <w:tcPr>
          <w:tcW w:w="1247" w:type="dxa"/>
        </w:tcPr>
        <w:p w:rsidR="00984EEA" w:rsidRDefault="00984EEA" w:rsidP="0010661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372F5">
            <w:rPr>
              <w:i/>
              <w:sz w:val="18"/>
            </w:rPr>
            <w:t>No. 25, 2017</w:t>
          </w:r>
          <w:r w:rsidRPr="00ED79B6">
            <w:rPr>
              <w:i/>
              <w:sz w:val="18"/>
            </w:rPr>
            <w:fldChar w:fldCharType="end"/>
          </w:r>
        </w:p>
      </w:tc>
      <w:tc>
        <w:tcPr>
          <w:tcW w:w="5387" w:type="dxa"/>
        </w:tcPr>
        <w:p w:rsidR="00984EEA" w:rsidRDefault="00984EEA" w:rsidP="0067649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372F5">
            <w:rPr>
              <w:i/>
              <w:sz w:val="18"/>
            </w:rPr>
            <w:t>Treasury Laws Amendment (2016 Measures No. 1) Act 2017</w:t>
          </w:r>
          <w:r w:rsidRPr="00ED79B6">
            <w:rPr>
              <w:i/>
              <w:sz w:val="18"/>
            </w:rPr>
            <w:fldChar w:fldCharType="end"/>
          </w:r>
        </w:p>
      </w:tc>
      <w:tc>
        <w:tcPr>
          <w:tcW w:w="669" w:type="dxa"/>
        </w:tcPr>
        <w:p w:rsidR="00984EEA" w:rsidRDefault="00984EEA" w:rsidP="0067649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72F5">
            <w:rPr>
              <w:i/>
              <w:noProof/>
              <w:sz w:val="18"/>
            </w:rPr>
            <w:t>i</w:t>
          </w:r>
          <w:r w:rsidRPr="00ED79B6">
            <w:rPr>
              <w:i/>
              <w:sz w:val="18"/>
            </w:rPr>
            <w:fldChar w:fldCharType="end"/>
          </w:r>
        </w:p>
      </w:tc>
    </w:tr>
  </w:tbl>
  <w:p w:rsidR="00984EEA" w:rsidRPr="00ED79B6" w:rsidRDefault="00984EE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A961C4" w:rsidRDefault="00984EEA" w:rsidP="005E6F7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4EEA" w:rsidTr="005E6F75">
      <w:tc>
        <w:tcPr>
          <w:tcW w:w="646" w:type="dxa"/>
        </w:tcPr>
        <w:p w:rsidR="00984EEA" w:rsidRDefault="00984EEA" w:rsidP="0067649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372F5">
            <w:rPr>
              <w:i/>
              <w:noProof/>
              <w:sz w:val="18"/>
            </w:rPr>
            <w:t>22</w:t>
          </w:r>
          <w:r w:rsidRPr="007A1328">
            <w:rPr>
              <w:i/>
              <w:sz w:val="18"/>
            </w:rPr>
            <w:fldChar w:fldCharType="end"/>
          </w:r>
        </w:p>
      </w:tc>
      <w:tc>
        <w:tcPr>
          <w:tcW w:w="5387" w:type="dxa"/>
        </w:tcPr>
        <w:p w:rsidR="00984EEA" w:rsidRDefault="00984EEA" w:rsidP="0067649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372F5">
            <w:rPr>
              <w:i/>
              <w:sz w:val="18"/>
            </w:rPr>
            <w:t>Treasury Laws Amendment (2016 Measures No. 1) Act 2017</w:t>
          </w:r>
          <w:r w:rsidRPr="007A1328">
            <w:rPr>
              <w:i/>
              <w:sz w:val="18"/>
            </w:rPr>
            <w:fldChar w:fldCharType="end"/>
          </w:r>
        </w:p>
      </w:tc>
      <w:tc>
        <w:tcPr>
          <w:tcW w:w="1270" w:type="dxa"/>
        </w:tcPr>
        <w:p w:rsidR="00984EEA" w:rsidRDefault="00106616" w:rsidP="0067649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372F5">
            <w:rPr>
              <w:i/>
              <w:sz w:val="18"/>
            </w:rPr>
            <w:t>No. 25, 2017</w:t>
          </w:r>
          <w:r w:rsidRPr="00ED79B6">
            <w:rPr>
              <w:i/>
              <w:sz w:val="18"/>
            </w:rPr>
            <w:fldChar w:fldCharType="end"/>
          </w:r>
        </w:p>
      </w:tc>
    </w:tr>
  </w:tbl>
  <w:p w:rsidR="00984EEA" w:rsidRPr="00A961C4" w:rsidRDefault="00984EE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A961C4" w:rsidRDefault="00984EEA" w:rsidP="005E6F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4EEA" w:rsidTr="005E6F75">
      <w:tc>
        <w:tcPr>
          <w:tcW w:w="1247" w:type="dxa"/>
        </w:tcPr>
        <w:p w:rsidR="00984EEA" w:rsidRDefault="00106616" w:rsidP="0067649D">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372F5">
            <w:rPr>
              <w:i/>
              <w:sz w:val="18"/>
            </w:rPr>
            <w:t>No. 25, 2017</w:t>
          </w:r>
          <w:r w:rsidRPr="00ED79B6">
            <w:rPr>
              <w:i/>
              <w:sz w:val="18"/>
            </w:rPr>
            <w:fldChar w:fldCharType="end"/>
          </w:r>
        </w:p>
      </w:tc>
      <w:tc>
        <w:tcPr>
          <w:tcW w:w="5387" w:type="dxa"/>
        </w:tcPr>
        <w:p w:rsidR="00984EEA" w:rsidRDefault="00984EEA" w:rsidP="0067649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372F5">
            <w:rPr>
              <w:i/>
              <w:sz w:val="18"/>
            </w:rPr>
            <w:t>Treasury Laws Amendment (2016 Measures No. 1) Act 2017</w:t>
          </w:r>
          <w:r w:rsidRPr="007A1328">
            <w:rPr>
              <w:i/>
              <w:sz w:val="18"/>
            </w:rPr>
            <w:fldChar w:fldCharType="end"/>
          </w:r>
        </w:p>
      </w:tc>
      <w:tc>
        <w:tcPr>
          <w:tcW w:w="669" w:type="dxa"/>
        </w:tcPr>
        <w:p w:rsidR="00984EEA" w:rsidRDefault="00984EEA" w:rsidP="0067649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372F5">
            <w:rPr>
              <w:i/>
              <w:noProof/>
              <w:sz w:val="18"/>
            </w:rPr>
            <w:t>21</w:t>
          </w:r>
          <w:r w:rsidRPr="007A1328">
            <w:rPr>
              <w:i/>
              <w:sz w:val="18"/>
            </w:rPr>
            <w:fldChar w:fldCharType="end"/>
          </w:r>
        </w:p>
      </w:tc>
    </w:tr>
  </w:tbl>
  <w:p w:rsidR="00984EEA" w:rsidRPr="00055B5C" w:rsidRDefault="00984EE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A961C4" w:rsidRDefault="00984EEA" w:rsidP="005E6F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4EEA" w:rsidTr="005E6F75">
      <w:tc>
        <w:tcPr>
          <w:tcW w:w="1247" w:type="dxa"/>
        </w:tcPr>
        <w:p w:rsidR="00984EEA" w:rsidRDefault="00106616" w:rsidP="0067649D">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372F5">
            <w:rPr>
              <w:i/>
              <w:sz w:val="18"/>
            </w:rPr>
            <w:t>No. 25, 2017</w:t>
          </w:r>
          <w:r w:rsidRPr="00ED79B6">
            <w:rPr>
              <w:i/>
              <w:sz w:val="18"/>
            </w:rPr>
            <w:fldChar w:fldCharType="end"/>
          </w:r>
        </w:p>
      </w:tc>
      <w:tc>
        <w:tcPr>
          <w:tcW w:w="5387" w:type="dxa"/>
        </w:tcPr>
        <w:p w:rsidR="00984EEA" w:rsidRDefault="00984EEA" w:rsidP="0067649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372F5">
            <w:rPr>
              <w:i/>
              <w:sz w:val="18"/>
            </w:rPr>
            <w:t>Treasury Laws Amendment (2016 Measures No. 1) Act 2017</w:t>
          </w:r>
          <w:r w:rsidRPr="007A1328">
            <w:rPr>
              <w:i/>
              <w:sz w:val="18"/>
            </w:rPr>
            <w:fldChar w:fldCharType="end"/>
          </w:r>
        </w:p>
      </w:tc>
      <w:tc>
        <w:tcPr>
          <w:tcW w:w="669" w:type="dxa"/>
        </w:tcPr>
        <w:p w:rsidR="00984EEA" w:rsidRDefault="00984EEA" w:rsidP="0067649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372F5">
            <w:rPr>
              <w:i/>
              <w:noProof/>
              <w:sz w:val="18"/>
            </w:rPr>
            <w:t>1</w:t>
          </w:r>
          <w:r w:rsidRPr="007A1328">
            <w:rPr>
              <w:i/>
              <w:sz w:val="18"/>
            </w:rPr>
            <w:fldChar w:fldCharType="end"/>
          </w:r>
        </w:p>
      </w:tc>
    </w:tr>
  </w:tbl>
  <w:p w:rsidR="00984EEA" w:rsidRPr="00A961C4" w:rsidRDefault="00984EE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EA" w:rsidRDefault="00984EEA" w:rsidP="0048364F">
      <w:pPr>
        <w:spacing w:line="240" w:lineRule="auto"/>
      </w:pPr>
      <w:r>
        <w:separator/>
      </w:r>
    </w:p>
  </w:footnote>
  <w:footnote w:type="continuationSeparator" w:id="0">
    <w:p w:rsidR="00984EEA" w:rsidRDefault="00984EE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5F1388" w:rsidRDefault="00984EE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5F1388" w:rsidRDefault="00984EE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5F1388" w:rsidRDefault="00984EE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ED79B6" w:rsidRDefault="00984EE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ED79B6" w:rsidRDefault="00984EE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ED79B6" w:rsidRDefault="00984EE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A961C4" w:rsidRDefault="00984EEA" w:rsidP="0048364F">
    <w:pPr>
      <w:rPr>
        <w:b/>
        <w:sz w:val="20"/>
      </w:rPr>
    </w:pPr>
    <w:r>
      <w:rPr>
        <w:b/>
        <w:sz w:val="20"/>
      </w:rPr>
      <w:fldChar w:fldCharType="begin"/>
    </w:r>
    <w:r>
      <w:rPr>
        <w:b/>
        <w:sz w:val="20"/>
      </w:rPr>
      <w:instrText xml:space="preserve"> STYLEREF CharAmSchNo </w:instrText>
    </w:r>
    <w:r w:rsidR="004372F5">
      <w:rPr>
        <w:b/>
        <w:sz w:val="20"/>
      </w:rPr>
      <w:fldChar w:fldCharType="separate"/>
    </w:r>
    <w:r w:rsidR="004372F5">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372F5">
      <w:rPr>
        <w:sz w:val="20"/>
      </w:rPr>
      <w:fldChar w:fldCharType="separate"/>
    </w:r>
    <w:r w:rsidR="004372F5">
      <w:rPr>
        <w:noProof/>
        <w:sz w:val="20"/>
      </w:rPr>
      <w:t>Client money</w:t>
    </w:r>
    <w:r>
      <w:rPr>
        <w:sz w:val="20"/>
      </w:rPr>
      <w:fldChar w:fldCharType="end"/>
    </w:r>
  </w:p>
  <w:p w:rsidR="00984EEA" w:rsidRPr="00A961C4" w:rsidRDefault="00984EEA" w:rsidP="0048364F">
    <w:pPr>
      <w:rPr>
        <w:b/>
        <w:sz w:val="20"/>
      </w:rPr>
    </w:pPr>
    <w:r>
      <w:rPr>
        <w:b/>
        <w:sz w:val="20"/>
      </w:rPr>
      <w:fldChar w:fldCharType="begin"/>
    </w:r>
    <w:r>
      <w:rPr>
        <w:b/>
        <w:sz w:val="20"/>
      </w:rPr>
      <w:instrText xml:space="preserve"> STYLEREF CharAmPartNo </w:instrText>
    </w:r>
    <w:r w:rsidR="004372F5">
      <w:rPr>
        <w:b/>
        <w:sz w:val="20"/>
      </w:rPr>
      <w:fldChar w:fldCharType="separate"/>
    </w:r>
    <w:r w:rsidR="004372F5">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372F5">
      <w:rPr>
        <w:sz w:val="20"/>
      </w:rPr>
      <w:fldChar w:fldCharType="separate"/>
    </w:r>
    <w:r w:rsidR="004372F5">
      <w:rPr>
        <w:noProof/>
        <w:sz w:val="20"/>
      </w:rPr>
      <w:t>Client money reporting rules</w:t>
    </w:r>
    <w:r>
      <w:rPr>
        <w:sz w:val="20"/>
      </w:rPr>
      <w:fldChar w:fldCharType="end"/>
    </w:r>
  </w:p>
  <w:p w:rsidR="00984EEA" w:rsidRPr="00A961C4" w:rsidRDefault="00984EE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A961C4" w:rsidRDefault="00984EEA" w:rsidP="0048364F">
    <w:pPr>
      <w:jc w:val="right"/>
      <w:rPr>
        <w:sz w:val="20"/>
      </w:rPr>
    </w:pPr>
    <w:r w:rsidRPr="00A961C4">
      <w:rPr>
        <w:sz w:val="20"/>
      </w:rPr>
      <w:fldChar w:fldCharType="begin"/>
    </w:r>
    <w:r w:rsidRPr="00A961C4">
      <w:rPr>
        <w:sz w:val="20"/>
      </w:rPr>
      <w:instrText xml:space="preserve"> STYLEREF CharAmSchText </w:instrText>
    </w:r>
    <w:r w:rsidR="004372F5">
      <w:rPr>
        <w:sz w:val="20"/>
      </w:rPr>
      <w:fldChar w:fldCharType="separate"/>
    </w:r>
    <w:r w:rsidR="004372F5">
      <w:rPr>
        <w:noProof/>
        <w:sz w:val="20"/>
      </w:rPr>
      <w:t>Client money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372F5">
      <w:rPr>
        <w:b/>
        <w:sz w:val="20"/>
      </w:rPr>
      <w:fldChar w:fldCharType="separate"/>
    </w:r>
    <w:r w:rsidR="004372F5">
      <w:rPr>
        <w:b/>
        <w:noProof/>
        <w:sz w:val="20"/>
      </w:rPr>
      <w:t>Schedule 5</w:t>
    </w:r>
    <w:r>
      <w:rPr>
        <w:b/>
        <w:sz w:val="20"/>
      </w:rPr>
      <w:fldChar w:fldCharType="end"/>
    </w:r>
  </w:p>
  <w:p w:rsidR="00984EEA" w:rsidRPr="00A961C4" w:rsidRDefault="00984EEA" w:rsidP="0048364F">
    <w:pPr>
      <w:jc w:val="right"/>
      <w:rPr>
        <w:b/>
        <w:sz w:val="20"/>
      </w:rPr>
    </w:pPr>
    <w:r w:rsidRPr="00A961C4">
      <w:rPr>
        <w:sz w:val="20"/>
      </w:rPr>
      <w:fldChar w:fldCharType="begin"/>
    </w:r>
    <w:r w:rsidRPr="00A961C4">
      <w:rPr>
        <w:sz w:val="20"/>
      </w:rPr>
      <w:instrText xml:space="preserve"> STYLEREF CharAmPartText </w:instrText>
    </w:r>
    <w:r w:rsidR="004372F5">
      <w:rPr>
        <w:sz w:val="20"/>
      </w:rPr>
      <w:fldChar w:fldCharType="separate"/>
    </w:r>
    <w:r w:rsidR="004372F5">
      <w:rPr>
        <w:noProof/>
        <w:sz w:val="20"/>
      </w:rPr>
      <w:t>Client money reporting rules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372F5">
      <w:rPr>
        <w:b/>
        <w:sz w:val="20"/>
      </w:rPr>
      <w:fldChar w:fldCharType="separate"/>
    </w:r>
    <w:r w:rsidR="004372F5">
      <w:rPr>
        <w:b/>
        <w:noProof/>
        <w:sz w:val="20"/>
      </w:rPr>
      <w:t>Part 2</w:t>
    </w:r>
    <w:r w:rsidRPr="00A961C4">
      <w:rPr>
        <w:b/>
        <w:sz w:val="20"/>
      </w:rPr>
      <w:fldChar w:fldCharType="end"/>
    </w:r>
  </w:p>
  <w:p w:rsidR="00984EEA" w:rsidRPr="00A961C4" w:rsidRDefault="00984EE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EA" w:rsidRPr="00A961C4" w:rsidRDefault="00984EE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5D"/>
    <w:rsid w:val="000113BC"/>
    <w:rsid w:val="000136AF"/>
    <w:rsid w:val="0002158A"/>
    <w:rsid w:val="000417C9"/>
    <w:rsid w:val="00055B5C"/>
    <w:rsid w:val="00056391"/>
    <w:rsid w:val="00060FF9"/>
    <w:rsid w:val="000614BF"/>
    <w:rsid w:val="00076F8D"/>
    <w:rsid w:val="000A0674"/>
    <w:rsid w:val="000A7D3B"/>
    <w:rsid w:val="000B0088"/>
    <w:rsid w:val="000B1FD2"/>
    <w:rsid w:val="000D05EF"/>
    <w:rsid w:val="000D2D68"/>
    <w:rsid w:val="000F21C1"/>
    <w:rsid w:val="00101D90"/>
    <w:rsid w:val="00106616"/>
    <w:rsid w:val="0010745C"/>
    <w:rsid w:val="00113BD1"/>
    <w:rsid w:val="00122206"/>
    <w:rsid w:val="0015646E"/>
    <w:rsid w:val="001643C9"/>
    <w:rsid w:val="00165568"/>
    <w:rsid w:val="00166C2F"/>
    <w:rsid w:val="001716C9"/>
    <w:rsid w:val="00173363"/>
    <w:rsid w:val="00173B94"/>
    <w:rsid w:val="00176CF1"/>
    <w:rsid w:val="001854B4"/>
    <w:rsid w:val="001930E8"/>
    <w:rsid w:val="001939E1"/>
    <w:rsid w:val="00195382"/>
    <w:rsid w:val="001A3658"/>
    <w:rsid w:val="001A759A"/>
    <w:rsid w:val="001B7A5D"/>
    <w:rsid w:val="001C2418"/>
    <w:rsid w:val="001C69C4"/>
    <w:rsid w:val="001E3590"/>
    <w:rsid w:val="001E7407"/>
    <w:rsid w:val="001F73FF"/>
    <w:rsid w:val="00201D27"/>
    <w:rsid w:val="00202618"/>
    <w:rsid w:val="00217FE9"/>
    <w:rsid w:val="00240749"/>
    <w:rsid w:val="00243EF7"/>
    <w:rsid w:val="00263820"/>
    <w:rsid w:val="00275197"/>
    <w:rsid w:val="00276D84"/>
    <w:rsid w:val="00293B89"/>
    <w:rsid w:val="00296422"/>
    <w:rsid w:val="00297686"/>
    <w:rsid w:val="00297ECB"/>
    <w:rsid w:val="002B2F40"/>
    <w:rsid w:val="002B5A30"/>
    <w:rsid w:val="002D043A"/>
    <w:rsid w:val="002D17DE"/>
    <w:rsid w:val="002D395A"/>
    <w:rsid w:val="002E04EF"/>
    <w:rsid w:val="003415D3"/>
    <w:rsid w:val="00350417"/>
    <w:rsid w:val="00350B6E"/>
    <w:rsid w:val="00352B0F"/>
    <w:rsid w:val="003663E5"/>
    <w:rsid w:val="00375C6C"/>
    <w:rsid w:val="00376A4C"/>
    <w:rsid w:val="003C5F2B"/>
    <w:rsid w:val="003D0BFE"/>
    <w:rsid w:val="003D5700"/>
    <w:rsid w:val="00405579"/>
    <w:rsid w:val="00410B8E"/>
    <w:rsid w:val="004116CD"/>
    <w:rsid w:val="00421FC1"/>
    <w:rsid w:val="004229C7"/>
    <w:rsid w:val="004246E3"/>
    <w:rsid w:val="00424CA9"/>
    <w:rsid w:val="00436785"/>
    <w:rsid w:val="00436BD5"/>
    <w:rsid w:val="004372F5"/>
    <w:rsid w:val="00437E4B"/>
    <w:rsid w:val="0044291A"/>
    <w:rsid w:val="00462AF1"/>
    <w:rsid w:val="00467200"/>
    <w:rsid w:val="00476727"/>
    <w:rsid w:val="0048196B"/>
    <w:rsid w:val="00482FF9"/>
    <w:rsid w:val="0048364F"/>
    <w:rsid w:val="00487EB8"/>
    <w:rsid w:val="00496F97"/>
    <w:rsid w:val="004C48BB"/>
    <w:rsid w:val="004C7C8C"/>
    <w:rsid w:val="004E2A4A"/>
    <w:rsid w:val="004F0D23"/>
    <w:rsid w:val="004F1FAC"/>
    <w:rsid w:val="00516B8D"/>
    <w:rsid w:val="00537FBC"/>
    <w:rsid w:val="00543469"/>
    <w:rsid w:val="00551B54"/>
    <w:rsid w:val="00562C54"/>
    <w:rsid w:val="00584811"/>
    <w:rsid w:val="00593AA6"/>
    <w:rsid w:val="00594161"/>
    <w:rsid w:val="00594749"/>
    <w:rsid w:val="005A0D92"/>
    <w:rsid w:val="005B4067"/>
    <w:rsid w:val="005C3F41"/>
    <w:rsid w:val="005E152A"/>
    <w:rsid w:val="005E6F75"/>
    <w:rsid w:val="00600219"/>
    <w:rsid w:val="00613AF3"/>
    <w:rsid w:val="00626367"/>
    <w:rsid w:val="0064028E"/>
    <w:rsid w:val="00641DE5"/>
    <w:rsid w:val="00656F0C"/>
    <w:rsid w:val="0067649D"/>
    <w:rsid w:val="00677CC2"/>
    <w:rsid w:val="00681F92"/>
    <w:rsid w:val="006842C2"/>
    <w:rsid w:val="00685F42"/>
    <w:rsid w:val="0069207B"/>
    <w:rsid w:val="006C2874"/>
    <w:rsid w:val="006C5EFB"/>
    <w:rsid w:val="006C7F8C"/>
    <w:rsid w:val="006D380D"/>
    <w:rsid w:val="006D405B"/>
    <w:rsid w:val="006E0135"/>
    <w:rsid w:val="006E303A"/>
    <w:rsid w:val="006F7863"/>
    <w:rsid w:val="006F7E19"/>
    <w:rsid w:val="00700B2C"/>
    <w:rsid w:val="00712D8D"/>
    <w:rsid w:val="00713084"/>
    <w:rsid w:val="0071353B"/>
    <w:rsid w:val="00714B26"/>
    <w:rsid w:val="00731E00"/>
    <w:rsid w:val="007440B7"/>
    <w:rsid w:val="007634AD"/>
    <w:rsid w:val="007715C9"/>
    <w:rsid w:val="00774EDD"/>
    <w:rsid w:val="007757EC"/>
    <w:rsid w:val="007A1826"/>
    <w:rsid w:val="007E7D4A"/>
    <w:rsid w:val="008006CC"/>
    <w:rsid w:val="00807F18"/>
    <w:rsid w:val="00831E8D"/>
    <w:rsid w:val="00835CEB"/>
    <w:rsid w:val="00841E2E"/>
    <w:rsid w:val="00856A31"/>
    <w:rsid w:val="00857D6B"/>
    <w:rsid w:val="00864661"/>
    <w:rsid w:val="008754D0"/>
    <w:rsid w:val="00877D48"/>
    <w:rsid w:val="00883781"/>
    <w:rsid w:val="0088545D"/>
    <w:rsid w:val="00885570"/>
    <w:rsid w:val="00893958"/>
    <w:rsid w:val="008A2E77"/>
    <w:rsid w:val="008B5FB9"/>
    <w:rsid w:val="008C6F6F"/>
    <w:rsid w:val="008D0EE0"/>
    <w:rsid w:val="008E5B8F"/>
    <w:rsid w:val="008F4F1C"/>
    <w:rsid w:val="008F77C4"/>
    <w:rsid w:val="009103F3"/>
    <w:rsid w:val="00915AC9"/>
    <w:rsid w:val="00932377"/>
    <w:rsid w:val="00967042"/>
    <w:rsid w:val="0098255A"/>
    <w:rsid w:val="009845BE"/>
    <w:rsid w:val="00984EEA"/>
    <w:rsid w:val="009943D5"/>
    <w:rsid w:val="009969C9"/>
    <w:rsid w:val="009A14D7"/>
    <w:rsid w:val="009B7380"/>
    <w:rsid w:val="009E7B34"/>
    <w:rsid w:val="00A0071E"/>
    <w:rsid w:val="00A10775"/>
    <w:rsid w:val="00A231E2"/>
    <w:rsid w:val="00A36C48"/>
    <w:rsid w:val="00A41E0B"/>
    <w:rsid w:val="00A539D2"/>
    <w:rsid w:val="00A55631"/>
    <w:rsid w:val="00A64912"/>
    <w:rsid w:val="00A66B02"/>
    <w:rsid w:val="00A7037C"/>
    <w:rsid w:val="00A70A74"/>
    <w:rsid w:val="00AA3795"/>
    <w:rsid w:val="00AC1E75"/>
    <w:rsid w:val="00AD5641"/>
    <w:rsid w:val="00AE1088"/>
    <w:rsid w:val="00AF1BA4"/>
    <w:rsid w:val="00B032D8"/>
    <w:rsid w:val="00B33B3C"/>
    <w:rsid w:val="00B6382D"/>
    <w:rsid w:val="00BA5026"/>
    <w:rsid w:val="00BB40BF"/>
    <w:rsid w:val="00BB4F97"/>
    <w:rsid w:val="00BC0CD1"/>
    <w:rsid w:val="00BE0B48"/>
    <w:rsid w:val="00BE20D6"/>
    <w:rsid w:val="00BE719A"/>
    <w:rsid w:val="00BE720A"/>
    <w:rsid w:val="00BF0461"/>
    <w:rsid w:val="00BF31FE"/>
    <w:rsid w:val="00BF445D"/>
    <w:rsid w:val="00BF4944"/>
    <w:rsid w:val="00BF56D4"/>
    <w:rsid w:val="00C00449"/>
    <w:rsid w:val="00C04409"/>
    <w:rsid w:val="00C067E5"/>
    <w:rsid w:val="00C164CA"/>
    <w:rsid w:val="00C176CF"/>
    <w:rsid w:val="00C42BF8"/>
    <w:rsid w:val="00C460AE"/>
    <w:rsid w:val="00C50043"/>
    <w:rsid w:val="00C54E84"/>
    <w:rsid w:val="00C62271"/>
    <w:rsid w:val="00C6729E"/>
    <w:rsid w:val="00C725AF"/>
    <w:rsid w:val="00C7573B"/>
    <w:rsid w:val="00C76CF3"/>
    <w:rsid w:val="00CD098F"/>
    <w:rsid w:val="00CE1E31"/>
    <w:rsid w:val="00CF0BB2"/>
    <w:rsid w:val="00D00EAA"/>
    <w:rsid w:val="00D13441"/>
    <w:rsid w:val="00D243A3"/>
    <w:rsid w:val="00D475C3"/>
    <w:rsid w:val="00D477C3"/>
    <w:rsid w:val="00D52EFE"/>
    <w:rsid w:val="00D63EF6"/>
    <w:rsid w:val="00D70DFB"/>
    <w:rsid w:val="00D73029"/>
    <w:rsid w:val="00D763D5"/>
    <w:rsid w:val="00D766DF"/>
    <w:rsid w:val="00D818A6"/>
    <w:rsid w:val="00D9238A"/>
    <w:rsid w:val="00DB39D8"/>
    <w:rsid w:val="00DE2002"/>
    <w:rsid w:val="00DF7AE9"/>
    <w:rsid w:val="00E05704"/>
    <w:rsid w:val="00E24D66"/>
    <w:rsid w:val="00E422B4"/>
    <w:rsid w:val="00E54292"/>
    <w:rsid w:val="00E61C71"/>
    <w:rsid w:val="00E66B9A"/>
    <w:rsid w:val="00E74DC7"/>
    <w:rsid w:val="00E87699"/>
    <w:rsid w:val="00E96850"/>
    <w:rsid w:val="00ED492F"/>
    <w:rsid w:val="00EF2E3A"/>
    <w:rsid w:val="00F047E2"/>
    <w:rsid w:val="00F078DC"/>
    <w:rsid w:val="00F13E86"/>
    <w:rsid w:val="00F17B00"/>
    <w:rsid w:val="00F60593"/>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6F75"/>
    <w:pPr>
      <w:spacing w:line="260" w:lineRule="atLeast"/>
    </w:pPr>
    <w:rPr>
      <w:sz w:val="22"/>
    </w:rPr>
  </w:style>
  <w:style w:type="paragraph" w:styleId="Heading1">
    <w:name w:val="heading 1"/>
    <w:basedOn w:val="Normal"/>
    <w:next w:val="Normal"/>
    <w:link w:val="Heading1Char"/>
    <w:uiPriority w:val="9"/>
    <w:qFormat/>
    <w:rsid w:val="00A007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07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07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07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07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07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07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07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007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E6F75"/>
  </w:style>
  <w:style w:type="paragraph" w:customStyle="1" w:styleId="OPCParaBase">
    <w:name w:val="OPCParaBase"/>
    <w:link w:val="OPCParaBaseChar"/>
    <w:qFormat/>
    <w:rsid w:val="005E6F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E6F75"/>
    <w:pPr>
      <w:spacing w:line="240" w:lineRule="auto"/>
    </w:pPr>
    <w:rPr>
      <w:b/>
      <w:sz w:val="40"/>
    </w:rPr>
  </w:style>
  <w:style w:type="paragraph" w:customStyle="1" w:styleId="ActHead1">
    <w:name w:val="ActHead 1"/>
    <w:aliases w:val="c"/>
    <w:basedOn w:val="OPCParaBase"/>
    <w:next w:val="Normal"/>
    <w:qFormat/>
    <w:rsid w:val="005E6F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6F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6F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6F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E6F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6F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6F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6F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6F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E6F75"/>
  </w:style>
  <w:style w:type="paragraph" w:customStyle="1" w:styleId="Blocks">
    <w:name w:val="Blocks"/>
    <w:aliases w:val="bb"/>
    <w:basedOn w:val="OPCParaBase"/>
    <w:qFormat/>
    <w:rsid w:val="005E6F75"/>
    <w:pPr>
      <w:spacing w:line="240" w:lineRule="auto"/>
    </w:pPr>
    <w:rPr>
      <w:sz w:val="24"/>
    </w:rPr>
  </w:style>
  <w:style w:type="paragraph" w:customStyle="1" w:styleId="BoxText">
    <w:name w:val="BoxText"/>
    <w:aliases w:val="bt"/>
    <w:basedOn w:val="OPCParaBase"/>
    <w:qFormat/>
    <w:rsid w:val="005E6F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6F75"/>
    <w:rPr>
      <w:b/>
    </w:rPr>
  </w:style>
  <w:style w:type="paragraph" w:customStyle="1" w:styleId="BoxHeadItalic">
    <w:name w:val="BoxHeadItalic"/>
    <w:aliases w:val="bhi"/>
    <w:basedOn w:val="BoxText"/>
    <w:next w:val="BoxStep"/>
    <w:qFormat/>
    <w:rsid w:val="005E6F75"/>
    <w:rPr>
      <w:i/>
    </w:rPr>
  </w:style>
  <w:style w:type="paragraph" w:customStyle="1" w:styleId="BoxList">
    <w:name w:val="BoxList"/>
    <w:aliases w:val="bl"/>
    <w:basedOn w:val="BoxText"/>
    <w:qFormat/>
    <w:rsid w:val="005E6F75"/>
    <w:pPr>
      <w:ind w:left="1559" w:hanging="425"/>
    </w:pPr>
  </w:style>
  <w:style w:type="paragraph" w:customStyle="1" w:styleId="BoxNote">
    <w:name w:val="BoxNote"/>
    <w:aliases w:val="bn"/>
    <w:basedOn w:val="BoxText"/>
    <w:qFormat/>
    <w:rsid w:val="005E6F75"/>
    <w:pPr>
      <w:tabs>
        <w:tab w:val="left" w:pos="1985"/>
      </w:tabs>
      <w:spacing w:before="122" w:line="198" w:lineRule="exact"/>
      <w:ind w:left="2948" w:hanging="1814"/>
    </w:pPr>
    <w:rPr>
      <w:sz w:val="18"/>
    </w:rPr>
  </w:style>
  <w:style w:type="paragraph" w:customStyle="1" w:styleId="BoxPara">
    <w:name w:val="BoxPara"/>
    <w:aliases w:val="bp"/>
    <w:basedOn w:val="BoxText"/>
    <w:qFormat/>
    <w:rsid w:val="005E6F75"/>
    <w:pPr>
      <w:tabs>
        <w:tab w:val="right" w:pos="2268"/>
      </w:tabs>
      <w:ind w:left="2552" w:hanging="1418"/>
    </w:pPr>
  </w:style>
  <w:style w:type="paragraph" w:customStyle="1" w:styleId="BoxStep">
    <w:name w:val="BoxStep"/>
    <w:aliases w:val="bs"/>
    <w:basedOn w:val="BoxText"/>
    <w:qFormat/>
    <w:rsid w:val="005E6F75"/>
    <w:pPr>
      <w:ind w:left="1985" w:hanging="851"/>
    </w:pPr>
  </w:style>
  <w:style w:type="character" w:customStyle="1" w:styleId="CharAmPartNo">
    <w:name w:val="CharAmPartNo"/>
    <w:basedOn w:val="OPCCharBase"/>
    <w:qFormat/>
    <w:rsid w:val="005E6F75"/>
  </w:style>
  <w:style w:type="character" w:customStyle="1" w:styleId="CharAmPartText">
    <w:name w:val="CharAmPartText"/>
    <w:basedOn w:val="OPCCharBase"/>
    <w:qFormat/>
    <w:rsid w:val="005E6F75"/>
  </w:style>
  <w:style w:type="character" w:customStyle="1" w:styleId="CharAmSchNo">
    <w:name w:val="CharAmSchNo"/>
    <w:basedOn w:val="OPCCharBase"/>
    <w:qFormat/>
    <w:rsid w:val="005E6F75"/>
  </w:style>
  <w:style w:type="character" w:customStyle="1" w:styleId="CharAmSchText">
    <w:name w:val="CharAmSchText"/>
    <w:basedOn w:val="OPCCharBase"/>
    <w:qFormat/>
    <w:rsid w:val="005E6F75"/>
  </w:style>
  <w:style w:type="character" w:customStyle="1" w:styleId="CharBoldItalic">
    <w:name w:val="CharBoldItalic"/>
    <w:basedOn w:val="OPCCharBase"/>
    <w:uiPriority w:val="1"/>
    <w:qFormat/>
    <w:rsid w:val="005E6F75"/>
    <w:rPr>
      <w:b/>
      <w:i/>
    </w:rPr>
  </w:style>
  <w:style w:type="character" w:customStyle="1" w:styleId="CharChapNo">
    <w:name w:val="CharChapNo"/>
    <w:basedOn w:val="OPCCharBase"/>
    <w:uiPriority w:val="1"/>
    <w:qFormat/>
    <w:rsid w:val="005E6F75"/>
  </w:style>
  <w:style w:type="character" w:customStyle="1" w:styleId="CharChapText">
    <w:name w:val="CharChapText"/>
    <w:basedOn w:val="OPCCharBase"/>
    <w:uiPriority w:val="1"/>
    <w:qFormat/>
    <w:rsid w:val="005E6F75"/>
  </w:style>
  <w:style w:type="character" w:customStyle="1" w:styleId="CharDivNo">
    <w:name w:val="CharDivNo"/>
    <w:basedOn w:val="OPCCharBase"/>
    <w:uiPriority w:val="1"/>
    <w:qFormat/>
    <w:rsid w:val="005E6F75"/>
  </w:style>
  <w:style w:type="character" w:customStyle="1" w:styleId="CharDivText">
    <w:name w:val="CharDivText"/>
    <w:basedOn w:val="OPCCharBase"/>
    <w:uiPriority w:val="1"/>
    <w:qFormat/>
    <w:rsid w:val="005E6F75"/>
  </w:style>
  <w:style w:type="character" w:customStyle="1" w:styleId="CharItalic">
    <w:name w:val="CharItalic"/>
    <w:basedOn w:val="OPCCharBase"/>
    <w:uiPriority w:val="1"/>
    <w:qFormat/>
    <w:rsid w:val="005E6F75"/>
    <w:rPr>
      <w:i/>
    </w:rPr>
  </w:style>
  <w:style w:type="character" w:customStyle="1" w:styleId="CharPartNo">
    <w:name w:val="CharPartNo"/>
    <w:basedOn w:val="OPCCharBase"/>
    <w:uiPriority w:val="1"/>
    <w:qFormat/>
    <w:rsid w:val="005E6F75"/>
  </w:style>
  <w:style w:type="character" w:customStyle="1" w:styleId="CharPartText">
    <w:name w:val="CharPartText"/>
    <w:basedOn w:val="OPCCharBase"/>
    <w:uiPriority w:val="1"/>
    <w:qFormat/>
    <w:rsid w:val="005E6F75"/>
  </w:style>
  <w:style w:type="character" w:customStyle="1" w:styleId="CharSectno">
    <w:name w:val="CharSectno"/>
    <w:basedOn w:val="OPCCharBase"/>
    <w:qFormat/>
    <w:rsid w:val="005E6F75"/>
  </w:style>
  <w:style w:type="character" w:customStyle="1" w:styleId="CharSubdNo">
    <w:name w:val="CharSubdNo"/>
    <w:basedOn w:val="OPCCharBase"/>
    <w:uiPriority w:val="1"/>
    <w:qFormat/>
    <w:rsid w:val="005E6F75"/>
  </w:style>
  <w:style w:type="character" w:customStyle="1" w:styleId="CharSubdText">
    <w:name w:val="CharSubdText"/>
    <w:basedOn w:val="OPCCharBase"/>
    <w:uiPriority w:val="1"/>
    <w:qFormat/>
    <w:rsid w:val="005E6F75"/>
  </w:style>
  <w:style w:type="paragraph" w:customStyle="1" w:styleId="CTA--">
    <w:name w:val="CTA --"/>
    <w:basedOn w:val="OPCParaBase"/>
    <w:next w:val="Normal"/>
    <w:rsid w:val="005E6F75"/>
    <w:pPr>
      <w:spacing w:before="60" w:line="240" w:lineRule="atLeast"/>
      <w:ind w:left="142" w:hanging="142"/>
    </w:pPr>
    <w:rPr>
      <w:sz w:val="20"/>
    </w:rPr>
  </w:style>
  <w:style w:type="paragraph" w:customStyle="1" w:styleId="CTA-">
    <w:name w:val="CTA -"/>
    <w:basedOn w:val="OPCParaBase"/>
    <w:rsid w:val="005E6F75"/>
    <w:pPr>
      <w:spacing w:before="60" w:line="240" w:lineRule="atLeast"/>
      <w:ind w:left="85" w:hanging="85"/>
    </w:pPr>
    <w:rPr>
      <w:sz w:val="20"/>
    </w:rPr>
  </w:style>
  <w:style w:type="paragraph" w:customStyle="1" w:styleId="CTA---">
    <w:name w:val="CTA ---"/>
    <w:basedOn w:val="OPCParaBase"/>
    <w:next w:val="Normal"/>
    <w:rsid w:val="005E6F75"/>
    <w:pPr>
      <w:spacing w:before="60" w:line="240" w:lineRule="atLeast"/>
      <w:ind w:left="198" w:hanging="198"/>
    </w:pPr>
    <w:rPr>
      <w:sz w:val="20"/>
    </w:rPr>
  </w:style>
  <w:style w:type="paragraph" w:customStyle="1" w:styleId="CTA----">
    <w:name w:val="CTA ----"/>
    <w:basedOn w:val="OPCParaBase"/>
    <w:next w:val="Normal"/>
    <w:rsid w:val="005E6F75"/>
    <w:pPr>
      <w:spacing w:before="60" w:line="240" w:lineRule="atLeast"/>
      <w:ind w:left="255" w:hanging="255"/>
    </w:pPr>
    <w:rPr>
      <w:sz w:val="20"/>
    </w:rPr>
  </w:style>
  <w:style w:type="paragraph" w:customStyle="1" w:styleId="CTA1a">
    <w:name w:val="CTA 1(a)"/>
    <w:basedOn w:val="OPCParaBase"/>
    <w:rsid w:val="005E6F75"/>
    <w:pPr>
      <w:tabs>
        <w:tab w:val="right" w:pos="414"/>
      </w:tabs>
      <w:spacing w:before="40" w:line="240" w:lineRule="atLeast"/>
      <w:ind w:left="675" w:hanging="675"/>
    </w:pPr>
    <w:rPr>
      <w:sz w:val="20"/>
    </w:rPr>
  </w:style>
  <w:style w:type="paragraph" w:customStyle="1" w:styleId="CTA1ai">
    <w:name w:val="CTA 1(a)(i)"/>
    <w:basedOn w:val="OPCParaBase"/>
    <w:rsid w:val="005E6F75"/>
    <w:pPr>
      <w:tabs>
        <w:tab w:val="right" w:pos="1004"/>
      </w:tabs>
      <w:spacing w:before="40" w:line="240" w:lineRule="atLeast"/>
      <w:ind w:left="1253" w:hanging="1253"/>
    </w:pPr>
    <w:rPr>
      <w:sz w:val="20"/>
    </w:rPr>
  </w:style>
  <w:style w:type="paragraph" w:customStyle="1" w:styleId="CTA2a">
    <w:name w:val="CTA 2(a)"/>
    <w:basedOn w:val="OPCParaBase"/>
    <w:rsid w:val="005E6F75"/>
    <w:pPr>
      <w:tabs>
        <w:tab w:val="right" w:pos="482"/>
      </w:tabs>
      <w:spacing w:before="40" w:line="240" w:lineRule="atLeast"/>
      <w:ind w:left="748" w:hanging="748"/>
    </w:pPr>
    <w:rPr>
      <w:sz w:val="20"/>
    </w:rPr>
  </w:style>
  <w:style w:type="paragraph" w:customStyle="1" w:styleId="CTA2ai">
    <w:name w:val="CTA 2(a)(i)"/>
    <w:basedOn w:val="OPCParaBase"/>
    <w:rsid w:val="005E6F75"/>
    <w:pPr>
      <w:tabs>
        <w:tab w:val="right" w:pos="1089"/>
      </w:tabs>
      <w:spacing w:before="40" w:line="240" w:lineRule="atLeast"/>
      <w:ind w:left="1327" w:hanging="1327"/>
    </w:pPr>
    <w:rPr>
      <w:sz w:val="20"/>
    </w:rPr>
  </w:style>
  <w:style w:type="paragraph" w:customStyle="1" w:styleId="CTA3a">
    <w:name w:val="CTA 3(a)"/>
    <w:basedOn w:val="OPCParaBase"/>
    <w:rsid w:val="005E6F75"/>
    <w:pPr>
      <w:tabs>
        <w:tab w:val="right" w:pos="556"/>
      </w:tabs>
      <w:spacing w:before="40" w:line="240" w:lineRule="atLeast"/>
      <w:ind w:left="805" w:hanging="805"/>
    </w:pPr>
    <w:rPr>
      <w:sz w:val="20"/>
    </w:rPr>
  </w:style>
  <w:style w:type="paragraph" w:customStyle="1" w:styleId="CTA3ai">
    <w:name w:val="CTA 3(a)(i)"/>
    <w:basedOn w:val="OPCParaBase"/>
    <w:rsid w:val="005E6F75"/>
    <w:pPr>
      <w:tabs>
        <w:tab w:val="right" w:pos="1140"/>
      </w:tabs>
      <w:spacing w:before="40" w:line="240" w:lineRule="atLeast"/>
      <w:ind w:left="1361" w:hanging="1361"/>
    </w:pPr>
    <w:rPr>
      <w:sz w:val="20"/>
    </w:rPr>
  </w:style>
  <w:style w:type="paragraph" w:customStyle="1" w:styleId="CTA4a">
    <w:name w:val="CTA 4(a)"/>
    <w:basedOn w:val="OPCParaBase"/>
    <w:rsid w:val="005E6F75"/>
    <w:pPr>
      <w:tabs>
        <w:tab w:val="right" w:pos="624"/>
      </w:tabs>
      <w:spacing w:before="40" w:line="240" w:lineRule="atLeast"/>
      <w:ind w:left="873" w:hanging="873"/>
    </w:pPr>
    <w:rPr>
      <w:sz w:val="20"/>
    </w:rPr>
  </w:style>
  <w:style w:type="paragraph" w:customStyle="1" w:styleId="CTA4ai">
    <w:name w:val="CTA 4(a)(i)"/>
    <w:basedOn w:val="OPCParaBase"/>
    <w:rsid w:val="005E6F75"/>
    <w:pPr>
      <w:tabs>
        <w:tab w:val="right" w:pos="1213"/>
      </w:tabs>
      <w:spacing w:before="40" w:line="240" w:lineRule="atLeast"/>
      <w:ind w:left="1452" w:hanging="1452"/>
    </w:pPr>
    <w:rPr>
      <w:sz w:val="20"/>
    </w:rPr>
  </w:style>
  <w:style w:type="paragraph" w:customStyle="1" w:styleId="CTACAPS">
    <w:name w:val="CTA CAPS"/>
    <w:basedOn w:val="OPCParaBase"/>
    <w:rsid w:val="005E6F75"/>
    <w:pPr>
      <w:spacing w:before="60" w:line="240" w:lineRule="atLeast"/>
    </w:pPr>
    <w:rPr>
      <w:sz w:val="20"/>
    </w:rPr>
  </w:style>
  <w:style w:type="paragraph" w:customStyle="1" w:styleId="CTAright">
    <w:name w:val="CTA right"/>
    <w:basedOn w:val="OPCParaBase"/>
    <w:rsid w:val="005E6F75"/>
    <w:pPr>
      <w:spacing w:before="60" w:line="240" w:lineRule="auto"/>
      <w:jc w:val="right"/>
    </w:pPr>
    <w:rPr>
      <w:sz w:val="20"/>
    </w:rPr>
  </w:style>
  <w:style w:type="paragraph" w:customStyle="1" w:styleId="subsection">
    <w:name w:val="subsection"/>
    <w:aliases w:val="ss"/>
    <w:basedOn w:val="OPCParaBase"/>
    <w:link w:val="subsectionChar"/>
    <w:rsid w:val="005E6F75"/>
    <w:pPr>
      <w:tabs>
        <w:tab w:val="right" w:pos="1021"/>
      </w:tabs>
      <w:spacing w:before="180" w:line="240" w:lineRule="auto"/>
      <w:ind w:left="1134" w:hanging="1134"/>
    </w:pPr>
  </w:style>
  <w:style w:type="paragraph" w:customStyle="1" w:styleId="Definition">
    <w:name w:val="Definition"/>
    <w:aliases w:val="dd"/>
    <w:basedOn w:val="OPCParaBase"/>
    <w:rsid w:val="005E6F75"/>
    <w:pPr>
      <w:spacing w:before="180" w:line="240" w:lineRule="auto"/>
      <w:ind w:left="1134"/>
    </w:pPr>
  </w:style>
  <w:style w:type="paragraph" w:customStyle="1" w:styleId="ETAsubitem">
    <w:name w:val="ETA(subitem)"/>
    <w:basedOn w:val="OPCParaBase"/>
    <w:rsid w:val="005E6F75"/>
    <w:pPr>
      <w:tabs>
        <w:tab w:val="right" w:pos="340"/>
      </w:tabs>
      <w:spacing w:before="60" w:line="240" w:lineRule="auto"/>
      <w:ind w:left="454" w:hanging="454"/>
    </w:pPr>
    <w:rPr>
      <w:sz w:val="20"/>
    </w:rPr>
  </w:style>
  <w:style w:type="paragraph" w:customStyle="1" w:styleId="ETApara">
    <w:name w:val="ETA(para)"/>
    <w:basedOn w:val="OPCParaBase"/>
    <w:rsid w:val="005E6F75"/>
    <w:pPr>
      <w:tabs>
        <w:tab w:val="right" w:pos="754"/>
      </w:tabs>
      <w:spacing w:before="60" w:line="240" w:lineRule="auto"/>
      <w:ind w:left="828" w:hanging="828"/>
    </w:pPr>
    <w:rPr>
      <w:sz w:val="20"/>
    </w:rPr>
  </w:style>
  <w:style w:type="paragraph" w:customStyle="1" w:styleId="ETAsubpara">
    <w:name w:val="ETA(subpara)"/>
    <w:basedOn w:val="OPCParaBase"/>
    <w:rsid w:val="005E6F75"/>
    <w:pPr>
      <w:tabs>
        <w:tab w:val="right" w:pos="1083"/>
      </w:tabs>
      <w:spacing w:before="60" w:line="240" w:lineRule="auto"/>
      <w:ind w:left="1191" w:hanging="1191"/>
    </w:pPr>
    <w:rPr>
      <w:sz w:val="20"/>
    </w:rPr>
  </w:style>
  <w:style w:type="paragraph" w:customStyle="1" w:styleId="ETAsub-subpara">
    <w:name w:val="ETA(sub-subpara)"/>
    <w:basedOn w:val="OPCParaBase"/>
    <w:rsid w:val="005E6F75"/>
    <w:pPr>
      <w:tabs>
        <w:tab w:val="right" w:pos="1412"/>
      </w:tabs>
      <w:spacing w:before="60" w:line="240" w:lineRule="auto"/>
      <w:ind w:left="1525" w:hanging="1525"/>
    </w:pPr>
    <w:rPr>
      <w:sz w:val="20"/>
    </w:rPr>
  </w:style>
  <w:style w:type="paragraph" w:customStyle="1" w:styleId="Formula">
    <w:name w:val="Formula"/>
    <w:basedOn w:val="OPCParaBase"/>
    <w:rsid w:val="005E6F75"/>
    <w:pPr>
      <w:spacing w:line="240" w:lineRule="auto"/>
      <w:ind w:left="1134"/>
    </w:pPr>
    <w:rPr>
      <w:sz w:val="20"/>
    </w:rPr>
  </w:style>
  <w:style w:type="paragraph" w:styleId="Header">
    <w:name w:val="header"/>
    <w:basedOn w:val="OPCParaBase"/>
    <w:link w:val="HeaderChar"/>
    <w:unhideWhenUsed/>
    <w:rsid w:val="005E6F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6F75"/>
    <w:rPr>
      <w:rFonts w:eastAsia="Times New Roman" w:cs="Times New Roman"/>
      <w:sz w:val="16"/>
      <w:lang w:eastAsia="en-AU"/>
    </w:rPr>
  </w:style>
  <w:style w:type="paragraph" w:customStyle="1" w:styleId="House">
    <w:name w:val="House"/>
    <w:basedOn w:val="OPCParaBase"/>
    <w:rsid w:val="005E6F75"/>
    <w:pPr>
      <w:spacing w:line="240" w:lineRule="auto"/>
    </w:pPr>
    <w:rPr>
      <w:sz w:val="28"/>
    </w:rPr>
  </w:style>
  <w:style w:type="paragraph" w:customStyle="1" w:styleId="Item">
    <w:name w:val="Item"/>
    <w:aliases w:val="i"/>
    <w:basedOn w:val="OPCParaBase"/>
    <w:next w:val="ItemHead"/>
    <w:rsid w:val="005E6F75"/>
    <w:pPr>
      <w:keepLines/>
      <w:spacing w:before="80" w:line="240" w:lineRule="auto"/>
      <w:ind w:left="709"/>
    </w:pPr>
  </w:style>
  <w:style w:type="paragraph" w:customStyle="1" w:styleId="ItemHead">
    <w:name w:val="ItemHead"/>
    <w:aliases w:val="ih"/>
    <w:basedOn w:val="OPCParaBase"/>
    <w:next w:val="Item"/>
    <w:link w:val="ItemHeadChar"/>
    <w:rsid w:val="005E6F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6F75"/>
    <w:pPr>
      <w:spacing w:line="240" w:lineRule="auto"/>
    </w:pPr>
    <w:rPr>
      <w:b/>
      <w:sz w:val="32"/>
    </w:rPr>
  </w:style>
  <w:style w:type="paragraph" w:customStyle="1" w:styleId="notedraft">
    <w:name w:val="note(draft)"/>
    <w:aliases w:val="nd"/>
    <w:basedOn w:val="OPCParaBase"/>
    <w:rsid w:val="005E6F75"/>
    <w:pPr>
      <w:spacing w:before="240" w:line="240" w:lineRule="auto"/>
      <w:ind w:left="284" w:hanging="284"/>
    </w:pPr>
    <w:rPr>
      <w:i/>
      <w:sz w:val="24"/>
    </w:rPr>
  </w:style>
  <w:style w:type="paragraph" w:customStyle="1" w:styleId="notemargin">
    <w:name w:val="note(margin)"/>
    <w:aliases w:val="nm"/>
    <w:basedOn w:val="OPCParaBase"/>
    <w:rsid w:val="005E6F75"/>
    <w:pPr>
      <w:tabs>
        <w:tab w:val="left" w:pos="709"/>
      </w:tabs>
      <w:spacing w:before="122" w:line="198" w:lineRule="exact"/>
      <w:ind w:left="709" w:hanging="709"/>
    </w:pPr>
    <w:rPr>
      <w:sz w:val="18"/>
    </w:rPr>
  </w:style>
  <w:style w:type="paragraph" w:customStyle="1" w:styleId="noteToPara">
    <w:name w:val="noteToPara"/>
    <w:aliases w:val="ntp"/>
    <w:basedOn w:val="OPCParaBase"/>
    <w:rsid w:val="005E6F75"/>
    <w:pPr>
      <w:spacing w:before="122" w:line="198" w:lineRule="exact"/>
      <w:ind w:left="2353" w:hanging="709"/>
    </w:pPr>
    <w:rPr>
      <w:sz w:val="18"/>
    </w:rPr>
  </w:style>
  <w:style w:type="paragraph" w:customStyle="1" w:styleId="noteParlAmend">
    <w:name w:val="note(ParlAmend)"/>
    <w:aliases w:val="npp"/>
    <w:basedOn w:val="OPCParaBase"/>
    <w:next w:val="ParlAmend"/>
    <w:rsid w:val="005E6F75"/>
    <w:pPr>
      <w:spacing w:line="240" w:lineRule="auto"/>
      <w:jc w:val="right"/>
    </w:pPr>
    <w:rPr>
      <w:rFonts w:ascii="Arial" w:hAnsi="Arial"/>
      <w:b/>
      <w:i/>
    </w:rPr>
  </w:style>
  <w:style w:type="paragraph" w:customStyle="1" w:styleId="Page1">
    <w:name w:val="Page1"/>
    <w:basedOn w:val="OPCParaBase"/>
    <w:rsid w:val="005E6F75"/>
    <w:pPr>
      <w:spacing w:before="400" w:line="240" w:lineRule="auto"/>
    </w:pPr>
    <w:rPr>
      <w:b/>
      <w:sz w:val="32"/>
    </w:rPr>
  </w:style>
  <w:style w:type="paragraph" w:customStyle="1" w:styleId="PageBreak">
    <w:name w:val="PageBreak"/>
    <w:aliases w:val="pb"/>
    <w:basedOn w:val="OPCParaBase"/>
    <w:rsid w:val="005E6F75"/>
    <w:pPr>
      <w:spacing w:line="240" w:lineRule="auto"/>
    </w:pPr>
    <w:rPr>
      <w:sz w:val="20"/>
    </w:rPr>
  </w:style>
  <w:style w:type="paragraph" w:customStyle="1" w:styleId="paragraphsub">
    <w:name w:val="paragraph(sub)"/>
    <w:aliases w:val="aa"/>
    <w:basedOn w:val="OPCParaBase"/>
    <w:rsid w:val="005E6F75"/>
    <w:pPr>
      <w:tabs>
        <w:tab w:val="right" w:pos="1985"/>
      </w:tabs>
      <w:spacing w:before="40" w:line="240" w:lineRule="auto"/>
      <w:ind w:left="2098" w:hanging="2098"/>
    </w:pPr>
  </w:style>
  <w:style w:type="paragraph" w:customStyle="1" w:styleId="paragraphsub-sub">
    <w:name w:val="paragraph(sub-sub)"/>
    <w:aliases w:val="aaa"/>
    <w:basedOn w:val="OPCParaBase"/>
    <w:rsid w:val="005E6F75"/>
    <w:pPr>
      <w:tabs>
        <w:tab w:val="right" w:pos="2722"/>
      </w:tabs>
      <w:spacing w:before="40" w:line="240" w:lineRule="auto"/>
      <w:ind w:left="2835" w:hanging="2835"/>
    </w:pPr>
  </w:style>
  <w:style w:type="paragraph" w:customStyle="1" w:styleId="paragraph">
    <w:name w:val="paragraph"/>
    <w:aliases w:val="a"/>
    <w:basedOn w:val="OPCParaBase"/>
    <w:rsid w:val="005E6F75"/>
    <w:pPr>
      <w:tabs>
        <w:tab w:val="right" w:pos="1531"/>
      </w:tabs>
      <w:spacing w:before="40" w:line="240" w:lineRule="auto"/>
      <w:ind w:left="1644" w:hanging="1644"/>
    </w:pPr>
  </w:style>
  <w:style w:type="paragraph" w:customStyle="1" w:styleId="ParlAmend">
    <w:name w:val="ParlAmend"/>
    <w:aliases w:val="pp"/>
    <w:basedOn w:val="OPCParaBase"/>
    <w:rsid w:val="005E6F75"/>
    <w:pPr>
      <w:spacing w:before="240" w:line="240" w:lineRule="atLeast"/>
      <w:ind w:hanging="567"/>
    </w:pPr>
    <w:rPr>
      <w:sz w:val="24"/>
    </w:rPr>
  </w:style>
  <w:style w:type="paragraph" w:customStyle="1" w:styleId="Penalty">
    <w:name w:val="Penalty"/>
    <w:basedOn w:val="OPCParaBase"/>
    <w:rsid w:val="005E6F75"/>
    <w:pPr>
      <w:tabs>
        <w:tab w:val="left" w:pos="2977"/>
      </w:tabs>
      <w:spacing w:before="180" w:line="240" w:lineRule="auto"/>
      <w:ind w:left="1985" w:hanging="851"/>
    </w:pPr>
  </w:style>
  <w:style w:type="paragraph" w:customStyle="1" w:styleId="Portfolio">
    <w:name w:val="Portfolio"/>
    <w:basedOn w:val="OPCParaBase"/>
    <w:rsid w:val="005E6F75"/>
    <w:pPr>
      <w:spacing w:line="240" w:lineRule="auto"/>
    </w:pPr>
    <w:rPr>
      <w:i/>
      <w:sz w:val="20"/>
    </w:rPr>
  </w:style>
  <w:style w:type="paragraph" w:customStyle="1" w:styleId="Preamble">
    <w:name w:val="Preamble"/>
    <w:basedOn w:val="OPCParaBase"/>
    <w:next w:val="Normal"/>
    <w:rsid w:val="005E6F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6F75"/>
    <w:pPr>
      <w:spacing w:line="240" w:lineRule="auto"/>
    </w:pPr>
    <w:rPr>
      <w:i/>
      <w:sz w:val="20"/>
    </w:rPr>
  </w:style>
  <w:style w:type="paragraph" w:customStyle="1" w:styleId="Session">
    <w:name w:val="Session"/>
    <w:basedOn w:val="OPCParaBase"/>
    <w:rsid w:val="005E6F75"/>
    <w:pPr>
      <w:spacing w:line="240" w:lineRule="auto"/>
    </w:pPr>
    <w:rPr>
      <w:sz w:val="28"/>
    </w:rPr>
  </w:style>
  <w:style w:type="paragraph" w:customStyle="1" w:styleId="Sponsor">
    <w:name w:val="Sponsor"/>
    <w:basedOn w:val="OPCParaBase"/>
    <w:rsid w:val="005E6F75"/>
    <w:pPr>
      <w:spacing w:line="240" w:lineRule="auto"/>
    </w:pPr>
    <w:rPr>
      <w:i/>
    </w:rPr>
  </w:style>
  <w:style w:type="paragraph" w:customStyle="1" w:styleId="Subitem">
    <w:name w:val="Subitem"/>
    <w:aliases w:val="iss"/>
    <w:basedOn w:val="OPCParaBase"/>
    <w:rsid w:val="005E6F75"/>
    <w:pPr>
      <w:spacing w:before="180" w:line="240" w:lineRule="auto"/>
      <w:ind w:left="709" w:hanging="709"/>
    </w:pPr>
  </w:style>
  <w:style w:type="paragraph" w:customStyle="1" w:styleId="SubitemHead">
    <w:name w:val="SubitemHead"/>
    <w:aliases w:val="issh"/>
    <w:basedOn w:val="OPCParaBase"/>
    <w:rsid w:val="005E6F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6F75"/>
    <w:pPr>
      <w:spacing w:before="40" w:line="240" w:lineRule="auto"/>
      <w:ind w:left="1134"/>
    </w:pPr>
  </w:style>
  <w:style w:type="paragraph" w:customStyle="1" w:styleId="SubsectionHead">
    <w:name w:val="SubsectionHead"/>
    <w:aliases w:val="ssh"/>
    <w:basedOn w:val="OPCParaBase"/>
    <w:next w:val="subsection"/>
    <w:rsid w:val="005E6F75"/>
    <w:pPr>
      <w:keepNext/>
      <w:keepLines/>
      <w:spacing w:before="240" w:line="240" w:lineRule="auto"/>
      <w:ind w:left="1134"/>
    </w:pPr>
    <w:rPr>
      <w:i/>
    </w:rPr>
  </w:style>
  <w:style w:type="paragraph" w:customStyle="1" w:styleId="Tablea">
    <w:name w:val="Table(a)"/>
    <w:aliases w:val="ta"/>
    <w:basedOn w:val="OPCParaBase"/>
    <w:rsid w:val="005E6F75"/>
    <w:pPr>
      <w:spacing w:before="60" w:line="240" w:lineRule="auto"/>
      <w:ind w:left="284" w:hanging="284"/>
    </w:pPr>
    <w:rPr>
      <w:sz w:val="20"/>
    </w:rPr>
  </w:style>
  <w:style w:type="paragraph" w:customStyle="1" w:styleId="TableAA">
    <w:name w:val="Table(AA)"/>
    <w:aliases w:val="taaa"/>
    <w:basedOn w:val="OPCParaBase"/>
    <w:rsid w:val="005E6F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6F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6F75"/>
    <w:pPr>
      <w:spacing w:before="60" w:line="240" w:lineRule="atLeast"/>
    </w:pPr>
    <w:rPr>
      <w:sz w:val="20"/>
    </w:rPr>
  </w:style>
  <w:style w:type="paragraph" w:customStyle="1" w:styleId="TLPBoxTextnote">
    <w:name w:val="TLPBoxText(note"/>
    <w:aliases w:val="right)"/>
    <w:basedOn w:val="OPCParaBase"/>
    <w:rsid w:val="005E6F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6F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6F75"/>
    <w:pPr>
      <w:spacing w:before="122" w:line="198" w:lineRule="exact"/>
      <w:ind w:left="1985" w:hanging="851"/>
      <w:jc w:val="right"/>
    </w:pPr>
    <w:rPr>
      <w:sz w:val="18"/>
    </w:rPr>
  </w:style>
  <w:style w:type="paragraph" w:customStyle="1" w:styleId="TLPTableBullet">
    <w:name w:val="TLPTableBullet"/>
    <w:aliases w:val="ttb"/>
    <w:basedOn w:val="OPCParaBase"/>
    <w:rsid w:val="005E6F75"/>
    <w:pPr>
      <w:spacing w:line="240" w:lineRule="exact"/>
      <w:ind w:left="284" w:hanging="284"/>
    </w:pPr>
    <w:rPr>
      <w:sz w:val="20"/>
    </w:rPr>
  </w:style>
  <w:style w:type="paragraph" w:styleId="TOC1">
    <w:name w:val="toc 1"/>
    <w:basedOn w:val="OPCParaBase"/>
    <w:next w:val="Normal"/>
    <w:uiPriority w:val="39"/>
    <w:semiHidden/>
    <w:unhideWhenUsed/>
    <w:rsid w:val="005E6F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6F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E6F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6F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E6F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E6F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6F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E6F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6F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E6F75"/>
    <w:pPr>
      <w:keepLines/>
      <w:spacing w:before="240" w:after="120" w:line="240" w:lineRule="auto"/>
      <w:ind w:left="794"/>
    </w:pPr>
    <w:rPr>
      <w:b/>
      <w:kern w:val="28"/>
      <w:sz w:val="20"/>
    </w:rPr>
  </w:style>
  <w:style w:type="paragraph" w:customStyle="1" w:styleId="TofSectsHeading">
    <w:name w:val="TofSects(Heading)"/>
    <w:basedOn w:val="OPCParaBase"/>
    <w:rsid w:val="005E6F75"/>
    <w:pPr>
      <w:spacing w:before="240" w:after="120" w:line="240" w:lineRule="auto"/>
    </w:pPr>
    <w:rPr>
      <w:b/>
      <w:sz w:val="24"/>
    </w:rPr>
  </w:style>
  <w:style w:type="paragraph" w:customStyle="1" w:styleId="TofSectsSection">
    <w:name w:val="TofSects(Section)"/>
    <w:basedOn w:val="OPCParaBase"/>
    <w:rsid w:val="005E6F75"/>
    <w:pPr>
      <w:keepLines/>
      <w:spacing w:before="40" w:line="240" w:lineRule="auto"/>
      <w:ind w:left="1588" w:hanging="794"/>
    </w:pPr>
    <w:rPr>
      <w:kern w:val="28"/>
      <w:sz w:val="18"/>
    </w:rPr>
  </w:style>
  <w:style w:type="paragraph" w:customStyle="1" w:styleId="TofSectsSubdiv">
    <w:name w:val="TofSects(Subdiv)"/>
    <w:basedOn w:val="OPCParaBase"/>
    <w:rsid w:val="005E6F75"/>
    <w:pPr>
      <w:keepLines/>
      <w:spacing w:before="80" w:line="240" w:lineRule="auto"/>
      <w:ind w:left="1588" w:hanging="794"/>
    </w:pPr>
    <w:rPr>
      <w:kern w:val="28"/>
    </w:rPr>
  </w:style>
  <w:style w:type="paragraph" w:customStyle="1" w:styleId="WRStyle">
    <w:name w:val="WR Style"/>
    <w:aliases w:val="WR"/>
    <w:basedOn w:val="OPCParaBase"/>
    <w:rsid w:val="005E6F75"/>
    <w:pPr>
      <w:spacing w:before="240" w:line="240" w:lineRule="auto"/>
      <w:ind w:left="284" w:hanging="284"/>
    </w:pPr>
    <w:rPr>
      <w:b/>
      <w:i/>
      <w:kern w:val="28"/>
      <w:sz w:val="24"/>
    </w:rPr>
  </w:style>
  <w:style w:type="paragraph" w:customStyle="1" w:styleId="notepara">
    <w:name w:val="note(para)"/>
    <w:aliases w:val="na"/>
    <w:basedOn w:val="OPCParaBase"/>
    <w:rsid w:val="005E6F75"/>
    <w:pPr>
      <w:spacing w:before="40" w:line="198" w:lineRule="exact"/>
      <w:ind w:left="2354" w:hanging="369"/>
    </w:pPr>
    <w:rPr>
      <w:sz w:val="18"/>
    </w:rPr>
  </w:style>
  <w:style w:type="paragraph" w:styleId="Footer">
    <w:name w:val="footer"/>
    <w:link w:val="FooterChar"/>
    <w:rsid w:val="005E6F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6F75"/>
    <w:rPr>
      <w:rFonts w:eastAsia="Times New Roman" w:cs="Times New Roman"/>
      <w:sz w:val="22"/>
      <w:szCs w:val="24"/>
      <w:lang w:eastAsia="en-AU"/>
    </w:rPr>
  </w:style>
  <w:style w:type="character" w:styleId="LineNumber">
    <w:name w:val="line number"/>
    <w:basedOn w:val="OPCCharBase"/>
    <w:uiPriority w:val="99"/>
    <w:semiHidden/>
    <w:unhideWhenUsed/>
    <w:rsid w:val="005E6F75"/>
    <w:rPr>
      <w:sz w:val="16"/>
    </w:rPr>
  </w:style>
  <w:style w:type="table" w:customStyle="1" w:styleId="CFlag">
    <w:name w:val="CFlag"/>
    <w:basedOn w:val="TableNormal"/>
    <w:uiPriority w:val="99"/>
    <w:rsid w:val="005E6F75"/>
    <w:rPr>
      <w:rFonts w:eastAsia="Times New Roman" w:cs="Times New Roman"/>
      <w:lang w:eastAsia="en-AU"/>
    </w:rPr>
    <w:tblPr/>
  </w:style>
  <w:style w:type="paragraph" w:customStyle="1" w:styleId="NotesHeading1">
    <w:name w:val="NotesHeading 1"/>
    <w:basedOn w:val="OPCParaBase"/>
    <w:next w:val="Normal"/>
    <w:rsid w:val="005E6F75"/>
    <w:rPr>
      <w:b/>
      <w:sz w:val="28"/>
      <w:szCs w:val="28"/>
    </w:rPr>
  </w:style>
  <w:style w:type="paragraph" w:customStyle="1" w:styleId="NotesHeading2">
    <w:name w:val="NotesHeading 2"/>
    <w:basedOn w:val="OPCParaBase"/>
    <w:next w:val="Normal"/>
    <w:rsid w:val="005E6F75"/>
    <w:rPr>
      <w:b/>
      <w:sz w:val="28"/>
      <w:szCs w:val="28"/>
    </w:rPr>
  </w:style>
  <w:style w:type="paragraph" w:customStyle="1" w:styleId="SignCoverPageEnd">
    <w:name w:val="SignCoverPageEnd"/>
    <w:basedOn w:val="OPCParaBase"/>
    <w:next w:val="Normal"/>
    <w:rsid w:val="005E6F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6F75"/>
    <w:pPr>
      <w:pBdr>
        <w:top w:val="single" w:sz="4" w:space="1" w:color="auto"/>
      </w:pBdr>
      <w:spacing w:before="360"/>
      <w:ind w:right="397"/>
      <w:jc w:val="both"/>
    </w:pPr>
  </w:style>
  <w:style w:type="paragraph" w:customStyle="1" w:styleId="Paragraphsub-sub-sub">
    <w:name w:val="Paragraph(sub-sub-sub)"/>
    <w:aliases w:val="aaaa"/>
    <w:basedOn w:val="OPCParaBase"/>
    <w:rsid w:val="005E6F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E6F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6F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6F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6F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E6F75"/>
    <w:pPr>
      <w:spacing w:before="120"/>
    </w:pPr>
  </w:style>
  <w:style w:type="paragraph" w:customStyle="1" w:styleId="TableTextEndNotes">
    <w:name w:val="TableTextEndNotes"/>
    <w:aliases w:val="Tten"/>
    <w:basedOn w:val="Normal"/>
    <w:rsid w:val="005E6F75"/>
    <w:pPr>
      <w:spacing w:before="60" w:line="240" w:lineRule="auto"/>
    </w:pPr>
    <w:rPr>
      <w:rFonts w:cs="Arial"/>
      <w:sz w:val="20"/>
      <w:szCs w:val="22"/>
    </w:rPr>
  </w:style>
  <w:style w:type="paragraph" w:customStyle="1" w:styleId="TableHeading">
    <w:name w:val="TableHeading"/>
    <w:aliases w:val="th"/>
    <w:basedOn w:val="OPCParaBase"/>
    <w:next w:val="Tabletext"/>
    <w:rsid w:val="005E6F75"/>
    <w:pPr>
      <w:keepNext/>
      <w:spacing w:before="60" w:line="240" w:lineRule="atLeast"/>
    </w:pPr>
    <w:rPr>
      <w:b/>
      <w:sz w:val="20"/>
    </w:rPr>
  </w:style>
  <w:style w:type="paragraph" w:customStyle="1" w:styleId="NoteToSubpara">
    <w:name w:val="NoteToSubpara"/>
    <w:aliases w:val="nts"/>
    <w:basedOn w:val="OPCParaBase"/>
    <w:rsid w:val="005E6F75"/>
    <w:pPr>
      <w:spacing w:before="40" w:line="198" w:lineRule="exact"/>
      <w:ind w:left="2835" w:hanging="709"/>
    </w:pPr>
    <w:rPr>
      <w:sz w:val="18"/>
    </w:rPr>
  </w:style>
  <w:style w:type="paragraph" w:customStyle="1" w:styleId="ENoteTableHeading">
    <w:name w:val="ENoteTableHeading"/>
    <w:aliases w:val="enth"/>
    <w:basedOn w:val="OPCParaBase"/>
    <w:rsid w:val="005E6F75"/>
    <w:pPr>
      <w:keepNext/>
      <w:spacing w:before="60" w:line="240" w:lineRule="atLeast"/>
    </w:pPr>
    <w:rPr>
      <w:rFonts w:ascii="Arial" w:hAnsi="Arial"/>
      <w:b/>
      <w:sz w:val="16"/>
    </w:rPr>
  </w:style>
  <w:style w:type="paragraph" w:customStyle="1" w:styleId="ENoteTTi">
    <w:name w:val="ENoteTTi"/>
    <w:aliases w:val="entti"/>
    <w:basedOn w:val="OPCParaBase"/>
    <w:rsid w:val="005E6F75"/>
    <w:pPr>
      <w:keepNext/>
      <w:spacing w:before="60" w:line="240" w:lineRule="atLeast"/>
      <w:ind w:left="170"/>
    </w:pPr>
    <w:rPr>
      <w:sz w:val="16"/>
    </w:rPr>
  </w:style>
  <w:style w:type="paragraph" w:customStyle="1" w:styleId="ENotesHeading1">
    <w:name w:val="ENotesHeading 1"/>
    <w:aliases w:val="Enh1"/>
    <w:basedOn w:val="OPCParaBase"/>
    <w:next w:val="Normal"/>
    <w:rsid w:val="005E6F75"/>
    <w:pPr>
      <w:spacing w:before="120"/>
      <w:outlineLvl w:val="1"/>
    </w:pPr>
    <w:rPr>
      <w:b/>
      <w:sz w:val="28"/>
      <w:szCs w:val="28"/>
    </w:rPr>
  </w:style>
  <w:style w:type="paragraph" w:customStyle="1" w:styleId="ENotesHeading2">
    <w:name w:val="ENotesHeading 2"/>
    <w:aliases w:val="Enh2"/>
    <w:basedOn w:val="OPCParaBase"/>
    <w:next w:val="Normal"/>
    <w:rsid w:val="005E6F75"/>
    <w:pPr>
      <w:spacing w:before="120" w:after="120"/>
      <w:outlineLvl w:val="2"/>
    </w:pPr>
    <w:rPr>
      <w:b/>
      <w:sz w:val="24"/>
      <w:szCs w:val="28"/>
    </w:rPr>
  </w:style>
  <w:style w:type="paragraph" w:customStyle="1" w:styleId="ENoteTTIndentHeading">
    <w:name w:val="ENoteTTIndentHeading"/>
    <w:aliases w:val="enTTHi"/>
    <w:basedOn w:val="OPCParaBase"/>
    <w:rsid w:val="005E6F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E6F75"/>
    <w:pPr>
      <w:spacing w:before="60" w:line="240" w:lineRule="atLeast"/>
    </w:pPr>
    <w:rPr>
      <w:sz w:val="16"/>
    </w:rPr>
  </w:style>
  <w:style w:type="paragraph" w:customStyle="1" w:styleId="MadeunderText">
    <w:name w:val="MadeunderText"/>
    <w:basedOn w:val="OPCParaBase"/>
    <w:next w:val="Normal"/>
    <w:rsid w:val="005E6F75"/>
    <w:pPr>
      <w:spacing w:before="240"/>
    </w:pPr>
    <w:rPr>
      <w:sz w:val="24"/>
      <w:szCs w:val="24"/>
    </w:rPr>
  </w:style>
  <w:style w:type="paragraph" w:customStyle="1" w:styleId="ENotesHeading3">
    <w:name w:val="ENotesHeading 3"/>
    <w:aliases w:val="Enh3"/>
    <w:basedOn w:val="OPCParaBase"/>
    <w:next w:val="Normal"/>
    <w:rsid w:val="005E6F75"/>
    <w:pPr>
      <w:keepNext/>
      <w:spacing w:before="120" w:line="240" w:lineRule="auto"/>
      <w:outlineLvl w:val="4"/>
    </w:pPr>
    <w:rPr>
      <w:b/>
      <w:szCs w:val="24"/>
    </w:rPr>
  </w:style>
  <w:style w:type="paragraph" w:customStyle="1" w:styleId="SubPartCASA">
    <w:name w:val="SubPart(CASA)"/>
    <w:aliases w:val="csp"/>
    <w:basedOn w:val="OPCParaBase"/>
    <w:next w:val="ActHead3"/>
    <w:rsid w:val="005E6F75"/>
    <w:pPr>
      <w:keepNext/>
      <w:keepLines/>
      <w:spacing w:before="280"/>
      <w:outlineLvl w:val="1"/>
    </w:pPr>
    <w:rPr>
      <w:b/>
      <w:kern w:val="28"/>
      <w:sz w:val="32"/>
    </w:rPr>
  </w:style>
  <w:style w:type="character" w:customStyle="1" w:styleId="CharSubPartTextCASA">
    <w:name w:val="CharSubPartText(CASA)"/>
    <w:basedOn w:val="OPCCharBase"/>
    <w:uiPriority w:val="1"/>
    <w:rsid w:val="005E6F75"/>
  </w:style>
  <w:style w:type="character" w:customStyle="1" w:styleId="CharSubPartNoCASA">
    <w:name w:val="CharSubPartNo(CASA)"/>
    <w:basedOn w:val="OPCCharBase"/>
    <w:uiPriority w:val="1"/>
    <w:rsid w:val="005E6F75"/>
  </w:style>
  <w:style w:type="paragraph" w:customStyle="1" w:styleId="ENoteTTIndentHeadingSub">
    <w:name w:val="ENoteTTIndentHeadingSub"/>
    <w:aliases w:val="enTTHis"/>
    <w:basedOn w:val="OPCParaBase"/>
    <w:rsid w:val="005E6F75"/>
    <w:pPr>
      <w:keepNext/>
      <w:spacing w:before="60" w:line="240" w:lineRule="atLeast"/>
      <w:ind w:left="340"/>
    </w:pPr>
    <w:rPr>
      <w:b/>
      <w:sz w:val="16"/>
    </w:rPr>
  </w:style>
  <w:style w:type="paragraph" w:customStyle="1" w:styleId="ENoteTTiSub">
    <w:name w:val="ENoteTTiSub"/>
    <w:aliases w:val="enttis"/>
    <w:basedOn w:val="OPCParaBase"/>
    <w:rsid w:val="005E6F75"/>
    <w:pPr>
      <w:keepNext/>
      <w:spacing w:before="60" w:line="240" w:lineRule="atLeast"/>
      <w:ind w:left="340"/>
    </w:pPr>
    <w:rPr>
      <w:sz w:val="16"/>
    </w:rPr>
  </w:style>
  <w:style w:type="paragraph" w:customStyle="1" w:styleId="SubDivisionMigration">
    <w:name w:val="SubDivisionMigration"/>
    <w:aliases w:val="sdm"/>
    <w:basedOn w:val="OPCParaBase"/>
    <w:rsid w:val="005E6F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6F75"/>
    <w:pPr>
      <w:keepNext/>
      <w:keepLines/>
      <w:spacing w:before="240" w:line="240" w:lineRule="auto"/>
      <w:ind w:left="1134" w:hanging="1134"/>
    </w:pPr>
    <w:rPr>
      <w:b/>
      <w:sz w:val="28"/>
    </w:rPr>
  </w:style>
  <w:style w:type="table" w:styleId="TableGrid">
    <w:name w:val="Table Grid"/>
    <w:basedOn w:val="TableNormal"/>
    <w:uiPriority w:val="59"/>
    <w:rsid w:val="005E6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E6F7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E6F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E6F75"/>
    <w:rPr>
      <w:sz w:val="22"/>
    </w:rPr>
  </w:style>
  <w:style w:type="paragraph" w:customStyle="1" w:styleId="SOTextNote">
    <w:name w:val="SO TextNote"/>
    <w:aliases w:val="sont"/>
    <w:basedOn w:val="SOText"/>
    <w:qFormat/>
    <w:rsid w:val="005E6F75"/>
    <w:pPr>
      <w:spacing w:before="122" w:line="198" w:lineRule="exact"/>
      <w:ind w:left="1843" w:hanging="709"/>
    </w:pPr>
    <w:rPr>
      <w:sz w:val="18"/>
    </w:rPr>
  </w:style>
  <w:style w:type="paragraph" w:customStyle="1" w:styleId="SOPara">
    <w:name w:val="SO Para"/>
    <w:aliases w:val="soa"/>
    <w:basedOn w:val="SOText"/>
    <w:link w:val="SOParaChar"/>
    <w:qFormat/>
    <w:rsid w:val="005E6F75"/>
    <w:pPr>
      <w:tabs>
        <w:tab w:val="right" w:pos="1786"/>
      </w:tabs>
      <w:spacing w:before="40"/>
      <w:ind w:left="2070" w:hanging="936"/>
    </w:pPr>
  </w:style>
  <w:style w:type="character" w:customStyle="1" w:styleId="SOParaChar">
    <w:name w:val="SO Para Char"/>
    <w:aliases w:val="soa Char"/>
    <w:basedOn w:val="DefaultParagraphFont"/>
    <w:link w:val="SOPara"/>
    <w:rsid w:val="005E6F75"/>
    <w:rPr>
      <w:sz w:val="22"/>
    </w:rPr>
  </w:style>
  <w:style w:type="paragraph" w:customStyle="1" w:styleId="FileName">
    <w:name w:val="FileName"/>
    <w:basedOn w:val="Normal"/>
    <w:rsid w:val="005E6F75"/>
  </w:style>
  <w:style w:type="paragraph" w:customStyle="1" w:styleId="SOHeadBold">
    <w:name w:val="SO HeadBold"/>
    <w:aliases w:val="sohb"/>
    <w:basedOn w:val="SOText"/>
    <w:next w:val="SOText"/>
    <w:link w:val="SOHeadBoldChar"/>
    <w:qFormat/>
    <w:rsid w:val="005E6F75"/>
    <w:rPr>
      <w:b/>
    </w:rPr>
  </w:style>
  <w:style w:type="character" w:customStyle="1" w:styleId="SOHeadBoldChar">
    <w:name w:val="SO HeadBold Char"/>
    <w:aliases w:val="sohb Char"/>
    <w:basedOn w:val="DefaultParagraphFont"/>
    <w:link w:val="SOHeadBold"/>
    <w:rsid w:val="005E6F75"/>
    <w:rPr>
      <w:b/>
      <w:sz w:val="22"/>
    </w:rPr>
  </w:style>
  <w:style w:type="paragraph" w:customStyle="1" w:styleId="SOHeadItalic">
    <w:name w:val="SO HeadItalic"/>
    <w:aliases w:val="sohi"/>
    <w:basedOn w:val="SOText"/>
    <w:next w:val="SOText"/>
    <w:link w:val="SOHeadItalicChar"/>
    <w:qFormat/>
    <w:rsid w:val="005E6F75"/>
    <w:rPr>
      <w:i/>
    </w:rPr>
  </w:style>
  <w:style w:type="character" w:customStyle="1" w:styleId="SOHeadItalicChar">
    <w:name w:val="SO HeadItalic Char"/>
    <w:aliases w:val="sohi Char"/>
    <w:basedOn w:val="DefaultParagraphFont"/>
    <w:link w:val="SOHeadItalic"/>
    <w:rsid w:val="005E6F75"/>
    <w:rPr>
      <w:i/>
      <w:sz w:val="22"/>
    </w:rPr>
  </w:style>
  <w:style w:type="paragraph" w:customStyle="1" w:styleId="SOBullet">
    <w:name w:val="SO Bullet"/>
    <w:aliases w:val="sotb"/>
    <w:basedOn w:val="SOText"/>
    <w:link w:val="SOBulletChar"/>
    <w:qFormat/>
    <w:rsid w:val="005E6F75"/>
    <w:pPr>
      <w:ind w:left="1559" w:hanging="425"/>
    </w:pPr>
  </w:style>
  <w:style w:type="character" w:customStyle="1" w:styleId="SOBulletChar">
    <w:name w:val="SO Bullet Char"/>
    <w:aliases w:val="sotb Char"/>
    <w:basedOn w:val="DefaultParagraphFont"/>
    <w:link w:val="SOBullet"/>
    <w:rsid w:val="005E6F75"/>
    <w:rPr>
      <w:sz w:val="22"/>
    </w:rPr>
  </w:style>
  <w:style w:type="paragraph" w:customStyle="1" w:styleId="SOBulletNote">
    <w:name w:val="SO BulletNote"/>
    <w:aliases w:val="sonb"/>
    <w:basedOn w:val="SOTextNote"/>
    <w:link w:val="SOBulletNoteChar"/>
    <w:qFormat/>
    <w:rsid w:val="005E6F75"/>
    <w:pPr>
      <w:tabs>
        <w:tab w:val="left" w:pos="1560"/>
      </w:tabs>
      <w:ind w:left="2268" w:hanging="1134"/>
    </w:pPr>
  </w:style>
  <w:style w:type="character" w:customStyle="1" w:styleId="SOBulletNoteChar">
    <w:name w:val="SO BulletNote Char"/>
    <w:aliases w:val="sonb Char"/>
    <w:basedOn w:val="DefaultParagraphFont"/>
    <w:link w:val="SOBulletNote"/>
    <w:rsid w:val="005E6F75"/>
    <w:rPr>
      <w:sz w:val="18"/>
    </w:rPr>
  </w:style>
  <w:style w:type="paragraph" w:customStyle="1" w:styleId="SOText2">
    <w:name w:val="SO Text2"/>
    <w:aliases w:val="sot2"/>
    <w:basedOn w:val="Normal"/>
    <w:next w:val="SOText"/>
    <w:link w:val="SOText2Char"/>
    <w:rsid w:val="005E6F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6F75"/>
    <w:rPr>
      <w:sz w:val="22"/>
    </w:rPr>
  </w:style>
  <w:style w:type="character" w:customStyle="1" w:styleId="Heading1Char">
    <w:name w:val="Heading 1 Char"/>
    <w:basedOn w:val="DefaultParagraphFont"/>
    <w:link w:val="Heading1"/>
    <w:uiPriority w:val="9"/>
    <w:rsid w:val="00A007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007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07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007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007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007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007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007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0071E"/>
    <w:rPr>
      <w:rFonts w:asciiTheme="majorHAnsi" w:eastAsiaTheme="majorEastAsia" w:hAnsiTheme="majorHAnsi" w:cstheme="majorBidi"/>
      <w:i/>
      <w:iCs/>
      <w:color w:val="404040" w:themeColor="text1" w:themeTint="BF"/>
    </w:rPr>
  </w:style>
  <w:style w:type="paragraph" w:customStyle="1" w:styleId="tableText0">
    <w:name w:val="table.Text"/>
    <w:basedOn w:val="Normal"/>
    <w:rsid w:val="0067649D"/>
    <w:pPr>
      <w:spacing w:before="24" w:after="24"/>
    </w:pPr>
    <w:rPr>
      <w:rFonts w:eastAsia="Calibri" w:cs="Times New Roman"/>
      <w:sz w:val="20"/>
    </w:rPr>
  </w:style>
  <w:style w:type="paragraph" w:customStyle="1" w:styleId="tableIndentText">
    <w:name w:val="table.Indent.Text"/>
    <w:rsid w:val="0067649D"/>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67649D"/>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67649D"/>
    <w:rPr>
      <w:rFonts w:eastAsia="Times New Roman" w:cs="Times New Roman"/>
      <w:sz w:val="22"/>
      <w:lang w:eastAsia="en-AU"/>
    </w:rPr>
  </w:style>
  <w:style w:type="character" w:customStyle="1" w:styleId="notetextChar">
    <w:name w:val="note(text) Char"/>
    <w:aliases w:val="n Char"/>
    <w:basedOn w:val="DefaultParagraphFont"/>
    <w:link w:val="notetext"/>
    <w:rsid w:val="0067649D"/>
    <w:rPr>
      <w:rFonts w:eastAsia="Times New Roman" w:cs="Times New Roman"/>
      <w:sz w:val="18"/>
      <w:lang w:eastAsia="en-AU"/>
    </w:rPr>
  </w:style>
  <w:style w:type="paragraph" w:customStyle="1" w:styleId="ShortTP1">
    <w:name w:val="ShortTP1"/>
    <w:basedOn w:val="ShortT"/>
    <w:link w:val="ShortTP1Char"/>
    <w:rsid w:val="00984EEA"/>
    <w:pPr>
      <w:spacing w:before="800"/>
    </w:pPr>
  </w:style>
  <w:style w:type="character" w:customStyle="1" w:styleId="OPCParaBaseChar">
    <w:name w:val="OPCParaBase Char"/>
    <w:basedOn w:val="DefaultParagraphFont"/>
    <w:link w:val="OPCParaBase"/>
    <w:rsid w:val="00984EEA"/>
    <w:rPr>
      <w:rFonts w:eastAsia="Times New Roman" w:cs="Times New Roman"/>
      <w:sz w:val="22"/>
      <w:lang w:eastAsia="en-AU"/>
    </w:rPr>
  </w:style>
  <w:style w:type="character" w:customStyle="1" w:styleId="ShortTChar">
    <w:name w:val="ShortT Char"/>
    <w:basedOn w:val="OPCParaBaseChar"/>
    <w:link w:val="ShortT"/>
    <w:rsid w:val="00984EEA"/>
    <w:rPr>
      <w:rFonts w:eastAsia="Times New Roman" w:cs="Times New Roman"/>
      <w:b/>
      <w:sz w:val="40"/>
      <w:lang w:eastAsia="en-AU"/>
    </w:rPr>
  </w:style>
  <w:style w:type="character" w:customStyle="1" w:styleId="ShortTP1Char">
    <w:name w:val="ShortTP1 Char"/>
    <w:basedOn w:val="ShortTChar"/>
    <w:link w:val="ShortTP1"/>
    <w:rsid w:val="00984EEA"/>
    <w:rPr>
      <w:rFonts w:eastAsia="Times New Roman" w:cs="Times New Roman"/>
      <w:b/>
      <w:sz w:val="40"/>
      <w:lang w:eastAsia="en-AU"/>
    </w:rPr>
  </w:style>
  <w:style w:type="paragraph" w:customStyle="1" w:styleId="ActNoP1">
    <w:name w:val="ActNoP1"/>
    <w:basedOn w:val="Actno"/>
    <w:link w:val="ActNoP1Char"/>
    <w:rsid w:val="00984EEA"/>
    <w:pPr>
      <w:spacing w:before="800"/>
    </w:pPr>
    <w:rPr>
      <w:sz w:val="28"/>
    </w:rPr>
  </w:style>
  <w:style w:type="character" w:customStyle="1" w:styleId="ActnoChar">
    <w:name w:val="Actno Char"/>
    <w:basedOn w:val="ShortTChar"/>
    <w:link w:val="Actno"/>
    <w:rsid w:val="00984EEA"/>
    <w:rPr>
      <w:rFonts w:eastAsia="Times New Roman" w:cs="Times New Roman"/>
      <w:b/>
      <w:sz w:val="40"/>
      <w:lang w:eastAsia="en-AU"/>
    </w:rPr>
  </w:style>
  <w:style w:type="character" w:customStyle="1" w:styleId="ActNoP1Char">
    <w:name w:val="ActNoP1 Char"/>
    <w:basedOn w:val="ActnoChar"/>
    <w:link w:val="ActNoP1"/>
    <w:rsid w:val="00984EEA"/>
    <w:rPr>
      <w:rFonts w:eastAsia="Times New Roman" w:cs="Times New Roman"/>
      <w:b/>
      <w:sz w:val="28"/>
      <w:lang w:eastAsia="en-AU"/>
    </w:rPr>
  </w:style>
  <w:style w:type="paragraph" w:customStyle="1" w:styleId="ShortTCP">
    <w:name w:val="ShortTCP"/>
    <w:basedOn w:val="ShortT"/>
    <w:link w:val="ShortTCPChar"/>
    <w:rsid w:val="00984EEA"/>
  </w:style>
  <w:style w:type="character" w:customStyle="1" w:styleId="ShortTCPChar">
    <w:name w:val="ShortTCP Char"/>
    <w:basedOn w:val="ShortTChar"/>
    <w:link w:val="ShortTCP"/>
    <w:rsid w:val="00984EEA"/>
    <w:rPr>
      <w:rFonts w:eastAsia="Times New Roman" w:cs="Times New Roman"/>
      <w:b/>
      <w:sz w:val="40"/>
      <w:lang w:eastAsia="en-AU"/>
    </w:rPr>
  </w:style>
  <w:style w:type="paragraph" w:customStyle="1" w:styleId="ActNoCP">
    <w:name w:val="ActNoCP"/>
    <w:basedOn w:val="Actno"/>
    <w:link w:val="ActNoCPChar"/>
    <w:rsid w:val="00984EEA"/>
    <w:pPr>
      <w:spacing w:before="400"/>
    </w:pPr>
  </w:style>
  <w:style w:type="character" w:customStyle="1" w:styleId="ActNoCPChar">
    <w:name w:val="ActNoCP Char"/>
    <w:basedOn w:val="ActnoChar"/>
    <w:link w:val="ActNoCP"/>
    <w:rsid w:val="00984EEA"/>
    <w:rPr>
      <w:rFonts w:eastAsia="Times New Roman" w:cs="Times New Roman"/>
      <w:b/>
      <w:sz w:val="40"/>
      <w:lang w:eastAsia="en-AU"/>
    </w:rPr>
  </w:style>
  <w:style w:type="paragraph" w:customStyle="1" w:styleId="AssentBk">
    <w:name w:val="AssentBk"/>
    <w:basedOn w:val="Normal"/>
    <w:rsid w:val="00984EEA"/>
    <w:pPr>
      <w:spacing w:line="240" w:lineRule="auto"/>
    </w:pPr>
    <w:rPr>
      <w:rFonts w:eastAsia="Times New Roman" w:cs="Times New Roman"/>
      <w:sz w:val="20"/>
      <w:lang w:eastAsia="en-AU"/>
    </w:rPr>
  </w:style>
  <w:style w:type="paragraph" w:customStyle="1" w:styleId="AssentDt">
    <w:name w:val="AssentDt"/>
    <w:basedOn w:val="Normal"/>
    <w:rsid w:val="00106616"/>
    <w:pPr>
      <w:spacing w:line="240" w:lineRule="auto"/>
    </w:pPr>
    <w:rPr>
      <w:rFonts w:eastAsia="Times New Roman" w:cs="Times New Roman"/>
      <w:sz w:val="20"/>
      <w:lang w:eastAsia="en-AU"/>
    </w:rPr>
  </w:style>
  <w:style w:type="paragraph" w:customStyle="1" w:styleId="2ndRd">
    <w:name w:val="2ndRd"/>
    <w:basedOn w:val="Normal"/>
    <w:rsid w:val="00106616"/>
    <w:pPr>
      <w:spacing w:line="240" w:lineRule="auto"/>
    </w:pPr>
    <w:rPr>
      <w:rFonts w:eastAsia="Times New Roman" w:cs="Times New Roman"/>
      <w:sz w:val="20"/>
      <w:lang w:eastAsia="en-AU"/>
    </w:rPr>
  </w:style>
  <w:style w:type="paragraph" w:customStyle="1" w:styleId="ScalePlusRef">
    <w:name w:val="ScalePlusRef"/>
    <w:basedOn w:val="Normal"/>
    <w:rsid w:val="00106616"/>
    <w:pPr>
      <w:spacing w:line="240" w:lineRule="auto"/>
    </w:pPr>
    <w:rPr>
      <w:rFonts w:eastAsia="Times New Roman" w:cs="Times New Roman"/>
      <w:sz w:val="18"/>
      <w:lang w:eastAsia="en-AU"/>
    </w:rPr>
  </w:style>
  <w:style w:type="paragraph" w:styleId="BalloonText">
    <w:name w:val="Balloon Text"/>
    <w:basedOn w:val="Normal"/>
    <w:link w:val="BalloonTextChar"/>
    <w:uiPriority w:val="99"/>
    <w:semiHidden/>
    <w:unhideWhenUsed/>
    <w:rsid w:val="00994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6F75"/>
    <w:pPr>
      <w:spacing w:line="260" w:lineRule="atLeast"/>
    </w:pPr>
    <w:rPr>
      <w:sz w:val="22"/>
    </w:rPr>
  </w:style>
  <w:style w:type="paragraph" w:styleId="Heading1">
    <w:name w:val="heading 1"/>
    <w:basedOn w:val="Normal"/>
    <w:next w:val="Normal"/>
    <w:link w:val="Heading1Char"/>
    <w:uiPriority w:val="9"/>
    <w:qFormat/>
    <w:rsid w:val="00A007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07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07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07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07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07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07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07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007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E6F75"/>
  </w:style>
  <w:style w:type="paragraph" w:customStyle="1" w:styleId="OPCParaBase">
    <w:name w:val="OPCParaBase"/>
    <w:link w:val="OPCParaBaseChar"/>
    <w:qFormat/>
    <w:rsid w:val="005E6F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E6F75"/>
    <w:pPr>
      <w:spacing w:line="240" w:lineRule="auto"/>
    </w:pPr>
    <w:rPr>
      <w:b/>
      <w:sz w:val="40"/>
    </w:rPr>
  </w:style>
  <w:style w:type="paragraph" w:customStyle="1" w:styleId="ActHead1">
    <w:name w:val="ActHead 1"/>
    <w:aliases w:val="c"/>
    <w:basedOn w:val="OPCParaBase"/>
    <w:next w:val="Normal"/>
    <w:qFormat/>
    <w:rsid w:val="005E6F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6F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6F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6F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E6F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6F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6F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6F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6F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E6F75"/>
  </w:style>
  <w:style w:type="paragraph" w:customStyle="1" w:styleId="Blocks">
    <w:name w:val="Blocks"/>
    <w:aliases w:val="bb"/>
    <w:basedOn w:val="OPCParaBase"/>
    <w:qFormat/>
    <w:rsid w:val="005E6F75"/>
    <w:pPr>
      <w:spacing w:line="240" w:lineRule="auto"/>
    </w:pPr>
    <w:rPr>
      <w:sz w:val="24"/>
    </w:rPr>
  </w:style>
  <w:style w:type="paragraph" w:customStyle="1" w:styleId="BoxText">
    <w:name w:val="BoxText"/>
    <w:aliases w:val="bt"/>
    <w:basedOn w:val="OPCParaBase"/>
    <w:qFormat/>
    <w:rsid w:val="005E6F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6F75"/>
    <w:rPr>
      <w:b/>
    </w:rPr>
  </w:style>
  <w:style w:type="paragraph" w:customStyle="1" w:styleId="BoxHeadItalic">
    <w:name w:val="BoxHeadItalic"/>
    <w:aliases w:val="bhi"/>
    <w:basedOn w:val="BoxText"/>
    <w:next w:val="BoxStep"/>
    <w:qFormat/>
    <w:rsid w:val="005E6F75"/>
    <w:rPr>
      <w:i/>
    </w:rPr>
  </w:style>
  <w:style w:type="paragraph" w:customStyle="1" w:styleId="BoxList">
    <w:name w:val="BoxList"/>
    <w:aliases w:val="bl"/>
    <w:basedOn w:val="BoxText"/>
    <w:qFormat/>
    <w:rsid w:val="005E6F75"/>
    <w:pPr>
      <w:ind w:left="1559" w:hanging="425"/>
    </w:pPr>
  </w:style>
  <w:style w:type="paragraph" w:customStyle="1" w:styleId="BoxNote">
    <w:name w:val="BoxNote"/>
    <w:aliases w:val="bn"/>
    <w:basedOn w:val="BoxText"/>
    <w:qFormat/>
    <w:rsid w:val="005E6F75"/>
    <w:pPr>
      <w:tabs>
        <w:tab w:val="left" w:pos="1985"/>
      </w:tabs>
      <w:spacing w:before="122" w:line="198" w:lineRule="exact"/>
      <w:ind w:left="2948" w:hanging="1814"/>
    </w:pPr>
    <w:rPr>
      <w:sz w:val="18"/>
    </w:rPr>
  </w:style>
  <w:style w:type="paragraph" w:customStyle="1" w:styleId="BoxPara">
    <w:name w:val="BoxPara"/>
    <w:aliases w:val="bp"/>
    <w:basedOn w:val="BoxText"/>
    <w:qFormat/>
    <w:rsid w:val="005E6F75"/>
    <w:pPr>
      <w:tabs>
        <w:tab w:val="right" w:pos="2268"/>
      </w:tabs>
      <w:ind w:left="2552" w:hanging="1418"/>
    </w:pPr>
  </w:style>
  <w:style w:type="paragraph" w:customStyle="1" w:styleId="BoxStep">
    <w:name w:val="BoxStep"/>
    <w:aliases w:val="bs"/>
    <w:basedOn w:val="BoxText"/>
    <w:qFormat/>
    <w:rsid w:val="005E6F75"/>
    <w:pPr>
      <w:ind w:left="1985" w:hanging="851"/>
    </w:pPr>
  </w:style>
  <w:style w:type="character" w:customStyle="1" w:styleId="CharAmPartNo">
    <w:name w:val="CharAmPartNo"/>
    <w:basedOn w:val="OPCCharBase"/>
    <w:qFormat/>
    <w:rsid w:val="005E6F75"/>
  </w:style>
  <w:style w:type="character" w:customStyle="1" w:styleId="CharAmPartText">
    <w:name w:val="CharAmPartText"/>
    <w:basedOn w:val="OPCCharBase"/>
    <w:qFormat/>
    <w:rsid w:val="005E6F75"/>
  </w:style>
  <w:style w:type="character" w:customStyle="1" w:styleId="CharAmSchNo">
    <w:name w:val="CharAmSchNo"/>
    <w:basedOn w:val="OPCCharBase"/>
    <w:qFormat/>
    <w:rsid w:val="005E6F75"/>
  </w:style>
  <w:style w:type="character" w:customStyle="1" w:styleId="CharAmSchText">
    <w:name w:val="CharAmSchText"/>
    <w:basedOn w:val="OPCCharBase"/>
    <w:qFormat/>
    <w:rsid w:val="005E6F75"/>
  </w:style>
  <w:style w:type="character" w:customStyle="1" w:styleId="CharBoldItalic">
    <w:name w:val="CharBoldItalic"/>
    <w:basedOn w:val="OPCCharBase"/>
    <w:uiPriority w:val="1"/>
    <w:qFormat/>
    <w:rsid w:val="005E6F75"/>
    <w:rPr>
      <w:b/>
      <w:i/>
    </w:rPr>
  </w:style>
  <w:style w:type="character" w:customStyle="1" w:styleId="CharChapNo">
    <w:name w:val="CharChapNo"/>
    <w:basedOn w:val="OPCCharBase"/>
    <w:uiPriority w:val="1"/>
    <w:qFormat/>
    <w:rsid w:val="005E6F75"/>
  </w:style>
  <w:style w:type="character" w:customStyle="1" w:styleId="CharChapText">
    <w:name w:val="CharChapText"/>
    <w:basedOn w:val="OPCCharBase"/>
    <w:uiPriority w:val="1"/>
    <w:qFormat/>
    <w:rsid w:val="005E6F75"/>
  </w:style>
  <w:style w:type="character" w:customStyle="1" w:styleId="CharDivNo">
    <w:name w:val="CharDivNo"/>
    <w:basedOn w:val="OPCCharBase"/>
    <w:uiPriority w:val="1"/>
    <w:qFormat/>
    <w:rsid w:val="005E6F75"/>
  </w:style>
  <w:style w:type="character" w:customStyle="1" w:styleId="CharDivText">
    <w:name w:val="CharDivText"/>
    <w:basedOn w:val="OPCCharBase"/>
    <w:uiPriority w:val="1"/>
    <w:qFormat/>
    <w:rsid w:val="005E6F75"/>
  </w:style>
  <w:style w:type="character" w:customStyle="1" w:styleId="CharItalic">
    <w:name w:val="CharItalic"/>
    <w:basedOn w:val="OPCCharBase"/>
    <w:uiPriority w:val="1"/>
    <w:qFormat/>
    <w:rsid w:val="005E6F75"/>
    <w:rPr>
      <w:i/>
    </w:rPr>
  </w:style>
  <w:style w:type="character" w:customStyle="1" w:styleId="CharPartNo">
    <w:name w:val="CharPartNo"/>
    <w:basedOn w:val="OPCCharBase"/>
    <w:uiPriority w:val="1"/>
    <w:qFormat/>
    <w:rsid w:val="005E6F75"/>
  </w:style>
  <w:style w:type="character" w:customStyle="1" w:styleId="CharPartText">
    <w:name w:val="CharPartText"/>
    <w:basedOn w:val="OPCCharBase"/>
    <w:uiPriority w:val="1"/>
    <w:qFormat/>
    <w:rsid w:val="005E6F75"/>
  </w:style>
  <w:style w:type="character" w:customStyle="1" w:styleId="CharSectno">
    <w:name w:val="CharSectno"/>
    <w:basedOn w:val="OPCCharBase"/>
    <w:qFormat/>
    <w:rsid w:val="005E6F75"/>
  </w:style>
  <w:style w:type="character" w:customStyle="1" w:styleId="CharSubdNo">
    <w:name w:val="CharSubdNo"/>
    <w:basedOn w:val="OPCCharBase"/>
    <w:uiPriority w:val="1"/>
    <w:qFormat/>
    <w:rsid w:val="005E6F75"/>
  </w:style>
  <w:style w:type="character" w:customStyle="1" w:styleId="CharSubdText">
    <w:name w:val="CharSubdText"/>
    <w:basedOn w:val="OPCCharBase"/>
    <w:uiPriority w:val="1"/>
    <w:qFormat/>
    <w:rsid w:val="005E6F75"/>
  </w:style>
  <w:style w:type="paragraph" w:customStyle="1" w:styleId="CTA--">
    <w:name w:val="CTA --"/>
    <w:basedOn w:val="OPCParaBase"/>
    <w:next w:val="Normal"/>
    <w:rsid w:val="005E6F75"/>
    <w:pPr>
      <w:spacing w:before="60" w:line="240" w:lineRule="atLeast"/>
      <w:ind w:left="142" w:hanging="142"/>
    </w:pPr>
    <w:rPr>
      <w:sz w:val="20"/>
    </w:rPr>
  </w:style>
  <w:style w:type="paragraph" w:customStyle="1" w:styleId="CTA-">
    <w:name w:val="CTA -"/>
    <w:basedOn w:val="OPCParaBase"/>
    <w:rsid w:val="005E6F75"/>
    <w:pPr>
      <w:spacing w:before="60" w:line="240" w:lineRule="atLeast"/>
      <w:ind w:left="85" w:hanging="85"/>
    </w:pPr>
    <w:rPr>
      <w:sz w:val="20"/>
    </w:rPr>
  </w:style>
  <w:style w:type="paragraph" w:customStyle="1" w:styleId="CTA---">
    <w:name w:val="CTA ---"/>
    <w:basedOn w:val="OPCParaBase"/>
    <w:next w:val="Normal"/>
    <w:rsid w:val="005E6F75"/>
    <w:pPr>
      <w:spacing w:before="60" w:line="240" w:lineRule="atLeast"/>
      <w:ind w:left="198" w:hanging="198"/>
    </w:pPr>
    <w:rPr>
      <w:sz w:val="20"/>
    </w:rPr>
  </w:style>
  <w:style w:type="paragraph" w:customStyle="1" w:styleId="CTA----">
    <w:name w:val="CTA ----"/>
    <w:basedOn w:val="OPCParaBase"/>
    <w:next w:val="Normal"/>
    <w:rsid w:val="005E6F75"/>
    <w:pPr>
      <w:spacing w:before="60" w:line="240" w:lineRule="atLeast"/>
      <w:ind w:left="255" w:hanging="255"/>
    </w:pPr>
    <w:rPr>
      <w:sz w:val="20"/>
    </w:rPr>
  </w:style>
  <w:style w:type="paragraph" w:customStyle="1" w:styleId="CTA1a">
    <w:name w:val="CTA 1(a)"/>
    <w:basedOn w:val="OPCParaBase"/>
    <w:rsid w:val="005E6F75"/>
    <w:pPr>
      <w:tabs>
        <w:tab w:val="right" w:pos="414"/>
      </w:tabs>
      <w:spacing w:before="40" w:line="240" w:lineRule="atLeast"/>
      <w:ind w:left="675" w:hanging="675"/>
    </w:pPr>
    <w:rPr>
      <w:sz w:val="20"/>
    </w:rPr>
  </w:style>
  <w:style w:type="paragraph" w:customStyle="1" w:styleId="CTA1ai">
    <w:name w:val="CTA 1(a)(i)"/>
    <w:basedOn w:val="OPCParaBase"/>
    <w:rsid w:val="005E6F75"/>
    <w:pPr>
      <w:tabs>
        <w:tab w:val="right" w:pos="1004"/>
      </w:tabs>
      <w:spacing w:before="40" w:line="240" w:lineRule="atLeast"/>
      <w:ind w:left="1253" w:hanging="1253"/>
    </w:pPr>
    <w:rPr>
      <w:sz w:val="20"/>
    </w:rPr>
  </w:style>
  <w:style w:type="paragraph" w:customStyle="1" w:styleId="CTA2a">
    <w:name w:val="CTA 2(a)"/>
    <w:basedOn w:val="OPCParaBase"/>
    <w:rsid w:val="005E6F75"/>
    <w:pPr>
      <w:tabs>
        <w:tab w:val="right" w:pos="482"/>
      </w:tabs>
      <w:spacing w:before="40" w:line="240" w:lineRule="atLeast"/>
      <w:ind w:left="748" w:hanging="748"/>
    </w:pPr>
    <w:rPr>
      <w:sz w:val="20"/>
    </w:rPr>
  </w:style>
  <w:style w:type="paragraph" w:customStyle="1" w:styleId="CTA2ai">
    <w:name w:val="CTA 2(a)(i)"/>
    <w:basedOn w:val="OPCParaBase"/>
    <w:rsid w:val="005E6F75"/>
    <w:pPr>
      <w:tabs>
        <w:tab w:val="right" w:pos="1089"/>
      </w:tabs>
      <w:spacing w:before="40" w:line="240" w:lineRule="atLeast"/>
      <w:ind w:left="1327" w:hanging="1327"/>
    </w:pPr>
    <w:rPr>
      <w:sz w:val="20"/>
    </w:rPr>
  </w:style>
  <w:style w:type="paragraph" w:customStyle="1" w:styleId="CTA3a">
    <w:name w:val="CTA 3(a)"/>
    <w:basedOn w:val="OPCParaBase"/>
    <w:rsid w:val="005E6F75"/>
    <w:pPr>
      <w:tabs>
        <w:tab w:val="right" w:pos="556"/>
      </w:tabs>
      <w:spacing w:before="40" w:line="240" w:lineRule="atLeast"/>
      <w:ind w:left="805" w:hanging="805"/>
    </w:pPr>
    <w:rPr>
      <w:sz w:val="20"/>
    </w:rPr>
  </w:style>
  <w:style w:type="paragraph" w:customStyle="1" w:styleId="CTA3ai">
    <w:name w:val="CTA 3(a)(i)"/>
    <w:basedOn w:val="OPCParaBase"/>
    <w:rsid w:val="005E6F75"/>
    <w:pPr>
      <w:tabs>
        <w:tab w:val="right" w:pos="1140"/>
      </w:tabs>
      <w:spacing w:before="40" w:line="240" w:lineRule="atLeast"/>
      <w:ind w:left="1361" w:hanging="1361"/>
    </w:pPr>
    <w:rPr>
      <w:sz w:val="20"/>
    </w:rPr>
  </w:style>
  <w:style w:type="paragraph" w:customStyle="1" w:styleId="CTA4a">
    <w:name w:val="CTA 4(a)"/>
    <w:basedOn w:val="OPCParaBase"/>
    <w:rsid w:val="005E6F75"/>
    <w:pPr>
      <w:tabs>
        <w:tab w:val="right" w:pos="624"/>
      </w:tabs>
      <w:spacing w:before="40" w:line="240" w:lineRule="atLeast"/>
      <w:ind w:left="873" w:hanging="873"/>
    </w:pPr>
    <w:rPr>
      <w:sz w:val="20"/>
    </w:rPr>
  </w:style>
  <w:style w:type="paragraph" w:customStyle="1" w:styleId="CTA4ai">
    <w:name w:val="CTA 4(a)(i)"/>
    <w:basedOn w:val="OPCParaBase"/>
    <w:rsid w:val="005E6F75"/>
    <w:pPr>
      <w:tabs>
        <w:tab w:val="right" w:pos="1213"/>
      </w:tabs>
      <w:spacing w:before="40" w:line="240" w:lineRule="atLeast"/>
      <w:ind w:left="1452" w:hanging="1452"/>
    </w:pPr>
    <w:rPr>
      <w:sz w:val="20"/>
    </w:rPr>
  </w:style>
  <w:style w:type="paragraph" w:customStyle="1" w:styleId="CTACAPS">
    <w:name w:val="CTA CAPS"/>
    <w:basedOn w:val="OPCParaBase"/>
    <w:rsid w:val="005E6F75"/>
    <w:pPr>
      <w:spacing w:before="60" w:line="240" w:lineRule="atLeast"/>
    </w:pPr>
    <w:rPr>
      <w:sz w:val="20"/>
    </w:rPr>
  </w:style>
  <w:style w:type="paragraph" w:customStyle="1" w:styleId="CTAright">
    <w:name w:val="CTA right"/>
    <w:basedOn w:val="OPCParaBase"/>
    <w:rsid w:val="005E6F75"/>
    <w:pPr>
      <w:spacing w:before="60" w:line="240" w:lineRule="auto"/>
      <w:jc w:val="right"/>
    </w:pPr>
    <w:rPr>
      <w:sz w:val="20"/>
    </w:rPr>
  </w:style>
  <w:style w:type="paragraph" w:customStyle="1" w:styleId="subsection">
    <w:name w:val="subsection"/>
    <w:aliases w:val="ss"/>
    <w:basedOn w:val="OPCParaBase"/>
    <w:link w:val="subsectionChar"/>
    <w:rsid w:val="005E6F75"/>
    <w:pPr>
      <w:tabs>
        <w:tab w:val="right" w:pos="1021"/>
      </w:tabs>
      <w:spacing w:before="180" w:line="240" w:lineRule="auto"/>
      <w:ind w:left="1134" w:hanging="1134"/>
    </w:pPr>
  </w:style>
  <w:style w:type="paragraph" w:customStyle="1" w:styleId="Definition">
    <w:name w:val="Definition"/>
    <w:aliases w:val="dd"/>
    <w:basedOn w:val="OPCParaBase"/>
    <w:rsid w:val="005E6F75"/>
    <w:pPr>
      <w:spacing w:before="180" w:line="240" w:lineRule="auto"/>
      <w:ind w:left="1134"/>
    </w:pPr>
  </w:style>
  <w:style w:type="paragraph" w:customStyle="1" w:styleId="ETAsubitem">
    <w:name w:val="ETA(subitem)"/>
    <w:basedOn w:val="OPCParaBase"/>
    <w:rsid w:val="005E6F75"/>
    <w:pPr>
      <w:tabs>
        <w:tab w:val="right" w:pos="340"/>
      </w:tabs>
      <w:spacing w:before="60" w:line="240" w:lineRule="auto"/>
      <w:ind w:left="454" w:hanging="454"/>
    </w:pPr>
    <w:rPr>
      <w:sz w:val="20"/>
    </w:rPr>
  </w:style>
  <w:style w:type="paragraph" w:customStyle="1" w:styleId="ETApara">
    <w:name w:val="ETA(para)"/>
    <w:basedOn w:val="OPCParaBase"/>
    <w:rsid w:val="005E6F75"/>
    <w:pPr>
      <w:tabs>
        <w:tab w:val="right" w:pos="754"/>
      </w:tabs>
      <w:spacing w:before="60" w:line="240" w:lineRule="auto"/>
      <w:ind w:left="828" w:hanging="828"/>
    </w:pPr>
    <w:rPr>
      <w:sz w:val="20"/>
    </w:rPr>
  </w:style>
  <w:style w:type="paragraph" w:customStyle="1" w:styleId="ETAsubpara">
    <w:name w:val="ETA(subpara)"/>
    <w:basedOn w:val="OPCParaBase"/>
    <w:rsid w:val="005E6F75"/>
    <w:pPr>
      <w:tabs>
        <w:tab w:val="right" w:pos="1083"/>
      </w:tabs>
      <w:spacing w:before="60" w:line="240" w:lineRule="auto"/>
      <w:ind w:left="1191" w:hanging="1191"/>
    </w:pPr>
    <w:rPr>
      <w:sz w:val="20"/>
    </w:rPr>
  </w:style>
  <w:style w:type="paragraph" w:customStyle="1" w:styleId="ETAsub-subpara">
    <w:name w:val="ETA(sub-subpara)"/>
    <w:basedOn w:val="OPCParaBase"/>
    <w:rsid w:val="005E6F75"/>
    <w:pPr>
      <w:tabs>
        <w:tab w:val="right" w:pos="1412"/>
      </w:tabs>
      <w:spacing w:before="60" w:line="240" w:lineRule="auto"/>
      <w:ind w:left="1525" w:hanging="1525"/>
    </w:pPr>
    <w:rPr>
      <w:sz w:val="20"/>
    </w:rPr>
  </w:style>
  <w:style w:type="paragraph" w:customStyle="1" w:styleId="Formula">
    <w:name w:val="Formula"/>
    <w:basedOn w:val="OPCParaBase"/>
    <w:rsid w:val="005E6F75"/>
    <w:pPr>
      <w:spacing w:line="240" w:lineRule="auto"/>
      <w:ind w:left="1134"/>
    </w:pPr>
    <w:rPr>
      <w:sz w:val="20"/>
    </w:rPr>
  </w:style>
  <w:style w:type="paragraph" w:styleId="Header">
    <w:name w:val="header"/>
    <w:basedOn w:val="OPCParaBase"/>
    <w:link w:val="HeaderChar"/>
    <w:unhideWhenUsed/>
    <w:rsid w:val="005E6F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6F75"/>
    <w:rPr>
      <w:rFonts w:eastAsia="Times New Roman" w:cs="Times New Roman"/>
      <w:sz w:val="16"/>
      <w:lang w:eastAsia="en-AU"/>
    </w:rPr>
  </w:style>
  <w:style w:type="paragraph" w:customStyle="1" w:styleId="House">
    <w:name w:val="House"/>
    <w:basedOn w:val="OPCParaBase"/>
    <w:rsid w:val="005E6F75"/>
    <w:pPr>
      <w:spacing w:line="240" w:lineRule="auto"/>
    </w:pPr>
    <w:rPr>
      <w:sz w:val="28"/>
    </w:rPr>
  </w:style>
  <w:style w:type="paragraph" w:customStyle="1" w:styleId="Item">
    <w:name w:val="Item"/>
    <w:aliases w:val="i"/>
    <w:basedOn w:val="OPCParaBase"/>
    <w:next w:val="ItemHead"/>
    <w:rsid w:val="005E6F75"/>
    <w:pPr>
      <w:keepLines/>
      <w:spacing w:before="80" w:line="240" w:lineRule="auto"/>
      <w:ind w:left="709"/>
    </w:pPr>
  </w:style>
  <w:style w:type="paragraph" w:customStyle="1" w:styleId="ItemHead">
    <w:name w:val="ItemHead"/>
    <w:aliases w:val="ih"/>
    <w:basedOn w:val="OPCParaBase"/>
    <w:next w:val="Item"/>
    <w:link w:val="ItemHeadChar"/>
    <w:rsid w:val="005E6F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6F75"/>
    <w:pPr>
      <w:spacing w:line="240" w:lineRule="auto"/>
    </w:pPr>
    <w:rPr>
      <w:b/>
      <w:sz w:val="32"/>
    </w:rPr>
  </w:style>
  <w:style w:type="paragraph" w:customStyle="1" w:styleId="notedraft">
    <w:name w:val="note(draft)"/>
    <w:aliases w:val="nd"/>
    <w:basedOn w:val="OPCParaBase"/>
    <w:rsid w:val="005E6F75"/>
    <w:pPr>
      <w:spacing w:before="240" w:line="240" w:lineRule="auto"/>
      <w:ind w:left="284" w:hanging="284"/>
    </w:pPr>
    <w:rPr>
      <w:i/>
      <w:sz w:val="24"/>
    </w:rPr>
  </w:style>
  <w:style w:type="paragraph" w:customStyle="1" w:styleId="notemargin">
    <w:name w:val="note(margin)"/>
    <w:aliases w:val="nm"/>
    <w:basedOn w:val="OPCParaBase"/>
    <w:rsid w:val="005E6F75"/>
    <w:pPr>
      <w:tabs>
        <w:tab w:val="left" w:pos="709"/>
      </w:tabs>
      <w:spacing w:before="122" w:line="198" w:lineRule="exact"/>
      <w:ind w:left="709" w:hanging="709"/>
    </w:pPr>
    <w:rPr>
      <w:sz w:val="18"/>
    </w:rPr>
  </w:style>
  <w:style w:type="paragraph" w:customStyle="1" w:styleId="noteToPara">
    <w:name w:val="noteToPara"/>
    <w:aliases w:val="ntp"/>
    <w:basedOn w:val="OPCParaBase"/>
    <w:rsid w:val="005E6F75"/>
    <w:pPr>
      <w:spacing w:before="122" w:line="198" w:lineRule="exact"/>
      <w:ind w:left="2353" w:hanging="709"/>
    </w:pPr>
    <w:rPr>
      <w:sz w:val="18"/>
    </w:rPr>
  </w:style>
  <w:style w:type="paragraph" w:customStyle="1" w:styleId="noteParlAmend">
    <w:name w:val="note(ParlAmend)"/>
    <w:aliases w:val="npp"/>
    <w:basedOn w:val="OPCParaBase"/>
    <w:next w:val="ParlAmend"/>
    <w:rsid w:val="005E6F75"/>
    <w:pPr>
      <w:spacing w:line="240" w:lineRule="auto"/>
      <w:jc w:val="right"/>
    </w:pPr>
    <w:rPr>
      <w:rFonts w:ascii="Arial" w:hAnsi="Arial"/>
      <w:b/>
      <w:i/>
    </w:rPr>
  </w:style>
  <w:style w:type="paragraph" w:customStyle="1" w:styleId="Page1">
    <w:name w:val="Page1"/>
    <w:basedOn w:val="OPCParaBase"/>
    <w:rsid w:val="005E6F75"/>
    <w:pPr>
      <w:spacing w:before="400" w:line="240" w:lineRule="auto"/>
    </w:pPr>
    <w:rPr>
      <w:b/>
      <w:sz w:val="32"/>
    </w:rPr>
  </w:style>
  <w:style w:type="paragraph" w:customStyle="1" w:styleId="PageBreak">
    <w:name w:val="PageBreak"/>
    <w:aliases w:val="pb"/>
    <w:basedOn w:val="OPCParaBase"/>
    <w:rsid w:val="005E6F75"/>
    <w:pPr>
      <w:spacing w:line="240" w:lineRule="auto"/>
    </w:pPr>
    <w:rPr>
      <w:sz w:val="20"/>
    </w:rPr>
  </w:style>
  <w:style w:type="paragraph" w:customStyle="1" w:styleId="paragraphsub">
    <w:name w:val="paragraph(sub)"/>
    <w:aliases w:val="aa"/>
    <w:basedOn w:val="OPCParaBase"/>
    <w:rsid w:val="005E6F75"/>
    <w:pPr>
      <w:tabs>
        <w:tab w:val="right" w:pos="1985"/>
      </w:tabs>
      <w:spacing w:before="40" w:line="240" w:lineRule="auto"/>
      <w:ind w:left="2098" w:hanging="2098"/>
    </w:pPr>
  </w:style>
  <w:style w:type="paragraph" w:customStyle="1" w:styleId="paragraphsub-sub">
    <w:name w:val="paragraph(sub-sub)"/>
    <w:aliases w:val="aaa"/>
    <w:basedOn w:val="OPCParaBase"/>
    <w:rsid w:val="005E6F75"/>
    <w:pPr>
      <w:tabs>
        <w:tab w:val="right" w:pos="2722"/>
      </w:tabs>
      <w:spacing w:before="40" w:line="240" w:lineRule="auto"/>
      <w:ind w:left="2835" w:hanging="2835"/>
    </w:pPr>
  </w:style>
  <w:style w:type="paragraph" w:customStyle="1" w:styleId="paragraph">
    <w:name w:val="paragraph"/>
    <w:aliases w:val="a"/>
    <w:basedOn w:val="OPCParaBase"/>
    <w:rsid w:val="005E6F75"/>
    <w:pPr>
      <w:tabs>
        <w:tab w:val="right" w:pos="1531"/>
      </w:tabs>
      <w:spacing w:before="40" w:line="240" w:lineRule="auto"/>
      <w:ind w:left="1644" w:hanging="1644"/>
    </w:pPr>
  </w:style>
  <w:style w:type="paragraph" w:customStyle="1" w:styleId="ParlAmend">
    <w:name w:val="ParlAmend"/>
    <w:aliases w:val="pp"/>
    <w:basedOn w:val="OPCParaBase"/>
    <w:rsid w:val="005E6F75"/>
    <w:pPr>
      <w:spacing w:before="240" w:line="240" w:lineRule="atLeast"/>
      <w:ind w:hanging="567"/>
    </w:pPr>
    <w:rPr>
      <w:sz w:val="24"/>
    </w:rPr>
  </w:style>
  <w:style w:type="paragraph" w:customStyle="1" w:styleId="Penalty">
    <w:name w:val="Penalty"/>
    <w:basedOn w:val="OPCParaBase"/>
    <w:rsid w:val="005E6F75"/>
    <w:pPr>
      <w:tabs>
        <w:tab w:val="left" w:pos="2977"/>
      </w:tabs>
      <w:spacing w:before="180" w:line="240" w:lineRule="auto"/>
      <w:ind w:left="1985" w:hanging="851"/>
    </w:pPr>
  </w:style>
  <w:style w:type="paragraph" w:customStyle="1" w:styleId="Portfolio">
    <w:name w:val="Portfolio"/>
    <w:basedOn w:val="OPCParaBase"/>
    <w:rsid w:val="005E6F75"/>
    <w:pPr>
      <w:spacing w:line="240" w:lineRule="auto"/>
    </w:pPr>
    <w:rPr>
      <w:i/>
      <w:sz w:val="20"/>
    </w:rPr>
  </w:style>
  <w:style w:type="paragraph" w:customStyle="1" w:styleId="Preamble">
    <w:name w:val="Preamble"/>
    <w:basedOn w:val="OPCParaBase"/>
    <w:next w:val="Normal"/>
    <w:rsid w:val="005E6F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6F75"/>
    <w:pPr>
      <w:spacing w:line="240" w:lineRule="auto"/>
    </w:pPr>
    <w:rPr>
      <w:i/>
      <w:sz w:val="20"/>
    </w:rPr>
  </w:style>
  <w:style w:type="paragraph" w:customStyle="1" w:styleId="Session">
    <w:name w:val="Session"/>
    <w:basedOn w:val="OPCParaBase"/>
    <w:rsid w:val="005E6F75"/>
    <w:pPr>
      <w:spacing w:line="240" w:lineRule="auto"/>
    </w:pPr>
    <w:rPr>
      <w:sz w:val="28"/>
    </w:rPr>
  </w:style>
  <w:style w:type="paragraph" w:customStyle="1" w:styleId="Sponsor">
    <w:name w:val="Sponsor"/>
    <w:basedOn w:val="OPCParaBase"/>
    <w:rsid w:val="005E6F75"/>
    <w:pPr>
      <w:spacing w:line="240" w:lineRule="auto"/>
    </w:pPr>
    <w:rPr>
      <w:i/>
    </w:rPr>
  </w:style>
  <w:style w:type="paragraph" w:customStyle="1" w:styleId="Subitem">
    <w:name w:val="Subitem"/>
    <w:aliases w:val="iss"/>
    <w:basedOn w:val="OPCParaBase"/>
    <w:rsid w:val="005E6F75"/>
    <w:pPr>
      <w:spacing w:before="180" w:line="240" w:lineRule="auto"/>
      <w:ind w:left="709" w:hanging="709"/>
    </w:pPr>
  </w:style>
  <w:style w:type="paragraph" w:customStyle="1" w:styleId="SubitemHead">
    <w:name w:val="SubitemHead"/>
    <w:aliases w:val="issh"/>
    <w:basedOn w:val="OPCParaBase"/>
    <w:rsid w:val="005E6F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6F75"/>
    <w:pPr>
      <w:spacing w:before="40" w:line="240" w:lineRule="auto"/>
      <w:ind w:left="1134"/>
    </w:pPr>
  </w:style>
  <w:style w:type="paragraph" w:customStyle="1" w:styleId="SubsectionHead">
    <w:name w:val="SubsectionHead"/>
    <w:aliases w:val="ssh"/>
    <w:basedOn w:val="OPCParaBase"/>
    <w:next w:val="subsection"/>
    <w:rsid w:val="005E6F75"/>
    <w:pPr>
      <w:keepNext/>
      <w:keepLines/>
      <w:spacing w:before="240" w:line="240" w:lineRule="auto"/>
      <w:ind w:left="1134"/>
    </w:pPr>
    <w:rPr>
      <w:i/>
    </w:rPr>
  </w:style>
  <w:style w:type="paragraph" w:customStyle="1" w:styleId="Tablea">
    <w:name w:val="Table(a)"/>
    <w:aliases w:val="ta"/>
    <w:basedOn w:val="OPCParaBase"/>
    <w:rsid w:val="005E6F75"/>
    <w:pPr>
      <w:spacing w:before="60" w:line="240" w:lineRule="auto"/>
      <w:ind w:left="284" w:hanging="284"/>
    </w:pPr>
    <w:rPr>
      <w:sz w:val="20"/>
    </w:rPr>
  </w:style>
  <w:style w:type="paragraph" w:customStyle="1" w:styleId="TableAA">
    <w:name w:val="Table(AA)"/>
    <w:aliases w:val="taaa"/>
    <w:basedOn w:val="OPCParaBase"/>
    <w:rsid w:val="005E6F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6F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6F75"/>
    <w:pPr>
      <w:spacing w:before="60" w:line="240" w:lineRule="atLeast"/>
    </w:pPr>
    <w:rPr>
      <w:sz w:val="20"/>
    </w:rPr>
  </w:style>
  <w:style w:type="paragraph" w:customStyle="1" w:styleId="TLPBoxTextnote">
    <w:name w:val="TLPBoxText(note"/>
    <w:aliases w:val="right)"/>
    <w:basedOn w:val="OPCParaBase"/>
    <w:rsid w:val="005E6F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6F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6F75"/>
    <w:pPr>
      <w:spacing w:before="122" w:line="198" w:lineRule="exact"/>
      <w:ind w:left="1985" w:hanging="851"/>
      <w:jc w:val="right"/>
    </w:pPr>
    <w:rPr>
      <w:sz w:val="18"/>
    </w:rPr>
  </w:style>
  <w:style w:type="paragraph" w:customStyle="1" w:styleId="TLPTableBullet">
    <w:name w:val="TLPTableBullet"/>
    <w:aliases w:val="ttb"/>
    <w:basedOn w:val="OPCParaBase"/>
    <w:rsid w:val="005E6F75"/>
    <w:pPr>
      <w:spacing w:line="240" w:lineRule="exact"/>
      <w:ind w:left="284" w:hanging="284"/>
    </w:pPr>
    <w:rPr>
      <w:sz w:val="20"/>
    </w:rPr>
  </w:style>
  <w:style w:type="paragraph" w:styleId="TOC1">
    <w:name w:val="toc 1"/>
    <w:basedOn w:val="OPCParaBase"/>
    <w:next w:val="Normal"/>
    <w:uiPriority w:val="39"/>
    <w:semiHidden/>
    <w:unhideWhenUsed/>
    <w:rsid w:val="005E6F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6F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E6F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6F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E6F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E6F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6F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E6F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6F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E6F75"/>
    <w:pPr>
      <w:keepLines/>
      <w:spacing w:before="240" w:after="120" w:line="240" w:lineRule="auto"/>
      <w:ind w:left="794"/>
    </w:pPr>
    <w:rPr>
      <w:b/>
      <w:kern w:val="28"/>
      <w:sz w:val="20"/>
    </w:rPr>
  </w:style>
  <w:style w:type="paragraph" w:customStyle="1" w:styleId="TofSectsHeading">
    <w:name w:val="TofSects(Heading)"/>
    <w:basedOn w:val="OPCParaBase"/>
    <w:rsid w:val="005E6F75"/>
    <w:pPr>
      <w:spacing w:before="240" w:after="120" w:line="240" w:lineRule="auto"/>
    </w:pPr>
    <w:rPr>
      <w:b/>
      <w:sz w:val="24"/>
    </w:rPr>
  </w:style>
  <w:style w:type="paragraph" w:customStyle="1" w:styleId="TofSectsSection">
    <w:name w:val="TofSects(Section)"/>
    <w:basedOn w:val="OPCParaBase"/>
    <w:rsid w:val="005E6F75"/>
    <w:pPr>
      <w:keepLines/>
      <w:spacing w:before="40" w:line="240" w:lineRule="auto"/>
      <w:ind w:left="1588" w:hanging="794"/>
    </w:pPr>
    <w:rPr>
      <w:kern w:val="28"/>
      <w:sz w:val="18"/>
    </w:rPr>
  </w:style>
  <w:style w:type="paragraph" w:customStyle="1" w:styleId="TofSectsSubdiv">
    <w:name w:val="TofSects(Subdiv)"/>
    <w:basedOn w:val="OPCParaBase"/>
    <w:rsid w:val="005E6F75"/>
    <w:pPr>
      <w:keepLines/>
      <w:spacing w:before="80" w:line="240" w:lineRule="auto"/>
      <w:ind w:left="1588" w:hanging="794"/>
    </w:pPr>
    <w:rPr>
      <w:kern w:val="28"/>
    </w:rPr>
  </w:style>
  <w:style w:type="paragraph" w:customStyle="1" w:styleId="WRStyle">
    <w:name w:val="WR Style"/>
    <w:aliases w:val="WR"/>
    <w:basedOn w:val="OPCParaBase"/>
    <w:rsid w:val="005E6F75"/>
    <w:pPr>
      <w:spacing w:before="240" w:line="240" w:lineRule="auto"/>
      <w:ind w:left="284" w:hanging="284"/>
    </w:pPr>
    <w:rPr>
      <w:b/>
      <w:i/>
      <w:kern w:val="28"/>
      <w:sz w:val="24"/>
    </w:rPr>
  </w:style>
  <w:style w:type="paragraph" w:customStyle="1" w:styleId="notepara">
    <w:name w:val="note(para)"/>
    <w:aliases w:val="na"/>
    <w:basedOn w:val="OPCParaBase"/>
    <w:rsid w:val="005E6F75"/>
    <w:pPr>
      <w:spacing w:before="40" w:line="198" w:lineRule="exact"/>
      <w:ind w:left="2354" w:hanging="369"/>
    </w:pPr>
    <w:rPr>
      <w:sz w:val="18"/>
    </w:rPr>
  </w:style>
  <w:style w:type="paragraph" w:styleId="Footer">
    <w:name w:val="footer"/>
    <w:link w:val="FooterChar"/>
    <w:rsid w:val="005E6F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6F75"/>
    <w:rPr>
      <w:rFonts w:eastAsia="Times New Roman" w:cs="Times New Roman"/>
      <w:sz w:val="22"/>
      <w:szCs w:val="24"/>
      <w:lang w:eastAsia="en-AU"/>
    </w:rPr>
  </w:style>
  <w:style w:type="character" w:styleId="LineNumber">
    <w:name w:val="line number"/>
    <w:basedOn w:val="OPCCharBase"/>
    <w:uiPriority w:val="99"/>
    <w:semiHidden/>
    <w:unhideWhenUsed/>
    <w:rsid w:val="005E6F75"/>
    <w:rPr>
      <w:sz w:val="16"/>
    </w:rPr>
  </w:style>
  <w:style w:type="table" w:customStyle="1" w:styleId="CFlag">
    <w:name w:val="CFlag"/>
    <w:basedOn w:val="TableNormal"/>
    <w:uiPriority w:val="99"/>
    <w:rsid w:val="005E6F75"/>
    <w:rPr>
      <w:rFonts w:eastAsia="Times New Roman" w:cs="Times New Roman"/>
      <w:lang w:eastAsia="en-AU"/>
    </w:rPr>
    <w:tblPr/>
  </w:style>
  <w:style w:type="paragraph" w:customStyle="1" w:styleId="NotesHeading1">
    <w:name w:val="NotesHeading 1"/>
    <w:basedOn w:val="OPCParaBase"/>
    <w:next w:val="Normal"/>
    <w:rsid w:val="005E6F75"/>
    <w:rPr>
      <w:b/>
      <w:sz w:val="28"/>
      <w:szCs w:val="28"/>
    </w:rPr>
  </w:style>
  <w:style w:type="paragraph" w:customStyle="1" w:styleId="NotesHeading2">
    <w:name w:val="NotesHeading 2"/>
    <w:basedOn w:val="OPCParaBase"/>
    <w:next w:val="Normal"/>
    <w:rsid w:val="005E6F75"/>
    <w:rPr>
      <w:b/>
      <w:sz w:val="28"/>
      <w:szCs w:val="28"/>
    </w:rPr>
  </w:style>
  <w:style w:type="paragraph" w:customStyle="1" w:styleId="SignCoverPageEnd">
    <w:name w:val="SignCoverPageEnd"/>
    <w:basedOn w:val="OPCParaBase"/>
    <w:next w:val="Normal"/>
    <w:rsid w:val="005E6F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6F75"/>
    <w:pPr>
      <w:pBdr>
        <w:top w:val="single" w:sz="4" w:space="1" w:color="auto"/>
      </w:pBdr>
      <w:spacing w:before="360"/>
      <w:ind w:right="397"/>
      <w:jc w:val="both"/>
    </w:pPr>
  </w:style>
  <w:style w:type="paragraph" w:customStyle="1" w:styleId="Paragraphsub-sub-sub">
    <w:name w:val="Paragraph(sub-sub-sub)"/>
    <w:aliases w:val="aaaa"/>
    <w:basedOn w:val="OPCParaBase"/>
    <w:rsid w:val="005E6F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E6F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6F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6F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6F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E6F75"/>
    <w:pPr>
      <w:spacing w:before="120"/>
    </w:pPr>
  </w:style>
  <w:style w:type="paragraph" w:customStyle="1" w:styleId="TableTextEndNotes">
    <w:name w:val="TableTextEndNotes"/>
    <w:aliases w:val="Tten"/>
    <w:basedOn w:val="Normal"/>
    <w:rsid w:val="005E6F75"/>
    <w:pPr>
      <w:spacing w:before="60" w:line="240" w:lineRule="auto"/>
    </w:pPr>
    <w:rPr>
      <w:rFonts w:cs="Arial"/>
      <w:sz w:val="20"/>
      <w:szCs w:val="22"/>
    </w:rPr>
  </w:style>
  <w:style w:type="paragraph" w:customStyle="1" w:styleId="TableHeading">
    <w:name w:val="TableHeading"/>
    <w:aliases w:val="th"/>
    <w:basedOn w:val="OPCParaBase"/>
    <w:next w:val="Tabletext"/>
    <w:rsid w:val="005E6F75"/>
    <w:pPr>
      <w:keepNext/>
      <w:spacing w:before="60" w:line="240" w:lineRule="atLeast"/>
    </w:pPr>
    <w:rPr>
      <w:b/>
      <w:sz w:val="20"/>
    </w:rPr>
  </w:style>
  <w:style w:type="paragraph" w:customStyle="1" w:styleId="NoteToSubpara">
    <w:name w:val="NoteToSubpara"/>
    <w:aliases w:val="nts"/>
    <w:basedOn w:val="OPCParaBase"/>
    <w:rsid w:val="005E6F75"/>
    <w:pPr>
      <w:spacing w:before="40" w:line="198" w:lineRule="exact"/>
      <w:ind w:left="2835" w:hanging="709"/>
    </w:pPr>
    <w:rPr>
      <w:sz w:val="18"/>
    </w:rPr>
  </w:style>
  <w:style w:type="paragraph" w:customStyle="1" w:styleId="ENoteTableHeading">
    <w:name w:val="ENoteTableHeading"/>
    <w:aliases w:val="enth"/>
    <w:basedOn w:val="OPCParaBase"/>
    <w:rsid w:val="005E6F75"/>
    <w:pPr>
      <w:keepNext/>
      <w:spacing w:before="60" w:line="240" w:lineRule="atLeast"/>
    </w:pPr>
    <w:rPr>
      <w:rFonts w:ascii="Arial" w:hAnsi="Arial"/>
      <w:b/>
      <w:sz w:val="16"/>
    </w:rPr>
  </w:style>
  <w:style w:type="paragraph" w:customStyle="1" w:styleId="ENoteTTi">
    <w:name w:val="ENoteTTi"/>
    <w:aliases w:val="entti"/>
    <w:basedOn w:val="OPCParaBase"/>
    <w:rsid w:val="005E6F75"/>
    <w:pPr>
      <w:keepNext/>
      <w:spacing w:before="60" w:line="240" w:lineRule="atLeast"/>
      <w:ind w:left="170"/>
    </w:pPr>
    <w:rPr>
      <w:sz w:val="16"/>
    </w:rPr>
  </w:style>
  <w:style w:type="paragraph" w:customStyle="1" w:styleId="ENotesHeading1">
    <w:name w:val="ENotesHeading 1"/>
    <w:aliases w:val="Enh1"/>
    <w:basedOn w:val="OPCParaBase"/>
    <w:next w:val="Normal"/>
    <w:rsid w:val="005E6F75"/>
    <w:pPr>
      <w:spacing w:before="120"/>
      <w:outlineLvl w:val="1"/>
    </w:pPr>
    <w:rPr>
      <w:b/>
      <w:sz w:val="28"/>
      <w:szCs w:val="28"/>
    </w:rPr>
  </w:style>
  <w:style w:type="paragraph" w:customStyle="1" w:styleId="ENotesHeading2">
    <w:name w:val="ENotesHeading 2"/>
    <w:aliases w:val="Enh2"/>
    <w:basedOn w:val="OPCParaBase"/>
    <w:next w:val="Normal"/>
    <w:rsid w:val="005E6F75"/>
    <w:pPr>
      <w:spacing w:before="120" w:after="120"/>
      <w:outlineLvl w:val="2"/>
    </w:pPr>
    <w:rPr>
      <w:b/>
      <w:sz w:val="24"/>
      <w:szCs w:val="28"/>
    </w:rPr>
  </w:style>
  <w:style w:type="paragraph" w:customStyle="1" w:styleId="ENoteTTIndentHeading">
    <w:name w:val="ENoteTTIndentHeading"/>
    <w:aliases w:val="enTTHi"/>
    <w:basedOn w:val="OPCParaBase"/>
    <w:rsid w:val="005E6F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E6F75"/>
    <w:pPr>
      <w:spacing w:before="60" w:line="240" w:lineRule="atLeast"/>
    </w:pPr>
    <w:rPr>
      <w:sz w:val="16"/>
    </w:rPr>
  </w:style>
  <w:style w:type="paragraph" w:customStyle="1" w:styleId="MadeunderText">
    <w:name w:val="MadeunderText"/>
    <w:basedOn w:val="OPCParaBase"/>
    <w:next w:val="Normal"/>
    <w:rsid w:val="005E6F75"/>
    <w:pPr>
      <w:spacing w:before="240"/>
    </w:pPr>
    <w:rPr>
      <w:sz w:val="24"/>
      <w:szCs w:val="24"/>
    </w:rPr>
  </w:style>
  <w:style w:type="paragraph" w:customStyle="1" w:styleId="ENotesHeading3">
    <w:name w:val="ENotesHeading 3"/>
    <w:aliases w:val="Enh3"/>
    <w:basedOn w:val="OPCParaBase"/>
    <w:next w:val="Normal"/>
    <w:rsid w:val="005E6F75"/>
    <w:pPr>
      <w:keepNext/>
      <w:spacing w:before="120" w:line="240" w:lineRule="auto"/>
      <w:outlineLvl w:val="4"/>
    </w:pPr>
    <w:rPr>
      <w:b/>
      <w:szCs w:val="24"/>
    </w:rPr>
  </w:style>
  <w:style w:type="paragraph" w:customStyle="1" w:styleId="SubPartCASA">
    <w:name w:val="SubPart(CASA)"/>
    <w:aliases w:val="csp"/>
    <w:basedOn w:val="OPCParaBase"/>
    <w:next w:val="ActHead3"/>
    <w:rsid w:val="005E6F75"/>
    <w:pPr>
      <w:keepNext/>
      <w:keepLines/>
      <w:spacing w:before="280"/>
      <w:outlineLvl w:val="1"/>
    </w:pPr>
    <w:rPr>
      <w:b/>
      <w:kern w:val="28"/>
      <w:sz w:val="32"/>
    </w:rPr>
  </w:style>
  <w:style w:type="character" w:customStyle="1" w:styleId="CharSubPartTextCASA">
    <w:name w:val="CharSubPartText(CASA)"/>
    <w:basedOn w:val="OPCCharBase"/>
    <w:uiPriority w:val="1"/>
    <w:rsid w:val="005E6F75"/>
  </w:style>
  <w:style w:type="character" w:customStyle="1" w:styleId="CharSubPartNoCASA">
    <w:name w:val="CharSubPartNo(CASA)"/>
    <w:basedOn w:val="OPCCharBase"/>
    <w:uiPriority w:val="1"/>
    <w:rsid w:val="005E6F75"/>
  </w:style>
  <w:style w:type="paragraph" w:customStyle="1" w:styleId="ENoteTTIndentHeadingSub">
    <w:name w:val="ENoteTTIndentHeadingSub"/>
    <w:aliases w:val="enTTHis"/>
    <w:basedOn w:val="OPCParaBase"/>
    <w:rsid w:val="005E6F75"/>
    <w:pPr>
      <w:keepNext/>
      <w:spacing w:before="60" w:line="240" w:lineRule="atLeast"/>
      <w:ind w:left="340"/>
    </w:pPr>
    <w:rPr>
      <w:b/>
      <w:sz w:val="16"/>
    </w:rPr>
  </w:style>
  <w:style w:type="paragraph" w:customStyle="1" w:styleId="ENoteTTiSub">
    <w:name w:val="ENoteTTiSub"/>
    <w:aliases w:val="enttis"/>
    <w:basedOn w:val="OPCParaBase"/>
    <w:rsid w:val="005E6F75"/>
    <w:pPr>
      <w:keepNext/>
      <w:spacing w:before="60" w:line="240" w:lineRule="atLeast"/>
      <w:ind w:left="340"/>
    </w:pPr>
    <w:rPr>
      <w:sz w:val="16"/>
    </w:rPr>
  </w:style>
  <w:style w:type="paragraph" w:customStyle="1" w:styleId="SubDivisionMigration">
    <w:name w:val="SubDivisionMigration"/>
    <w:aliases w:val="sdm"/>
    <w:basedOn w:val="OPCParaBase"/>
    <w:rsid w:val="005E6F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6F75"/>
    <w:pPr>
      <w:keepNext/>
      <w:keepLines/>
      <w:spacing w:before="240" w:line="240" w:lineRule="auto"/>
      <w:ind w:left="1134" w:hanging="1134"/>
    </w:pPr>
    <w:rPr>
      <w:b/>
      <w:sz w:val="28"/>
    </w:rPr>
  </w:style>
  <w:style w:type="table" w:styleId="TableGrid">
    <w:name w:val="Table Grid"/>
    <w:basedOn w:val="TableNormal"/>
    <w:uiPriority w:val="59"/>
    <w:rsid w:val="005E6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E6F7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E6F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E6F75"/>
    <w:rPr>
      <w:sz w:val="22"/>
    </w:rPr>
  </w:style>
  <w:style w:type="paragraph" w:customStyle="1" w:styleId="SOTextNote">
    <w:name w:val="SO TextNote"/>
    <w:aliases w:val="sont"/>
    <w:basedOn w:val="SOText"/>
    <w:qFormat/>
    <w:rsid w:val="005E6F75"/>
    <w:pPr>
      <w:spacing w:before="122" w:line="198" w:lineRule="exact"/>
      <w:ind w:left="1843" w:hanging="709"/>
    </w:pPr>
    <w:rPr>
      <w:sz w:val="18"/>
    </w:rPr>
  </w:style>
  <w:style w:type="paragraph" w:customStyle="1" w:styleId="SOPara">
    <w:name w:val="SO Para"/>
    <w:aliases w:val="soa"/>
    <w:basedOn w:val="SOText"/>
    <w:link w:val="SOParaChar"/>
    <w:qFormat/>
    <w:rsid w:val="005E6F75"/>
    <w:pPr>
      <w:tabs>
        <w:tab w:val="right" w:pos="1786"/>
      </w:tabs>
      <w:spacing w:before="40"/>
      <w:ind w:left="2070" w:hanging="936"/>
    </w:pPr>
  </w:style>
  <w:style w:type="character" w:customStyle="1" w:styleId="SOParaChar">
    <w:name w:val="SO Para Char"/>
    <w:aliases w:val="soa Char"/>
    <w:basedOn w:val="DefaultParagraphFont"/>
    <w:link w:val="SOPara"/>
    <w:rsid w:val="005E6F75"/>
    <w:rPr>
      <w:sz w:val="22"/>
    </w:rPr>
  </w:style>
  <w:style w:type="paragraph" w:customStyle="1" w:styleId="FileName">
    <w:name w:val="FileName"/>
    <w:basedOn w:val="Normal"/>
    <w:rsid w:val="005E6F75"/>
  </w:style>
  <w:style w:type="paragraph" w:customStyle="1" w:styleId="SOHeadBold">
    <w:name w:val="SO HeadBold"/>
    <w:aliases w:val="sohb"/>
    <w:basedOn w:val="SOText"/>
    <w:next w:val="SOText"/>
    <w:link w:val="SOHeadBoldChar"/>
    <w:qFormat/>
    <w:rsid w:val="005E6F75"/>
    <w:rPr>
      <w:b/>
    </w:rPr>
  </w:style>
  <w:style w:type="character" w:customStyle="1" w:styleId="SOHeadBoldChar">
    <w:name w:val="SO HeadBold Char"/>
    <w:aliases w:val="sohb Char"/>
    <w:basedOn w:val="DefaultParagraphFont"/>
    <w:link w:val="SOHeadBold"/>
    <w:rsid w:val="005E6F75"/>
    <w:rPr>
      <w:b/>
      <w:sz w:val="22"/>
    </w:rPr>
  </w:style>
  <w:style w:type="paragraph" w:customStyle="1" w:styleId="SOHeadItalic">
    <w:name w:val="SO HeadItalic"/>
    <w:aliases w:val="sohi"/>
    <w:basedOn w:val="SOText"/>
    <w:next w:val="SOText"/>
    <w:link w:val="SOHeadItalicChar"/>
    <w:qFormat/>
    <w:rsid w:val="005E6F75"/>
    <w:rPr>
      <w:i/>
    </w:rPr>
  </w:style>
  <w:style w:type="character" w:customStyle="1" w:styleId="SOHeadItalicChar">
    <w:name w:val="SO HeadItalic Char"/>
    <w:aliases w:val="sohi Char"/>
    <w:basedOn w:val="DefaultParagraphFont"/>
    <w:link w:val="SOHeadItalic"/>
    <w:rsid w:val="005E6F75"/>
    <w:rPr>
      <w:i/>
      <w:sz w:val="22"/>
    </w:rPr>
  </w:style>
  <w:style w:type="paragraph" w:customStyle="1" w:styleId="SOBullet">
    <w:name w:val="SO Bullet"/>
    <w:aliases w:val="sotb"/>
    <w:basedOn w:val="SOText"/>
    <w:link w:val="SOBulletChar"/>
    <w:qFormat/>
    <w:rsid w:val="005E6F75"/>
    <w:pPr>
      <w:ind w:left="1559" w:hanging="425"/>
    </w:pPr>
  </w:style>
  <w:style w:type="character" w:customStyle="1" w:styleId="SOBulletChar">
    <w:name w:val="SO Bullet Char"/>
    <w:aliases w:val="sotb Char"/>
    <w:basedOn w:val="DefaultParagraphFont"/>
    <w:link w:val="SOBullet"/>
    <w:rsid w:val="005E6F75"/>
    <w:rPr>
      <w:sz w:val="22"/>
    </w:rPr>
  </w:style>
  <w:style w:type="paragraph" w:customStyle="1" w:styleId="SOBulletNote">
    <w:name w:val="SO BulletNote"/>
    <w:aliases w:val="sonb"/>
    <w:basedOn w:val="SOTextNote"/>
    <w:link w:val="SOBulletNoteChar"/>
    <w:qFormat/>
    <w:rsid w:val="005E6F75"/>
    <w:pPr>
      <w:tabs>
        <w:tab w:val="left" w:pos="1560"/>
      </w:tabs>
      <w:ind w:left="2268" w:hanging="1134"/>
    </w:pPr>
  </w:style>
  <w:style w:type="character" w:customStyle="1" w:styleId="SOBulletNoteChar">
    <w:name w:val="SO BulletNote Char"/>
    <w:aliases w:val="sonb Char"/>
    <w:basedOn w:val="DefaultParagraphFont"/>
    <w:link w:val="SOBulletNote"/>
    <w:rsid w:val="005E6F75"/>
    <w:rPr>
      <w:sz w:val="18"/>
    </w:rPr>
  </w:style>
  <w:style w:type="paragraph" w:customStyle="1" w:styleId="SOText2">
    <w:name w:val="SO Text2"/>
    <w:aliases w:val="sot2"/>
    <w:basedOn w:val="Normal"/>
    <w:next w:val="SOText"/>
    <w:link w:val="SOText2Char"/>
    <w:rsid w:val="005E6F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6F75"/>
    <w:rPr>
      <w:sz w:val="22"/>
    </w:rPr>
  </w:style>
  <w:style w:type="character" w:customStyle="1" w:styleId="Heading1Char">
    <w:name w:val="Heading 1 Char"/>
    <w:basedOn w:val="DefaultParagraphFont"/>
    <w:link w:val="Heading1"/>
    <w:uiPriority w:val="9"/>
    <w:rsid w:val="00A007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007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07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007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007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007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007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007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0071E"/>
    <w:rPr>
      <w:rFonts w:asciiTheme="majorHAnsi" w:eastAsiaTheme="majorEastAsia" w:hAnsiTheme="majorHAnsi" w:cstheme="majorBidi"/>
      <w:i/>
      <w:iCs/>
      <w:color w:val="404040" w:themeColor="text1" w:themeTint="BF"/>
    </w:rPr>
  </w:style>
  <w:style w:type="paragraph" w:customStyle="1" w:styleId="tableText0">
    <w:name w:val="table.Text"/>
    <w:basedOn w:val="Normal"/>
    <w:rsid w:val="0067649D"/>
    <w:pPr>
      <w:spacing w:before="24" w:after="24"/>
    </w:pPr>
    <w:rPr>
      <w:rFonts w:eastAsia="Calibri" w:cs="Times New Roman"/>
      <w:sz w:val="20"/>
    </w:rPr>
  </w:style>
  <w:style w:type="paragraph" w:customStyle="1" w:styleId="tableIndentText">
    <w:name w:val="table.Indent.Text"/>
    <w:rsid w:val="0067649D"/>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67649D"/>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67649D"/>
    <w:rPr>
      <w:rFonts w:eastAsia="Times New Roman" w:cs="Times New Roman"/>
      <w:sz w:val="22"/>
      <w:lang w:eastAsia="en-AU"/>
    </w:rPr>
  </w:style>
  <w:style w:type="character" w:customStyle="1" w:styleId="notetextChar">
    <w:name w:val="note(text) Char"/>
    <w:aliases w:val="n Char"/>
    <w:basedOn w:val="DefaultParagraphFont"/>
    <w:link w:val="notetext"/>
    <w:rsid w:val="0067649D"/>
    <w:rPr>
      <w:rFonts w:eastAsia="Times New Roman" w:cs="Times New Roman"/>
      <w:sz w:val="18"/>
      <w:lang w:eastAsia="en-AU"/>
    </w:rPr>
  </w:style>
  <w:style w:type="paragraph" w:customStyle="1" w:styleId="ShortTP1">
    <w:name w:val="ShortTP1"/>
    <w:basedOn w:val="ShortT"/>
    <w:link w:val="ShortTP1Char"/>
    <w:rsid w:val="00984EEA"/>
    <w:pPr>
      <w:spacing w:before="800"/>
    </w:pPr>
  </w:style>
  <w:style w:type="character" w:customStyle="1" w:styleId="OPCParaBaseChar">
    <w:name w:val="OPCParaBase Char"/>
    <w:basedOn w:val="DefaultParagraphFont"/>
    <w:link w:val="OPCParaBase"/>
    <w:rsid w:val="00984EEA"/>
    <w:rPr>
      <w:rFonts w:eastAsia="Times New Roman" w:cs="Times New Roman"/>
      <w:sz w:val="22"/>
      <w:lang w:eastAsia="en-AU"/>
    </w:rPr>
  </w:style>
  <w:style w:type="character" w:customStyle="1" w:styleId="ShortTChar">
    <w:name w:val="ShortT Char"/>
    <w:basedOn w:val="OPCParaBaseChar"/>
    <w:link w:val="ShortT"/>
    <w:rsid w:val="00984EEA"/>
    <w:rPr>
      <w:rFonts w:eastAsia="Times New Roman" w:cs="Times New Roman"/>
      <w:b/>
      <w:sz w:val="40"/>
      <w:lang w:eastAsia="en-AU"/>
    </w:rPr>
  </w:style>
  <w:style w:type="character" w:customStyle="1" w:styleId="ShortTP1Char">
    <w:name w:val="ShortTP1 Char"/>
    <w:basedOn w:val="ShortTChar"/>
    <w:link w:val="ShortTP1"/>
    <w:rsid w:val="00984EEA"/>
    <w:rPr>
      <w:rFonts w:eastAsia="Times New Roman" w:cs="Times New Roman"/>
      <w:b/>
      <w:sz w:val="40"/>
      <w:lang w:eastAsia="en-AU"/>
    </w:rPr>
  </w:style>
  <w:style w:type="paragraph" w:customStyle="1" w:styleId="ActNoP1">
    <w:name w:val="ActNoP1"/>
    <w:basedOn w:val="Actno"/>
    <w:link w:val="ActNoP1Char"/>
    <w:rsid w:val="00984EEA"/>
    <w:pPr>
      <w:spacing w:before="800"/>
    </w:pPr>
    <w:rPr>
      <w:sz w:val="28"/>
    </w:rPr>
  </w:style>
  <w:style w:type="character" w:customStyle="1" w:styleId="ActnoChar">
    <w:name w:val="Actno Char"/>
    <w:basedOn w:val="ShortTChar"/>
    <w:link w:val="Actno"/>
    <w:rsid w:val="00984EEA"/>
    <w:rPr>
      <w:rFonts w:eastAsia="Times New Roman" w:cs="Times New Roman"/>
      <w:b/>
      <w:sz w:val="40"/>
      <w:lang w:eastAsia="en-AU"/>
    </w:rPr>
  </w:style>
  <w:style w:type="character" w:customStyle="1" w:styleId="ActNoP1Char">
    <w:name w:val="ActNoP1 Char"/>
    <w:basedOn w:val="ActnoChar"/>
    <w:link w:val="ActNoP1"/>
    <w:rsid w:val="00984EEA"/>
    <w:rPr>
      <w:rFonts w:eastAsia="Times New Roman" w:cs="Times New Roman"/>
      <w:b/>
      <w:sz w:val="28"/>
      <w:lang w:eastAsia="en-AU"/>
    </w:rPr>
  </w:style>
  <w:style w:type="paragraph" w:customStyle="1" w:styleId="ShortTCP">
    <w:name w:val="ShortTCP"/>
    <w:basedOn w:val="ShortT"/>
    <w:link w:val="ShortTCPChar"/>
    <w:rsid w:val="00984EEA"/>
  </w:style>
  <w:style w:type="character" w:customStyle="1" w:styleId="ShortTCPChar">
    <w:name w:val="ShortTCP Char"/>
    <w:basedOn w:val="ShortTChar"/>
    <w:link w:val="ShortTCP"/>
    <w:rsid w:val="00984EEA"/>
    <w:rPr>
      <w:rFonts w:eastAsia="Times New Roman" w:cs="Times New Roman"/>
      <w:b/>
      <w:sz w:val="40"/>
      <w:lang w:eastAsia="en-AU"/>
    </w:rPr>
  </w:style>
  <w:style w:type="paragraph" w:customStyle="1" w:styleId="ActNoCP">
    <w:name w:val="ActNoCP"/>
    <w:basedOn w:val="Actno"/>
    <w:link w:val="ActNoCPChar"/>
    <w:rsid w:val="00984EEA"/>
    <w:pPr>
      <w:spacing w:before="400"/>
    </w:pPr>
  </w:style>
  <w:style w:type="character" w:customStyle="1" w:styleId="ActNoCPChar">
    <w:name w:val="ActNoCP Char"/>
    <w:basedOn w:val="ActnoChar"/>
    <w:link w:val="ActNoCP"/>
    <w:rsid w:val="00984EEA"/>
    <w:rPr>
      <w:rFonts w:eastAsia="Times New Roman" w:cs="Times New Roman"/>
      <w:b/>
      <w:sz w:val="40"/>
      <w:lang w:eastAsia="en-AU"/>
    </w:rPr>
  </w:style>
  <w:style w:type="paragraph" w:customStyle="1" w:styleId="AssentBk">
    <w:name w:val="AssentBk"/>
    <w:basedOn w:val="Normal"/>
    <w:rsid w:val="00984EEA"/>
    <w:pPr>
      <w:spacing w:line="240" w:lineRule="auto"/>
    </w:pPr>
    <w:rPr>
      <w:rFonts w:eastAsia="Times New Roman" w:cs="Times New Roman"/>
      <w:sz w:val="20"/>
      <w:lang w:eastAsia="en-AU"/>
    </w:rPr>
  </w:style>
  <w:style w:type="paragraph" w:customStyle="1" w:styleId="AssentDt">
    <w:name w:val="AssentDt"/>
    <w:basedOn w:val="Normal"/>
    <w:rsid w:val="00106616"/>
    <w:pPr>
      <w:spacing w:line="240" w:lineRule="auto"/>
    </w:pPr>
    <w:rPr>
      <w:rFonts w:eastAsia="Times New Roman" w:cs="Times New Roman"/>
      <w:sz w:val="20"/>
      <w:lang w:eastAsia="en-AU"/>
    </w:rPr>
  </w:style>
  <w:style w:type="paragraph" w:customStyle="1" w:styleId="2ndRd">
    <w:name w:val="2ndRd"/>
    <w:basedOn w:val="Normal"/>
    <w:rsid w:val="00106616"/>
    <w:pPr>
      <w:spacing w:line="240" w:lineRule="auto"/>
    </w:pPr>
    <w:rPr>
      <w:rFonts w:eastAsia="Times New Roman" w:cs="Times New Roman"/>
      <w:sz w:val="20"/>
      <w:lang w:eastAsia="en-AU"/>
    </w:rPr>
  </w:style>
  <w:style w:type="paragraph" w:customStyle="1" w:styleId="ScalePlusRef">
    <w:name w:val="ScalePlusRef"/>
    <w:basedOn w:val="Normal"/>
    <w:rsid w:val="00106616"/>
    <w:pPr>
      <w:spacing w:line="240" w:lineRule="auto"/>
    </w:pPr>
    <w:rPr>
      <w:rFonts w:eastAsia="Times New Roman" w:cs="Times New Roman"/>
      <w:sz w:val="18"/>
      <w:lang w:eastAsia="en-AU"/>
    </w:rPr>
  </w:style>
  <w:style w:type="paragraph" w:styleId="BalloonText">
    <w:name w:val="Balloon Text"/>
    <w:basedOn w:val="Normal"/>
    <w:link w:val="BalloonTextChar"/>
    <w:uiPriority w:val="99"/>
    <w:semiHidden/>
    <w:unhideWhenUsed/>
    <w:rsid w:val="00994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26</Pages>
  <Words>3777</Words>
  <Characters>21532</Characters>
  <Application>Microsoft Office Word</Application>
  <DocSecurity>0</DocSecurity>
  <PresentationFormat/>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2016-11-14T23:17:00Z</cp:lastPrinted>
  <dcterms:created xsi:type="dcterms:W3CDTF">2017-08-27T22:47:00Z</dcterms:created>
  <dcterms:modified xsi:type="dcterms:W3CDTF">2017-08-27T22:49:00Z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(2016 Measures No. 1) Act 2017</vt:lpwstr>
  </property>
  <property fmtid="{D5CDD505-2E9C-101B-9397-08002B2CF9AE}" pid="5" name="ActNo">
    <vt:lpwstr>No. 25,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OPC6197</vt:lpwstr>
  </property>
  <property fmtid="{D5CDD505-2E9C-101B-9397-08002B2CF9AE}" pid="10" name="DoNotAsk">
    <vt:lpwstr>0</vt:lpwstr>
  </property>
  <property fmtid="{D5CDD505-2E9C-101B-9397-08002B2CF9AE}" pid="11" name="ChangedTitle">
    <vt:lpwstr/>
  </property>
</Properties>
</file>