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7D" w:rsidRDefault="0019767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A31F7D" w:rsidRDefault="00A31F7D"/>
    <w:p w:rsidR="00A31F7D" w:rsidRDefault="00A31F7D" w:rsidP="00A31F7D">
      <w:pPr>
        <w:spacing w:line="240" w:lineRule="auto"/>
      </w:pPr>
    </w:p>
    <w:p w:rsidR="00A31F7D" w:rsidRDefault="00A31F7D" w:rsidP="00A31F7D"/>
    <w:p w:rsidR="00A31F7D" w:rsidRDefault="00A31F7D" w:rsidP="00A31F7D"/>
    <w:p w:rsidR="00A31F7D" w:rsidRDefault="00A31F7D" w:rsidP="00A31F7D"/>
    <w:p w:rsidR="00A31F7D" w:rsidRDefault="00A31F7D" w:rsidP="00A31F7D"/>
    <w:p w:rsidR="0048364F" w:rsidRPr="00EF6A15" w:rsidRDefault="0092098E" w:rsidP="0048364F">
      <w:pPr>
        <w:pStyle w:val="ShortT"/>
      </w:pPr>
      <w:r w:rsidRPr="00EF6A15">
        <w:t>Treasury Laws Amendment (2017 Measures No.</w:t>
      </w:r>
      <w:r w:rsidR="00EF6A15" w:rsidRPr="00EF6A15">
        <w:t> </w:t>
      </w:r>
      <w:r w:rsidRPr="00EF6A15">
        <w:t xml:space="preserve">2) </w:t>
      </w:r>
      <w:r w:rsidR="00A31F7D">
        <w:t>Act</w:t>
      </w:r>
      <w:r w:rsidRPr="00EF6A15">
        <w:t xml:space="preserve"> 2017</w:t>
      </w:r>
    </w:p>
    <w:p w:rsidR="0048364F" w:rsidRPr="00EF6A15" w:rsidRDefault="0048364F" w:rsidP="0048364F"/>
    <w:p w:rsidR="0048364F" w:rsidRPr="00EF6A15" w:rsidRDefault="00C164CA" w:rsidP="00A31F7D">
      <w:pPr>
        <w:pStyle w:val="Actno"/>
        <w:spacing w:before="400"/>
      </w:pPr>
      <w:r w:rsidRPr="00EF6A15">
        <w:t>No.</w:t>
      </w:r>
      <w:r w:rsidR="00776064">
        <w:t xml:space="preserve"> 55</w:t>
      </w:r>
      <w:r w:rsidRPr="00EF6A15">
        <w:t>, 201</w:t>
      </w:r>
      <w:r w:rsidR="00A048FF" w:rsidRPr="00EF6A15">
        <w:t>7</w:t>
      </w:r>
    </w:p>
    <w:p w:rsidR="0048364F" w:rsidRPr="00EF6A15" w:rsidRDefault="0048364F" w:rsidP="0048364F"/>
    <w:p w:rsidR="00A31F7D" w:rsidRDefault="00A31F7D" w:rsidP="00A31F7D"/>
    <w:p w:rsidR="00A31F7D" w:rsidRDefault="00A31F7D" w:rsidP="00A31F7D"/>
    <w:p w:rsidR="00A31F7D" w:rsidRDefault="00A31F7D" w:rsidP="00A31F7D"/>
    <w:p w:rsidR="00A31F7D" w:rsidRDefault="00A31F7D" w:rsidP="00A31F7D"/>
    <w:p w:rsidR="0048364F" w:rsidRPr="00EF6A15" w:rsidRDefault="00A31F7D" w:rsidP="0048364F">
      <w:pPr>
        <w:pStyle w:val="LongT"/>
      </w:pPr>
      <w:r>
        <w:t>An Act</w:t>
      </w:r>
      <w:r w:rsidR="0048364F" w:rsidRPr="00EF6A15">
        <w:t xml:space="preserve"> to </w:t>
      </w:r>
      <w:r w:rsidR="0092098E" w:rsidRPr="00EF6A15">
        <w:t>amend the law relating to taxation, superannuation</w:t>
      </w:r>
      <w:r w:rsidR="004513E2" w:rsidRPr="00EF6A15">
        <w:t>, personal</w:t>
      </w:r>
      <w:r w:rsidR="0092098E" w:rsidRPr="00EF6A15">
        <w:t xml:space="preserve"> insolvency</w:t>
      </w:r>
      <w:r w:rsidR="004513E2" w:rsidRPr="00EF6A15">
        <w:t xml:space="preserve"> and corporate insolvency</w:t>
      </w:r>
      <w:r w:rsidR="0092098E" w:rsidRPr="00EF6A15">
        <w:t>,</w:t>
      </w:r>
      <w:r w:rsidR="0048364F" w:rsidRPr="00EF6A15">
        <w:t xml:space="preserve"> and for related purposes</w:t>
      </w:r>
    </w:p>
    <w:p w:rsidR="0048364F" w:rsidRPr="00EF6A15" w:rsidRDefault="0048364F" w:rsidP="0048364F">
      <w:pPr>
        <w:pStyle w:val="Header"/>
        <w:tabs>
          <w:tab w:val="clear" w:pos="4150"/>
          <w:tab w:val="clear" w:pos="8307"/>
        </w:tabs>
      </w:pPr>
      <w:r w:rsidRPr="00EF6A15">
        <w:rPr>
          <w:rStyle w:val="CharAmSchNo"/>
        </w:rPr>
        <w:t xml:space="preserve"> </w:t>
      </w:r>
      <w:r w:rsidRPr="00EF6A15">
        <w:rPr>
          <w:rStyle w:val="CharAmSchText"/>
        </w:rPr>
        <w:t xml:space="preserve"> </w:t>
      </w:r>
    </w:p>
    <w:p w:rsidR="0048364F" w:rsidRPr="00EF6A15" w:rsidRDefault="0048364F" w:rsidP="0048364F">
      <w:pPr>
        <w:pStyle w:val="Header"/>
        <w:tabs>
          <w:tab w:val="clear" w:pos="4150"/>
          <w:tab w:val="clear" w:pos="8307"/>
        </w:tabs>
      </w:pPr>
      <w:r w:rsidRPr="00EF6A15">
        <w:rPr>
          <w:rStyle w:val="CharAmPartNo"/>
        </w:rPr>
        <w:t xml:space="preserve"> </w:t>
      </w:r>
      <w:r w:rsidRPr="00EF6A15">
        <w:rPr>
          <w:rStyle w:val="CharAmPartText"/>
        </w:rPr>
        <w:t xml:space="preserve"> </w:t>
      </w:r>
    </w:p>
    <w:p w:rsidR="0048364F" w:rsidRPr="00EF6A15" w:rsidRDefault="0048364F" w:rsidP="0048364F">
      <w:pPr>
        <w:sectPr w:rsidR="0048364F" w:rsidRPr="00EF6A15" w:rsidSect="00A31F7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F6A15" w:rsidRDefault="0048364F" w:rsidP="003101FC">
      <w:pPr>
        <w:rPr>
          <w:sz w:val="36"/>
        </w:rPr>
      </w:pPr>
      <w:r w:rsidRPr="00EF6A15">
        <w:rPr>
          <w:sz w:val="36"/>
        </w:rPr>
        <w:lastRenderedPageBreak/>
        <w:t>Contents</w:t>
      </w:r>
    </w:p>
    <w:bookmarkStart w:id="0" w:name="BKCheck15B_1"/>
    <w:bookmarkEnd w:id="0"/>
    <w:p w:rsidR="004617FC" w:rsidRDefault="004617F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617FC">
        <w:rPr>
          <w:noProof/>
        </w:rPr>
        <w:tab/>
      </w:r>
      <w:r w:rsidRPr="004617FC">
        <w:rPr>
          <w:noProof/>
        </w:rPr>
        <w:fldChar w:fldCharType="begin"/>
      </w:r>
      <w:r w:rsidRPr="004617FC">
        <w:rPr>
          <w:noProof/>
        </w:rPr>
        <w:instrText xml:space="preserve"> PAGEREF _Toc485992320 \h </w:instrText>
      </w:r>
      <w:r w:rsidRPr="004617FC">
        <w:rPr>
          <w:noProof/>
        </w:rPr>
      </w:r>
      <w:r w:rsidRPr="004617FC">
        <w:rPr>
          <w:noProof/>
        </w:rPr>
        <w:fldChar w:fldCharType="separate"/>
      </w:r>
      <w:r w:rsidR="0019767B">
        <w:rPr>
          <w:noProof/>
        </w:rPr>
        <w:t>1</w:t>
      </w:r>
      <w:r w:rsidRPr="004617FC">
        <w:rPr>
          <w:noProof/>
        </w:rPr>
        <w:fldChar w:fldCharType="end"/>
      </w:r>
    </w:p>
    <w:p w:rsidR="004617FC" w:rsidRDefault="004617FC">
      <w:pPr>
        <w:pStyle w:val="TOC5"/>
        <w:rPr>
          <w:rFonts w:asciiTheme="minorHAnsi" w:eastAsiaTheme="minorEastAsia" w:hAnsiTheme="minorHAnsi" w:cstheme="minorBidi"/>
          <w:noProof/>
          <w:kern w:val="0"/>
          <w:sz w:val="22"/>
          <w:szCs w:val="22"/>
        </w:rPr>
      </w:pPr>
      <w:r>
        <w:rPr>
          <w:noProof/>
        </w:rPr>
        <w:t>2</w:t>
      </w:r>
      <w:r>
        <w:rPr>
          <w:noProof/>
        </w:rPr>
        <w:tab/>
        <w:t>Commencement</w:t>
      </w:r>
      <w:r w:rsidRPr="004617FC">
        <w:rPr>
          <w:noProof/>
        </w:rPr>
        <w:tab/>
      </w:r>
      <w:r w:rsidRPr="004617FC">
        <w:rPr>
          <w:noProof/>
        </w:rPr>
        <w:fldChar w:fldCharType="begin"/>
      </w:r>
      <w:r w:rsidRPr="004617FC">
        <w:rPr>
          <w:noProof/>
        </w:rPr>
        <w:instrText xml:space="preserve"> PAGEREF _Toc485992321 \h </w:instrText>
      </w:r>
      <w:r w:rsidRPr="004617FC">
        <w:rPr>
          <w:noProof/>
        </w:rPr>
      </w:r>
      <w:r w:rsidRPr="004617FC">
        <w:rPr>
          <w:noProof/>
        </w:rPr>
        <w:fldChar w:fldCharType="separate"/>
      </w:r>
      <w:r w:rsidR="0019767B">
        <w:rPr>
          <w:noProof/>
        </w:rPr>
        <w:t>2</w:t>
      </w:r>
      <w:r w:rsidRPr="004617FC">
        <w:rPr>
          <w:noProof/>
        </w:rPr>
        <w:fldChar w:fldCharType="end"/>
      </w:r>
    </w:p>
    <w:p w:rsidR="004617FC" w:rsidRDefault="004617FC">
      <w:pPr>
        <w:pStyle w:val="TOC5"/>
        <w:rPr>
          <w:rFonts w:asciiTheme="minorHAnsi" w:eastAsiaTheme="minorEastAsia" w:hAnsiTheme="minorHAnsi" w:cstheme="minorBidi"/>
          <w:noProof/>
          <w:kern w:val="0"/>
          <w:sz w:val="22"/>
          <w:szCs w:val="22"/>
        </w:rPr>
      </w:pPr>
      <w:r>
        <w:rPr>
          <w:noProof/>
        </w:rPr>
        <w:t>3</w:t>
      </w:r>
      <w:r>
        <w:rPr>
          <w:noProof/>
        </w:rPr>
        <w:tab/>
        <w:t>Schedules</w:t>
      </w:r>
      <w:r w:rsidRPr="004617FC">
        <w:rPr>
          <w:noProof/>
        </w:rPr>
        <w:tab/>
      </w:r>
      <w:r w:rsidRPr="004617FC">
        <w:rPr>
          <w:noProof/>
        </w:rPr>
        <w:fldChar w:fldCharType="begin"/>
      </w:r>
      <w:r w:rsidRPr="004617FC">
        <w:rPr>
          <w:noProof/>
        </w:rPr>
        <w:instrText xml:space="preserve"> PAGEREF _Toc485992322 \h </w:instrText>
      </w:r>
      <w:r w:rsidRPr="004617FC">
        <w:rPr>
          <w:noProof/>
        </w:rPr>
      </w:r>
      <w:r w:rsidRPr="004617FC">
        <w:rPr>
          <w:noProof/>
        </w:rPr>
        <w:fldChar w:fldCharType="separate"/>
      </w:r>
      <w:r w:rsidR="0019767B">
        <w:rPr>
          <w:noProof/>
        </w:rPr>
        <w:t>3</w:t>
      </w:r>
      <w:r w:rsidRPr="004617FC">
        <w:rPr>
          <w:noProof/>
        </w:rPr>
        <w:fldChar w:fldCharType="end"/>
      </w:r>
    </w:p>
    <w:p w:rsidR="004617FC" w:rsidRDefault="004617FC">
      <w:pPr>
        <w:pStyle w:val="TOC6"/>
        <w:rPr>
          <w:rFonts w:asciiTheme="minorHAnsi" w:eastAsiaTheme="minorEastAsia" w:hAnsiTheme="minorHAnsi" w:cstheme="minorBidi"/>
          <w:b w:val="0"/>
          <w:noProof/>
          <w:kern w:val="0"/>
          <w:sz w:val="22"/>
          <w:szCs w:val="22"/>
        </w:rPr>
      </w:pPr>
      <w:r>
        <w:rPr>
          <w:noProof/>
        </w:rPr>
        <w:t>Schedule 1—Amendments relating to superannuation reform package</w:t>
      </w:r>
      <w:r w:rsidRPr="004617FC">
        <w:rPr>
          <w:b w:val="0"/>
          <w:noProof/>
          <w:sz w:val="18"/>
        </w:rPr>
        <w:tab/>
      </w:r>
      <w:r w:rsidRPr="004617FC">
        <w:rPr>
          <w:b w:val="0"/>
          <w:noProof/>
          <w:sz w:val="18"/>
        </w:rPr>
        <w:fldChar w:fldCharType="begin"/>
      </w:r>
      <w:r w:rsidRPr="004617FC">
        <w:rPr>
          <w:b w:val="0"/>
          <w:noProof/>
          <w:sz w:val="18"/>
        </w:rPr>
        <w:instrText xml:space="preserve"> PAGEREF _Toc485992323 \h </w:instrText>
      </w:r>
      <w:r w:rsidRPr="004617FC">
        <w:rPr>
          <w:b w:val="0"/>
          <w:noProof/>
          <w:sz w:val="18"/>
        </w:rPr>
      </w:r>
      <w:r w:rsidRPr="004617FC">
        <w:rPr>
          <w:b w:val="0"/>
          <w:noProof/>
          <w:sz w:val="18"/>
        </w:rPr>
        <w:fldChar w:fldCharType="separate"/>
      </w:r>
      <w:r w:rsidR="0019767B">
        <w:rPr>
          <w:b w:val="0"/>
          <w:noProof/>
          <w:sz w:val="18"/>
        </w:rPr>
        <w:t>4</w:t>
      </w:r>
      <w:r w:rsidRPr="004617FC">
        <w:rPr>
          <w:b w:val="0"/>
          <w:noProof/>
          <w:sz w:val="18"/>
        </w:rPr>
        <w:fldChar w:fldCharType="end"/>
      </w:r>
    </w:p>
    <w:p w:rsidR="004617FC" w:rsidRDefault="004617FC">
      <w:pPr>
        <w:pStyle w:val="TOC7"/>
        <w:rPr>
          <w:rFonts w:asciiTheme="minorHAnsi" w:eastAsiaTheme="minorEastAsia" w:hAnsiTheme="minorHAnsi" w:cstheme="minorBidi"/>
          <w:noProof/>
          <w:kern w:val="0"/>
          <w:sz w:val="22"/>
          <w:szCs w:val="22"/>
        </w:rPr>
      </w:pPr>
      <w:r>
        <w:rPr>
          <w:noProof/>
        </w:rPr>
        <w:t>Part 1—Amendments</w:t>
      </w:r>
      <w:bookmarkStart w:id="1" w:name="_GoBack"/>
      <w:bookmarkEnd w:id="1"/>
      <w:r w:rsidRPr="004617FC">
        <w:rPr>
          <w:noProof/>
          <w:sz w:val="18"/>
        </w:rPr>
        <w:tab/>
      </w:r>
      <w:r w:rsidRPr="004617FC">
        <w:rPr>
          <w:noProof/>
          <w:sz w:val="18"/>
        </w:rPr>
        <w:fldChar w:fldCharType="begin"/>
      </w:r>
      <w:r w:rsidRPr="004617FC">
        <w:rPr>
          <w:noProof/>
          <w:sz w:val="18"/>
        </w:rPr>
        <w:instrText xml:space="preserve"> PAGEREF _Toc485992324 \h </w:instrText>
      </w:r>
      <w:r w:rsidRPr="004617FC">
        <w:rPr>
          <w:noProof/>
          <w:sz w:val="18"/>
        </w:rPr>
      </w:r>
      <w:r w:rsidRPr="004617FC">
        <w:rPr>
          <w:noProof/>
          <w:sz w:val="18"/>
        </w:rPr>
        <w:fldChar w:fldCharType="separate"/>
      </w:r>
      <w:r w:rsidR="0019767B">
        <w:rPr>
          <w:noProof/>
          <w:sz w:val="18"/>
        </w:rPr>
        <w:t>4</w:t>
      </w:r>
      <w:r w:rsidRPr="004617FC">
        <w:rPr>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Income Tax Assessment Act 1997</w:t>
      </w:r>
      <w:r w:rsidRPr="004617FC">
        <w:rPr>
          <w:i w:val="0"/>
          <w:noProof/>
          <w:sz w:val="18"/>
        </w:rPr>
        <w:tab/>
      </w:r>
      <w:r w:rsidRPr="004617FC">
        <w:rPr>
          <w:i w:val="0"/>
          <w:noProof/>
          <w:sz w:val="18"/>
        </w:rPr>
        <w:fldChar w:fldCharType="begin"/>
      </w:r>
      <w:r w:rsidRPr="004617FC">
        <w:rPr>
          <w:i w:val="0"/>
          <w:noProof/>
          <w:sz w:val="18"/>
        </w:rPr>
        <w:instrText xml:space="preserve"> PAGEREF _Toc485992325 \h </w:instrText>
      </w:r>
      <w:r w:rsidRPr="004617FC">
        <w:rPr>
          <w:i w:val="0"/>
          <w:noProof/>
          <w:sz w:val="18"/>
        </w:rPr>
      </w:r>
      <w:r w:rsidRPr="004617FC">
        <w:rPr>
          <w:i w:val="0"/>
          <w:noProof/>
          <w:sz w:val="18"/>
        </w:rPr>
        <w:fldChar w:fldCharType="separate"/>
      </w:r>
      <w:r w:rsidR="0019767B">
        <w:rPr>
          <w:i w:val="0"/>
          <w:noProof/>
          <w:sz w:val="18"/>
        </w:rPr>
        <w:t>4</w:t>
      </w:r>
      <w:r w:rsidRPr="004617FC">
        <w:rPr>
          <w:i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Income Tax (Transitional Provisions) Act 1997</w:t>
      </w:r>
      <w:r w:rsidRPr="004617FC">
        <w:rPr>
          <w:i w:val="0"/>
          <w:noProof/>
          <w:sz w:val="18"/>
        </w:rPr>
        <w:tab/>
      </w:r>
      <w:r w:rsidRPr="004617FC">
        <w:rPr>
          <w:i w:val="0"/>
          <w:noProof/>
          <w:sz w:val="18"/>
        </w:rPr>
        <w:fldChar w:fldCharType="begin"/>
      </w:r>
      <w:r w:rsidRPr="004617FC">
        <w:rPr>
          <w:i w:val="0"/>
          <w:noProof/>
          <w:sz w:val="18"/>
        </w:rPr>
        <w:instrText xml:space="preserve"> PAGEREF _Toc485992328 \h </w:instrText>
      </w:r>
      <w:r w:rsidRPr="004617FC">
        <w:rPr>
          <w:i w:val="0"/>
          <w:noProof/>
          <w:sz w:val="18"/>
        </w:rPr>
      </w:r>
      <w:r w:rsidRPr="004617FC">
        <w:rPr>
          <w:i w:val="0"/>
          <w:noProof/>
          <w:sz w:val="18"/>
        </w:rPr>
        <w:fldChar w:fldCharType="separate"/>
      </w:r>
      <w:r w:rsidR="0019767B">
        <w:rPr>
          <w:i w:val="0"/>
          <w:noProof/>
          <w:sz w:val="18"/>
        </w:rPr>
        <w:t>8</w:t>
      </w:r>
      <w:r w:rsidRPr="004617FC">
        <w:rPr>
          <w:i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Legislation Act 2003</w:t>
      </w:r>
      <w:r w:rsidRPr="004617FC">
        <w:rPr>
          <w:i w:val="0"/>
          <w:noProof/>
          <w:sz w:val="18"/>
        </w:rPr>
        <w:tab/>
      </w:r>
      <w:r w:rsidRPr="004617FC">
        <w:rPr>
          <w:i w:val="0"/>
          <w:noProof/>
          <w:sz w:val="18"/>
        </w:rPr>
        <w:fldChar w:fldCharType="begin"/>
      </w:r>
      <w:r w:rsidRPr="004617FC">
        <w:rPr>
          <w:i w:val="0"/>
          <w:noProof/>
          <w:sz w:val="18"/>
        </w:rPr>
        <w:instrText xml:space="preserve"> PAGEREF _Toc485992332 \h </w:instrText>
      </w:r>
      <w:r w:rsidRPr="004617FC">
        <w:rPr>
          <w:i w:val="0"/>
          <w:noProof/>
          <w:sz w:val="18"/>
        </w:rPr>
      </w:r>
      <w:r w:rsidRPr="004617FC">
        <w:rPr>
          <w:i w:val="0"/>
          <w:noProof/>
          <w:sz w:val="18"/>
        </w:rPr>
        <w:fldChar w:fldCharType="separate"/>
      </w:r>
      <w:r w:rsidR="0019767B">
        <w:rPr>
          <w:i w:val="0"/>
          <w:noProof/>
          <w:sz w:val="18"/>
        </w:rPr>
        <w:t>12</w:t>
      </w:r>
      <w:r w:rsidRPr="004617FC">
        <w:rPr>
          <w:i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4617FC">
        <w:rPr>
          <w:i w:val="0"/>
          <w:noProof/>
          <w:sz w:val="18"/>
        </w:rPr>
        <w:tab/>
      </w:r>
      <w:r w:rsidRPr="004617FC">
        <w:rPr>
          <w:i w:val="0"/>
          <w:noProof/>
          <w:sz w:val="18"/>
        </w:rPr>
        <w:fldChar w:fldCharType="begin"/>
      </w:r>
      <w:r w:rsidRPr="004617FC">
        <w:rPr>
          <w:i w:val="0"/>
          <w:noProof/>
          <w:sz w:val="18"/>
        </w:rPr>
        <w:instrText xml:space="preserve"> PAGEREF _Toc485992333 \h </w:instrText>
      </w:r>
      <w:r w:rsidRPr="004617FC">
        <w:rPr>
          <w:i w:val="0"/>
          <w:noProof/>
          <w:sz w:val="18"/>
        </w:rPr>
      </w:r>
      <w:r w:rsidRPr="004617FC">
        <w:rPr>
          <w:i w:val="0"/>
          <w:noProof/>
          <w:sz w:val="18"/>
        </w:rPr>
        <w:fldChar w:fldCharType="separate"/>
      </w:r>
      <w:r w:rsidR="0019767B">
        <w:rPr>
          <w:i w:val="0"/>
          <w:noProof/>
          <w:sz w:val="18"/>
        </w:rPr>
        <w:t>12</w:t>
      </w:r>
      <w:r w:rsidRPr="004617FC">
        <w:rPr>
          <w:i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Taxation Administration Act 1953</w:t>
      </w:r>
      <w:r w:rsidRPr="004617FC">
        <w:rPr>
          <w:i w:val="0"/>
          <w:noProof/>
          <w:sz w:val="18"/>
        </w:rPr>
        <w:tab/>
      </w:r>
      <w:r w:rsidRPr="004617FC">
        <w:rPr>
          <w:i w:val="0"/>
          <w:noProof/>
          <w:sz w:val="18"/>
        </w:rPr>
        <w:fldChar w:fldCharType="begin"/>
      </w:r>
      <w:r w:rsidRPr="004617FC">
        <w:rPr>
          <w:i w:val="0"/>
          <w:noProof/>
          <w:sz w:val="18"/>
        </w:rPr>
        <w:instrText xml:space="preserve"> PAGEREF _Toc485992334 \h </w:instrText>
      </w:r>
      <w:r w:rsidRPr="004617FC">
        <w:rPr>
          <w:i w:val="0"/>
          <w:noProof/>
          <w:sz w:val="18"/>
        </w:rPr>
      </w:r>
      <w:r w:rsidRPr="004617FC">
        <w:rPr>
          <w:i w:val="0"/>
          <w:noProof/>
          <w:sz w:val="18"/>
        </w:rPr>
        <w:fldChar w:fldCharType="separate"/>
      </w:r>
      <w:r w:rsidR="0019767B">
        <w:rPr>
          <w:i w:val="0"/>
          <w:noProof/>
          <w:sz w:val="18"/>
        </w:rPr>
        <w:t>12</w:t>
      </w:r>
      <w:r w:rsidRPr="004617FC">
        <w:rPr>
          <w:i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Treasury Laws Amendment (Fair and Sustainable Superannuation) Act 2016</w:t>
      </w:r>
      <w:r w:rsidRPr="004617FC">
        <w:rPr>
          <w:i w:val="0"/>
          <w:noProof/>
          <w:sz w:val="18"/>
        </w:rPr>
        <w:tab/>
      </w:r>
      <w:r w:rsidRPr="004617FC">
        <w:rPr>
          <w:i w:val="0"/>
          <w:noProof/>
          <w:sz w:val="18"/>
        </w:rPr>
        <w:fldChar w:fldCharType="begin"/>
      </w:r>
      <w:r w:rsidRPr="004617FC">
        <w:rPr>
          <w:i w:val="0"/>
          <w:noProof/>
          <w:sz w:val="18"/>
        </w:rPr>
        <w:instrText xml:space="preserve"> PAGEREF _Toc485992335 \h </w:instrText>
      </w:r>
      <w:r w:rsidRPr="004617FC">
        <w:rPr>
          <w:i w:val="0"/>
          <w:noProof/>
          <w:sz w:val="18"/>
        </w:rPr>
      </w:r>
      <w:r w:rsidRPr="004617FC">
        <w:rPr>
          <w:i w:val="0"/>
          <w:noProof/>
          <w:sz w:val="18"/>
        </w:rPr>
        <w:fldChar w:fldCharType="separate"/>
      </w:r>
      <w:r w:rsidR="0019767B">
        <w:rPr>
          <w:i w:val="0"/>
          <w:noProof/>
          <w:sz w:val="18"/>
        </w:rPr>
        <w:t>13</w:t>
      </w:r>
      <w:r w:rsidRPr="004617FC">
        <w:rPr>
          <w:i w:val="0"/>
          <w:noProof/>
          <w:sz w:val="18"/>
        </w:rPr>
        <w:fldChar w:fldCharType="end"/>
      </w:r>
    </w:p>
    <w:p w:rsidR="004617FC" w:rsidRDefault="004617FC">
      <w:pPr>
        <w:pStyle w:val="TOC7"/>
        <w:rPr>
          <w:rFonts w:asciiTheme="minorHAnsi" w:eastAsiaTheme="minorEastAsia" w:hAnsiTheme="minorHAnsi" w:cstheme="minorBidi"/>
          <w:noProof/>
          <w:kern w:val="0"/>
          <w:sz w:val="22"/>
          <w:szCs w:val="22"/>
        </w:rPr>
      </w:pPr>
      <w:r>
        <w:rPr>
          <w:noProof/>
        </w:rPr>
        <w:t>Part 2—Application provisions</w:t>
      </w:r>
      <w:r w:rsidRPr="004617FC">
        <w:rPr>
          <w:noProof/>
          <w:sz w:val="18"/>
        </w:rPr>
        <w:tab/>
      </w:r>
      <w:r w:rsidRPr="004617FC">
        <w:rPr>
          <w:noProof/>
          <w:sz w:val="18"/>
        </w:rPr>
        <w:fldChar w:fldCharType="begin"/>
      </w:r>
      <w:r w:rsidRPr="004617FC">
        <w:rPr>
          <w:noProof/>
          <w:sz w:val="18"/>
        </w:rPr>
        <w:instrText xml:space="preserve"> PAGEREF _Toc485992336 \h </w:instrText>
      </w:r>
      <w:r w:rsidRPr="004617FC">
        <w:rPr>
          <w:noProof/>
          <w:sz w:val="18"/>
        </w:rPr>
      </w:r>
      <w:r w:rsidRPr="004617FC">
        <w:rPr>
          <w:noProof/>
          <w:sz w:val="18"/>
        </w:rPr>
        <w:fldChar w:fldCharType="separate"/>
      </w:r>
      <w:r w:rsidR="0019767B">
        <w:rPr>
          <w:noProof/>
          <w:sz w:val="18"/>
        </w:rPr>
        <w:t>14</w:t>
      </w:r>
      <w:r w:rsidRPr="004617FC">
        <w:rPr>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Income Tax (Transitional Provisions) Act 1997</w:t>
      </w:r>
      <w:r w:rsidRPr="004617FC">
        <w:rPr>
          <w:i w:val="0"/>
          <w:noProof/>
          <w:sz w:val="18"/>
        </w:rPr>
        <w:tab/>
      </w:r>
      <w:r w:rsidRPr="004617FC">
        <w:rPr>
          <w:i w:val="0"/>
          <w:noProof/>
          <w:sz w:val="18"/>
        </w:rPr>
        <w:fldChar w:fldCharType="begin"/>
      </w:r>
      <w:r w:rsidRPr="004617FC">
        <w:rPr>
          <w:i w:val="0"/>
          <w:noProof/>
          <w:sz w:val="18"/>
        </w:rPr>
        <w:instrText xml:space="preserve"> PAGEREF _Toc485992337 \h </w:instrText>
      </w:r>
      <w:r w:rsidRPr="004617FC">
        <w:rPr>
          <w:i w:val="0"/>
          <w:noProof/>
          <w:sz w:val="18"/>
        </w:rPr>
      </w:r>
      <w:r w:rsidRPr="004617FC">
        <w:rPr>
          <w:i w:val="0"/>
          <w:noProof/>
          <w:sz w:val="18"/>
        </w:rPr>
        <w:fldChar w:fldCharType="separate"/>
      </w:r>
      <w:r w:rsidR="0019767B">
        <w:rPr>
          <w:i w:val="0"/>
          <w:noProof/>
          <w:sz w:val="18"/>
        </w:rPr>
        <w:t>14</w:t>
      </w:r>
      <w:r w:rsidRPr="004617FC">
        <w:rPr>
          <w:i w:val="0"/>
          <w:noProof/>
          <w:sz w:val="18"/>
        </w:rPr>
        <w:fldChar w:fldCharType="end"/>
      </w:r>
    </w:p>
    <w:p w:rsidR="004617FC" w:rsidRDefault="004617FC">
      <w:pPr>
        <w:pStyle w:val="TOC6"/>
        <w:rPr>
          <w:rFonts w:asciiTheme="minorHAnsi" w:eastAsiaTheme="minorEastAsia" w:hAnsiTheme="minorHAnsi" w:cstheme="minorBidi"/>
          <w:b w:val="0"/>
          <w:noProof/>
          <w:kern w:val="0"/>
          <w:sz w:val="22"/>
          <w:szCs w:val="22"/>
        </w:rPr>
      </w:pPr>
      <w:r>
        <w:rPr>
          <w:noProof/>
        </w:rPr>
        <w:t>Schedule 2—Amendments relating to insolvency</w:t>
      </w:r>
      <w:r w:rsidRPr="004617FC">
        <w:rPr>
          <w:b w:val="0"/>
          <w:noProof/>
          <w:sz w:val="18"/>
        </w:rPr>
        <w:tab/>
      </w:r>
      <w:r w:rsidRPr="004617FC">
        <w:rPr>
          <w:b w:val="0"/>
          <w:noProof/>
          <w:sz w:val="18"/>
        </w:rPr>
        <w:fldChar w:fldCharType="begin"/>
      </w:r>
      <w:r w:rsidRPr="004617FC">
        <w:rPr>
          <w:b w:val="0"/>
          <w:noProof/>
          <w:sz w:val="18"/>
        </w:rPr>
        <w:instrText xml:space="preserve"> PAGEREF _Toc485992339 \h </w:instrText>
      </w:r>
      <w:r w:rsidRPr="004617FC">
        <w:rPr>
          <w:b w:val="0"/>
          <w:noProof/>
          <w:sz w:val="18"/>
        </w:rPr>
      </w:r>
      <w:r w:rsidRPr="004617FC">
        <w:rPr>
          <w:b w:val="0"/>
          <w:noProof/>
          <w:sz w:val="18"/>
        </w:rPr>
        <w:fldChar w:fldCharType="separate"/>
      </w:r>
      <w:r w:rsidR="0019767B">
        <w:rPr>
          <w:b w:val="0"/>
          <w:noProof/>
          <w:sz w:val="18"/>
        </w:rPr>
        <w:t>16</w:t>
      </w:r>
      <w:r w:rsidRPr="004617FC">
        <w:rPr>
          <w:b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Bankruptcy Act 1966</w:t>
      </w:r>
      <w:r w:rsidRPr="004617FC">
        <w:rPr>
          <w:i w:val="0"/>
          <w:noProof/>
          <w:sz w:val="18"/>
        </w:rPr>
        <w:tab/>
      </w:r>
      <w:r w:rsidRPr="004617FC">
        <w:rPr>
          <w:i w:val="0"/>
          <w:noProof/>
          <w:sz w:val="18"/>
        </w:rPr>
        <w:fldChar w:fldCharType="begin"/>
      </w:r>
      <w:r w:rsidRPr="004617FC">
        <w:rPr>
          <w:i w:val="0"/>
          <w:noProof/>
          <w:sz w:val="18"/>
        </w:rPr>
        <w:instrText xml:space="preserve"> PAGEREF _Toc485992340 \h </w:instrText>
      </w:r>
      <w:r w:rsidRPr="004617FC">
        <w:rPr>
          <w:i w:val="0"/>
          <w:noProof/>
          <w:sz w:val="18"/>
        </w:rPr>
      </w:r>
      <w:r w:rsidRPr="004617FC">
        <w:rPr>
          <w:i w:val="0"/>
          <w:noProof/>
          <w:sz w:val="18"/>
        </w:rPr>
        <w:fldChar w:fldCharType="separate"/>
      </w:r>
      <w:r w:rsidR="0019767B">
        <w:rPr>
          <w:i w:val="0"/>
          <w:noProof/>
          <w:sz w:val="18"/>
        </w:rPr>
        <w:t>16</w:t>
      </w:r>
      <w:r w:rsidRPr="004617FC">
        <w:rPr>
          <w:i w:val="0"/>
          <w:noProof/>
          <w:sz w:val="18"/>
        </w:rPr>
        <w:fldChar w:fldCharType="end"/>
      </w:r>
    </w:p>
    <w:p w:rsidR="004617FC" w:rsidRDefault="004617FC">
      <w:pPr>
        <w:pStyle w:val="TOC9"/>
        <w:rPr>
          <w:rFonts w:asciiTheme="minorHAnsi" w:eastAsiaTheme="minorEastAsia" w:hAnsiTheme="minorHAnsi" w:cstheme="minorBidi"/>
          <w:i w:val="0"/>
          <w:noProof/>
          <w:kern w:val="0"/>
          <w:sz w:val="22"/>
          <w:szCs w:val="22"/>
        </w:rPr>
      </w:pPr>
      <w:r>
        <w:rPr>
          <w:noProof/>
        </w:rPr>
        <w:t>Corporations Act 2001</w:t>
      </w:r>
      <w:r w:rsidRPr="004617FC">
        <w:rPr>
          <w:i w:val="0"/>
          <w:noProof/>
          <w:sz w:val="18"/>
        </w:rPr>
        <w:tab/>
      </w:r>
      <w:r w:rsidRPr="004617FC">
        <w:rPr>
          <w:i w:val="0"/>
          <w:noProof/>
          <w:sz w:val="18"/>
        </w:rPr>
        <w:fldChar w:fldCharType="begin"/>
      </w:r>
      <w:r w:rsidRPr="004617FC">
        <w:rPr>
          <w:i w:val="0"/>
          <w:noProof/>
          <w:sz w:val="18"/>
        </w:rPr>
        <w:instrText xml:space="preserve"> PAGEREF _Toc485992341 \h </w:instrText>
      </w:r>
      <w:r w:rsidRPr="004617FC">
        <w:rPr>
          <w:i w:val="0"/>
          <w:noProof/>
          <w:sz w:val="18"/>
        </w:rPr>
      </w:r>
      <w:r w:rsidRPr="004617FC">
        <w:rPr>
          <w:i w:val="0"/>
          <w:noProof/>
          <w:sz w:val="18"/>
        </w:rPr>
        <w:fldChar w:fldCharType="separate"/>
      </w:r>
      <w:r w:rsidR="0019767B">
        <w:rPr>
          <w:i w:val="0"/>
          <w:noProof/>
          <w:sz w:val="18"/>
        </w:rPr>
        <w:t>17</w:t>
      </w:r>
      <w:r w:rsidRPr="004617FC">
        <w:rPr>
          <w:i w:val="0"/>
          <w:noProof/>
          <w:sz w:val="18"/>
        </w:rPr>
        <w:fldChar w:fldCharType="end"/>
      </w:r>
    </w:p>
    <w:p w:rsidR="00060FF9" w:rsidRPr="00EF6A15" w:rsidRDefault="004617FC" w:rsidP="0048364F">
      <w:r>
        <w:fldChar w:fldCharType="end"/>
      </w:r>
    </w:p>
    <w:p w:rsidR="00FE7F93" w:rsidRPr="00EF6A15" w:rsidRDefault="00FE7F93" w:rsidP="0048364F">
      <w:pPr>
        <w:sectPr w:rsidR="00FE7F93" w:rsidRPr="00EF6A15" w:rsidSect="00A31F7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A31F7D" w:rsidRDefault="0019767B">
      <w:r>
        <w:lastRenderedPageBreak/>
        <w:pict>
          <v:shape id="_x0000_i1026" type="#_x0000_t75" style="width:110.25pt;height:80.25pt" fillcolor="window">
            <v:imagedata r:id="rId8" o:title=""/>
          </v:shape>
        </w:pict>
      </w:r>
    </w:p>
    <w:p w:rsidR="00A31F7D" w:rsidRDefault="00A31F7D"/>
    <w:p w:rsidR="00A31F7D" w:rsidRDefault="00A31F7D" w:rsidP="00A31F7D">
      <w:pPr>
        <w:spacing w:line="240" w:lineRule="auto"/>
      </w:pPr>
    </w:p>
    <w:p w:rsidR="00A31F7D" w:rsidRDefault="0019767B" w:rsidP="00A31F7D">
      <w:pPr>
        <w:pStyle w:val="ShortTP1"/>
      </w:pPr>
      <w:r>
        <w:fldChar w:fldCharType="begin"/>
      </w:r>
      <w:r>
        <w:instrText xml:space="preserve"> STYLEREF ShortT </w:instrText>
      </w:r>
      <w:r>
        <w:fldChar w:fldCharType="separate"/>
      </w:r>
      <w:r>
        <w:rPr>
          <w:noProof/>
        </w:rPr>
        <w:t>Treasury Laws Amendment (2017 Measures No. 2) Act 2017</w:t>
      </w:r>
      <w:r>
        <w:rPr>
          <w:noProof/>
        </w:rPr>
        <w:fldChar w:fldCharType="end"/>
      </w:r>
    </w:p>
    <w:p w:rsidR="00A31F7D" w:rsidRDefault="0019767B" w:rsidP="00A31F7D">
      <w:pPr>
        <w:pStyle w:val="ActNoP1"/>
      </w:pPr>
      <w:r>
        <w:fldChar w:fldCharType="begin"/>
      </w:r>
      <w:r>
        <w:instrText xml:space="preserve"> STYLEREF Actno </w:instrText>
      </w:r>
      <w:r>
        <w:fldChar w:fldCharType="separate"/>
      </w:r>
      <w:r>
        <w:rPr>
          <w:noProof/>
        </w:rPr>
        <w:t>No. 55, 2017</w:t>
      </w:r>
      <w:r>
        <w:rPr>
          <w:noProof/>
        </w:rPr>
        <w:fldChar w:fldCharType="end"/>
      </w:r>
    </w:p>
    <w:p w:rsidR="00A31F7D" w:rsidRPr="009A0728" w:rsidRDefault="00A31F7D" w:rsidP="009A0728">
      <w:pPr>
        <w:pBdr>
          <w:bottom w:val="single" w:sz="6" w:space="0" w:color="auto"/>
        </w:pBdr>
        <w:spacing w:before="400" w:line="240" w:lineRule="auto"/>
        <w:rPr>
          <w:rFonts w:eastAsia="Times New Roman"/>
          <w:b/>
          <w:sz w:val="28"/>
        </w:rPr>
      </w:pPr>
    </w:p>
    <w:p w:rsidR="00A31F7D" w:rsidRPr="009A0728" w:rsidRDefault="00A31F7D" w:rsidP="009A0728">
      <w:pPr>
        <w:spacing w:line="40" w:lineRule="exact"/>
        <w:rPr>
          <w:rFonts w:eastAsia="Calibri"/>
          <w:b/>
          <w:sz w:val="28"/>
        </w:rPr>
      </w:pPr>
    </w:p>
    <w:p w:rsidR="00A31F7D" w:rsidRPr="009A0728" w:rsidRDefault="00A31F7D" w:rsidP="009A0728">
      <w:pPr>
        <w:pBdr>
          <w:top w:val="single" w:sz="12" w:space="0" w:color="auto"/>
        </w:pBdr>
        <w:spacing w:line="240" w:lineRule="auto"/>
        <w:rPr>
          <w:rFonts w:eastAsia="Times New Roman"/>
          <w:b/>
          <w:sz w:val="28"/>
        </w:rPr>
      </w:pPr>
    </w:p>
    <w:p w:rsidR="0048364F" w:rsidRPr="00EF6A15" w:rsidRDefault="00A31F7D" w:rsidP="00EF6A15">
      <w:pPr>
        <w:pStyle w:val="Page1"/>
      </w:pPr>
      <w:r>
        <w:t>An Act</w:t>
      </w:r>
      <w:r w:rsidR="00EF6A15" w:rsidRPr="00EF6A15">
        <w:t xml:space="preserve"> to amend the law relating to taxation, superannuation, personal insolvency and corporate insolvency, and for related purposes</w:t>
      </w:r>
    </w:p>
    <w:p w:rsidR="00776064" w:rsidRDefault="00776064" w:rsidP="000C5962">
      <w:pPr>
        <w:pStyle w:val="AssentDt"/>
        <w:spacing w:before="240"/>
        <w:rPr>
          <w:sz w:val="24"/>
        </w:rPr>
      </w:pPr>
      <w:r>
        <w:rPr>
          <w:sz w:val="24"/>
        </w:rPr>
        <w:t>[</w:t>
      </w:r>
      <w:r>
        <w:rPr>
          <w:i/>
          <w:sz w:val="24"/>
        </w:rPr>
        <w:t>Assented to 22 June 2017</w:t>
      </w:r>
      <w:r>
        <w:rPr>
          <w:sz w:val="24"/>
        </w:rPr>
        <w:t>]</w:t>
      </w:r>
    </w:p>
    <w:p w:rsidR="0048364F" w:rsidRPr="00EF6A15" w:rsidRDefault="0048364F" w:rsidP="00EF6A15">
      <w:pPr>
        <w:spacing w:before="240" w:line="240" w:lineRule="auto"/>
        <w:rPr>
          <w:sz w:val="32"/>
        </w:rPr>
      </w:pPr>
      <w:r w:rsidRPr="00EF6A15">
        <w:rPr>
          <w:sz w:val="32"/>
        </w:rPr>
        <w:t>The Parliament of Australia enacts:</w:t>
      </w:r>
    </w:p>
    <w:p w:rsidR="0048364F" w:rsidRPr="00EF6A15" w:rsidRDefault="0048364F" w:rsidP="00EF6A15">
      <w:pPr>
        <w:pStyle w:val="ActHead5"/>
      </w:pPr>
      <w:bookmarkStart w:id="2" w:name="_Toc485992320"/>
      <w:r w:rsidRPr="00EF6A15">
        <w:rPr>
          <w:rStyle w:val="CharSectno"/>
        </w:rPr>
        <w:t>1</w:t>
      </w:r>
      <w:r w:rsidRPr="00EF6A15">
        <w:t xml:space="preserve">  Short title</w:t>
      </w:r>
      <w:bookmarkEnd w:id="2"/>
    </w:p>
    <w:p w:rsidR="0048364F" w:rsidRPr="00EF6A15" w:rsidRDefault="0048364F" w:rsidP="00EF6A15">
      <w:pPr>
        <w:pStyle w:val="subsection"/>
      </w:pPr>
      <w:r w:rsidRPr="00EF6A15">
        <w:tab/>
      </w:r>
      <w:r w:rsidRPr="00EF6A15">
        <w:tab/>
        <w:t xml:space="preserve">This Act </w:t>
      </w:r>
      <w:r w:rsidR="00275197" w:rsidRPr="00EF6A15">
        <w:t xml:space="preserve">is </w:t>
      </w:r>
      <w:r w:rsidRPr="00EF6A15">
        <w:t xml:space="preserve">the </w:t>
      </w:r>
      <w:r w:rsidR="0092098E" w:rsidRPr="00EF6A15">
        <w:rPr>
          <w:i/>
        </w:rPr>
        <w:t>Treasury Laws Amendment (2017 Measures No.</w:t>
      </w:r>
      <w:r w:rsidR="00EF6A15" w:rsidRPr="00EF6A15">
        <w:rPr>
          <w:i/>
        </w:rPr>
        <w:t> </w:t>
      </w:r>
      <w:r w:rsidR="0092098E" w:rsidRPr="00EF6A15">
        <w:rPr>
          <w:i/>
        </w:rPr>
        <w:t xml:space="preserve">2) </w:t>
      </w:r>
      <w:r w:rsidR="00C164CA" w:rsidRPr="00EF6A15">
        <w:rPr>
          <w:i/>
        </w:rPr>
        <w:t>Act 201</w:t>
      </w:r>
      <w:r w:rsidR="00A048FF" w:rsidRPr="00EF6A15">
        <w:rPr>
          <w:i/>
        </w:rPr>
        <w:t>7</w:t>
      </w:r>
      <w:r w:rsidRPr="00EF6A15">
        <w:t>.</w:t>
      </w:r>
    </w:p>
    <w:p w:rsidR="00B96198" w:rsidRPr="00EF6A15" w:rsidRDefault="00B96198" w:rsidP="00EF6A15">
      <w:pPr>
        <w:pStyle w:val="ActHead5"/>
      </w:pPr>
      <w:bookmarkStart w:id="3" w:name="_Toc485992321"/>
      <w:r w:rsidRPr="00EF6A15">
        <w:rPr>
          <w:rStyle w:val="CharSectno"/>
        </w:rPr>
        <w:lastRenderedPageBreak/>
        <w:t>2</w:t>
      </w:r>
      <w:r w:rsidRPr="00EF6A15">
        <w:t xml:space="preserve">  Commencement</w:t>
      </w:r>
      <w:bookmarkEnd w:id="3"/>
    </w:p>
    <w:p w:rsidR="00B96198" w:rsidRPr="00EF6A15" w:rsidRDefault="00B96198" w:rsidP="00EF6A15">
      <w:pPr>
        <w:pStyle w:val="subsection"/>
      </w:pPr>
      <w:r w:rsidRPr="00EF6A15">
        <w:tab/>
        <w:t>(1)</w:t>
      </w:r>
      <w:r w:rsidRPr="00EF6A15">
        <w:tab/>
        <w:t>Each provision of this Act specified in column 1 of the table commences, or is taken to have commenced, in accordance with column 2 of the table. Any other statement in column 2 has effect according to its terms.</w:t>
      </w:r>
    </w:p>
    <w:p w:rsidR="00B96198" w:rsidRPr="00EF6A15" w:rsidRDefault="00B96198" w:rsidP="00EF6A1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96198" w:rsidRPr="00EF6A15" w:rsidTr="007C38EC">
        <w:trPr>
          <w:tblHeader/>
        </w:trPr>
        <w:tc>
          <w:tcPr>
            <w:tcW w:w="7111" w:type="dxa"/>
            <w:gridSpan w:val="3"/>
            <w:tcBorders>
              <w:top w:val="single" w:sz="12" w:space="0" w:color="auto"/>
              <w:bottom w:val="single" w:sz="6" w:space="0" w:color="auto"/>
            </w:tcBorders>
            <w:shd w:val="clear" w:color="auto" w:fill="auto"/>
          </w:tcPr>
          <w:p w:rsidR="00B96198" w:rsidRPr="00EF6A15" w:rsidRDefault="00B96198" w:rsidP="00EF6A15">
            <w:pPr>
              <w:pStyle w:val="TableHeading"/>
            </w:pPr>
            <w:r w:rsidRPr="00EF6A15">
              <w:t>Commencement information</w:t>
            </w:r>
          </w:p>
        </w:tc>
      </w:tr>
      <w:tr w:rsidR="00B96198" w:rsidRPr="00EF6A15" w:rsidTr="007C38EC">
        <w:trPr>
          <w:tblHeader/>
        </w:trPr>
        <w:tc>
          <w:tcPr>
            <w:tcW w:w="1701" w:type="dxa"/>
            <w:tcBorders>
              <w:top w:val="single" w:sz="6" w:space="0" w:color="auto"/>
              <w:bottom w:val="single" w:sz="6" w:space="0" w:color="auto"/>
            </w:tcBorders>
            <w:shd w:val="clear" w:color="auto" w:fill="auto"/>
          </w:tcPr>
          <w:p w:rsidR="00B96198" w:rsidRPr="00EF6A15" w:rsidRDefault="00B96198" w:rsidP="00EF6A15">
            <w:pPr>
              <w:pStyle w:val="TableHeading"/>
            </w:pPr>
            <w:r w:rsidRPr="00EF6A15">
              <w:t>Column 1</w:t>
            </w:r>
          </w:p>
        </w:tc>
        <w:tc>
          <w:tcPr>
            <w:tcW w:w="3828" w:type="dxa"/>
            <w:tcBorders>
              <w:top w:val="single" w:sz="6" w:space="0" w:color="auto"/>
              <w:bottom w:val="single" w:sz="6" w:space="0" w:color="auto"/>
            </w:tcBorders>
            <w:shd w:val="clear" w:color="auto" w:fill="auto"/>
          </w:tcPr>
          <w:p w:rsidR="00B96198" w:rsidRPr="00EF6A15" w:rsidRDefault="00B96198" w:rsidP="00EF6A15">
            <w:pPr>
              <w:pStyle w:val="TableHeading"/>
            </w:pPr>
            <w:r w:rsidRPr="00EF6A15">
              <w:t>Column 2</w:t>
            </w:r>
          </w:p>
        </w:tc>
        <w:tc>
          <w:tcPr>
            <w:tcW w:w="1582" w:type="dxa"/>
            <w:tcBorders>
              <w:top w:val="single" w:sz="6" w:space="0" w:color="auto"/>
              <w:bottom w:val="single" w:sz="6" w:space="0" w:color="auto"/>
            </w:tcBorders>
            <w:shd w:val="clear" w:color="auto" w:fill="auto"/>
          </w:tcPr>
          <w:p w:rsidR="00B96198" w:rsidRPr="00EF6A15" w:rsidRDefault="00B96198" w:rsidP="00EF6A15">
            <w:pPr>
              <w:pStyle w:val="TableHeading"/>
            </w:pPr>
            <w:r w:rsidRPr="00EF6A15">
              <w:t>Column 3</w:t>
            </w:r>
          </w:p>
        </w:tc>
      </w:tr>
      <w:tr w:rsidR="00B96198" w:rsidRPr="00EF6A15" w:rsidTr="007C38EC">
        <w:trPr>
          <w:tblHeader/>
        </w:trPr>
        <w:tc>
          <w:tcPr>
            <w:tcW w:w="1701" w:type="dxa"/>
            <w:tcBorders>
              <w:top w:val="single" w:sz="6" w:space="0" w:color="auto"/>
              <w:bottom w:val="single" w:sz="12" w:space="0" w:color="auto"/>
            </w:tcBorders>
            <w:shd w:val="clear" w:color="auto" w:fill="auto"/>
          </w:tcPr>
          <w:p w:rsidR="00B96198" w:rsidRPr="00EF6A15" w:rsidRDefault="00B96198" w:rsidP="00EF6A15">
            <w:pPr>
              <w:pStyle w:val="TableHeading"/>
            </w:pPr>
            <w:r w:rsidRPr="00EF6A15">
              <w:t>Provisions</w:t>
            </w:r>
          </w:p>
        </w:tc>
        <w:tc>
          <w:tcPr>
            <w:tcW w:w="3828" w:type="dxa"/>
            <w:tcBorders>
              <w:top w:val="single" w:sz="6" w:space="0" w:color="auto"/>
              <w:bottom w:val="single" w:sz="12" w:space="0" w:color="auto"/>
            </w:tcBorders>
            <w:shd w:val="clear" w:color="auto" w:fill="auto"/>
          </w:tcPr>
          <w:p w:rsidR="00B96198" w:rsidRPr="00EF6A15" w:rsidRDefault="00B96198" w:rsidP="00EF6A15">
            <w:pPr>
              <w:pStyle w:val="TableHeading"/>
            </w:pPr>
            <w:r w:rsidRPr="00EF6A15">
              <w:t>Commencement</w:t>
            </w:r>
          </w:p>
        </w:tc>
        <w:tc>
          <w:tcPr>
            <w:tcW w:w="1582" w:type="dxa"/>
            <w:tcBorders>
              <w:top w:val="single" w:sz="6" w:space="0" w:color="auto"/>
              <w:bottom w:val="single" w:sz="12" w:space="0" w:color="auto"/>
            </w:tcBorders>
            <w:shd w:val="clear" w:color="auto" w:fill="auto"/>
          </w:tcPr>
          <w:p w:rsidR="00B96198" w:rsidRPr="00EF6A15" w:rsidRDefault="00B96198" w:rsidP="00EF6A15">
            <w:pPr>
              <w:pStyle w:val="TableHeading"/>
            </w:pPr>
            <w:r w:rsidRPr="00EF6A15">
              <w:t>Date/Details</w:t>
            </w:r>
          </w:p>
        </w:tc>
      </w:tr>
      <w:tr w:rsidR="00B96198" w:rsidRPr="00EF6A15" w:rsidTr="007C38EC">
        <w:tc>
          <w:tcPr>
            <w:tcW w:w="1701" w:type="dxa"/>
            <w:tcBorders>
              <w:top w:val="single" w:sz="12" w:space="0" w:color="auto"/>
            </w:tcBorders>
            <w:shd w:val="clear" w:color="auto" w:fill="auto"/>
          </w:tcPr>
          <w:p w:rsidR="00B96198" w:rsidRPr="00EF6A15" w:rsidRDefault="00B96198" w:rsidP="00EF6A15">
            <w:pPr>
              <w:pStyle w:val="Tabletext"/>
            </w:pPr>
            <w:r w:rsidRPr="00EF6A15">
              <w:t>1.  Sections</w:t>
            </w:r>
            <w:r w:rsidR="00EF6A15" w:rsidRPr="00EF6A15">
              <w:t> </w:t>
            </w:r>
            <w:r w:rsidRPr="00EF6A15">
              <w:t>1 to 3 and anything in this Act not elsewhere covered by this table</w:t>
            </w:r>
          </w:p>
        </w:tc>
        <w:tc>
          <w:tcPr>
            <w:tcW w:w="3828" w:type="dxa"/>
            <w:tcBorders>
              <w:top w:val="single" w:sz="12" w:space="0" w:color="auto"/>
            </w:tcBorders>
            <w:shd w:val="clear" w:color="auto" w:fill="auto"/>
          </w:tcPr>
          <w:p w:rsidR="00B96198" w:rsidRPr="00EF6A15" w:rsidRDefault="00B96198" w:rsidP="00EF6A15">
            <w:pPr>
              <w:pStyle w:val="Tabletext"/>
            </w:pPr>
            <w:r w:rsidRPr="00EF6A15">
              <w:t>The day this Act receives the Royal Assent.</w:t>
            </w:r>
          </w:p>
        </w:tc>
        <w:tc>
          <w:tcPr>
            <w:tcW w:w="1582" w:type="dxa"/>
            <w:tcBorders>
              <w:top w:val="single" w:sz="12" w:space="0" w:color="auto"/>
            </w:tcBorders>
            <w:shd w:val="clear" w:color="auto" w:fill="auto"/>
          </w:tcPr>
          <w:p w:rsidR="00B96198" w:rsidRPr="00EF6A15" w:rsidRDefault="006D6217" w:rsidP="00EF6A15">
            <w:pPr>
              <w:pStyle w:val="Tabletext"/>
            </w:pPr>
            <w:r>
              <w:t>22 June 2017</w:t>
            </w:r>
          </w:p>
        </w:tc>
      </w:tr>
      <w:tr w:rsidR="00B96198" w:rsidRPr="00EF6A15" w:rsidTr="007C38EC">
        <w:tc>
          <w:tcPr>
            <w:tcW w:w="1701" w:type="dxa"/>
            <w:shd w:val="clear" w:color="auto" w:fill="auto"/>
          </w:tcPr>
          <w:p w:rsidR="00B96198" w:rsidRPr="00EF6A15" w:rsidRDefault="00B96198" w:rsidP="00EF6A15">
            <w:pPr>
              <w:pStyle w:val="Tabletext"/>
            </w:pPr>
            <w:r w:rsidRPr="00EF6A15">
              <w:t>2.  Schedule</w:t>
            </w:r>
            <w:r w:rsidR="00EF6A15" w:rsidRPr="00EF6A15">
              <w:t> </w:t>
            </w:r>
            <w:r w:rsidRPr="00EF6A15">
              <w:t>1, items</w:t>
            </w:r>
            <w:r w:rsidR="00EF6A15" w:rsidRPr="00EF6A15">
              <w:t> </w:t>
            </w:r>
            <w:r w:rsidRPr="00EF6A15">
              <w:t>1 to 19</w:t>
            </w:r>
          </w:p>
        </w:tc>
        <w:tc>
          <w:tcPr>
            <w:tcW w:w="3828" w:type="dxa"/>
            <w:shd w:val="clear" w:color="auto" w:fill="auto"/>
          </w:tcPr>
          <w:p w:rsidR="00B96198" w:rsidRPr="00EF6A15" w:rsidRDefault="00B96198" w:rsidP="00EF6A15">
            <w:pPr>
              <w:pStyle w:val="Tabletext"/>
            </w:pPr>
            <w:r w:rsidRPr="00EF6A15">
              <w:t>The first 1</w:t>
            </w:r>
            <w:r w:rsidR="00EF6A15" w:rsidRPr="00EF6A15">
              <w:t> </w:t>
            </w:r>
            <w:r w:rsidRPr="00EF6A15">
              <w:t>January, 1</w:t>
            </w:r>
            <w:r w:rsidR="00EF6A15" w:rsidRPr="00EF6A15">
              <w:t> </w:t>
            </w:r>
            <w:r w:rsidRPr="00EF6A15">
              <w:t>April, 1</w:t>
            </w:r>
            <w:r w:rsidR="00EF6A15" w:rsidRPr="00EF6A15">
              <w:t> </w:t>
            </w:r>
            <w:r w:rsidRPr="00EF6A15">
              <w:t>July or 1</w:t>
            </w:r>
            <w:r w:rsidR="00EF6A15" w:rsidRPr="00EF6A15">
              <w:t> </w:t>
            </w:r>
            <w:r w:rsidRPr="00EF6A15">
              <w:t>October to occur after the day this Act receives the Royal Assent.</w:t>
            </w:r>
          </w:p>
        </w:tc>
        <w:tc>
          <w:tcPr>
            <w:tcW w:w="1582" w:type="dxa"/>
            <w:shd w:val="clear" w:color="auto" w:fill="auto"/>
          </w:tcPr>
          <w:p w:rsidR="00B96198" w:rsidRPr="00EF6A15" w:rsidRDefault="006D6217" w:rsidP="00EF6A15">
            <w:pPr>
              <w:pStyle w:val="Tabletext"/>
            </w:pPr>
            <w:r>
              <w:t>1 July 2017</w:t>
            </w:r>
          </w:p>
        </w:tc>
      </w:tr>
      <w:tr w:rsidR="00B96198" w:rsidRPr="00EF6A15" w:rsidTr="007C38EC">
        <w:tc>
          <w:tcPr>
            <w:tcW w:w="1701" w:type="dxa"/>
            <w:shd w:val="clear" w:color="auto" w:fill="auto"/>
          </w:tcPr>
          <w:p w:rsidR="00B96198" w:rsidRPr="00EF6A15" w:rsidRDefault="00B96198" w:rsidP="00EF6A15">
            <w:pPr>
              <w:pStyle w:val="Tabletext"/>
            </w:pPr>
            <w:r w:rsidRPr="00EF6A15">
              <w:t>3.  Schedule</w:t>
            </w:r>
            <w:r w:rsidR="00EF6A15" w:rsidRPr="00EF6A15">
              <w:t> </w:t>
            </w:r>
            <w:r w:rsidRPr="00EF6A15">
              <w:t>1, item</w:t>
            </w:r>
            <w:r w:rsidR="00EF6A15" w:rsidRPr="00EF6A15">
              <w:t> </w:t>
            </w:r>
            <w:r w:rsidRPr="00EF6A15">
              <w:t>20</w:t>
            </w:r>
          </w:p>
        </w:tc>
        <w:tc>
          <w:tcPr>
            <w:tcW w:w="3828" w:type="dxa"/>
            <w:shd w:val="clear" w:color="auto" w:fill="auto"/>
          </w:tcPr>
          <w:p w:rsidR="00B96198" w:rsidRPr="00EF6A15" w:rsidRDefault="00B96198" w:rsidP="00EF6A15">
            <w:pPr>
              <w:pStyle w:val="Tabletext"/>
            </w:pPr>
            <w:r w:rsidRPr="00EF6A15">
              <w:t>The day this Act receives the Royal Assent.</w:t>
            </w:r>
          </w:p>
        </w:tc>
        <w:tc>
          <w:tcPr>
            <w:tcW w:w="1582" w:type="dxa"/>
            <w:shd w:val="clear" w:color="auto" w:fill="auto"/>
          </w:tcPr>
          <w:p w:rsidR="00B96198" w:rsidRPr="00EF6A15" w:rsidRDefault="006D6217" w:rsidP="00EF6A15">
            <w:pPr>
              <w:pStyle w:val="Tabletext"/>
            </w:pPr>
            <w:r>
              <w:t>22 June 2017</w:t>
            </w:r>
          </w:p>
        </w:tc>
      </w:tr>
      <w:tr w:rsidR="00B96198" w:rsidRPr="00EF6A15" w:rsidTr="007C38EC">
        <w:tc>
          <w:tcPr>
            <w:tcW w:w="1701" w:type="dxa"/>
            <w:shd w:val="clear" w:color="auto" w:fill="auto"/>
          </w:tcPr>
          <w:p w:rsidR="00B96198" w:rsidRPr="00EF6A15" w:rsidRDefault="00B96198" w:rsidP="00EF6A15">
            <w:pPr>
              <w:pStyle w:val="Tabletext"/>
            </w:pPr>
            <w:r w:rsidRPr="00EF6A15">
              <w:t>4.  Schedule</w:t>
            </w:r>
            <w:r w:rsidR="00EF6A15" w:rsidRPr="00EF6A15">
              <w:t> </w:t>
            </w:r>
            <w:r w:rsidRPr="00EF6A15">
              <w:t>1, item</w:t>
            </w:r>
            <w:r w:rsidR="00EF6A15" w:rsidRPr="00EF6A15">
              <w:t> </w:t>
            </w:r>
            <w:r w:rsidRPr="00EF6A15">
              <w:t>21</w:t>
            </w:r>
          </w:p>
        </w:tc>
        <w:tc>
          <w:tcPr>
            <w:tcW w:w="3828" w:type="dxa"/>
            <w:shd w:val="clear" w:color="auto" w:fill="auto"/>
          </w:tcPr>
          <w:p w:rsidR="00B96198" w:rsidRPr="00EF6A15" w:rsidRDefault="00B96198" w:rsidP="00EF6A15">
            <w:pPr>
              <w:pStyle w:val="Tabletext"/>
            </w:pPr>
            <w:r w:rsidRPr="00EF6A15">
              <w:t>The later of:</w:t>
            </w:r>
          </w:p>
          <w:p w:rsidR="00B96198" w:rsidRPr="00EF6A15" w:rsidRDefault="00B96198" w:rsidP="00EF6A15">
            <w:pPr>
              <w:pStyle w:val="Tablea"/>
            </w:pPr>
            <w:r w:rsidRPr="00EF6A15">
              <w:t>(a) the start of the day this Act receives the Royal Assent; and</w:t>
            </w:r>
          </w:p>
          <w:p w:rsidR="00B96198" w:rsidRPr="00EF6A15" w:rsidRDefault="00B96198" w:rsidP="00EF6A15">
            <w:pPr>
              <w:pStyle w:val="Tablea"/>
            </w:pPr>
            <w:r w:rsidRPr="00EF6A15">
              <w:t xml:space="preserve">(b) immediately after the commencement of the </w:t>
            </w:r>
            <w:r w:rsidRPr="00EF6A15">
              <w:rPr>
                <w:i/>
              </w:rPr>
              <w:t>Superannuation (Objective) Act 2017</w:t>
            </w:r>
            <w:r w:rsidRPr="00EF6A15">
              <w:t>.</w:t>
            </w:r>
          </w:p>
          <w:p w:rsidR="00B96198" w:rsidRPr="00EF6A15" w:rsidRDefault="00B96198" w:rsidP="00EF6A15">
            <w:pPr>
              <w:pStyle w:val="Tabletext"/>
            </w:pPr>
            <w:r w:rsidRPr="00EF6A15">
              <w:t xml:space="preserve">However, the provisions do not commence at all if the event mentioned in </w:t>
            </w:r>
            <w:r w:rsidR="00EF6A15" w:rsidRPr="00EF6A15">
              <w:t>paragraph (</w:t>
            </w:r>
            <w:r w:rsidRPr="00EF6A15">
              <w:t>b) does not occur.</w:t>
            </w:r>
          </w:p>
        </w:tc>
        <w:tc>
          <w:tcPr>
            <w:tcW w:w="1582" w:type="dxa"/>
            <w:shd w:val="clear" w:color="auto" w:fill="auto"/>
          </w:tcPr>
          <w:p w:rsidR="00B96198" w:rsidRPr="00EF6A15" w:rsidRDefault="0019767B" w:rsidP="00EF6A15">
            <w:pPr>
              <w:pStyle w:val="Tabletext"/>
            </w:pPr>
            <w:r>
              <w:t>Never commenced</w:t>
            </w:r>
          </w:p>
        </w:tc>
      </w:tr>
      <w:tr w:rsidR="00B96198" w:rsidRPr="00EF6A15" w:rsidTr="007C38EC">
        <w:tc>
          <w:tcPr>
            <w:tcW w:w="1701" w:type="dxa"/>
            <w:shd w:val="clear" w:color="auto" w:fill="auto"/>
          </w:tcPr>
          <w:p w:rsidR="00B96198" w:rsidRPr="00EF6A15" w:rsidRDefault="00B96198" w:rsidP="00EF6A15">
            <w:pPr>
              <w:pStyle w:val="Tabletext"/>
            </w:pPr>
            <w:r w:rsidRPr="00EF6A15">
              <w:t>5.  Schedule</w:t>
            </w:r>
            <w:r w:rsidR="00EF6A15" w:rsidRPr="00EF6A15">
              <w:t> </w:t>
            </w:r>
            <w:r w:rsidRPr="00EF6A15">
              <w:t>1, items</w:t>
            </w:r>
            <w:r w:rsidR="00EF6A15" w:rsidRPr="00EF6A15">
              <w:t> </w:t>
            </w:r>
            <w:r w:rsidRPr="00EF6A15">
              <w:t>22 to 24</w:t>
            </w:r>
          </w:p>
        </w:tc>
        <w:tc>
          <w:tcPr>
            <w:tcW w:w="3828" w:type="dxa"/>
            <w:shd w:val="clear" w:color="auto" w:fill="auto"/>
          </w:tcPr>
          <w:p w:rsidR="00B96198" w:rsidRPr="00EF6A15" w:rsidRDefault="00B96198" w:rsidP="00EF6A15">
            <w:pPr>
              <w:pStyle w:val="Tabletext"/>
            </w:pPr>
            <w:r w:rsidRPr="00EF6A15">
              <w:t>The first 1</w:t>
            </w:r>
            <w:r w:rsidR="00EF6A15" w:rsidRPr="00EF6A15">
              <w:t> </w:t>
            </w:r>
            <w:r w:rsidRPr="00EF6A15">
              <w:t>January, 1</w:t>
            </w:r>
            <w:r w:rsidR="00EF6A15" w:rsidRPr="00EF6A15">
              <w:t> </w:t>
            </w:r>
            <w:r w:rsidRPr="00EF6A15">
              <w:t>April, 1</w:t>
            </w:r>
            <w:r w:rsidR="00EF6A15" w:rsidRPr="00EF6A15">
              <w:t> </w:t>
            </w:r>
            <w:r w:rsidRPr="00EF6A15">
              <w:t>July or 1</w:t>
            </w:r>
            <w:r w:rsidR="00EF6A15" w:rsidRPr="00EF6A15">
              <w:t> </w:t>
            </w:r>
            <w:r w:rsidRPr="00EF6A15">
              <w:t>October to occur after the day this Act receives the Royal Assent.</w:t>
            </w:r>
          </w:p>
        </w:tc>
        <w:tc>
          <w:tcPr>
            <w:tcW w:w="1582" w:type="dxa"/>
            <w:shd w:val="clear" w:color="auto" w:fill="auto"/>
          </w:tcPr>
          <w:p w:rsidR="00B96198" w:rsidRPr="00EF6A15" w:rsidRDefault="006D6217" w:rsidP="00EF6A15">
            <w:pPr>
              <w:pStyle w:val="Tabletext"/>
            </w:pPr>
            <w:r>
              <w:t>1 July 2017</w:t>
            </w:r>
          </w:p>
        </w:tc>
      </w:tr>
      <w:tr w:rsidR="00B96198" w:rsidRPr="00EF6A15" w:rsidTr="007C38EC">
        <w:tc>
          <w:tcPr>
            <w:tcW w:w="1701" w:type="dxa"/>
            <w:shd w:val="clear" w:color="auto" w:fill="auto"/>
          </w:tcPr>
          <w:p w:rsidR="00B96198" w:rsidRPr="00EF6A15" w:rsidRDefault="00B96198" w:rsidP="00EF6A15">
            <w:pPr>
              <w:pStyle w:val="Tabletext"/>
            </w:pPr>
            <w:r w:rsidRPr="00EF6A15">
              <w:t>6.  Schedule</w:t>
            </w:r>
            <w:r w:rsidR="00EF6A15" w:rsidRPr="00EF6A15">
              <w:t> </w:t>
            </w:r>
            <w:r w:rsidRPr="00EF6A15">
              <w:t>1, items</w:t>
            </w:r>
            <w:r w:rsidR="00EF6A15" w:rsidRPr="00EF6A15">
              <w:t> </w:t>
            </w:r>
            <w:r w:rsidRPr="00EF6A15">
              <w:t>25 to 28</w:t>
            </w:r>
          </w:p>
        </w:tc>
        <w:tc>
          <w:tcPr>
            <w:tcW w:w="3828" w:type="dxa"/>
            <w:shd w:val="clear" w:color="auto" w:fill="auto"/>
          </w:tcPr>
          <w:p w:rsidR="00B96198" w:rsidRPr="00EF6A15" w:rsidRDefault="00B96198" w:rsidP="00EF6A15">
            <w:pPr>
              <w:pStyle w:val="Tabletext"/>
            </w:pPr>
            <w:r w:rsidRPr="00EF6A15">
              <w:t>Immediately after the commencement of Schedule</w:t>
            </w:r>
            <w:r w:rsidR="00EF6A15" w:rsidRPr="00EF6A15">
              <w:t> </w:t>
            </w:r>
            <w:r w:rsidRPr="00EF6A15">
              <w:t xml:space="preserve">1 to the </w:t>
            </w:r>
            <w:r w:rsidRPr="00EF6A15">
              <w:rPr>
                <w:i/>
              </w:rPr>
              <w:t>Treasury Laws Amendment (Fair and Sustainable Superannuation) Act 2016</w:t>
            </w:r>
            <w:r w:rsidRPr="00EF6A15">
              <w:t>.</w:t>
            </w:r>
          </w:p>
        </w:tc>
        <w:tc>
          <w:tcPr>
            <w:tcW w:w="1582" w:type="dxa"/>
            <w:shd w:val="clear" w:color="auto" w:fill="auto"/>
          </w:tcPr>
          <w:p w:rsidR="00B96198" w:rsidRPr="00EF6A15" w:rsidRDefault="00B96198" w:rsidP="00EF6A15">
            <w:pPr>
              <w:pStyle w:val="Tabletext"/>
            </w:pPr>
            <w:r w:rsidRPr="00EF6A15">
              <w:t>1</w:t>
            </w:r>
            <w:r w:rsidR="00EF6A15" w:rsidRPr="00EF6A15">
              <w:t> </w:t>
            </w:r>
            <w:r w:rsidRPr="00EF6A15">
              <w:t>January 2017</w:t>
            </w:r>
          </w:p>
        </w:tc>
      </w:tr>
      <w:tr w:rsidR="00B96198" w:rsidRPr="00EF6A15" w:rsidTr="007C38EC">
        <w:tc>
          <w:tcPr>
            <w:tcW w:w="1701" w:type="dxa"/>
            <w:tcBorders>
              <w:bottom w:val="single" w:sz="2" w:space="0" w:color="auto"/>
            </w:tcBorders>
            <w:shd w:val="clear" w:color="auto" w:fill="auto"/>
          </w:tcPr>
          <w:p w:rsidR="00B96198" w:rsidRPr="00EF6A15" w:rsidRDefault="00B96198" w:rsidP="00EF6A15">
            <w:pPr>
              <w:pStyle w:val="Tabletext"/>
            </w:pPr>
            <w:r w:rsidRPr="00EF6A15">
              <w:t>7.  Schedule</w:t>
            </w:r>
            <w:r w:rsidR="00EF6A15" w:rsidRPr="00EF6A15">
              <w:t> </w:t>
            </w:r>
            <w:r w:rsidRPr="00EF6A15">
              <w:t>1, Part</w:t>
            </w:r>
            <w:r w:rsidR="00EF6A15" w:rsidRPr="00EF6A15">
              <w:t> </w:t>
            </w:r>
            <w:r w:rsidRPr="00EF6A15">
              <w:t>2</w:t>
            </w:r>
          </w:p>
        </w:tc>
        <w:tc>
          <w:tcPr>
            <w:tcW w:w="3828" w:type="dxa"/>
            <w:tcBorders>
              <w:bottom w:val="single" w:sz="2" w:space="0" w:color="auto"/>
            </w:tcBorders>
            <w:shd w:val="clear" w:color="auto" w:fill="auto"/>
          </w:tcPr>
          <w:p w:rsidR="00B96198" w:rsidRPr="00EF6A15" w:rsidRDefault="00B96198" w:rsidP="00EF6A15">
            <w:pPr>
              <w:pStyle w:val="Tabletext"/>
            </w:pPr>
            <w:r w:rsidRPr="00EF6A15">
              <w:t>The first 1</w:t>
            </w:r>
            <w:r w:rsidR="00EF6A15" w:rsidRPr="00EF6A15">
              <w:t> </w:t>
            </w:r>
            <w:r w:rsidRPr="00EF6A15">
              <w:t>January, 1</w:t>
            </w:r>
            <w:r w:rsidR="00EF6A15" w:rsidRPr="00EF6A15">
              <w:t> </w:t>
            </w:r>
            <w:r w:rsidRPr="00EF6A15">
              <w:t>April, 1</w:t>
            </w:r>
            <w:r w:rsidR="00EF6A15" w:rsidRPr="00EF6A15">
              <w:t> </w:t>
            </w:r>
            <w:r w:rsidRPr="00EF6A15">
              <w:t>July or 1</w:t>
            </w:r>
            <w:r w:rsidR="00EF6A15" w:rsidRPr="00EF6A15">
              <w:t> </w:t>
            </w:r>
            <w:r w:rsidRPr="00EF6A15">
              <w:t>October to occur after the day this Act receives the Royal Assent.</w:t>
            </w:r>
          </w:p>
        </w:tc>
        <w:tc>
          <w:tcPr>
            <w:tcW w:w="1582" w:type="dxa"/>
            <w:tcBorders>
              <w:bottom w:val="single" w:sz="2" w:space="0" w:color="auto"/>
            </w:tcBorders>
            <w:shd w:val="clear" w:color="auto" w:fill="auto"/>
          </w:tcPr>
          <w:p w:rsidR="00B96198" w:rsidRPr="00EF6A15" w:rsidRDefault="006D6217" w:rsidP="00EF6A15">
            <w:pPr>
              <w:pStyle w:val="Tabletext"/>
            </w:pPr>
            <w:r>
              <w:t>1 July 2017</w:t>
            </w:r>
          </w:p>
        </w:tc>
      </w:tr>
      <w:tr w:rsidR="00B96198" w:rsidRPr="00EF6A15" w:rsidTr="007C38EC">
        <w:tblPrEx>
          <w:tblLook w:val="04A0" w:firstRow="1" w:lastRow="0" w:firstColumn="1" w:lastColumn="0" w:noHBand="0" w:noVBand="1"/>
        </w:tblPrEx>
        <w:tc>
          <w:tcPr>
            <w:tcW w:w="1701" w:type="dxa"/>
            <w:tcBorders>
              <w:top w:val="single" w:sz="2" w:space="0" w:color="auto"/>
              <w:bottom w:val="single" w:sz="12" w:space="0" w:color="auto"/>
            </w:tcBorders>
            <w:shd w:val="clear" w:color="auto" w:fill="auto"/>
            <w:hideMark/>
          </w:tcPr>
          <w:p w:rsidR="00B96198" w:rsidRPr="00EF6A15" w:rsidRDefault="00B96198" w:rsidP="00EF6A15">
            <w:pPr>
              <w:pStyle w:val="Tabletext"/>
            </w:pPr>
            <w:r w:rsidRPr="00EF6A15">
              <w:t>8.  Schedule</w:t>
            </w:r>
            <w:r w:rsidR="00EF6A15" w:rsidRPr="00EF6A15">
              <w:t> </w:t>
            </w:r>
            <w:r w:rsidRPr="00EF6A15">
              <w:t>2</w:t>
            </w:r>
          </w:p>
        </w:tc>
        <w:tc>
          <w:tcPr>
            <w:tcW w:w="3828" w:type="dxa"/>
            <w:tcBorders>
              <w:top w:val="single" w:sz="2" w:space="0" w:color="auto"/>
              <w:bottom w:val="single" w:sz="12" w:space="0" w:color="auto"/>
            </w:tcBorders>
            <w:shd w:val="clear" w:color="auto" w:fill="auto"/>
            <w:hideMark/>
          </w:tcPr>
          <w:p w:rsidR="00B96198" w:rsidRPr="00EF6A15" w:rsidRDefault="00B96198" w:rsidP="00EF6A15">
            <w:pPr>
              <w:pStyle w:val="Tabletext"/>
            </w:pPr>
            <w:r w:rsidRPr="00EF6A15">
              <w:t>The day this Act receives the Royal Assent.</w:t>
            </w:r>
          </w:p>
        </w:tc>
        <w:tc>
          <w:tcPr>
            <w:tcW w:w="1582" w:type="dxa"/>
            <w:tcBorders>
              <w:top w:val="single" w:sz="2" w:space="0" w:color="auto"/>
              <w:bottom w:val="single" w:sz="12" w:space="0" w:color="auto"/>
            </w:tcBorders>
            <w:shd w:val="clear" w:color="auto" w:fill="auto"/>
          </w:tcPr>
          <w:p w:rsidR="00B96198" w:rsidRPr="00EF6A15" w:rsidRDefault="006D6217" w:rsidP="00EF6A15">
            <w:pPr>
              <w:pStyle w:val="Tabletext"/>
            </w:pPr>
            <w:r>
              <w:t>22 June 2017</w:t>
            </w:r>
          </w:p>
        </w:tc>
      </w:tr>
    </w:tbl>
    <w:p w:rsidR="00B96198" w:rsidRPr="00EF6A15" w:rsidRDefault="00B96198" w:rsidP="00EF6A15">
      <w:pPr>
        <w:pStyle w:val="notetext"/>
      </w:pPr>
      <w:r w:rsidRPr="00EF6A15">
        <w:t>Note:</w:t>
      </w:r>
      <w:r w:rsidRPr="00EF6A15">
        <w:tab/>
        <w:t>This table relates only to the provisions of this Act as originally enacted. It will not be amended to deal with any later amendments of this Act.</w:t>
      </w:r>
    </w:p>
    <w:p w:rsidR="00B96198" w:rsidRPr="00EF6A15" w:rsidRDefault="00B96198" w:rsidP="00EF6A15">
      <w:pPr>
        <w:pStyle w:val="subsection"/>
      </w:pPr>
      <w:r w:rsidRPr="00EF6A15">
        <w:tab/>
        <w:t>(2)</w:t>
      </w:r>
      <w:r w:rsidRPr="00EF6A15">
        <w:tab/>
        <w:t>Any information in column 3 of the table is not part of this Act. Information may be inserted in this column, or information in it may be edited, in any published version of this Act.</w:t>
      </w:r>
    </w:p>
    <w:p w:rsidR="00B96198" w:rsidRPr="00EF6A15" w:rsidRDefault="00B96198" w:rsidP="00EF6A15">
      <w:pPr>
        <w:pStyle w:val="ActHead5"/>
      </w:pPr>
      <w:bookmarkStart w:id="4" w:name="_Toc485992322"/>
      <w:r w:rsidRPr="00EF6A15">
        <w:rPr>
          <w:rStyle w:val="CharSectno"/>
        </w:rPr>
        <w:t>3</w:t>
      </w:r>
      <w:r w:rsidRPr="00EF6A15">
        <w:t xml:space="preserve">  Schedules</w:t>
      </w:r>
      <w:bookmarkEnd w:id="4"/>
    </w:p>
    <w:p w:rsidR="00B96198" w:rsidRPr="00EF6A15" w:rsidRDefault="00B96198" w:rsidP="00EF6A15">
      <w:pPr>
        <w:pStyle w:val="subsection"/>
      </w:pPr>
      <w:r w:rsidRPr="00EF6A15">
        <w:tab/>
      </w:r>
      <w:r w:rsidRPr="00EF6A15">
        <w:tab/>
        <w:t>Legislation that is specified in a Schedule to this Act is amended or repealed as set out in the applicable items in the Schedule concerned, and any other item in a Schedule to this Act has effect according to its terms.</w:t>
      </w:r>
    </w:p>
    <w:p w:rsidR="00B96198" w:rsidRPr="00EF6A15" w:rsidRDefault="00B96198" w:rsidP="00EF6A15">
      <w:pPr>
        <w:pStyle w:val="ActHead6"/>
        <w:pageBreakBefore/>
      </w:pPr>
      <w:bookmarkStart w:id="5" w:name="_Toc485992323"/>
      <w:bookmarkStart w:id="6" w:name="opcAmSched"/>
      <w:r w:rsidRPr="00EF6A15">
        <w:rPr>
          <w:rStyle w:val="CharAmSchNo"/>
        </w:rPr>
        <w:t>Schedule</w:t>
      </w:r>
      <w:r w:rsidR="00EF6A15" w:rsidRPr="00EF6A15">
        <w:rPr>
          <w:rStyle w:val="CharAmSchNo"/>
        </w:rPr>
        <w:t> </w:t>
      </w:r>
      <w:r w:rsidRPr="00EF6A15">
        <w:rPr>
          <w:rStyle w:val="CharAmSchNo"/>
        </w:rPr>
        <w:t>1</w:t>
      </w:r>
      <w:r w:rsidRPr="00EF6A15">
        <w:t>—</w:t>
      </w:r>
      <w:r w:rsidRPr="00EF6A15">
        <w:rPr>
          <w:rStyle w:val="CharAmSchText"/>
        </w:rPr>
        <w:t>Amendments relating to superannuation reform package</w:t>
      </w:r>
      <w:bookmarkEnd w:id="5"/>
    </w:p>
    <w:bookmarkEnd w:id="6"/>
    <w:p w:rsidR="00B96198" w:rsidRPr="00EF6A15" w:rsidRDefault="00B96198" w:rsidP="00EF6A15">
      <w:pPr>
        <w:pStyle w:val="ActHead7"/>
      </w:pPr>
      <w:r w:rsidRPr="00EF6A15">
        <w:rPr>
          <w:rStyle w:val="CharAmPartNo"/>
        </w:rPr>
        <w:t xml:space="preserve"> </w:t>
      </w:r>
      <w:bookmarkStart w:id="7" w:name="_Toc485992324"/>
      <w:r w:rsidRPr="00EF6A15">
        <w:rPr>
          <w:rStyle w:val="CharAmPartNo"/>
        </w:rPr>
        <w:t>Part</w:t>
      </w:r>
      <w:r w:rsidR="00EF6A15" w:rsidRPr="00EF6A15">
        <w:rPr>
          <w:rStyle w:val="CharAmPartNo"/>
        </w:rPr>
        <w:t> </w:t>
      </w:r>
      <w:r w:rsidRPr="00EF6A15">
        <w:rPr>
          <w:rStyle w:val="CharAmPartNo"/>
        </w:rPr>
        <w:t>1</w:t>
      </w:r>
      <w:r w:rsidRPr="00EF6A15">
        <w:t>—</w:t>
      </w:r>
      <w:r w:rsidRPr="00EF6A15">
        <w:rPr>
          <w:rStyle w:val="CharAmPartText"/>
        </w:rPr>
        <w:t>Amendments</w:t>
      </w:r>
      <w:bookmarkEnd w:id="7"/>
    </w:p>
    <w:p w:rsidR="00B96198" w:rsidRPr="00EF6A15" w:rsidRDefault="00B96198" w:rsidP="00EF6A15">
      <w:pPr>
        <w:pStyle w:val="ActHead9"/>
        <w:rPr>
          <w:i w:val="0"/>
        </w:rPr>
      </w:pPr>
      <w:bookmarkStart w:id="8" w:name="_Toc485992325"/>
      <w:r w:rsidRPr="00EF6A15">
        <w:t>Income Tax Assessment Act 1997</w:t>
      </w:r>
      <w:bookmarkEnd w:id="8"/>
    </w:p>
    <w:p w:rsidR="00B96198" w:rsidRPr="00EF6A15" w:rsidRDefault="00B96198" w:rsidP="00EF6A15">
      <w:pPr>
        <w:pStyle w:val="ItemHead"/>
      </w:pPr>
      <w:r w:rsidRPr="00EF6A15">
        <w:t>1  Section</w:t>
      </w:r>
      <w:r w:rsidR="00EF6A15" w:rsidRPr="00EF6A15">
        <w:t> </w:t>
      </w:r>
      <w:r w:rsidRPr="00EF6A15">
        <w:t>291</w:t>
      </w:r>
      <w:r w:rsidR="001D7483">
        <w:noBreakHyphen/>
      </w:r>
      <w:r w:rsidRPr="00EF6A15">
        <w:t>1</w:t>
      </w:r>
    </w:p>
    <w:p w:rsidR="00B96198" w:rsidRPr="00EF6A15" w:rsidRDefault="00B96198" w:rsidP="00EF6A15">
      <w:pPr>
        <w:pStyle w:val="Item"/>
      </w:pPr>
      <w:r w:rsidRPr="00EF6A15">
        <w:t>Before “exceeds”, insert “equals or”.</w:t>
      </w:r>
    </w:p>
    <w:p w:rsidR="00B96198" w:rsidRPr="00EF6A15" w:rsidRDefault="00B96198" w:rsidP="00EF6A15">
      <w:pPr>
        <w:pStyle w:val="ItemHead"/>
      </w:pPr>
      <w:r w:rsidRPr="00EF6A15">
        <w:t>2  Paragraph 291</w:t>
      </w:r>
      <w:r w:rsidR="001D7483">
        <w:noBreakHyphen/>
      </w:r>
      <w:r w:rsidRPr="00EF6A15">
        <w:t>370(1)(c)</w:t>
      </w:r>
    </w:p>
    <w:p w:rsidR="00B96198" w:rsidRPr="00EF6A15" w:rsidRDefault="00B96198" w:rsidP="00EF6A15">
      <w:pPr>
        <w:pStyle w:val="Item"/>
      </w:pPr>
      <w:r w:rsidRPr="00EF6A15">
        <w:t>Repeal the paragraph, substitute:</w:t>
      </w:r>
    </w:p>
    <w:p w:rsidR="00B96198" w:rsidRPr="00EF6A15" w:rsidRDefault="00B96198" w:rsidP="00EF6A15">
      <w:pPr>
        <w:pStyle w:val="paragraph"/>
      </w:pPr>
      <w:r w:rsidRPr="00EF6A15">
        <w:tab/>
        <w:t>(c)</w:t>
      </w:r>
      <w:r w:rsidRPr="00EF6A15">
        <w:tab/>
        <w:t xml:space="preserve">if your </w:t>
      </w:r>
      <w:r w:rsidR="00EF6A15" w:rsidRPr="00EF6A15">
        <w:rPr>
          <w:position w:val="6"/>
          <w:sz w:val="16"/>
        </w:rPr>
        <w:t>*</w:t>
      </w:r>
      <w:r w:rsidRPr="00EF6A15">
        <w:t xml:space="preserve">defined benefit contributions for the financial year (worked out excluding contributions and amounts covered by </w:t>
      </w:r>
      <w:r w:rsidR="00EF6A15" w:rsidRPr="00EF6A15">
        <w:t>paragraph (</w:t>
      </w:r>
      <w:r w:rsidRPr="00EF6A15">
        <w:t xml:space="preserve">a)) exceed your notional taxed contributions for the financial year (also worked out excluding contributions and amounts covered by </w:t>
      </w:r>
      <w:r w:rsidR="00EF6A15" w:rsidRPr="00EF6A15">
        <w:t>paragraph (</w:t>
      </w:r>
      <w:r w:rsidRPr="00EF6A15">
        <w:t>a))—the amount of that excess;</w:t>
      </w:r>
    </w:p>
    <w:p w:rsidR="00B96198" w:rsidRPr="00EF6A15" w:rsidRDefault="00B96198" w:rsidP="00EF6A15">
      <w:pPr>
        <w:pStyle w:val="ItemHead"/>
      </w:pPr>
      <w:r w:rsidRPr="00EF6A15">
        <w:t>3  Subsection</w:t>
      </w:r>
      <w:r w:rsidR="00EF6A15" w:rsidRPr="00EF6A15">
        <w:t> </w:t>
      </w:r>
      <w:r w:rsidRPr="00EF6A15">
        <w:t>294</w:t>
      </w:r>
      <w:r w:rsidR="001D7483">
        <w:noBreakHyphen/>
      </w:r>
      <w:r w:rsidRPr="00EF6A15">
        <w:t>25(1) (at the end of the table)</w:t>
      </w:r>
    </w:p>
    <w:p w:rsidR="00B96198" w:rsidRPr="00EF6A15" w:rsidRDefault="00B96198" w:rsidP="00EF6A15">
      <w:pPr>
        <w:pStyle w:val="Item"/>
      </w:pPr>
      <w:r w:rsidRPr="00EF6A15">
        <w:t>Add:</w:t>
      </w:r>
    </w:p>
    <w:p w:rsidR="00B96198" w:rsidRPr="00EF6A15" w:rsidRDefault="00B96198" w:rsidP="00EF6A15">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B96198" w:rsidRPr="00EF6A15" w:rsidTr="007C38EC">
        <w:tc>
          <w:tcPr>
            <w:tcW w:w="708" w:type="dxa"/>
            <w:tcBorders>
              <w:top w:val="nil"/>
              <w:bottom w:val="single" w:sz="2" w:space="0" w:color="auto"/>
            </w:tcBorders>
            <w:shd w:val="clear" w:color="auto" w:fill="auto"/>
          </w:tcPr>
          <w:p w:rsidR="00B96198" w:rsidRPr="00EF6A15" w:rsidRDefault="00B96198" w:rsidP="00EF6A15">
            <w:pPr>
              <w:pStyle w:val="Tabletext"/>
            </w:pPr>
            <w:r w:rsidRPr="00EF6A15">
              <w:t>4</w:t>
            </w:r>
          </w:p>
        </w:tc>
        <w:tc>
          <w:tcPr>
            <w:tcW w:w="2173" w:type="dxa"/>
            <w:tcBorders>
              <w:top w:val="nil"/>
              <w:bottom w:val="single" w:sz="2" w:space="0" w:color="auto"/>
            </w:tcBorders>
            <w:shd w:val="clear" w:color="auto" w:fill="auto"/>
          </w:tcPr>
          <w:p w:rsidR="00B96198" w:rsidRPr="00EF6A15" w:rsidRDefault="00B96198" w:rsidP="00EF6A15">
            <w:pPr>
              <w:pStyle w:val="Tabletext"/>
            </w:pPr>
            <w:r w:rsidRPr="00EF6A15">
              <w:t xml:space="preserve">a </w:t>
            </w:r>
            <w:r w:rsidR="00EF6A15" w:rsidRPr="00EF6A15">
              <w:rPr>
                <w:position w:val="6"/>
                <w:sz w:val="16"/>
              </w:rPr>
              <w:t>*</w:t>
            </w:r>
            <w:r w:rsidRPr="00EF6A15">
              <w:t>transfer balance credit arises under section</w:t>
            </w:r>
            <w:r w:rsidR="00EF6A15" w:rsidRPr="00EF6A15">
              <w:t> </w:t>
            </w:r>
            <w:r w:rsidRPr="00EF6A15">
              <w:t>294</w:t>
            </w:r>
            <w:r w:rsidR="001D7483">
              <w:noBreakHyphen/>
            </w:r>
            <w:r w:rsidRPr="00EF6A15">
              <w:t>55 because of a repayment of a limited recourse borrowing arrangement</w:t>
            </w:r>
          </w:p>
        </w:tc>
        <w:tc>
          <w:tcPr>
            <w:tcW w:w="2174" w:type="dxa"/>
            <w:tcBorders>
              <w:top w:val="nil"/>
              <w:bottom w:val="single" w:sz="2" w:space="0" w:color="auto"/>
            </w:tcBorders>
            <w:shd w:val="clear" w:color="auto" w:fill="auto"/>
          </w:tcPr>
          <w:p w:rsidR="00B96198" w:rsidRPr="00EF6A15" w:rsidRDefault="00B96198" w:rsidP="00EF6A15">
            <w:pPr>
              <w:pStyle w:val="Tabletext"/>
            </w:pPr>
            <w:r w:rsidRPr="00EF6A15">
              <w:t>the amount of the credit specified in section</w:t>
            </w:r>
            <w:r w:rsidR="00EF6A15" w:rsidRPr="00EF6A15">
              <w:t> </w:t>
            </w:r>
            <w:r w:rsidRPr="00EF6A15">
              <w:t>294</w:t>
            </w:r>
            <w:r w:rsidR="001D7483">
              <w:noBreakHyphen/>
            </w:r>
            <w:r w:rsidRPr="00EF6A15">
              <w:t>55</w:t>
            </w:r>
          </w:p>
        </w:tc>
        <w:tc>
          <w:tcPr>
            <w:tcW w:w="2174" w:type="dxa"/>
            <w:tcBorders>
              <w:top w:val="nil"/>
              <w:bottom w:val="single" w:sz="2" w:space="0" w:color="auto"/>
            </w:tcBorders>
            <w:shd w:val="clear" w:color="auto" w:fill="auto"/>
          </w:tcPr>
          <w:p w:rsidR="00B96198" w:rsidRPr="00EF6A15" w:rsidRDefault="00B96198" w:rsidP="00EF6A15">
            <w:pPr>
              <w:pStyle w:val="Tabletext"/>
            </w:pPr>
            <w:r w:rsidRPr="00EF6A15">
              <w:t>at the time provided by section</w:t>
            </w:r>
            <w:r w:rsidR="00EF6A15" w:rsidRPr="00EF6A15">
              <w:t> </w:t>
            </w:r>
            <w:r w:rsidRPr="00EF6A15">
              <w:t>294</w:t>
            </w:r>
            <w:r w:rsidR="001D7483">
              <w:noBreakHyphen/>
            </w:r>
            <w:r w:rsidRPr="00EF6A15">
              <w:t>55</w:t>
            </w:r>
          </w:p>
        </w:tc>
      </w:tr>
      <w:tr w:rsidR="00B96198" w:rsidRPr="00EF6A15" w:rsidTr="007C38EC">
        <w:tc>
          <w:tcPr>
            <w:tcW w:w="708" w:type="dxa"/>
            <w:tcBorders>
              <w:top w:val="single" w:sz="2" w:space="0" w:color="auto"/>
              <w:bottom w:val="nil"/>
            </w:tcBorders>
            <w:shd w:val="clear" w:color="auto" w:fill="auto"/>
          </w:tcPr>
          <w:p w:rsidR="00B96198" w:rsidRPr="00EF6A15" w:rsidRDefault="00B96198" w:rsidP="00EF6A15">
            <w:pPr>
              <w:pStyle w:val="Tabletext"/>
            </w:pPr>
            <w:r w:rsidRPr="00EF6A15">
              <w:t>5</w:t>
            </w:r>
          </w:p>
        </w:tc>
        <w:tc>
          <w:tcPr>
            <w:tcW w:w="2173" w:type="dxa"/>
            <w:tcBorders>
              <w:top w:val="single" w:sz="2" w:space="0" w:color="auto"/>
              <w:bottom w:val="nil"/>
            </w:tcBorders>
            <w:shd w:val="clear" w:color="auto" w:fill="auto"/>
          </w:tcPr>
          <w:p w:rsidR="00B96198" w:rsidRPr="00EF6A15" w:rsidRDefault="00B96198" w:rsidP="00EF6A15">
            <w:pPr>
              <w:pStyle w:val="Tabletext"/>
            </w:pPr>
            <w:r w:rsidRPr="00EF6A15">
              <w:t xml:space="preserve">a </w:t>
            </w:r>
            <w:r w:rsidR="00EF6A15" w:rsidRPr="00EF6A15">
              <w:rPr>
                <w:position w:val="6"/>
                <w:sz w:val="16"/>
              </w:rPr>
              <w:t>*</w:t>
            </w:r>
            <w:r w:rsidRPr="00EF6A15">
              <w:t>transfer balance credit arises under regulations made for the purposes of this item</w:t>
            </w:r>
          </w:p>
        </w:tc>
        <w:tc>
          <w:tcPr>
            <w:tcW w:w="2174" w:type="dxa"/>
            <w:tcBorders>
              <w:top w:val="single" w:sz="2" w:space="0" w:color="auto"/>
              <w:bottom w:val="nil"/>
            </w:tcBorders>
            <w:shd w:val="clear" w:color="auto" w:fill="auto"/>
          </w:tcPr>
          <w:p w:rsidR="00B96198" w:rsidRPr="00EF6A15" w:rsidRDefault="00B96198" w:rsidP="00EF6A15">
            <w:pPr>
              <w:pStyle w:val="Tabletext"/>
            </w:pPr>
            <w:r w:rsidRPr="00EF6A15">
              <w:t>the amount of the credit worked out in accordance with the regulations</w:t>
            </w:r>
          </w:p>
        </w:tc>
        <w:tc>
          <w:tcPr>
            <w:tcW w:w="2174" w:type="dxa"/>
            <w:tcBorders>
              <w:top w:val="single" w:sz="2" w:space="0" w:color="auto"/>
              <w:bottom w:val="nil"/>
            </w:tcBorders>
            <w:shd w:val="clear" w:color="auto" w:fill="auto"/>
          </w:tcPr>
          <w:p w:rsidR="00B96198" w:rsidRPr="00EF6A15" w:rsidRDefault="00B96198" w:rsidP="00EF6A15">
            <w:pPr>
              <w:pStyle w:val="Tabletext"/>
            </w:pPr>
            <w:r w:rsidRPr="00EF6A15">
              <w:t>at the time specified in the regulations</w:t>
            </w:r>
          </w:p>
        </w:tc>
      </w:tr>
    </w:tbl>
    <w:p w:rsidR="00B96198" w:rsidRPr="00EF6A15" w:rsidRDefault="00B96198" w:rsidP="00EF6A15">
      <w:pPr>
        <w:pStyle w:val="ItemHead"/>
      </w:pPr>
      <w:r w:rsidRPr="00EF6A15">
        <w:t>4  At the end of section</w:t>
      </w:r>
      <w:r w:rsidR="00EF6A15" w:rsidRPr="00EF6A15">
        <w:t> </w:t>
      </w:r>
      <w:r w:rsidRPr="00EF6A15">
        <w:t>294</w:t>
      </w:r>
      <w:r w:rsidR="001D7483">
        <w:noBreakHyphen/>
      </w:r>
      <w:r w:rsidRPr="00EF6A15">
        <w:t>25 (after the note)</w:t>
      </w:r>
    </w:p>
    <w:p w:rsidR="00B96198" w:rsidRPr="00EF6A15" w:rsidRDefault="00B96198" w:rsidP="00EF6A15">
      <w:pPr>
        <w:pStyle w:val="Item"/>
      </w:pPr>
      <w:r w:rsidRPr="00EF6A15">
        <w:t>Add:</w:t>
      </w:r>
    </w:p>
    <w:p w:rsidR="00B96198" w:rsidRPr="00EF6A15" w:rsidRDefault="00B96198" w:rsidP="00EF6A15">
      <w:pPr>
        <w:pStyle w:val="SubsectionHead"/>
      </w:pPr>
      <w:r w:rsidRPr="00EF6A15">
        <w:t>Regulations may provide for exceptions</w:t>
      </w:r>
    </w:p>
    <w:p w:rsidR="00B96198" w:rsidRPr="00EF6A15" w:rsidRDefault="00B96198" w:rsidP="00EF6A15">
      <w:pPr>
        <w:pStyle w:val="subsection"/>
      </w:pPr>
      <w:r w:rsidRPr="00EF6A15">
        <w:tab/>
        <w:t>(3)</w:t>
      </w:r>
      <w:r w:rsidRPr="00EF6A15">
        <w:tab/>
        <w:t xml:space="preserve">The regulations may provide that an item of the table in </w:t>
      </w:r>
      <w:r w:rsidR="00EF6A15" w:rsidRPr="00EF6A15">
        <w:t>subsection (</w:t>
      </w:r>
      <w:r w:rsidRPr="00EF6A15">
        <w:t xml:space="preserve">1) does not apply to a class of </w:t>
      </w:r>
      <w:r w:rsidR="00EF6A15" w:rsidRPr="00EF6A15">
        <w:rPr>
          <w:position w:val="6"/>
          <w:sz w:val="16"/>
        </w:rPr>
        <w:t>*</w:t>
      </w:r>
      <w:r w:rsidRPr="00EF6A15">
        <w:t>superannuation income streams specified in the regulations.</w:t>
      </w:r>
    </w:p>
    <w:p w:rsidR="00B96198" w:rsidRPr="00EF6A15" w:rsidRDefault="00B96198" w:rsidP="00EF6A15">
      <w:pPr>
        <w:pStyle w:val="ItemHead"/>
      </w:pPr>
      <w:r w:rsidRPr="00EF6A15">
        <w:t>5  Section</w:t>
      </w:r>
      <w:r w:rsidR="00EF6A15" w:rsidRPr="00EF6A15">
        <w:t> </w:t>
      </w:r>
      <w:r w:rsidRPr="00EF6A15">
        <w:t>294</w:t>
      </w:r>
      <w:r w:rsidR="001D7483">
        <w:noBreakHyphen/>
      </w:r>
      <w:r w:rsidRPr="00EF6A15">
        <w:t>50</w:t>
      </w:r>
    </w:p>
    <w:p w:rsidR="00B96198" w:rsidRPr="00EF6A15" w:rsidRDefault="00B96198" w:rsidP="00EF6A15">
      <w:pPr>
        <w:pStyle w:val="Item"/>
      </w:pPr>
      <w:r w:rsidRPr="00EF6A15">
        <w:t>Repeal the section, substitute:</w:t>
      </w:r>
    </w:p>
    <w:p w:rsidR="00B96198" w:rsidRPr="00EF6A15" w:rsidRDefault="00B96198" w:rsidP="00EF6A15">
      <w:pPr>
        <w:pStyle w:val="ActHead5"/>
      </w:pPr>
      <w:bookmarkStart w:id="9" w:name="_Toc485992326"/>
      <w:r w:rsidRPr="00EF6A15">
        <w:rPr>
          <w:rStyle w:val="CharSectno"/>
        </w:rPr>
        <w:t>294</w:t>
      </w:r>
      <w:r w:rsidR="001D7483">
        <w:rPr>
          <w:rStyle w:val="CharSectno"/>
        </w:rPr>
        <w:noBreakHyphen/>
      </w:r>
      <w:r w:rsidRPr="00EF6A15">
        <w:rPr>
          <w:rStyle w:val="CharSectno"/>
        </w:rPr>
        <w:t>50</w:t>
      </w:r>
      <w:r w:rsidRPr="00EF6A15">
        <w:t xml:space="preserve">  Assumptions about income streams</w:t>
      </w:r>
      <w:bookmarkEnd w:id="9"/>
    </w:p>
    <w:p w:rsidR="00B96198" w:rsidRPr="00EF6A15" w:rsidRDefault="00B96198" w:rsidP="00EF6A15">
      <w:pPr>
        <w:pStyle w:val="subsection"/>
      </w:pPr>
      <w:r w:rsidRPr="00EF6A15">
        <w:tab/>
        <w:t>(1)</w:t>
      </w:r>
      <w:r w:rsidRPr="00EF6A15">
        <w:tab/>
      </w:r>
      <w:r w:rsidR="00EF6A15" w:rsidRPr="00EF6A15">
        <w:t>Subsections (</w:t>
      </w:r>
      <w:r w:rsidRPr="00EF6A15">
        <w:t>2) and (3) apply for the purposes of working out the following matters at a time:</w:t>
      </w:r>
    </w:p>
    <w:p w:rsidR="00B96198" w:rsidRPr="00EF6A15" w:rsidRDefault="00B96198" w:rsidP="00EF6A15">
      <w:pPr>
        <w:pStyle w:val="paragraph"/>
      </w:pPr>
      <w:r w:rsidRPr="00EF6A15">
        <w:tab/>
        <w:t>(a)</w:t>
      </w:r>
      <w:r w:rsidRPr="00EF6A15">
        <w:tab/>
        <w:t xml:space="preserve">whether you have a </w:t>
      </w:r>
      <w:r w:rsidR="00EF6A15" w:rsidRPr="00EF6A15">
        <w:rPr>
          <w:position w:val="6"/>
          <w:sz w:val="16"/>
        </w:rPr>
        <w:t>*</w:t>
      </w:r>
      <w:r w:rsidRPr="00EF6A15">
        <w:t>transfer balance account;</w:t>
      </w:r>
    </w:p>
    <w:p w:rsidR="00B96198" w:rsidRPr="00EF6A15" w:rsidRDefault="00B96198" w:rsidP="00EF6A15">
      <w:pPr>
        <w:pStyle w:val="paragraph"/>
      </w:pPr>
      <w:r w:rsidRPr="00EF6A15">
        <w:tab/>
        <w:t>(b)</w:t>
      </w:r>
      <w:r w:rsidRPr="00EF6A15">
        <w:tab/>
        <w:t xml:space="preserve">the </w:t>
      </w:r>
      <w:r w:rsidR="00EF6A15" w:rsidRPr="00EF6A15">
        <w:rPr>
          <w:position w:val="6"/>
          <w:sz w:val="16"/>
        </w:rPr>
        <w:t>*</w:t>
      </w:r>
      <w:r w:rsidRPr="00EF6A15">
        <w:t>transfer balance in your transfer balance account.</w:t>
      </w:r>
    </w:p>
    <w:p w:rsidR="00B96198" w:rsidRPr="00EF6A15" w:rsidRDefault="00B96198" w:rsidP="00EF6A15">
      <w:pPr>
        <w:pStyle w:val="subsection"/>
      </w:pPr>
      <w:r w:rsidRPr="00EF6A15">
        <w:tab/>
        <w:t>(2)</w:t>
      </w:r>
      <w:r w:rsidRPr="00EF6A15">
        <w:tab/>
        <w:t xml:space="preserve">In working out whether there is a </w:t>
      </w:r>
      <w:r w:rsidRPr="00EF6A15">
        <w:rPr>
          <w:b/>
          <w:i/>
        </w:rPr>
        <w:t xml:space="preserve">superannuation income stream </w:t>
      </w:r>
      <w:r w:rsidRPr="00EF6A15">
        <w:t>at a time:</w:t>
      </w:r>
    </w:p>
    <w:p w:rsidR="00B96198" w:rsidRPr="00EF6A15" w:rsidRDefault="00B96198" w:rsidP="00EF6A15">
      <w:pPr>
        <w:pStyle w:val="paragraph"/>
      </w:pPr>
      <w:r w:rsidRPr="00EF6A15">
        <w:tab/>
        <w:t>(a)</w:t>
      </w:r>
      <w:r w:rsidRPr="00EF6A15">
        <w:tab/>
        <w:t>have regard only to facts and circumstances that exist at that time; and</w:t>
      </w:r>
    </w:p>
    <w:p w:rsidR="00B96198" w:rsidRPr="00EF6A15" w:rsidRDefault="00B96198" w:rsidP="00EF6A15">
      <w:pPr>
        <w:pStyle w:val="paragraph"/>
      </w:pPr>
      <w:r w:rsidRPr="00EF6A15">
        <w:tab/>
        <w:t>(b)</w:t>
      </w:r>
      <w:r w:rsidRPr="00EF6A15">
        <w:tab/>
        <w:t>assume a requirement will be met, to the extent (if any) that:</w:t>
      </w:r>
    </w:p>
    <w:p w:rsidR="00B96198" w:rsidRPr="00EF6A15" w:rsidRDefault="00B96198" w:rsidP="00EF6A15">
      <w:pPr>
        <w:pStyle w:val="paragraphsub"/>
      </w:pPr>
      <w:r w:rsidRPr="00EF6A15">
        <w:tab/>
        <w:t>(i)</w:t>
      </w:r>
      <w:r w:rsidRPr="00EF6A15">
        <w:tab/>
        <w:t xml:space="preserve">the requirement arises under a provision of the </w:t>
      </w:r>
      <w:r w:rsidR="00EF6A15" w:rsidRPr="00EF6A15">
        <w:rPr>
          <w:position w:val="6"/>
          <w:sz w:val="16"/>
        </w:rPr>
        <w:t>*</w:t>
      </w:r>
      <w:r w:rsidRPr="00EF6A15">
        <w:t>taxation law or under any rules or standards under which a benefit is, or is purported to be, provided; and</w:t>
      </w:r>
    </w:p>
    <w:p w:rsidR="00B96198" w:rsidRPr="00EF6A15" w:rsidRDefault="00B96198" w:rsidP="00EF6A15">
      <w:pPr>
        <w:pStyle w:val="paragraphsub"/>
      </w:pPr>
      <w:r w:rsidRPr="00EF6A15">
        <w:tab/>
        <w:t>(ii)</w:t>
      </w:r>
      <w:r w:rsidRPr="00EF6A15">
        <w:tab/>
        <w:t>meeting the requirement is a condition for there to be a superannuation income stream at that time; and</w:t>
      </w:r>
    </w:p>
    <w:p w:rsidR="00B96198" w:rsidRPr="00EF6A15" w:rsidRDefault="00B96198" w:rsidP="00EF6A15">
      <w:pPr>
        <w:pStyle w:val="paragraphsub"/>
      </w:pPr>
      <w:r w:rsidRPr="00EF6A15">
        <w:tab/>
        <w:t>(iii)</w:t>
      </w:r>
      <w:r w:rsidRPr="00EF6A15">
        <w:tab/>
        <w:t>it is not possible to determine, having regard only to facts and circumstances that exist at that time, whether or not the requirement has been met.</w:t>
      </w:r>
    </w:p>
    <w:p w:rsidR="00B96198" w:rsidRPr="00EF6A15" w:rsidRDefault="00B96198" w:rsidP="00EF6A15">
      <w:pPr>
        <w:pStyle w:val="subsection"/>
      </w:pPr>
      <w:r w:rsidRPr="00EF6A15">
        <w:tab/>
        <w:t>(3)</w:t>
      </w:r>
      <w:r w:rsidRPr="00EF6A15">
        <w:tab/>
        <w:t xml:space="preserve">In working out whether a </w:t>
      </w:r>
      <w:r w:rsidR="00EF6A15" w:rsidRPr="00EF6A15">
        <w:rPr>
          <w:position w:val="6"/>
          <w:sz w:val="16"/>
        </w:rPr>
        <w:t>*</w:t>
      </w:r>
      <w:r w:rsidRPr="00EF6A15">
        <w:t>superannuation income stream is in the</w:t>
      </w:r>
      <w:r w:rsidRPr="00EF6A15">
        <w:rPr>
          <w:b/>
          <w:i/>
        </w:rPr>
        <w:t xml:space="preserve"> retirement phase</w:t>
      </w:r>
      <w:r w:rsidRPr="00EF6A15">
        <w:t xml:space="preserve"> at a time, disregard the operation of subsection</w:t>
      </w:r>
      <w:r w:rsidR="00EF6A15" w:rsidRPr="00EF6A15">
        <w:t> </w:t>
      </w:r>
      <w:r w:rsidRPr="00EF6A15">
        <w:t>307</w:t>
      </w:r>
      <w:r w:rsidR="001D7483">
        <w:noBreakHyphen/>
      </w:r>
      <w:r w:rsidRPr="00EF6A15">
        <w:t>80(4), if the time is before the end of the 60</w:t>
      </w:r>
      <w:r w:rsidR="001D7483">
        <w:noBreakHyphen/>
      </w:r>
      <w:r w:rsidRPr="00EF6A15">
        <w:t xml:space="preserve">day period mentioned in </w:t>
      </w:r>
      <w:r w:rsidR="00EF6A15" w:rsidRPr="00EF6A15">
        <w:t>paragraph (</w:t>
      </w:r>
      <w:r w:rsidRPr="00EF6A15">
        <w:t>c) of that subsection.</w:t>
      </w:r>
    </w:p>
    <w:p w:rsidR="00B96198" w:rsidRPr="00EF6A15" w:rsidRDefault="00B96198" w:rsidP="00EF6A15">
      <w:pPr>
        <w:pStyle w:val="ItemHead"/>
      </w:pPr>
      <w:r w:rsidRPr="00EF6A15">
        <w:t>6  At the end of Subdivision</w:t>
      </w:r>
      <w:r w:rsidR="00EF6A15" w:rsidRPr="00EF6A15">
        <w:t> </w:t>
      </w:r>
      <w:r w:rsidRPr="00EF6A15">
        <w:t>294</w:t>
      </w:r>
      <w:r w:rsidR="001D7483">
        <w:noBreakHyphen/>
      </w:r>
      <w:r w:rsidRPr="00EF6A15">
        <w:t>B</w:t>
      </w:r>
    </w:p>
    <w:p w:rsidR="00B96198" w:rsidRPr="00EF6A15" w:rsidRDefault="00B96198" w:rsidP="00EF6A15">
      <w:pPr>
        <w:pStyle w:val="Item"/>
      </w:pPr>
      <w:r w:rsidRPr="00EF6A15">
        <w:t>Add:</w:t>
      </w:r>
    </w:p>
    <w:p w:rsidR="00B96198" w:rsidRPr="00EF6A15" w:rsidRDefault="00B96198" w:rsidP="00EF6A15">
      <w:pPr>
        <w:pStyle w:val="ActHead5"/>
      </w:pPr>
      <w:bookmarkStart w:id="10" w:name="_Toc485992327"/>
      <w:r w:rsidRPr="00EF6A15">
        <w:rPr>
          <w:rStyle w:val="CharSectno"/>
        </w:rPr>
        <w:t>294</w:t>
      </w:r>
      <w:r w:rsidR="001D7483">
        <w:rPr>
          <w:rStyle w:val="CharSectno"/>
        </w:rPr>
        <w:noBreakHyphen/>
      </w:r>
      <w:r w:rsidRPr="00EF6A15">
        <w:rPr>
          <w:rStyle w:val="CharSectno"/>
        </w:rPr>
        <w:t>55</w:t>
      </w:r>
      <w:r w:rsidRPr="00EF6A15">
        <w:t xml:space="preserve">  Repayment of limited recourse borrowing arrangement</w:t>
      </w:r>
      <w:bookmarkEnd w:id="10"/>
    </w:p>
    <w:p w:rsidR="00B96198" w:rsidRPr="00EF6A15" w:rsidRDefault="00B96198" w:rsidP="00EF6A15">
      <w:pPr>
        <w:pStyle w:val="subsection"/>
      </w:pPr>
      <w:r w:rsidRPr="00EF6A15">
        <w:tab/>
        <w:t>(1)</w:t>
      </w:r>
      <w:r w:rsidRPr="00EF6A15">
        <w:tab/>
        <w:t xml:space="preserve">A </w:t>
      </w:r>
      <w:r w:rsidR="00EF6A15" w:rsidRPr="00EF6A15">
        <w:rPr>
          <w:position w:val="6"/>
          <w:sz w:val="16"/>
        </w:rPr>
        <w:t>*</w:t>
      </w:r>
      <w:r w:rsidRPr="00EF6A15">
        <w:t xml:space="preserve">transfer balance credit arises in your </w:t>
      </w:r>
      <w:r w:rsidR="00EF6A15" w:rsidRPr="00EF6A15">
        <w:rPr>
          <w:position w:val="6"/>
          <w:sz w:val="16"/>
        </w:rPr>
        <w:t>*</w:t>
      </w:r>
      <w:r w:rsidRPr="00EF6A15">
        <w:t>transfer balance account if:</w:t>
      </w:r>
    </w:p>
    <w:p w:rsidR="00B96198" w:rsidRPr="00EF6A15" w:rsidRDefault="00B96198" w:rsidP="00EF6A15">
      <w:pPr>
        <w:pStyle w:val="paragraph"/>
      </w:pPr>
      <w:r w:rsidRPr="00EF6A15">
        <w:tab/>
        <w:t>(a)</w:t>
      </w:r>
      <w:r w:rsidRPr="00EF6A15">
        <w:tab/>
        <w:t xml:space="preserve">a </w:t>
      </w:r>
      <w:r w:rsidR="00EF6A15" w:rsidRPr="00EF6A15">
        <w:rPr>
          <w:position w:val="6"/>
          <w:sz w:val="16"/>
        </w:rPr>
        <w:t>*</w:t>
      </w:r>
      <w:r w:rsidRPr="00EF6A15">
        <w:t xml:space="preserve">superannuation provider makes a payment in respect of a </w:t>
      </w:r>
      <w:r w:rsidR="00EF6A15" w:rsidRPr="00EF6A15">
        <w:rPr>
          <w:position w:val="6"/>
          <w:sz w:val="16"/>
        </w:rPr>
        <w:t>*</w:t>
      </w:r>
      <w:r w:rsidRPr="00EF6A15">
        <w:t xml:space="preserve">borrowing under an </w:t>
      </w:r>
      <w:r w:rsidR="00EF6A15" w:rsidRPr="00EF6A15">
        <w:rPr>
          <w:position w:val="6"/>
          <w:sz w:val="16"/>
        </w:rPr>
        <w:t>*</w:t>
      </w:r>
      <w:r w:rsidRPr="00EF6A15">
        <w:t>arrangement that is covered by the exception in subsection</w:t>
      </w:r>
      <w:r w:rsidR="00EF6A15" w:rsidRPr="00EF6A15">
        <w:t> </w:t>
      </w:r>
      <w:r w:rsidRPr="00EF6A15">
        <w:t xml:space="preserve">67A(1) of the </w:t>
      </w:r>
      <w:r w:rsidRPr="00EF6A15">
        <w:rPr>
          <w:i/>
        </w:rPr>
        <w:t>Superannuation Industry (Supervision) Act 1993</w:t>
      </w:r>
      <w:r w:rsidRPr="00EF6A15">
        <w:t xml:space="preserve"> (which is about limited recourse borrowing arrangements); and</w:t>
      </w:r>
    </w:p>
    <w:p w:rsidR="00B96198" w:rsidRPr="00EF6A15" w:rsidRDefault="00B96198" w:rsidP="00EF6A15">
      <w:pPr>
        <w:pStyle w:val="paragraph"/>
      </w:pPr>
      <w:r w:rsidRPr="00EF6A15">
        <w:tab/>
        <w:t>(b)</w:t>
      </w:r>
      <w:r w:rsidRPr="00EF6A15">
        <w:tab/>
        <w:t xml:space="preserve">as a result, there is an increase in the </w:t>
      </w:r>
      <w:r w:rsidR="00EF6A15" w:rsidRPr="00EF6A15">
        <w:rPr>
          <w:position w:val="6"/>
          <w:sz w:val="16"/>
        </w:rPr>
        <w:t>*</w:t>
      </w:r>
      <w:r w:rsidRPr="00EF6A15">
        <w:t xml:space="preserve">value of a </w:t>
      </w:r>
      <w:r w:rsidR="00EF6A15" w:rsidRPr="00EF6A15">
        <w:rPr>
          <w:position w:val="6"/>
          <w:sz w:val="16"/>
        </w:rPr>
        <w:t>*</w:t>
      </w:r>
      <w:r w:rsidRPr="00EF6A15">
        <w:t xml:space="preserve">superannuation interest that supports a </w:t>
      </w:r>
      <w:r w:rsidR="00EF6A15" w:rsidRPr="00EF6A15">
        <w:rPr>
          <w:position w:val="6"/>
          <w:sz w:val="16"/>
        </w:rPr>
        <w:t>*</w:t>
      </w:r>
      <w:r w:rsidRPr="00EF6A15">
        <w:t xml:space="preserve">superannuation income stream of which you are the </w:t>
      </w:r>
      <w:r w:rsidR="00EF6A15" w:rsidRPr="00EF6A15">
        <w:rPr>
          <w:position w:val="6"/>
          <w:sz w:val="16"/>
        </w:rPr>
        <w:t>*</w:t>
      </w:r>
      <w:r w:rsidRPr="00EF6A15">
        <w:t>retirement phase recipient; and</w:t>
      </w:r>
    </w:p>
    <w:p w:rsidR="00B96198" w:rsidRPr="00EF6A15" w:rsidRDefault="00B96198" w:rsidP="00EF6A15">
      <w:pPr>
        <w:pStyle w:val="paragraph"/>
      </w:pPr>
      <w:r w:rsidRPr="00EF6A15">
        <w:tab/>
        <w:t>(c)</w:t>
      </w:r>
      <w:r w:rsidRPr="00EF6A15">
        <w:tab/>
        <w:t xml:space="preserve">the superannuation interest is in a </w:t>
      </w:r>
      <w:r w:rsidR="00EF6A15" w:rsidRPr="00EF6A15">
        <w:rPr>
          <w:position w:val="6"/>
          <w:sz w:val="16"/>
        </w:rPr>
        <w:t>*</w:t>
      </w:r>
      <w:r w:rsidRPr="00EF6A15">
        <w:t xml:space="preserve">superannuation fund that is covered by </w:t>
      </w:r>
      <w:r w:rsidR="00EF6A15" w:rsidRPr="00EF6A15">
        <w:t>subsection (</w:t>
      </w:r>
      <w:r w:rsidRPr="00EF6A15">
        <w:t>4) at the time of the payment.</w:t>
      </w:r>
    </w:p>
    <w:p w:rsidR="00B96198" w:rsidRPr="00EF6A15" w:rsidRDefault="00B96198" w:rsidP="00EF6A15">
      <w:pPr>
        <w:pStyle w:val="subsection"/>
      </w:pPr>
      <w:r w:rsidRPr="00EF6A15">
        <w:tab/>
        <w:t>(2)</w:t>
      </w:r>
      <w:r w:rsidRPr="00EF6A15">
        <w:tab/>
        <w:t xml:space="preserve">The amount of the credit is the amount of the increase in </w:t>
      </w:r>
      <w:r w:rsidR="00EF6A15" w:rsidRPr="00EF6A15">
        <w:rPr>
          <w:position w:val="6"/>
          <w:sz w:val="16"/>
        </w:rPr>
        <w:t>*</w:t>
      </w:r>
      <w:r w:rsidRPr="00EF6A15">
        <w:t>value.</w:t>
      </w:r>
    </w:p>
    <w:p w:rsidR="00B96198" w:rsidRPr="00EF6A15" w:rsidRDefault="00B96198" w:rsidP="00EF6A15">
      <w:pPr>
        <w:pStyle w:val="subsection"/>
      </w:pPr>
      <w:r w:rsidRPr="00EF6A15">
        <w:tab/>
        <w:t>(3)</w:t>
      </w:r>
      <w:r w:rsidRPr="00EF6A15">
        <w:tab/>
        <w:t>The credit arises at the time of the payment.</w:t>
      </w:r>
    </w:p>
    <w:p w:rsidR="00B96198" w:rsidRPr="00EF6A15" w:rsidRDefault="00B96198" w:rsidP="00EF6A15">
      <w:pPr>
        <w:pStyle w:val="subsection"/>
      </w:pPr>
      <w:r w:rsidRPr="00EF6A15">
        <w:tab/>
        <w:t>(4)</w:t>
      </w:r>
      <w:r w:rsidRPr="00EF6A15">
        <w:tab/>
        <w:t xml:space="preserve">A </w:t>
      </w:r>
      <w:r w:rsidR="00EF6A15" w:rsidRPr="00EF6A15">
        <w:rPr>
          <w:position w:val="6"/>
          <w:sz w:val="16"/>
        </w:rPr>
        <w:t>*</w:t>
      </w:r>
      <w:r w:rsidRPr="00EF6A15">
        <w:t>complying superannuation fund is covered by this subsection at a time if any of the following requirements are satisfied:</w:t>
      </w:r>
    </w:p>
    <w:p w:rsidR="00B96198" w:rsidRPr="00EF6A15" w:rsidRDefault="00B96198" w:rsidP="00EF6A15">
      <w:pPr>
        <w:pStyle w:val="paragraph"/>
      </w:pPr>
      <w:r w:rsidRPr="00EF6A15">
        <w:tab/>
        <w:t>(a)</w:t>
      </w:r>
      <w:r w:rsidRPr="00EF6A15">
        <w:tab/>
        <w:t xml:space="preserve">the fund is a </w:t>
      </w:r>
      <w:r w:rsidR="00EF6A15" w:rsidRPr="00EF6A15">
        <w:rPr>
          <w:position w:val="6"/>
          <w:sz w:val="16"/>
        </w:rPr>
        <w:t>*</w:t>
      </w:r>
      <w:proofErr w:type="spellStart"/>
      <w:r w:rsidRPr="00EF6A15">
        <w:t>self managed</w:t>
      </w:r>
      <w:proofErr w:type="spellEnd"/>
      <w:r w:rsidRPr="00EF6A15">
        <w:t xml:space="preserve"> superannuation fund at the time;</w:t>
      </w:r>
    </w:p>
    <w:p w:rsidR="00B96198" w:rsidRPr="00EF6A15" w:rsidRDefault="00B96198" w:rsidP="00EF6A15">
      <w:pPr>
        <w:pStyle w:val="paragraph"/>
      </w:pPr>
      <w:r w:rsidRPr="00EF6A15">
        <w:tab/>
        <w:t>(b)</w:t>
      </w:r>
      <w:r w:rsidRPr="00EF6A15">
        <w:tab/>
        <w:t xml:space="preserve">there are less than 5 </w:t>
      </w:r>
      <w:r w:rsidR="00EF6A15" w:rsidRPr="00EF6A15">
        <w:rPr>
          <w:position w:val="6"/>
          <w:sz w:val="16"/>
        </w:rPr>
        <w:t>*</w:t>
      </w:r>
      <w:r w:rsidRPr="00EF6A15">
        <w:t>members of the fund at the time.</w:t>
      </w:r>
    </w:p>
    <w:p w:rsidR="00B96198" w:rsidRPr="00EF6A15" w:rsidRDefault="00B96198" w:rsidP="00EF6A15">
      <w:pPr>
        <w:pStyle w:val="ItemHead"/>
      </w:pPr>
      <w:r w:rsidRPr="00EF6A15">
        <w:t>7  Subsection</w:t>
      </w:r>
      <w:r w:rsidR="00EF6A15" w:rsidRPr="00EF6A15">
        <w:t> </w:t>
      </w:r>
      <w:r w:rsidRPr="00EF6A15">
        <w:t>294</w:t>
      </w:r>
      <w:r w:rsidR="001D7483">
        <w:noBreakHyphen/>
      </w:r>
      <w:r w:rsidRPr="00EF6A15">
        <w:t>80(1) (table item</w:t>
      </w:r>
      <w:r w:rsidR="00EF6A15" w:rsidRPr="00EF6A15">
        <w:t> </w:t>
      </w:r>
      <w:r w:rsidRPr="00EF6A15">
        <w:t>6)</w:t>
      </w:r>
    </w:p>
    <w:p w:rsidR="00B96198" w:rsidRPr="00EF6A15" w:rsidRDefault="00B96198" w:rsidP="00EF6A15">
      <w:pPr>
        <w:pStyle w:val="Item"/>
      </w:pPr>
      <w:r w:rsidRPr="00EF6A15">
        <w:t>Repeal the item, substitute:</w:t>
      </w:r>
    </w:p>
    <w:tbl>
      <w:tblPr>
        <w:tblW w:w="7229"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1985"/>
      </w:tblGrid>
      <w:tr w:rsidR="00B96198" w:rsidRPr="00EF6A15" w:rsidTr="007C38EC">
        <w:tc>
          <w:tcPr>
            <w:tcW w:w="708" w:type="dxa"/>
            <w:shd w:val="clear" w:color="auto" w:fill="auto"/>
          </w:tcPr>
          <w:p w:rsidR="00B96198" w:rsidRPr="00EF6A15" w:rsidRDefault="00B96198" w:rsidP="00EF6A15">
            <w:pPr>
              <w:pStyle w:val="Tabletext"/>
            </w:pPr>
            <w:r w:rsidRPr="00EF6A15">
              <w:t>6</w:t>
            </w:r>
          </w:p>
        </w:tc>
        <w:tc>
          <w:tcPr>
            <w:tcW w:w="2268" w:type="dxa"/>
            <w:shd w:val="clear" w:color="auto" w:fill="auto"/>
          </w:tcPr>
          <w:p w:rsidR="00B96198" w:rsidRPr="00EF6A15" w:rsidRDefault="00B96198" w:rsidP="00EF6A15">
            <w:pPr>
              <w:pStyle w:val="Tabletext"/>
            </w:pPr>
            <w:r w:rsidRPr="00EF6A15">
              <w:t xml:space="preserve">a </w:t>
            </w:r>
            <w:r w:rsidR="00EF6A15" w:rsidRPr="00EF6A15">
              <w:rPr>
                <w:position w:val="6"/>
                <w:sz w:val="16"/>
              </w:rPr>
              <w:t>*</w:t>
            </w:r>
            <w:r w:rsidRPr="00EF6A15">
              <w:t xml:space="preserve">superannuation income stream of which you were a </w:t>
            </w:r>
            <w:r w:rsidR="00EF6A15" w:rsidRPr="00EF6A15">
              <w:rPr>
                <w:position w:val="6"/>
                <w:sz w:val="16"/>
              </w:rPr>
              <w:t>*</w:t>
            </w:r>
            <w:r w:rsidRPr="00EF6A15">
              <w:t xml:space="preserve">retirement phase recipient stops being a superannuation income stream that is in the </w:t>
            </w:r>
            <w:r w:rsidR="00EF6A15" w:rsidRPr="00EF6A15">
              <w:rPr>
                <w:position w:val="6"/>
                <w:sz w:val="16"/>
              </w:rPr>
              <w:t>*</w:t>
            </w:r>
            <w:r w:rsidRPr="00EF6A15">
              <w:t xml:space="preserve">retirement phase at a time (the </w:t>
            </w:r>
            <w:r w:rsidRPr="00EF6A15">
              <w:rPr>
                <w:b/>
                <w:i/>
              </w:rPr>
              <w:t>stop time</w:t>
            </w:r>
            <w:r w:rsidRPr="00EF6A15">
              <w:t>), but items</w:t>
            </w:r>
            <w:r w:rsidR="00EF6A15" w:rsidRPr="00EF6A15">
              <w:t> </w:t>
            </w:r>
            <w:r w:rsidRPr="00EF6A15">
              <w:t>1 and 5 do not apply</w:t>
            </w:r>
          </w:p>
        </w:tc>
        <w:tc>
          <w:tcPr>
            <w:tcW w:w="2268" w:type="dxa"/>
            <w:shd w:val="clear" w:color="auto" w:fill="auto"/>
          </w:tcPr>
          <w:p w:rsidR="00B96198" w:rsidRPr="00EF6A15" w:rsidRDefault="00B96198" w:rsidP="00EF6A15">
            <w:pPr>
              <w:pStyle w:val="Tabletext"/>
              <w:rPr>
                <w:i/>
              </w:rPr>
            </w:pPr>
            <w:r w:rsidRPr="00EF6A15">
              <w:t xml:space="preserve">the </w:t>
            </w:r>
            <w:r w:rsidR="00EF6A15" w:rsidRPr="00EF6A15">
              <w:rPr>
                <w:position w:val="6"/>
                <w:sz w:val="16"/>
              </w:rPr>
              <w:t>*</w:t>
            </w:r>
            <w:r w:rsidRPr="00EF6A15">
              <w:t xml:space="preserve">value of the </w:t>
            </w:r>
            <w:r w:rsidR="00EF6A15" w:rsidRPr="00EF6A15">
              <w:rPr>
                <w:position w:val="6"/>
                <w:sz w:val="16"/>
              </w:rPr>
              <w:t>*</w:t>
            </w:r>
            <w:r w:rsidRPr="00EF6A15">
              <w:t>superannuation interest that supported the superannuation income stream just before the stop time</w:t>
            </w:r>
          </w:p>
        </w:tc>
        <w:tc>
          <w:tcPr>
            <w:tcW w:w="1985" w:type="dxa"/>
            <w:shd w:val="clear" w:color="auto" w:fill="auto"/>
          </w:tcPr>
          <w:p w:rsidR="00B96198" w:rsidRPr="00EF6A15" w:rsidRDefault="00B96198" w:rsidP="00EF6A15">
            <w:pPr>
              <w:pStyle w:val="Tabletext"/>
            </w:pPr>
            <w:r w:rsidRPr="00EF6A15">
              <w:t>at the stop time</w:t>
            </w:r>
          </w:p>
        </w:tc>
      </w:tr>
    </w:tbl>
    <w:p w:rsidR="00B96198" w:rsidRPr="00EF6A15" w:rsidRDefault="00B96198" w:rsidP="00EF6A15">
      <w:pPr>
        <w:pStyle w:val="ItemHead"/>
      </w:pPr>
      <w:r w:rsidRPr="00EF6A15">
        <w:t>8  Subsection</w:t>
      </w:r>
      <w:r w:rsidR="00EF6A15" w:rsidRPr="00EF6A15">
        <w:t> </w:t>
      </w:r>
      <w:r w:rsidRPr="00EF6A15">
        <w:t>294</w:t>
      </w:r>
      <w:r w:rsidR="001D7483">
        <w:noBreakHyphen/>
      </w:r>
      <w:r w:rsidRPr="00EF6A15">
        <w:t>80(1) (at the end of the table)</w:t>
      </w:r>
    </w:p>
    <w:p w:rsidR="00B96198" w:rsidRPr="00EF6A15" w:rsidRDefault="00B96198" w:rsidP="00EF6A15">
      <w:pPr>
        <w:pStyle w:val="Item"/>
      </w:pPr>
      <w:r w:rsidRPr="00EF6A15">
        <w:t>Add:</w:t>
      </w:r>
    </w:p>
    <w:tbl>
      <w:tblPr>
        <w:tblW w:w="7229" w:type="dxa"/>
        <w:tblInd w:w="108" w:type="dxa"/>
        <w:tblLayout w:type="fixed"/>
        <w:tblCellMar>
          <w:left w:w="107" w:type="dxa"/>
          <w:right w:w="107" w:type="dxa"/>
        </w:tblCellMar>
        <w:tblLook w:val="0000" w:firstRow="0" w:lastRow="0" w:firstColumn="0" w:lastColumn="0" w:noHBand="0" w:noVBand="0"/>
      </w:tblPr>
      <w:tblGrid>
        <w:gridCol w:w="708"/>
        <w:gridCol w:w="2173"/>
        <w:gridCol w:w="2174"/>
        <w:gridCol w:w="2174"/>
      </w:tblGrid>
      <w:tr w:rsidR="00B96198" w:rsidRPr="00EF6A15" w:rsidTr="007C38EC">
        <w:tc>
          <w:tcPr>
            <w:tcW w:w="708" w:type="dxa"/>
            <w:shd w:val="clear" w:color="auto" w:fill="auto"/>
          </w:tcPr>
          <w:p w:rsidR="00B96198" w:rsidRPr="00EF6A15" w:rsidRDefault="00B96198" w:rsidP="00EF6A15">
            <w:pPr>
              <w:pStyle w:val="Tabletext"/>
            </w:pPr>
            <w:r w:rsidRPr="00EF6A15">
              <w:t>8</w:t>
            </w:r>
          </w:p>
        </w:tc>
        <w:tc>
          <w:tcPr>
            <w:tcW w:w="2173" w:type="dxa"/>
            <w:shd w:val="clear" w:color="auto" w:fill="auto"/>
          </w:tcPr>
          <w:p w:rsidR="00B96198" w:rsidRPr="00EF6A15" w:rsidRDefault="00B96198" w:rsidP="00EF6A15">
            <w:pPr>
              <w:pStyle w:val="Tabletext"/>
            </w:pPr>
            <w:r w:rsidRPr="00EF6A15">
              <w:t xml:space="preserve">a </w:t>
            </w:r>
            <w:r w:rsidR="00EF6A15" w:rsidRPr="00EF6A15">
              <w:rPr>
                <w:position w:val="6"/>
                <w:sz w:val="16"/>
              </w:rPr>
              <w:t>*</w:t>
            </w:r>
            <w:r w:rsidRPr="00EF6A15">
              <w:t>transfer balance debit arises under regulations made for the purposes of this item</w:t>
            </w:r>
          </w:p>
        </w:tc>
        <w:tc>
          <w:tcPr>
            <w:tcW w:w="2174" w:type="dxa"/>
            <w:shd w:val="clear" w:color="auto" w:fill="auto"/>
          </w:tcPr>
          <w:p w:rsidR="00B96198" w:rsidRPr="00EF6A15" w:rsidRDefault="00B96198" w:rsidP="00EF6A15">
            <w:pPr>
              <w:pStyle w:val="Tabletext"/>
            </w:pPr>
            <w:r w:rsidRPr="00EF6A15">
              <w:t>the amount of the debit worked out in accordance with the regulations</w:t>
            </w:r>
          </w:p>
        </w:tc>
        <w:tc>
          <w:tcPr>
            <w:tcW w:w="2174" w:type="dxa"/>
            <w:shd w:val="clear" w:color="auto" w:fill="auto"/>
          </w:tcPr>
          <w:p w:rsidR="00B96198" w:rsidRPr="00EF6A15" w:rsidRDefault="00B96198" w:rsidP="00EF6A15">
            <w:pPr>
              <w:pStyle w:val="Tabletext"/>
            </w:pPr>
            <w:r w:rsidRPr="00EF6A15">
              <w:t>at the time specified in the regulations</w:t>
            </w:r>
          </w:p>
        </w:tc>
      </w:tr>
    </w:tbl>
    <w:p w:rsidR="00B96198" w:rsidRPr="00EF6A15" w:rsidRDefault="00B96198" w:rsidP="00EF6A15">
      <w:pPr>
        <w:pStyle w:val="ItemHead"/>
      </w:pPr>
      <w:r w:rsidRPr="00EF6A15">
        <w:t>9  At the end of section</w:t>
      </w:r>
      <w:r w:rsidR="00EF6A15" w:rsidRPr="00EF6A15">
        <w:t> </w:t>
      </w:r>
      <w:r w:rsidRPr="00EF6A15">
        <w:t>294</w:t>
      </w:r>
      <w:r w:rsidR="001D7483">
        <w:noBreakHyphen/>
      </w:r>
      <w:r w:rsidRPr="00EF6A15">
        <w:t>80</w:t>
      </w:r>
    </w:p>
    <w:p w:rsidR="00B96198" w:rsidRPr="00EF6A15" w:rsidRDefault="00B96198" w:rsidP="00EF6A15">
      <w:pPr>
        <w:pStyle w:val="Item"/>
      </w:pPr>
      <w:r w:rsidRPr="00EF6A15">
        <w:t>Add:</w:t>
      </w:r>
    </w:p>
    <w:p w:rsidR="00B96198" w:rsidRPr="00EF6A15" w:rsidRDefault="00B96198" w:rsidP="00EF6A15">
      <w:pPr>
        <w:pStyle w:val="SubsectionHead"/>
      </w:pPr>
      <w:r w:rsidRPr="00EF6A15">
        <w:t>Regulations may provide for exceptions</w:t>
      </w:r>
    </w:p>
    <w:p w:rsidR="00B96198" w:rsidRPr="00EF6A15" w:rsidRDefault="00B96198" w:rsidP="00EF6A15">
      <w:pPr>
        <w:pStyle w:val="subsection"/>
      </w:pPr>
      <w:r w:rsidRPr="00EF6A15">
        <w:tab/>
        <w:t>(3)</w:t>
      </w:r>
      <w:r w:rsidRPr="00EF6A15">
        <w:tab/>
        <w:t xml:space="preserve">The regulations may provide that an item of the table in </w:t>
      </w:r>
      <w:r w:rsidR="00EF6A15" w:rsidRPr="00EF6A15">
        <w:t>subsection (</w:t>
      </w:r>
      <w:r w:rsidRPr="00EF6A15">
        <w:t xml:space="preserve">1) does not apply to a class of </w:t>
      </w:r>
      <w:r w:rsidR="00EF6A15" w:rsidRPr="00EF6A15">
        <w:rPr>
          <w:position w:val="6"/>
          <w:sz w:val="16"/>
        </w:rPr>
        <w:t>*</w:t>
      </w:r>
      <w:r w:rsidRPr="00EF6A15">
        <w:t>superannuation income streams specified in the regulations.</w:t>
      </w:r>
    </w:p>
    <w:p w:rsidR="00B96198" w:rsidRPr="00EF6A15" w:rsidRDefault="00B96198" w:rsidP="00EF6A15">
      <w:pPr>
        <w:pStyle w:val="ItemHead"/>
      </w:pPr>
      <w:r w:rsidRPr="00EF6A15">
        <w:t>10  Paragraph 303</w:t>
      </w:r>
      <w:r w:rsidR="001D7483">
        <w:noBreakHyphen/>
      </w:r>
      <w:r w:rsidRPr="00EF6A15">
        <w:t>4(2)(a)</w:t>
      </w:r>
    </w:p>
    <w:p w:rsidR="00B96198" w:rsidRPr="00EF6A15" w:rsidRDefault="00B96198" w:rsidP="00EF6A15">
      <w:pPr>
        <w:pStyle w:val="Item"/>
      </w:pPr>
      <w:r w:rsidRPr="00EF6A15">
        <w:t xml:space="preserve">After “to you”, insert “in respect of an amount of </w:t>
      </w:r>
      <w:r w:rsidR="00EF6A15" w:rsidRPr="00EF6A15">
        <w:rPr>
          <w:position w:val="6"/>
          <w:sz w:val="16"/>
        </w:rPr>
        <w:t>*</w:t>
      </w:r>
      <w:r w:rsidRPr="00EF6A15">
        <w:t>defined benefit income”.</w:t>
      </w:r>
    </w:p>
    <w:p w:rsidR="00B96198" w:rsidRPr="00EF6A15" w:rsidRDefault="00B96198" w:rsidP="00EF6A15">
      <w:pPr>
        <w:pStyle w:val="ItemHead"/>
      </w:pPr>
      <w:r w:rsidRPr="00EF6A15">
        <w:t>11  Paragraph 303</w:t>
      </w:r>
      <w:r w:rsidR="001D7483">
        <w:noBreakHyphen/>
      </w:r>
      <w:r w:rsidRPr="00EF6A15">
        <w:t>4(2)(b)</w:t>
      </w:r>
    </w:p>
    <w:p w:rsidR="00B96198" w:rsidRPr="00EF6A15" w:rsidRDefault="00B96198" w:rsidP="00EF6A15">
      <w:pPr>
        <w:pStyle w:val="Item"/>
      </w:pPr>
      <w:r w:rsidRPr="00EF6A15">
        <w:t>After “to you”, insert “in respect of an amount of defined benefit income”.</w:t>
      </w:r>
    </w:p>
    <w:p w:rsidR="00B96198" w:rsidRPr="00EF6A15" w:rsidRDefault="00B96198" w:rsidP="00EF6A15">
      <w:pPr>
        <w:pStyle w:val="ItemHead"/>
      </w:pPr>
      <w:r w:rsidRPr="00EF6A15">
        <w:t>12  At the end of section</w:t>
      </w:r>
      <w:r w:rsidR="00EF6A15" w:rsidRPr="00EF6A15">
        <w:t> </w:t>
      </w:r>
      <w:r w:rsidRPr="00EF6A15">
        <w:t>307</w:t>
      </w:r>
      <w:r w:rsidR="001D7483">
        <w:noBreakHyphen/>
      </w:r>
      <w:r w:rsidRPr="00EF6A15">
        <w:t>70</w:t>
      </w:r>
    </w:p>
    <w:p w:rsidR="00B96198" w:rsidRPr="00EF6A15" w:rsidRDefault="00B96198" w:rsidP="00EF6A15">
      <w:pPr>
        <w:pStyle w:val="Item"/>
      </w:pPr>
      <w:r w:rsidRPr="00EF6A15">
        <w:t>Add:</w:t>
      </w:r>
    </w:p>
    <w:p w:rsidR="00B96198" w:rsidRPr="00EF6A15" w:rsidRDefault="00B96198" w:rsidP="00EF6A15">
      <w:pPr>
        <w:pStyle w:val="notetext"/>
      </w:pPr>
      <w:r w:rsidRPr="00EF6A15">
        <w:t>Note:</w:t>
      </w:r>
      <w:r w:rsidRPr="00EF6A15">
        <w:tab/>
        <w:t xml:space="preserve">For the purposes of the transfer balance cap, the meaning of </w:t>
      </w:r>
      <w:r w:rsidRPr="00EF6A15">
        <w:rPr>
          <w:b/>
          <w:i/>
        </w:rPr>
        <w:t>superannuation income stream</w:t>
      </w:r>
      <w:r w:rsidRPr="00EF6A15">
        <w:t xml:space="preserve"> is affected by subsection</w:t>
      </w:r>
      <w:r w:rsidR="00EF6A15" w:rsidRPr="00EF6A15">
        <w:t> </w:t>
      </w:r>
      <w:r w:rsidRPr="00EF6A15">
        <w:t>294</w:t>
      </w:r>
      <w:r w:rsidR="001D7483">
        <w:noBreakHyphen/>
      </w:r>
      <w:r w:rsidRPr="00EF6A15">
        <w:t>50(2).</w:t>
      </w:r>
    </w:p>
    <w:p w:rsidR="00B96198" w:rsidRPr="00EF6A15" w:rsidRDefault="00B96198" w:rsidP="00EF6A15">
      <w:pPr>
        <w:pStyle w:val="ItemHead"/>
      </w:pPr>
      <w:r w:rsidRPr="00EF6A15">
        <w:t>13  Subsection</w:t>
      </w:r>
      <w:r w:rsidR="00EF6A15" w:rsidRPr="00EF6A15">
        <w:t> </w:t>
      </w:r>
      <w:r w:rsidRPr="00EF6A15">
        <w:t>307</w:t>
      </w:r>
      <w:r w:rsidR="001D7483">
        <w:noBreakHyphen/>
      </w:r>
      <w:r w:rsidRPr="00EF6A15">
        <w:t>80(3)</w:t>
      </w:r>
    </w:p>
    <w:p w:rsidR="00B96198" w:rsidRPr="00EF6A15" w:rsidRDefault="00B96198" w:rsidP="00EF6A15">
      <w:pPr>
        <w:pStyle w:val="Item"/>
      </w:pPr>
      <w:r w:rsidRPr="00EF6A15">
        <w:t>Repeal the subsection, substitute:</w:t>
      </w:r>
    </w:p>
    <w:p w:rsidR="00B96198" w:rsidRPr="00EF6A15" w:rsidRDefault="00B96198" w:rsidP="00EF6A15">
      <w:pPr>
        <w:pStyle w:val="subsection"/>
      </w:pPr>
      <w:r w:rsidRPr="00EF6A15">
        <w:tab/>
        <w:t>(3)</w:t>
      </w:r>
      <w:r w:rsidRPr="00EF6A15">
        <w:tab/>
        <w:t xml:space="preserve">However, a </w:t>
      </w:r>
      <w:r w:rsidR="00EF6A15" w:rsidRPr="00EF6A15">
        <w:rPr>
          <w:position w:val="6"/>
          <w:sz w:val="16"/>
        </w:rPr>
        <w:t>*</w:t>
      </w:r>
      <w:r w:rsidRPr="00EF6A15">
        <w:t>superannuation income stream from which a</w:t>
      </w:r>
      <w:r w:rsidR="00EF6A15" w:rsidRPr="00EF6A15">
        <w:rPr>
          <w:position w:val="6"/>
          <w:sz w:val="16"/>
        </w:rPr>
        <w:t>*</w:t>
      </w:r>
      <w:r w:rsidRPr="00EF6A15">
        <w:t xml:space="preserve">superannuation income stream benefit is payable is not in the </w:t>
      </w:r>
      <w:r w:rsidRPr="00EF6A15">
        <w:rPr>
          <w:b/>
          <w:i/>
        </w:rPr>
        <w:t xml:space="preserve">retirement phase </w:t>
      </w:r>
      <w:r w:rsidRPr="00EF6A15">
        <w:t>at a time if:</w:t>
      </w:r>
    </w:p>
    <w:p w:rsidR="00B96198" w:rsidRPr="00EF6A15" w:rsidRDefault="00B96198" w:rsidP="00EF6A15">
      <w:pPr>
        <w:pStyle w:val="paragraph"/>
      </w:pPr>
      <w:r w:rsidRPr="00EF6A15">
        <w:tab/>
        <w:t>(a)</w:t>
      </w:r>
      <w:r w:rsidRPr="00EF6A15">
        <w:tab/>
        <w:t>the superannuation income stream is any of the following:</w:t>
      </w:r>
    </w:p>
    <w:p w:rsidR="00B96198" w:rsidRPr="00EF6A15" w:rsidRDefault="00B96198" w:rsidP="00EF6A15">
      <w:pPr>
        <w:pStyle w:val="paragraphsub"/>
      </w:pPr>
      <w:r w:rsidRPr="00EF6A15">
        <w:tab/>
        <w:t>(i)</w:t>
      </w:r>
      <w:r w:rsidRPr="00EF6A15">
        <w:tab/>
        <w:t>a transition to retirement income stream (within the meaning of Part</w:t>
      </w:r>
      <w:r w:rsidR="00EF6A15" w:rsidRPr="00EF6A15">
        <w:t> </w:t>
      </w:r>
      <w:r w:rsidRPr="00EF6A15">
        <w:t xml:space="preserve">6 of the </w:t>
      </w:r>
      <w:r w:rsidRPr="00EF6A15">
        <w:rPr>
          <w:i/>
        </w:rPr>
        <w:t>Superannuation Industry (Supervision) Regulations</w:t>
      </w:r>
      <w:r w:rsidR="00EF6A15" w:rsidRPr="00EF6A15">
        <w:rPr>
          <w:i/>
        </w:rPr>
        <w:t> </w:t>
      </w:r>
      <w:r w:rsidRPr="00EF6A15">
        <w:rPr>
          <w:i/>
        </w:rPr>
        <w:t>1994</w:t>
      </w:r>
      <w:r w:rsidRPr="00EF6A15">
        <w:t>);</w:t>
      </w:r>
    </w:p>
    <w:p w:rsidR="00B96198" w:rsidRPr="00EF6A15" w:rsidRDefault="00B96198" w:rsidP="00EF6A15">
      <w:pPr>
        <w:pStyle w:val="paragraphsub"/>
      </w:pPr>
      <w:r w:rsidRPr="00EF6A15">
        <w:tab/>
        <w:t>(ii)</w:t>
      </w:r>
      <w:r w:rsidRPr="00EF6A15">
        <w:tab/>
        <w:t>a non</w:t>
      </w:r>
      <w:r w:rsidR="001D7483">
        <w:noBreakHyphen/>
      </w:r>
      <w:r w:rsidRPr="00EF6A15">
        <w:t>commutable allocated annuity (within the meaning of those regulations);</w:t>
      </w:r>
    </w:p>
    <w:p w:rsidR="00B96198" w:rsidRPr="00EF6A15" w:rsidRDefault="00B96198" w:rsidP="00EF6A15">
      <w:pPr>
        <w:pStyle w:val="paragraphsub"/>
      </w:pPr>
      <w:r w:rsidRPr="00EF6A15">
        <w:tab/>
        <w:t>(iii)</w:t>
      </w:r>
      <w:r w:rsidRPr="00EF6A15">
        <w:tab/>
        <w:t>a non</w:t>
      </w:r>
      <w:r w:rsidR="001D7483">
        <w:noBreakHyphen/>
      </w:r>
      <w:r w:rsidRPr="00EF6A15">
        <w:t>commutable allocated pension (within the meaning of those regulations);</w:t>
      </w:r>
    </w:p>
    <w:p w:rsidR="00B96198" w:rsidRPr="00EF6A15" w:rsidRDefault="00B96198" w:rsidP="00EF6A15">
      <w:pPr>
        <w:pStyle w:val="paragraphsub"/>
      </w:pPr>
      <w:r w:rsidRPr="00EF6A15">
        <w:tab/>
        <w:t>(iv)</w:t>
      </w:r>
      <w:r w:rsidRPr="00EF6A15">
        <w:tab/>
        <w:t>a transition to retirement pension (within the meaning of Part</w:t>
      </w:r>
      <w:r w:rsidR="00EF6A15" w:rsidRPr="00EF6A15">
        <w:t> </w:t>
      </w:r>
      <w:r w:rsidRPr="00EF6A15">
        <w:t xml:space="preserve">4 of the </w:t>
      </w:r>
      <w:r w:rsidRPr="00EF6A15">
        <w:rPr>
          <w:i/>
        </w:rPr>
        <w:t>Retirement Savings Accounts Regulations</w:t>
      </w:r>
      <w:r w:rsidR="00EF6A15" w:rsidRPr="00EF6A15">
        <w:rPr>
          <w:i/>
        </w:rPr>
        <w:t> </w:t>
      </w:r>
      <w:r w:rsidRPr="00EF6A15">
        <w:rPr>
          <w:i/>
        </w:rPr>
        <w:t>1997</w:t>
      </w:r>
      <w:r w:rsidRPr="00EF6A15">
        <w:t>);</w:t>
      </w:r>
    </w:p>
    <w:p w:rsidR="00B96198" w:rsidRPr="00EF6A15" w:rsidRDefault="00B96198" w:rsidP="00EF6A15">
      <w:pPr>
        <w:pStyle w:val="paragraphsub"/>
      </w:pPr>
      <w:r w:rsidRPr="00EF6A15">
        <w:tab/>
        <w:t>(v)</w:t>
      </w:r>
      <w:r w:rsidRPr="00EF6A15">
        <w:tab/>
        <w:t>a non</w:t>
      </w:r>
      <w:r w:rsidR="001D7483">
        <w:noBreakHyphen/>
      </w:r>
      <w:r w:rsidRPr="00EF6A15">
        <w:t>commutable allocated pension (within the meaning of those regulations); and</w:t>
      </w:r>
    </w:p>
    <w:p w:rsidR="00B96198" w:rsidRPr="00EF6A15" w:rsidRDefault="00B96198" w:rsidP="00EF6A15">
      <w:pPr>
        <w:pStyle w:val="paragraph"/>
      </w:pPr>
      <w:r w:rsidRPr="00EF6A15">
        <w:tab/>
        <w:t>(b)</w:t>
      </w:r>
      <w:r w:rsidRPr="00EF6A15">
        <w:tab/>
        <w:t>at or before that time, the person to whom the benefit is payable:</w:t>
      </w:r>
    </w:p>
    <w:p w:rsidR="00B96198" w:rsidRPr="00EF6A15" w:rsidRDefault="00B96198" w:rsidP="00EF6A15">
      <w:pPr>
        <w:pStyle w:val="paragraphsub"/>
      </w:pPr>
      <w:r w:rsidRPr="00EF6A15">
        <w:tab/>
        <w:t>(i)</w:t>
      </w:r>
      <w:r w:rsidRPr="00EF6A15">
        <w:tab/>
        <w:t xml:space="preserve">has not satisfied a condition of release specified in </w:t>
      </w:r>
      <w:r w:rsidR="00EF6A15" w:rsidRPr="00EF6A15">
        <w:t>paragraph (</w:t>
      </w:r>
      <w:r w:rsidRPr="00EF6A15">
        <w:t>2)(c); or</w:t>
      </w:r>
    </w:p>
    <w:p w:rsidR="00B96198" w:rsidRPr="00EF6A15" w:rsidRDefault="00B96198" w:rsidP="00EF6A15">
      <w:pPr>
        <w:pStyle w:val="paragraphsub"/>
      </w:pPr>
      <w:r w:rsidRPr="00EF6A15">
        <w:tab/>
        <w:t>(ii)</w:t>
      </w:r>
      <w:r w:rsidRPr="00EF6A15">
        <w:tab/>
        <w:t xml:space="preserve">has satisfied a condition of release specified in </w:t>
      </w:r>
      <w:r w:rsidR="00EF6A15" w:rsidRPr="00EF6A15">
        <w:t>subparagraph (</w:t>
      </w:r>
      <w:r w:rsidRPr="00EF6A15">
        <w:t xml:space="preserve">2)(c)(i), (ii) or (iii), but has not notified the </w:t>
      </w:r>
      <w:r w:rsidR="00EF6A15" w:rsidRPr="00EF6A15">
        <w:rPr>
          <w:position w:val="6"/>
          <w:sz w:val="16"/>
        </w:rPr>
        <w:t>*</w:t>
      </w:r>
      <w:r w:rsidRPr="00EF6A15">
        <w:t>superannuation income stream provider for the superannuation income stream of that fact.</w:t>
      </w:r>
    </w:p>
    <w:p w:rsidR="00B96198" w:rsidRPr="00EF6A15" w:rsidRDefault="00B96198" w:rsidP="00EF6A15">
      <w:pPr>
        <w:pStyle w:val="ItemHead"/>
      </w:pPr>
      <w:r w:rsidRPr="00EF6A15">
        <w:t>14  At the end of section</w:t>
      </w:r>
      <w:r w:rsidR="00EF6A15" w:rsidRPr="00EF6A15">
        <w:t> </w:t>
      </w:r>
      <w:r w:rsidRPr="00EF6A15">
        <w:t>307</w:t>
      </w:r>
      <w:r w:rsidR="001D7483">
        <w:noBreakHyphen/>
      </w:r>
      <w:r w:rsidRPr="00EF6A15">
        <w:t>80</w:t>
      </w:r>
    </w:p>
    <w:p w:rsidR="00B96198" w:rsidRPr="00EF6A15" w:rsidRDefault="00B96198" w:rsidP="00EF6A15">
      <w:pPr>
        <w:pStyle w:val="Item"/>
      </w:pPr>
      <w:r w:rsidRPr="00EF6A15">
        <w:t>Add:</w:t>
      </w:r>
    </w:p>
    <w:p w:rsidR="00B96198" w:rsidRPr="00EF6A15" w:rsidRDefault="00B96198" w:rsidP="00EF6A15">
      <w:pPr>
        <w:pStyle w:val="notetext"/>
      </w:pPr>
      <w:r w:rsidRPr="00EF6A15">
        <w:t>Note:</w:t>
      </w:r>
      <w:r w:rsidRPr="00EF6A15">
        <w:tab/>
        <w:t>The operation of this subsection in relation to the part of the income year before the end of the 60</w:t>
      </w:r>
      <w:r w:rsidR="001D7483">
        <w:noBreakHyphen/>
      </w:r>
      <w:r w:rsidRPr="00EF6A15">
        <w:t>day period is modified for the purposes of the transfer balance cap: see section</w:t>
      </w:r>
      <w:r w:rsidR="00EF6A15" w:rsidRPr="00EF6A15">
        <w:t> </w:t>
      </w:r>
      <w:r w:rsidRPr="00EF6A15">
        <w:t>294</w:t>
      </w:r>
      <w:r w:rsidR="001D7483">
        <w:noBreakHyphen/>
      </w:r>
      <w:r w:rsidRPr="00EF6A15">
        <w:t>50.</w:t>
      </w:r>
    </w:p>
    <w:p w:rsidR="00B96198" w:rsidRPr="00EF6A15" w:rsidRDefault="00B96198" w:rsidP="00EF6A15">
      <w:pPr>
        <w:pStyle w:val="ItemHead"/>
      </w:pPr>
      <w:r w:rsidRPr="00EF6A15">
        <w:t>15  Subsection</w:t>
      </w:r>
      <w:r w:rsidR="00EF6A15" w:rsidRPr="00EF6A15">
        <w:t> </w:t>
      </w:r>
      <w:r w:rsidRPr="00EF6A15">
        <w:t>995</w:t>
      </w:r>
      <w:r w:rsidR="001D7483">
        <w:noBreakHyphen/>
      </w:r>
      <w:r w:rsidRPr="00EF6A15">
        <w:t>1(1)</w:t>
      </w:r>
    </w:p>
    <w:p w:rsidR="00B96198" w:rsidRPr="00EF6A15" w:rsidRDefault="00B96198" w:rsidP="00EF6A15">
      <w:pPr>
        <w:pStyle w:val="Item"/>
      </w:pPr>
      <w:r w:rsidRPr="00EF6A15">
        <w:t>Insert:</w:t>
      </w:r>
    </w:p>
    <w:p w:rsidR="00B96198" w:rsidRPr="00EF6A15" w:rsidRDefault="00B96198" w:rsidP="00EF6A15">
      <w:pPr>
        <w:pStyle w:val="Definition"/>
      </w:pPr>
      <w:r w:rsidRPr="00EF6A15">
        <w:rPr>
          <w:b/>
          <w:i/>
        </w:rPr>
        <w:t>basic concessional contributions cap</w:t>
      </w:r>
      <w:r w:rsidRPr="00EF6A15">
        <w:t xml:space="preserve"> means the concessional contributions cap under subsection</w:t>
      </w:r>
      <w:r w:rsidR="00EF6A15" w:rsidRPr="00EF6A15">
        <w:t> </w:t>
      </w:r>
      <w:r w:rsidRPr="00EF6A15">
        <w:t>291</w:t>
      </w:r>
      <w:r w:rsidR="001D7483">
        <w:noBreakHyphen/>
      </w:r>
      <w:r w:rsidRPr="00EF6A15">
        <w:t>20(2), disregarding any increase under subsection</w:t>
      </w:r>
      <w:r w:rsidR="00EF6A15" w:rsidRPr="00EF6A15">
        <w:t> </w:t>
      </w:r>
      <w:r w:rsidRPr="00EF6A15">
        <w:t>291</w:t>
      </w:r>
      <w:r w:rsidR="001D7483">
        <w:noBreakHyphen/>
      </w:r>
      <w:r w:rsidRPr="00EF6A15">
        <w:t>20(3).</w:t>
      </w:r>
    </w:p>
    <w:p w:rsidR="00B96198" w:rsidRPr="00EF6A15" w:rsidRDefault="00B96198" w:rsidP="00EF6A15">
      <w:pPr>
        <w:pStyle w:val="ActHead9"/>
        <w:rPr>
          <w:i w:val="0"/>
        </w:rPr>
      </w:pPr>
      <w:bookmarkStart w:id="11" w:name="_Toc485992328"/>
      <w:r w:rsidRPr="00EF6A15">
        <w:t>Income Tax (Transitional Provisions) Act 1997</w:t>
      </w:r>
      <w:bookmarkEnd w:id="11"/>
    </w:p>
    <w:p w:rsidR="00B96198" w:rsidRPr="00EF6A15" w:rsidRDefault="00B96198" w:rsidP="00EF6A15">
      <w:pPr>
        <w:pStyle w:val="ItemHead"/>
      </w:pPr>
      <w:r w:rsidRPr="00EF6A15">
        <w:t>16  Subsections</w:t>
      </w:r>
      <w:r w:rsidR="00EF6A15" w:rsidRPr="00EF6A15">
        <w:t> </w:t>
      </w:r>
      <w:r w:rsidRPr="00EF6A15">
        <w:t>291</w:t>
      </w:r>
      <w:r w:rsidR="001D7483">
        <w:noBreakHyphen/>
      </w:r>
      <w:r w:rsidRPr="00EF6A15">
        <w:t>170(2) and (4)</w:t>
      </w:r>
    </w:p>
    <w:p w:rsidR="00B96198" w:rsidRPr="00EF6A15" w:rsidRDefault="00B96198" w:rsidP="00EF6A15">
      <w:pPr>
        <w:pStyle w:val="Item"/>
      </w:pPr>
      <w:r w:rsidRPr="00EF6A15">
        <w:t>Omit “concessional contributions cap” (wherever occurring), substitute “basic concessional contributions cap”.</w:t>
      </w:r>
    </w:p>
    <w:p w:rsidR="00B96198" w:rsidRPr="00EF6A15" w:rsidRDefault="00B96198" w:rsidP="00EF6A15">
      <w:pPr>
        <w:pStyle w:val="ItemHead"/>
      </w:pPr>
      <w:r w:rsidRPr="00EF6A15">
        <w:t>17  At the end of Subdivision</w:t>
      </w:r>
      <w:r w:rsidR="00EF6A15" w:rsidRPr="00EF6A15">
        <w:t> </w:t>
      </w:r>
      <w:r w:rsidRPr="00EF6A15">
        <w:t>294</w:t>
      </w:r>
      <w:r w:rsidR="001D7483">
        <w:noBreakHyphen/>
      </w:r>
      <w:r w:rsidRPr="00EF6A15">
        <w:t>A</w:t>
      </w:r>
    </w:p>
    <w:p w:rsidR="00B96198" w:rsidRPr="00EF6A15" w:rsidRDefault="00B96198" w:rsidP="00EF6A15">
      <w:pPr>
        <w:pStyle w:val="Item"/>
      </w:pPr>
      <w:r w:rsidRPr="00EF6A15">
        <w:t>Add:</w:t>
      </w:r>
    </w:p>
    <w:p w:rsidR="00B96198" w:rsidRPr="00EF6A15" w:rsidRDefault="00B96198" w:rsidP="00EF6A15">
      <w:pPr>
        <w:pStyle w:val="ActHead5"/>
      </w:pPr>
      <w:bookmarkStart w:id="12" w:name="_Toc485992329"/>
      <w:r w:rsidRPr="00EF6A15">
        <w:rPr>
          <w:rStyle w:val="CharSectno"/>
        </w:rPr>
        <w:t>294</w:t>
      </w:r>
      <w:r w:rsidR="001D7483">
        <w:rPr>
          <w:rStyle w:val="CharSectno"/>
        </w:rPr>
        <w:noBreakHyphen/>
      </w:r>
      <w:r w:rsidRPr="00EF6A15">
        <w:rPr>
          <w:rStyle w:val="CharSectno"/>
        </w:rPr>
        <w:t>80</w:t>
      </w:r>
      <w:r w:rsidRPr="00EF6A15">
        <w:t xml:space="preserve">  Structured settlement contributions made before 1</w:t>
      </w:r>
      <w:r w:rsidR="00EF6A15" w:rsidRPr="00EF6A15">
        <w:t> </w:t>
      </w:r>
      <w:r w:rsidRPr="00EF6A15">
        <w:t>July 2017—debit increased to match credits</w:t>
      </w:r>
      <w:bookmarkEnd w:id="12"/>
    </w:p>
    <w:p w:rsidR="00B96198" w:rsidRPr="00EF6A15" w:rsidRDefault="00B96198" w:rsidP="00EF6A15">
      <w:pPr>
        <w:pStyle w:val="subsection"/>
      </w:pPr>
      <w:r w:rsidRPr="00EF6A15">
        <w:tab/>
        <w:t>(1)</w:t>
      </w:r>
      <w:r w:rsidRPr="00EF6A15">
        <w:tab/>
        <w:t>This section applies to you if:</w:t>
      </w:r>
    </w:p>
    <w:p w:rsidR="00B96198" w:rsidRPr="00EF6A15" w:rsidRDefault="00B96198" w:rsidP="00EF6A15">
      <w:pPr>
        <w:pStyle w:val="paragraph"/>
      </w:pPr>
      <w:r w:rsidRPr="00EF6A15">
        <w:tab/>
        <w:t>(a)</w:t>
      </w:r>
      <w:r w:rsidRPr="00EF6A15">
        <w:tab/>
        <w:t>on 1</w:t>
      </w:r>
      <w:r w:rsidR="00EF6A15" w:rsidRPr="00EF6A15">
        <w:t> </w:t>
      </w:r>
      <w:r w:rsidRPr="00EF6A15">
        <w:t>July 2017, a transfer balance debit arose in your transfer balance account under item</w:t>
      </w:r>
      <w:r w:rsidR="00EF6A15" w:rsidRPr="00EF6A15">
        <w:t> </w:t>
      </w:r>
      <w:r w:rsidRPr="00EF6A15">
        <w:t>2 of the table in subsection</w:t>
      </w:r>
      <w:r w:rsidR="00EF6A15" w:rsidRPr="00EF6A15">
        <w:t> </w:t>
      </w:r>
      <w:r w:rsidRPr="00EF6A15">
        <w:t>294</w:t>
      </w:r>
      <w:r w:rsidR="001D7483">
        <w:noBreakHyphen/>
      </w:r>
      <w:r w:rsidRPr="00EF6A15">
        <w:t xml:space="preserve">80(1) of the </w:t>
      </w:r>
      <w:r w:rsidRPr="00EF6A15">
        <w:rPr>
          <w:i/>
        </w:rPr>
        <w:t>Income Tax Assessment Act 1997</w:t>
      </w:r>
      <w:r w:rsidRPr="00EF6A15">
        <w:t>; and</w:t>
      </w:r>
    </w:p>
    <w:p w:rsidR="00B96198" w:rsidRPr="00EF6A15" w:rsidRDefault="00B96198" w:rsidP="00EF6A15">
      <w:pPr>
        <w:pStyle w:val="paragraph"/>
      </w:pPr>
      <w:r w:rsidRPr="00EF6A15">
        <w:tab/>
        <w:t>(b)</w:t>
      </w:r>
      <w:r w:rsidRPr="00EF6A15">
        <w:tab/>
        <w:t>the sum of all the transfer balance credits that arise in your transfer balance account under item</w:t>
      </w:r>
      <w:r w:rsidR="00EF6A15" w:rsidRPr="00EF6A15">
        <w:t> </w:t>
      </w:r>
      <w:r w:rsidRPr="00EF6A15">
        <w:t>1 of the table in subsection</w:t>
      </w:r>
      <w:r w:rsidR="00EF6A15" w:rsidRPr="00EF6A15">
        <w:t> </w:t>
      </w:r>
      <w:r w:rsidRPr="00EF6A15">
        <w:t>294</w:t>
      </w:r>
      <w:r w:rsidR="001D7483">
        <w:noBreakHyphen/>
      </w:r>
      <w:r w:rsidRPr="00EF6A15">
        <w:t>25(1) of that Act exceeds the amount that would, apart from this section, be the amount of that debit.</w:t>
      </w:r>
    </w:p>
    <w:p w:rsidR="00B96198" w:rsidRPr="00EF6A15" w:rsidRDefault="00B96198" w:rsidP="00EF6A15">
      <w:pPr>
        <w:pStyle w:val="subsection"/>
      </w:pPr>
      <w:r w:rsidRPr="00EF6A15">
        <w:tab/>
        <w:t>(2)</w:t>
      </w:r>
      <w:r w:rsidRPr="00EF6A15">
        <w:tab/>
        <w:t>Despite column 2 of item</w:t>
      </w:r>
      <w:r w:rsidR="00EF6A15" w:rsidRPr="00EF6A15">
        <w:t> </w:t>
      </w:r>
      <w:r w:rsidRPr="00EF6A15">
        <w:t>2 of the table in subsection</w:t>
      </w:r>
      <w:r w:rsidR="00EF6A15" w:rsidRPr="00EF6A15">
        <w:t> </w:t>
      </w:r>
      <w:r w:rsidRPr="00EF6A15">
        <w:t>294</w:t>
      </w:r>
      <w:r w:rsidR="001D7483">
        <w:noBreakHyphen/>
      </w:r>
      <w:r w:rsidRPr="00EF6A15">
        <w:t xml:space="preserve">80(1) of the </w:t>
      </w:r>
      <w:r w:rsidRPr="00EF6A15">
        <w:rPr>
          <w:i/>
        </w:rPr>
        <w:t>Income Tax Assessment Act 1997</w:t>
      </w:r>
      <w:r w:rsidRPr="00EF6A15">
        <w:t xml:space="preserve">, the amount of the transfer balance debit is instead equal to the sum worked out under </w:t>
      </w:r>
      <w:r w:rsidR="00EF6A15" w:rsidRPr="00EF6A15">
        <w:t>paragraph (</w:t>
      </w:r>
      <w:r w:rsidRPr="00EF6A15">
        <w:t>1)(b) of this section.</w:t>
      </w:r>
    </w:p>
    <w:p w:rsidR="00B96198" w:rsidRPr="00EF6A15" w:rsidRDefault="00B96198" w:rsidP="00EF6A15">
      <w:pPr>
        <w:pStyle w:val="ItemHead"/>
      </w:pPr>
      <w:r w:rsidRPr="00EF6A15">
        <w:t>18  Paragraph 294</w:t>
      </w:r>
      <w:r w:rsidR="001D7483">
        <w:noBreakHyphen/>
      </w:r>
      <w:r w:rsidRPr="00EF6A15">
        <w:t>110(1)(b)</w:t>
      </w:r>
    </w:p>
    <w:p w:rsidR="00B96198" w:rsidRPr="00EF6A15" w:rsidRDefault="00B96198" w:rsidP="00EF6A15">
      <w:pPr>
        <w:pStyle w:val="Item"/>
      </w:pPr>
      <w:r w:rsidRPr="00EF6A15">
        <w:t>Repeal the paragraph, substitute:</w:t>
      </w:r>
    </w:p>
    <w:p w:rsidR="00B96198" w:rsidRPr="00EF6A15" w:rsidRDefault="00B96198" w:rsidP="00EF6A15">
      <w:pPr>
        <w:pStyle w:val="paragraph"/>
      </w:pPr>
      <w:r w:rsidRPr="00EF6A15">
        <w:tab/>
        <w:t>(b)</w:t>
      </w:r>
      <w:r w:rsidRPr="00EF6A15">
        <w:tab/>
        <w:t>either:</w:t>
      </w:r>
    </w:p>
    <w:p w:rsidR="00B96198" w:rsidRPr="00EF6A15" w:rsidRDefault="00B96198" w:rsidP="00EF6A15">
      <w:pPr>
        <w:pStyle w:val="paragraphsub"/>
      </w:pPr>
      <w:r w:rsidRPr="00EF6A15">
        <w:tab/>
        <w:t>(i)</w:t>
      </w:r>
      <w:r w:rsidRPr="00EF6A15">
        <w:tab/>
        <w:t xml:space="preserve">at a time (the </w:t>
      </w:r>
      <w:r w:rsidRPr="00EF6A15">
        <w:rPr>
          <w:b/>
          <w:i/>
        </w:rPr>
        <w:t>cessation time</w:t>
      </w:r>
      <w:r w:rsidRPr="00EF6A15">
        <w:t>) in the pre</w:t>
      </w:r>
      <w:r w:rsidR="001D7483">
        <w:noBreakHyphen/>
      </w:r>
      <w:r w:rsidRPr="00EF6A15">
        <w:t>commencement period, the asset ceases to be a segregated current pension asset of the fund; or</w:t>
      </w:r>
    </w:p>
    <w:p w:rsidR="00B96198" w:rsidRPr="00EF6A15" w:rsidRDefault="00B96198" w:rsidP="00EF6A15">
      <w:pPr>
        <w:pStyle w:val="paragraphsub"/>
      </w:pPr>
      <w:r w:rsidRPr="00EF6A15">
        <w:tab/>
        <w:t>(ii)</w:t>
      </w:r>
      <w:r w:rsidRPr="00EF6A15">
        <w:tab/>
        <w:t>at the start of 1</w:t>
      </w:r>
      <w:r w:rsidR="00EF6A15" w:rsidRPr="00EF6A15">
        <w:t> </w:t>
      </w:r>
      <w:r w:rsidRPr="00EF6A15">
        <w:t xml:space="preserve">July 2017 (also the </w:t>
      </w:r>
      <w:r w:rsidRPr="00EF6A15">
        <w:rPr>
          <w:b/>
          <w:i/>
        </w:rPr>
        <w:t>cessation time</w:t>
      </w:r>
      <w:r w:rsidRPr="00EF6A15">
        <w:t>), the asset ceases to be a segregated current pension asset of the fund because it supports a superannuation income stream covered by subsection</w:t>
      </w:r>
      <w:r w:rsidR="00EF6A15" w:rsidRPr="00EF6A15">
        <w:t> </w:t>
      </w:r>
      <w:r w:rsidRPr="00EF6A15">
        <w:t>307</w:t>
      </w:r>
      <w:r w:rsidR="001D7483">
        <w:noBreakHyphen/>
      </w:r>
      <w:r w:rsidRPr="00EF6A15">
        <w:t xml:space="preserve">80(3) of the </w:t>
      </w:r>
      <w:r w:rsidRPr="00EF6A15">
        <w:rPr>
          <w:i/>
        </w:rPr>
        <w:t>Income Tax Assessment Act 1997</w:t>
      </w:r>
      <w:r w:rsidRPr="00EF6A15">
        <w:t>; and</w:t>
      </w:r>
    </w:p>
    <w:p w:rsidR="00B96198" w:rsidRPr="00EF6A15" w:rsidRDefault="00B96198" w:rsidP="00EF6A15">
      <w:pPr>
        <w:pStyle w:val="ItemHead"/>
      </w:pPr>
      <w:r w:rsidRPr="00EF6A15">
        <w:t>19  At the end of Subdivision</w:t>
      </w:r>
      <w:r w:rsidR="00EF6A15" w:rsidRPr="00EF6A15">
        <w:t> </w:t>
      </w:r>
      <w:r w:rsidRPr="00EF6A15">
        <w:t>294</w:t>
      </w:r>
      <w:r w:rsidR="001D7483">
        <w:noBreakHyphen/>
      </w:r>
      <w:r w:rsidRPr="00EF6A15">
        <w:t>B</w:t>
      </w:r>
    </w:p>
    <w:p w:rsidR="00B96198" w:rsidRPr="00EF6A15" w:rsidRDefault="00B96198" w:rsidP="00EF6A15">
      <w:pPr>
        <w:pStyle w:val="Item"/>
      </w:pPr>
      <w:r w:rsidRPr="00EF6A15">
        <w:t>Add:</w:t>
      </w:r>
    </w:p>
    <w:p w:rsidR="00B96198" w:rsidRPr="00EF6A15" w:rsidRDefault="00B96198" w:rsidP="00EF6A15">
      <w:pPr>
        <w:pStyle w:val="ActHead5"/>
      </w:pPr>
      <w:bookmarkStart w:id="13" w:name="_Toc485992330"/>
      <w:r w:rsidRPr="00EF6A15">
        <w:rPr>
          <w:rStyle w:val="CharSectno"/>
        </w:rPr>
        <w:t>294</w:t>
      </w:r>
      <w:r w:rsidR="001D7483">
        <w:rPr>
          <w:rStyle w:val="CharSectno"/>
        </w:rPr>
        <w:noBreakHyphen/>
      </w:r>
      <w:r w:rsidRPr="00EF6A15">
        <w:rPr>
          <w:rStyle w:val="CharSectno"/>
        </w:rPr>
        <w:t>125</w:t>
      </w:r>
      <w:r w:rsidRPr="00EF6A15">
        <w:t xml:space="preserve">  Pooled superannuation trust using proportionate or alternative exemption method—deemed sale and purchase of CGT asset</w:t>
      </w:r>
      <w:bookmarkEnd w:id="13"/>
    </w:p>
    <w:p w:rsidR="00B96198" w:rsidRPr="00EF6A15" w:rsidRDefault="00B96198" w:rsidP="00EF6A15">
      <w:pPr>
        <w:pStyle w:val="SubsectionHead"/>
      </w:pPr>
      <w:r w:rsidRPr="00EF6A15">
        <w:t>Application</w:t>
      </w:r>
    </w:p>
    <w:p w:rsidR="00B96198" w:rsidRPr="00EF6A15" w:rsidRDefault="00B96198" w:rsidP="00EF6A15">
      <w:pPr>
        <w:pStyle w:val="subsection"/>
      </w:pPr>
      <w:r w:rsidRPr="00EF6A15">
        <w:tab/>
        <w:t>(1)</w:t>
      </w:r>
      <w:r w:rsidRPr="00EF6A15">
        <w:tab/>
        <w:t>This section applies in relation to a CGT asset of a trust if:</w:t>
      </w:r>
    </w:p>
    <w:p w:rsidR="00B96198" w:rsidRPr="00EF6A15" w:rsidRDefault="00B96198" w:rsidP="00EF6A15">
      <w:pPr>
        <w:pStyle w:val="paragraph"/>
      </w:pPr>
      <w:r w:rsidRPr="00EF6A15">
        <w:tab/>
        <w:t>(a)</w:t>
      </w:r>
      <w:r w:rsidRPr="00EF6A15">
        <w:tab/>
        <w:t>the trust is a pooled superannuation trust throughout the pre</w:t>
      </w:r>
      <w:r w:rsidR="001D7483">
        <w:noBreakHyphen/>
      </w:r>
      <w:r w:rsidRPr="00EF6A15">
        <w:t>commencement period; and</w:t>
      </w:r>
    </w:p>
    <w:p w:rsidR="00B96198" w:rsidRPr="00EF6A15" w:rsidRDefault="00B96198" w:rsidP="00EF6A15">
      <w:pPr>
        <w:pStyle w:val="paragraph"/>
      </w:pPr>
      <w:r w:rsidRPr="00EF6A15">
        <w:tab/>
        <w:t>(b)</w:t>
      </w:r>
      <w:r w:rsidRPr="00EF6A15">
        <w:tab/>
        <w:t>either of the following is greater than nil:</w:t>
      </w:r>
    </w:p>
    <w:p w:rsidR="00B96198" w:rsidRPr="00EF6A15" w:rsidRDefault="00B96198" w:rsidP="00EF6A15">
      <w:pPr>
        <w:pStyle w:val="paragraphsub"/>
      </w:pPr>
      <w:r w:rsidRPr="00EF6A15">
        <w:tab/>
        <w:t>(i)</w:t>
      </w:r>
      <w:r w:rsidRPr="00EF6A15">
        <w:tab/>
        <w:t>the proportion mentioned in subsection</w:t>
      </w:r>
      <w:r w:rsidR="00EF6A15" w:rsidRPr="00EF6A15">
        <w:t> </w:t>
      </w:r>
      <w:r w:rsidRPr="00EF6A15">
        <w:t>295</w:t>
      </w:r>
      <w:r w:rsidR="001D7483">
        <w:noBreakHyphen/>
      </w:r>
      <w:r w:rsidRPr="00EF6A15">
        <w:t xml:space="preserve">400(1) of the </w:t>
      </w:r>
      <w:r w:rsidRPr="00EF6A15">
        <w:rPr>
          <w:i/>
        </w:rPr>
        <w:t>Income Tax Assessment Act 1997</w:t>
      </w:r>
      <w:r w:rsidRPr="00EF6A15">
        <w:t xml:space="preserve"> in respect of the trust for the 2016</w:t>
      </w:r>
      <w:r w:rsidR="001D7483">
        <w:noBreakHyphen/>
      </w:r>
      <w:r w:rsidRPr="00EF6A15">
        <w:t>17 income year;</w:t>
      </w:r>
    </w:p>
    <w:p w:rsidR="00B96198" w:rsidRPr="00EF6A15" w:rsidRDefault="00B96198" w:rsidP="00EF6A15">
      <w:pPr>
        <w:pStyle w:val="paragraphsub"/>
      </w:pPr>
      <w:r w:rsidRPr="00EF6A15">
        <w:tab/>
        <w:t>(ii)</w:t>
      </w:r>
      <w:r w:rsidRPr="00EF6A15">
        <w:tab/>
        <w:t>if the trustee has made a choice under subsection</w:t>
      </w:r>
      <w:r w:rsidR="00EF6A15" w:rsidRPr="00EF6A15">
        <w:t> </w:t>
      </w:r>
      <w:r w:rsidRPr="00EF6A15">
        <w:t>295</w:t>
      </w:r>
      <w:r w:rsidR="001D7483">
        <w:noBreakHyphen/>
      </w:r>
      <w:r w:rsidRPr="00EF6A15">
        <w:t>400(3) of that Act—the percentage mentioned in subsection</w:t>
      </w:r>
      <w:r w:rsidR="00EF6A15" w:rsidRPr="00EF6A15">
        <w:t> </w:t>
      </w:r>
      <w:r w:rsidRPr="00EF6A15">
        <w:t>295</w:t>
      </w:r>
      <w:r w:rsidR="001D7483">
        <w:noBreakHyphen/>
      </w:r>
      <w:r w:rsidRPr="00EF6A15">
        <w:t>400(4) of that Act in respect of the trust for the 2016</w:t>
      </w:r>
      <w:r w:rsidR="001D7483">
        <w:noBreakHyphen/>
      </w:r>
      <w:r w:rsidRPr="00EF6A15">
        <w:t>17 income year; and</w:t>
      </w:r>
    </w:p>
    <w:p w:rsidR="00B96198" w:rsidRPr="00EF6A15" w:rsidRDefault="00B96198" w:rsidP="00EF6A15">
      <w:pPr>
        <w:pStyle w:val="paragraph"/>
      </w:pPr>
      <w:r w:rsidRPr="00EF6A15">
        <w:tab/>
        <w:t>(c)</w:t>
      </w:r>
      <w:r w:rsidRPr="00EF6A15">
        <w:tab/>
        <w:t>the trust held the asset throughout the pre</w:t>
      </w:r>
      <w:r w:rsidR="001D7483">
        <w:noBreakHyphen/>
      </w:r>
      <w:r w:rsidRPr="00EF6A15">
        <w:t>commencement period; and</w:t>
      </w:r>
    </w:p>
    <w:p w:rsidR="00B96198" w:rsidRPr="00EF6A15" w:rsidRDefault="00B96198" w:rsidP="00EF6A15">
      <w:pPr>
        <w:pStyle w:val="paragraph"/>
      </w:pPr>
      <w:r w:rsidRPr="00EF6A15">
        <w:tab/>
        <w:t>(d)</w:t>
      </w:r>
      <w:r w:rsidRPr="00EF6A15">
        <w:tab/>
        <w:t xml:space="preserve">the trustee of the trust makes a choice for the purposes of this paragraph in respect of the asset in accordance with </w:t>
      </w:r>
      <w:r w:rsidR="00EF6A15" w:rsidRPr="00EF6A15">
        <w:t>subsection (</w:t>
      </w:r>
      <w:r w:rsidRPr="00EF6A15">
        <w:t>2).</w:t>
      </w:r>
    </w:p>
    <w:p w:rsidR="00B96198" w:rsidRPr="00EF6A15" w:rsidRDefault="00B96198" w:rsidP="00EF6A15">
      <w:pPr>
        <w:pStyle w:val="subsection"/>
      </w:pPr>
      <w:r w:rsidRPr="00EF6A15">
        <w:tab/>
        <w:t>(2)</w:t>
      </w:r>
      <w:r w:rsidRPr="00EF6A15">
        <w:tab/>
        <w:t xml:space="preserve">A choice made for the purposes of </w:t>
      </w:r>
      <w:r w:rsidR="00EF6A15" w:rsidRPr="00EF6A15">
        <w:t>paragraph (</w:t>
      </w:r>
      <w:r w:rsidRPr="00EF6A15">
        <w:t>1)(d):</w:t>
      </w:r>
    </w:p>
    <w:p w:rsidR="00B96198" w:rsidRPr="00EF6A15" w:rsidRDefault="00B96198" w:rsidP="00EF6A15">
      <w:pPr>
        <w:pStyle w:val="paragraph"/>
      </w:pPr>
      <w:r w:rsidRPr="00EF6A15">
        <w:tab/>
        <w:t>(a)</w:t>
      </w:r>
      <w:r w:rsidRPr="00EF6A15">
        <w:tab/>
        <w:t>is to be in the approved form; and</w:t>
      </w:r>
    </w:p>
    <w:p w:rsidR="00B96198" w:rsidRPr="00EF6A15" w:rsidRDefault="00B96198" w:rsidP="00EF6A15">
      <w:pPr>
        <w:pStyle w:val="paragraph"/>
      </w:pPr>
      <w:r w:rsidRPr="00EF6A15">
        <w:tab/>
        <w:t>(b)</w:t>
      </w:r>
      <w:r w:rsidRPr="00EF6A15">
        <w:tab/>
        <w:t>can only be made on or before the day by which the trustee of the trust is required to lodge the trust’s income tax return for the 2016</w:t>
      </w:r>
      <w:r w:rsidR="001D7483">
        <w:noBreakHyphen/>
      </w:r>
      <w:r w:rsidRPr="00EF6A15">
        <w:t>17 income year; and</w:t>
      </w:r>
    </w:p>
    <w:p w:rsidR="00B96198" w:rsidRPr="00EF6A15" w:rsidRDefault="00B96198" w:rsidP="00EF6A15">
      <w:pPr>
        <w:pStyle w:val="paragraph"/>
      </w:pPr>
      <w:r w:rsidRPr="00EF6A15">
        <w:tab/>
        <w:t>(c)</w:t>
      </w:r>
      <w:r w:rsidRPr="00EF6A15">
        <w:tab/>
        <w:t>cannot be revoked.</w:t>
      </w:r>
    </w:p>
    <w:p w:rsidR="00B96198" w:rsidRPr="00EF6A15" w:rsidRDefault="00B96198" w:rsidP="00EF6A15">
      <w:pPr>
        <w:pStyle w:val="SubsectionHead"/>
      </w:pPr>
      <w:r w:rsidRPr="00EF6A15">
        <w:t>Deemed sale and purchase</w:t>
      </w:r>
    </w:p>
    <w:p w:rsidR="00B96198" w:rsidRPr="00EF6A15" w:rsidRDefault="00B96198" w:rsidP="00EF6A15">
      <w:pPr>
        <w:pStyle w:val="subsection"/>
      </w:pPr>
      <w:r w:rsidRPr="00EF6A15">
        <w:tab/>
        <w:t>(3)</w:t>
      </w:r>
      <w:r w:rsidRPr="00EF6A15">
        <w:tab/>
        <w:t>For the purposes of Parts</w:t>
      </w:r>
      <w:r w:rsidR="00EF6A15" w:rsidRPr="00EF6A15">
        <w:t> </w:t>
      </w:r>
      <w:r w:rsidRPr="00EF6A15">
        <w:t>3</w:t>
      </w:r>
      <w:r w:rsidR="001D7483">
        <w:noBreakHyphen/>
      </w:r>
      <w:r w:rsidRPr="00EF6A15">
        <w:t>1 and 3</w:t>
      </w:r>
      <w:r w:rsidR="001D7483">
        <w:noBreakHyphen/>
      </w:r>
      <w:r w:rsidRPr="00EF6A15">
        <w:t xml:space="preserve">3 of the </w:t>
      </w:r>
      <w:r w:rsidRPr="00EF6A15">
        <w:rPr>
          <w:i/>
        </w:rPr>
        <w:t>Income Tax Assessment Act 1997</w:t>
      </w:r>
      <w:r w:rsidRPr="00EF6A15">
        <w:t>, the trust is taken:</w:t>
      </w:r>
    </w:p>
    <w:p w:rsidR="00B96198" w:rsidRPr="00EF6A15" w:rsidRDefault="00B96198" w:rsidP="00EF6A15">
      <w:pPr>
        <w:pStyle w:val="paragraph"/>
      </w:pPr>
      <w:r w:rsidRPr="00EF6A15">
        <w:tab/>
        <w:t>(a)</w:t>
      </w:r>
      <w:r w:rsidRPr="00EF6A15">
        <w:tab/>
        <w:t>to have sold, immediately before 1</w:t>
      </w:r>
      <w:r w:rsidR="00EF6A15" w:rsidRPr="00EF6A15">
        <w:t> </w:t>
      </w:r>
      <w:r w:rsidRPr="00EF6A15">
        <w:t>July 2017, the asset for a consideration equal to its market value; and</w:t>
      </w:r>
    </w:p>
    <w:p w:rsidR="00B96198" w:rsidRPr="00EF6A15" w:rsidRDefault="00B96198" w:rsidP="00EF6A15">
      <w:pPr>
        <w:pStyle w:val="paragraph"/>
      </w:pPr>
      <w:r w:rsidRPr="00EF6A15">
        <w:tab/>
        <w:t>(b)</w:t>
      </w:r>
      <w:r w:rsidRPr="00EF6A15">
        <w:tab/>
        <w:t>to have purchased the asset again just after that sale for a consideration equal to its market value.</w:t>
      </w:r>
    </w:p>
    <w:p w:rsidR="00B96198" w:rsidRPr="00EF6A15" w:rsidRDefault="00B96198" w:rsidP="00EF6A15">
      <w:pPr>
        <w:pStyle w:val="ActHead5"/>
      </w:pPr>
      <w:bookmarkStart w:id="14" w:name="_Toc485992331"/>
      <w:r w:rsidRPr="00EF6A15">
        <w:rPr>
          <w:rStyle w:val="CharSectno"/>
        </w:rPr>
        <w:t>294</w:t>
      </w:r>
      <w:r w:rsidR="001D7483">
        <w:rPr>
          <w:rStyle w:val="CharSectno"/>
        </w:rPr>
        <w:noBreakHyphen/>
      </w:r>
      <w:r w:rsidRPr="00EF6A15">
        <w:rPr>
          <w:rStyle w:val="CharSectno"/>
        </w:rPr>
        <w:t>130</w:t>
      </w:r>
      <w:r w:rsidRPr="00EF6A15">
        <w:t xml:space="preserve">  Pooled superannuation trusts using proportionate or alternative exemption method—disregard initial capital gain but recognise deferred notional gain</w:t>
      </w:r>
      <w:bookmarkEnd w:id="14"/>
    </w:p>
    <w:p w:rsidR="00B96198" w:rsidRPr="00EF6A15" w:rsidRDefault="00B96198" w:rsidP="00EF6A15">
      <w:pPr>
        <w:pStyle w:val="SubsectionHead"/>
      </w:pPr>
      <w:r w:rsidRPr="00EF6A15">
        <w:t>Application</w:t>
      </w:r>
    </w:p>
    <w:p w:rsidR="00B96198" w:rsidRPr="00EF6A15" w:rsidRDefault="00B96198" w:rsidP="00EF6A15">
      <w:pPr>
        <w:pStyle w:val="subsection"/>
      </w:pPr>
      <w:r w:rsidRPr="00EF6A15">
        <w:tab/>
        <w:t>(1)</w:t>
      </w:r>
      <w:r w:rsidRPr="00EF6A15">
        <w:tab/>
        <w:t>This section applies in relation to a CGT asset of a pooled superannuation trust if:</w:t>
      </w:r>
    </w:p>
    <w:p w:rsidR="00B96198" w:rsidRPr="00EF6A15" w:rsidRDefault="00B96198" w:rsidP="00EF6A15">
      <w:pPr>
        <w:pStyle w:val="paragraph"/>
      </w:pPr>
      <w:r w:rsidRPr="00EF6A15">
        <w:tab/>
        <w:t>(a)</w:t>
      </w:r>
      <w:r w:rsidRPr="00EF6A15">
        <w:tab/>
        <w:t>section</w:t>
      </w:r>
      <w:r w:rsidR="00EF6A15" w:rsidRPr="00EF6A15">
        <w:t> </w:t>
      </w:r>
      <w:r w:rsidRPr="00EF6A15">
        <w:t>294</w:t>
      </w:r>
      <w:r w:rsidR="001D7483">
        <w:noBreakHyphen/>
      </w:r>
      <w:r w:rsidRPr="00EF6A15">
        <w:t>125 applies in relation to the CGT asset; and</w:t>
      </w:r>
    </w:p>
    <w:p w:rsidR="00B96198" w:rsidRPr="00EF6A15" w:rsidRDefault="00B96198" w:rsidP="00EF6A15">
      <w:pPr>
        <w:pStyle w:val="paragraph"/>
      </w:pPr>
      <w:r w:rsidRPr="00EF6A15">
        <w:tab/>
        <w:t>(b)</w:t>
      </w:r>
      <w:r w:rsidRPr="00EF6A15">
        <w:tab/>
        <w:t>as a result of paragraph</w:t>
      </w:r>
      <w:r w:rsidR="00EF6A15" w:rsidRPr="00EF6A15">
        <w:t> </w:t>
      </w:r>
      <w:r w:rsidRPr="00EF6A15">
        <w:t>294</w:t>
      </w:r>
      <w:r w:rsidR="001D7483">
        <w:noBreakHyphen/>
      </w:r>
      <w:r w:rsidRPr="00EF6A15">
        <w:t>125(3)(a), the trust makes a capital gain in respect of the asset (disregarding this section); and</w:t>
      </w:r>
    </w:p>
    <w:p w:rsidR="00B96198" w:rsidRPr="00EF6A15" w:rsidRDefault="00B96198" w:rsidP="00EF6A15">
      <w:pPr>
        <w:pStyle w:val="paragraph"/>
      </w:pPr>
      <w:r w:rsidRPr="00EF6A15">
        <w:tab/>
        <w:t>(c)</w:t>
      </w:r>
      <w:r w:rsidRPr="00EF6A15">
        <w:tab/>
        <w:t xml:space="preserve">the trustee of the trust makes a choice for the purposes of this paragraph in respect of the asset in accordance with </w:t>
      </w:r>
      <w:r w:rsidR="00EF6A15" w:rsidRPr="00EF6A15">
        <w:t>subsection (</w:t>
      </w:r>
      <w:r w:rsidRPr="00EF6A15">
        <w:t>2).</w:t>
      </w:r>
    </w:p>
    <w:p w:rsidR="00B96198" w:rsidRPr="00EF6A15" w:rsidRDefault="00B96198" w:rsidP="00EF6A15">
      <w:pPr>
        <w:pStyle w:val="subsection"/>
      </w:pPr>
      <w:r w:rsidRPr="00EF6A15">
        <w:tab/>
        <w:t>(2)</w:t>
      </w:r>
      <w:r w:rsidRPr="00EF6A15">
        <w:tab/>
        <w:t xml:space="preserve">A choice made for the purposes of </w:t>
      </w:r>
      <w:r w:rsidR="00EF6A15" w:rsidRPr="00EF6A15">
        <w:t>paragraph (</w:t>
      </w:r>
      <w:r w:rsidRPr="00EF6A15">
        <w:t>1)(c):</w:t>
      </w:r>
    </w:p>
    <w:p w:rsidR="00B96198" w:rsidRPr="00EF6A15" w:rsidRDefault="00B96198" w:rsidP="00EF6A15">
      <w:pPr>
        <w:pStyle w:val="paragraph"/>
      </w:pPr>
      <w:r w:rsidRPr="00EF6A15">
        <w:tab/>
        <w:t>(a)</w:t>
      </w:r>
      <w:r w:rsidRPr="00EF6A15">
        <w:tab/>
        <w:t>is to be in the approved form; and</w:t>
      </w:r>
    </w:p>
    <w:p w:rsidR="00B96198" w:rsidRPr="00EF6A15" w:rsidRDefault="00B96198" w:rsidP="00EF6A15">
      <w:pPr>
        <w:pStyle w:val="paragraph"/>
      </w:pPr>
      <w:r w:rsidRPr="00EF6A15">
        <w:tab/>
        <w:t>(b)</w:t>
      </w:r>
      <w:r w:rsidRPr="00EF6A15">
        <w:tab/>
        <w:t>can only be made on or before the day by which the trustee of the trust is required to lodge the trust’s income tax return for the 2016</w:t>
      </w:r>
      <w:r w:rsidR="001D7483">
        <w:noBreakHyphen/>
      </w:r>
      <w:r w:rsidRPr="00EF6A15">
        <w:t>17 income year; and</w:t>
      </w:r>
    </w:p>
    <w:p w:rsidR="00B96198" w:rsidRPr="00EF6A15" w:rsidRDefault="00B96198" w:rsidP="00EF6A15">
      <w:pPr>
        <w:pStyle w:val="paragraph"/>
      </w:pPr>
      <w:r w:rsidRPr="00EF6A15">
        <w:tab/>
        <w:t>(c)</w:t>
      </w:r>
      <w:r w:rsidRPr="00EF6A15">
        <w:tab/>
        <w:t>cannot be revoked.</w:t>
      </w:r>
    </w:p>
    <w:p w:rsidR="00B96198" w:rsidRPr="00EF6A15" w:rsidRDefault="00B96198" w:rsidP="00EF6A15">
      <w:pPr>
        <w:pStyle w:val="SubsectionHead"/>
      </w:pPr>
      <w:r w:rsidRPr="00EF6A15">
        <w:t>Disregard initial capital gain</w:t>
      </w:r>
    </w:p>
    <w:p w:rsidR="00B96198" w:rsidRPr="00EF6A15" w:rsidRDefault="00B96198" w:rsidP="00EF6A15">
      <w:pPr>
        <w:pStyle w:val="subsection"/>
      </w:pPr>
      <w:r w:rsidRPr="00EF6A15">
        <w:tab/>
        <w:t>(3)</w:t>
      </w:r>
      <w:r w:rsidRPr="00EF6A15">
        <w:tab/>
        <w:t xml:space="preserve">Disregard the capital gain mentioned in </w:t>
      </w:r>
      <w:r w:rsidR="00EF6A15" w:rsidRPr="00EF6A15">
        <w:t>paragraph (</w:t>
      </w:r>
      <w:r w:rsidRPr="00EF6A15">
        <w:t>1)(b).</w:t>
      </w:r>
    </w:p>
    <w:p w:rsidR="00B96198" w:rsidRPr="00EF6A15" w:rsidRDefault="00B96198" w:rsidP="00EF6A15">
      <w:pPr>
        <w:pStyle w:val="SubsectionHead"/>
      </w:pPr>
      <w:r w:rsidRPr="00EF6A15">
        <w:t>Recognition of deferred notional gain</w:t>
      </w:r>
    </w:p>
    <w:p w:rsidR="00B96198" w:rsidRPr="00EF6A15" w:rsidRDefault="00B96198" w:rsidP="00EF6A15">
      <w:pPr>
        <w:pStyle w:val="subsection"/>
      </w:pPr>
      <w:r w:rsidRPr="00EF6A15">
        <w:tab/>
        <w:t>(4)</w:t>
      </w:r>
      <w:r w:rsidRPr="00EF6A15">
        <w:tab/>
        <w:t xml:space="preserve">The </w:t>
      </w:r>
      <w:r w:rsidRPr="00EF6A15">
        <w:rPr>
          <w:b/>
          <w:i/>
        </w:rPr>
        <w:t>deferred notional gain</w:t>
      </w:r>
      <w:r w:rsidRPr="00EF6A15">
        <w:t xml:space="preserve"> is the 2016</w:t>
      </w:r>
      <w:r w:rsidR="001D7483">
        <w:noBreakHyphen/>
      </w:r>
      <w:r w:rsidRPr="00EF6A15">
        <w:t>17 non</w:t>
      </w:r>
      <w:r w:rsidR="001D7483">
        <w:noBreakHyphen/>
      </w:r>
      <w:r w:rsidRPr="00EF6A15">
        <w:t>exempt proportion of the amount of the trust’s net capital gain for the 2016</w:t>
      </w:r>
      <w:r w:rsidR="001D7483">
        <w:noBreakHyphen/>
      </w:r>
      <w:r w:rsidRPr="00EF6A15">
        <w:t>17 income year determined on the assumptions that:</w:t>
      </w:r>
    </w:p>
    <w:p w:rsidR="00B96198" w:rsidRPr="00EF6A15" w:rsidRDefault="00B96198" w:rsidP="00EF6A15">
      <w:pPr>
        <w:pStyle w:val="paragraph"/>
      </w:pPr>
      <w:r w:rsidRPr="00EF6A15">
        <w:tab/>
        <w:t>(a)</w:t>
      </w:r>
      <w:r w:rsidRPr="00EF6A15">
        <w:tab/>
      </w:r>
      <w:r w:rsidR="00EF6A15" w:rsidRPr="00EF6A15">
        <w:t>subsection (</w:t>
      </w:r>
      <w:r w:rsidRPr="00EF6A15">
        <w:t>3) of this section does not apply; and</w:t>
      </w:r>
    </w:p>
    <w:p w:rsidR="00B96198" w:rsidRPr="00EF6A15" w:rsidRDefault="00B96198" w:rsidP="00EF6A15">
      <w:pPr>
        <w:pStyle w:val="paragraph"/>
      </w:pPr>
      <w:r w:rsidRPr="00EF6A15">
        <w:tab/>
        <w:t>(b)</w:t>
      </w:r>
      <w:r w:rsidRPr="00EF6A15">
        <w:tab/>
        <w:t xml:space="preserve">the trust made no capital gains in that income year other than the gain mentioned in </w:t>
      </w:r>
      <w:r w:rsidR="00EF6A15" w:rsidRPr="00EF6A15">
        <w:t>paragraph (</w:t>
      </w:r>
      <w:r w:rsidRPr="00EF6A15">
        <w:t>1)(b); and</w:t>
      </w:r>
    </w:p>
    <w:p w:rsidR="00B96198" w:rsidRPr="00EF6A15" w:rsidRDefault="00B96198" w:rsidP="00EF6A15">
      <w:pPr>
        <w:pStyle w:val="paragraph"/>
      </w:pPr>
      <w:r w:rsidRPr="00EF6A15">
        <w:tab/>
        <w:t>(c)</w:t>
      </w:r>
      <w:r w:rsidRPr="00EF6A15">
        <w:tab/>
        <w:t>the trust made no capital losses in that income year; and</w:t>
      </w:r>
    </w:p>
    <w:p w:rsidR="00B96198" w:rsidRPr="00EF6A15" w:rsidRDefault="00B96198" w:rsidP="00EF6A15">
      <w:pPr>
        <w:pStyle w:val="paragraph"/>
      </w:pPr>
      <w:r w:rsidRPr="00EF6A15">
        <w:tab/>
        <w:t>(d)</w:t>
      </w:r>
      <w:r w:rsidRPr="00EF6A15">
        <w:tab/>
        <w:t>the trust had no previously unapplied net capital losses from earlier income years.</w:t>
      </w:r>
    </w:p>
    <w:p w:rsidR="00B96198" w:rsidRPr="00EF6A15" w:rsidRDefault="00B96198" w:rsidP="00EF6A15">
      <w:pPr>
        <w:pStyle w:val="subsection"/>
      </w:pPr>
      <w:r w:rsidRPr="00EF6A15">
        <w:tab/>
        <w:t>(5)</w:t>
      </w:r>
      <w:r w:rsidRPr="00EF6A15">
        <w:tab/>
        <w:t>For the purposes of Division</w:t>
      </w:r>
      <w:r w:rsidR="00EF6A15" w:rsidRPr="00EF6A15">
        <w:t> </w:t>
      </w:r>
      <w:r w:rsidRPr="00EF6A15">
        <w:t xml:space="preserve">102 of the </w:t>
      </w:r>
      <w:r w:rsidRPr="00EF6A15">
        <w:rPr>
          <w:i/>
        </w:rPr>
        <w:t>Income Tax Assessment Act 1997</w:t>
      </w:r>
      <w:r w:rsidRPr="00EF6A15">
        <w:t>, if a realisation event happens to the asset in an income year that starts on or after 1</w:t>
      </w:r>
      <w:r w:rsidR="00EF6A15" w:rsidRPr="00EF6A15">
        <w:t> </w:t>
      </w:r>
      <w:r w:rsidRPr="00EF6A15">
        <w:t>July 2017:</w:t>
      </w:r>
    </w:p>
    <w:p w:rsidR="00B96198" w:rsidRPr="00EF6A15" w:rsidRDefault="00B96198" w:rsidP="00EF6A15">
      <w:pPr>
        <w:pStyle w:val="paragraph"/>
      </w:pPr>
      <w:r w:rsidRPr="00EF6A15">
        <w:tab/>
        <w:t>(a)</w:t>
      </w:r>
      <w:r w:rsidRPr="00EF6A15">
        <w:tab/>
        <w:t>treat the trust as having made a capital gain in that income year equal to the deferred notional gain; and</w:t>
      </w:r>
    </w:p>
    <w:p w:rsidR="00B96198" w:rsidRPr="00EF6A15" w:rsidRDefault="00B96198" w:rsidP="00EF6A15">
      <w:pPr>
        <w:pStyle w:val="paragraph"/>
      </w:pPr>
      <w:r w:rsidRPr="00EF6A15">
        <w:tab/>
        <w:t>(b)</w:t>
      </w:r>
      <w:r w:rsidRPr="00EF6A15">
        <w:tab/>
        <w:t>disregard section</w:t>
      </w:r>
      <w:r w:rsidR="00EF6A15" w:rsidRPr="00EF6A15">
        <w:t> </w:t>
      </w:r>
      <w:r w:rsidRPr="00EF6A15">
        <w:t>102</w:t>
      </w:r>
      <w:r w:rsidR="001D7483">
        <w:noBreakHyphen/>
      </w:r>
      <w:r w:rsidRPr="00EF6A15">
        <w:t>20 of that Act in respect of that capital gain; and</w:t>
      </w:r>
    </w:p>
    <w:p w:rsidR="00B96198" w:rsidRPr="00EF6A15" w:rsidRDefault="00B96198" w:rsidP="00EF6A15">
      <w:pPr>
        <w:pStyle w:val="paragraph"/>
      </w:pPr>
      <w:r w:rsidRPr="00EF6A15">
        <w:tab/>
        <w:t>(c)</w:t>
      </w:r>
      <w:r w:rsidRPr="00EF6A15">
        <w:tab/>
        <w:t>treat that capital gain as not being a discount capital gain.</w:t>
      </w:r>
    </w:p>
    <w:p w:rsidR="00B96198" w:rsidRPr="00EF6A15" w:rsidRDefault="00B96198" w:rsidP="00EF6A15">
      <w:pPr>
        <w:pStyle w:val="subsection"/>
      </w:pPr>
      <w:r w:rsidRPr="00EF6A15">
        <w:tab/>
        <w:t>(6)</w:t>
      </w:r>
      <w:r w:rsidRPr="00EF6A15">
        <w:tab/>
        <w:t>Section</w:t>
      </w:r>
      <w:r w:rsidR="00EF6A15" w:rsidRPr="00EF6A15">
        <w:t> </w:t>
      </w:r>
      <w:r w:rsidRPr="00EF6A15">
        <w:t>295</w:t>
      </w:r>
      <w:r w:rsidR="001D7483">
        <w:noBreakHyphen/>
      </w:r>
      <w:r w:rsidRPr="00EF6A15">
        <w:t xml:space="preserve">400 of the </w:t>
      </w:r>
      <w:r w:rsidRPr="00EF6A15">
        <w:rPr>
          <w:i/>
        </w:rPr>
        <w:t>Income Tax Assessment Act 1997</w:t>
      </w:r>
      <w:r w:rsidRPr="00EF6A15">
        <w:t xml:space="preserve"> does not apply to the amount by which a net capital gain is increased (or comes into existence) as a result of </w:t>
      </w:r>
      <w:r w:rsidR="00EF6A15" w:rsidRPr="00EF6A15">
        <w:t>subsection (</w:t>
      </w:r>
      <w:r w:rsidRPr="00EF6A15">
        <w:t>5).</w:t>
      </w:r>
    </w:p>
    <w:p w:rsidR="00B96198" w:rsidRPr="00EF6A15" w:rsidRDefault="00B96198" w:rsidP="00EF6A15">
      <w:pPr>
        <w:pStyle w:val="subsection"/>
      </w:pPr>
      <w:r w:rsidRPr="00EF6A15">
        <w:tab/>
        <w:t>(7)</w:t>
      </w:r>
      <w:r w:rsidRPr="00EF6A15">
        <w:tab/>
        <w:t>In this section:</w:t>
      </w:r>
    </w:p>
    <w:p w:rsidR="00B96198" w:rsidRPr="00EF6A15" w:rsidRDefault="00B96198" w:rsidP="00EF6A15">
      <w:pPr>
        <w:pStyle w:val="Definition"/>
      </w:pPr>
      <w:r w:rsidRPr="00EF6A15">
        <w:rPr>
          <w:b/>
          <w:i/>
        </w:rPr>
        <w:t>2016</w:t>
      </w:r>
      <w:r w:rsidR="001D7483">
        <w:rPr>
          <w:b/>
          <w:i/>
        </w:rPr>
        <w:noBreakHyphen/>
      </w:r>
      <w:r w:rsidRPr="00EF6A15">
        <w:rPr>
          <w:b/>
          <w:i/>
        </w:rPr>
        <w:t>17 non</w:t>
      </w:r>
      <w:r w:rsidR="001D7483">
        <w:rPr>
          <w:b/>
          <w:i/>
        </w:rPr>
        <w:noBreakHyphen/>
      </w:r>
      <w:r w:rsidRPr="00EF6A15">
        <w:rPr>
          <w:b/>
          <w:i/>
        </w:rPr>
        <w:t>exempt proportion</w:t>
      </w:r>
      <w:r w:rsidRPr="00EF6A15">
        <w:t xml:space="preserve"> means:</w:t>
      </w:r>
    </w:p>
    <w:p w:rsidR="00B96198" w:rsidRPr="00EF6A15" w:rsidRDefault="00B96198" w:rsidP="00EF6A15">
      <w:pPr>
        <w:pStyle w:val="paragraph"/>
      </w:pPr>
      <w:r w:rsidRPr="00EF6A15">
        <w:tab/>
        <w:t>(a)</w:t>
      </w:r>
      <w:r w:rsidRPr="00EF6A15">
        <w:tab/>
        <w:t xml:space="preserve">unless </w:t>
      </w:r>
      <w:r w:rsidR="00EF6A15" w:rsidRPr="00EF6A15">
        <w:t>paragraph (</w:t>
      </w:r>
      <w:r w:rsidRPr="00EF6A15">
        <w:t>b) applies—1 minus the proportion mentioned in subsection</w:t>
      </w:r>
      <w:r w:rsidR="00EF6A15" w:rsidRPr="00EF6A15">
        <w:t> </w:t>
      </w:r>
      <w:r w:rsidRPr="00EF6A15">
        <w:t>295</w:t>
      </w:r>
      <w:r w:rsidR="001D7483">
        <w:noBreakHyphen/>
      </w:r>
      <w:r w:rsidRPr="00EF6A15">
        <w:t xml:space="preserve">400(1) of the </w:t>
      </w:r>
      <w:r w:rsidRPr="00EF6A15">
        <w:rPr>
          <w:i/>
        </w:rPr>
        <w:t>Income Tax Assessment Act 1997</w:t>
      </w:r>
      <w:r w:rsidRPr="00EF6A15">
        <w:t>;</w:t>
      </w:r>
      <w:r w:rsidRPr="00EF6A15">
        <w:rPr>
          <w:i/>
        </w:rPr>
        <w:t xml:space="preserve"> </w:t>
      </w:r>
      <w:r w:rsidRPr="00EF6A15">
        <w:t>or</w:t>
      </w:r>
    </w:p>
    <w:p w:rsidR="00B96198" w:rsidRPr="00EF6A15" w:rsidRDefault="00B96198" w:rsidP="00EF6A15">
      <w:pPr>
        <w:pStyle w:val="paragraph"/>
      </w:pPr>
      <w:r w:rsidRPr="00EF6A15">
        <w:tab/>
        <w:t>(b)</w:t>
      </w:r>
      <w:r w:rsidRPr="00EF6A15">
        <w:tab/>
        <w:t>if the trustee has made a choice under subsection</w:t>
      </w:r>
      <w:r w:rsidR="00EF6A15" w:rsidRPr="00EF6A15">
        <w:t> </w:t>
      </w:r>
      <w:r w:rsidRPr="00EF6A15">
        <w:t>295</w:t>
      </w:r>
      <w:r w:rsidR="001D7483">
        <w:noBreakHyphen/>
      </w:r>
      <w:r w:rsidRPr="00EF6A15">
        <w:t>400(3) of that Act—the percentage worked out by subtracting the percentage mentioned in subsection</w:t>
      </w:r>
      <w:r w:rsidR="00EF6A15" w:rsidRPr="00EF6A15">
        <w:t> </w:t>
      </w:r>
      <w:r w:rsidRPr="00EF6A15">
        <w:t>295</w:t>
      </w:r>
      <w:r w:rsidR="001D7483">
        <w:noBreakHyphen/>
      </w:r>
      <w:r w:rsidRPr="00EF6A15">
        <w:t>400(4) of that Act in respect of the trust for the 2016</w:t>
      </w:r>
      <w:r w:rsidR="001D7483">
        <w:noBreakHyphen/>
      </w:r>
      <w:r w:rsidRPr="00EF6A15">
        <w:t>17 income year from 100%.</w:t>
      </w:r>
    </w:p>
    <w:p w:rsidR="00B96198" w:rsidRPr="00EF6A15" w:rsidRDefault="00B96198" w:rsidP="00EF6A15">
      <w:pPr>
        <w:pStyle w:val="Definition"/>
      </w:pPr>
      <w:r w:rsidRPr="00EF6A15">
        <w:rPr>
          <w:b/>
          <w:i/>
        </w:rPr>
        <w:t>deferred notional gain</w:t>
      </w:r>
      <w:r w:rsidRPr="00EF6A15">
        <w:t xml:space="preserve"> has the meaning given by </w:t>
      </w:r>
      <w:r w:rsidR="00EF6A15" w:rsidRPr="00EF6A15">
        <w:t>subsection (</w:t>
      </w:r>
      <w:r w:rsidRPr="00EF6A15">
        <w:t>4).</w:t>
      </w:r>
    </w:p>
    <w:p w:rsidR="00B96198" w:rsidRPr="00EF6A15" w:rsidRDefault="00B96198" w:rsidP="00EF6A15">
      <w:pPr>
        <w:pStyle w:val="ActHead9"/>
        <w:rPr>
          <w:i w:val="0"/>
        </w:rPr>
      </w:pPr>
      <w:bookmarkStart w:id="15" w:name="_Toc485992332"/>
      <w:r w:rsidRPr="00EF6A15">
        <w:t>Legislation Act 2003</w:t>
      </w:r>
      <w:bookmarkEnd w:id="15"/>
    </w:p>
    <w:p w:rsidR="00B96198" w:rsidRPr="00EF6A15" w:rsidRDefault="00B96198" w:rsidP="00EF6A15">
      <w:pPr>
        <w:pStyle w:val="ItemHead"/>
      </w:pPr>
      <w:r w:rsidRPr="00EF6A15">
        <w:t>20  Paragraph 15J(2)(fa)</w:t>
      </w:r>
    </w:p>
    <w:p w:rsidR="00B96198" w:rsidRPr="00EF6A15" w:rsidRDefault="00B96198" w:rsidP="00EF6A15">
      <w:pPr>
        <w:pStyle w:val="Item"/>
      </w:pPr>
      <w:r w:rsidRPr="00EF6A15">
        <w:t>Repeal the paragraph.</w:t>
      </w:r>
    </w:p>
    <w:p w:rsidR="00B96198" w:rsidRPr="00EF6A15" w:rsidRDefault="00B96198" w:rsidP="00EF6A15">
      <w:pPr>
        <w:pStyle w:val="ItemHead"/>
      </w:pPr>
      <w:r w:rsidRPr="00EF6A15">
        <w:t>21  After paragraph</w:t>
      </w:r>
      <w:r w:rsidR="00EF6A15" w:rsidRPr="00EF6A15">
        <w:t> </w:t>
      </w:r>
      <w:r w:rsidRPr="00EF6A15">
        <w:t>15J(2)(f)</w:t>
      </w:r>
    </w:p>
    <w:p w:rsidR="00B96198" w:rsidRPr="00EF6A15" w:rsidRDefault="00B96198" w:rsidP="00EF6A15">
      <w:pPr>
        <w:pStyle w:val="Item"/>
      </w:pPr>
      <w:r w:rsidRPr="00EF6A15">
        <w:t>Insert:</w:t>
      </w:r>
    </w:p>
    <w:p w:rsidR="00B96198" w:rsidRPr="00EF6A15" w:rsidRDefault="00B96198" w:rsidP="00EF6A15">
      <w:pPr>
        <w:pStyle w:val="paragraph"/>
      </w:pPr>
      <w:r w:rsidRPr="00EF6A15">
        <w:tab/>
        <w:t>(fa)</w:t>
      </w:r>
      <w:r w:rsidRPr="00EF6A15">
        <w:tab/>
        <w:t>if the instrument is a regulation relating to superannuation (other than a regulation to which section</w:t>
      </w:r>
      <w:r w:rsidR="00EF6A15" w:rsidRPr="00EF6A15">
        <w:t> </w:t>
      </w:r>
      <w:r w:rsidRPr="00EF6A15">
        <w:t xml:space="preserve">7 of the </w:t>
      </w:r>
      <w:r w:rsidRPr="00EF6A15">
        <w:rPr>
          <w:i/>
        </w:rPr>
        <w:t>Superannuation (Objective) Act 2017</w:t>
      </w:r>
      <w:r w:rsidRPr="00EF6A15">
        <w:t xml:space="preserve"> does not apply)—contain a statement of compatibility prepared under subsection</w:t>
      </w:r>
      <w:r w:rsidR="00EF6A15" w:rsidRPr="00EF6A15">
        <w:t> </w:t>
      </w:r>
      <w:r w:rsidRPr="00EF6A15">
        <w:t>7(1) of that Act; and</w:t>
      </w:r>
    </w:p>
    <w:p w:rsidR="00B96198" w:rsidRPr="00EF6A15" w:rsidRDefault="00B96198" w:rsidP="00EF6A15">
      <w:pPr>
        <w:pStyle w:val="ActHead9"/>
        <w:rPr>
          <w:i w:val="0"/>
        </w:rPr>
      </w:pPr>
      <w:bookmarkStart w:id="16" w:name="_Toc485992333"/>
      <w:r w:rsidRPr="00EF6A15">
        <w:t>Superannuation Guarantee (Administration) Act 1992</w:t>
      </w:r>
      <w:bookmarkEnd w:id="16"/>
    </w:p>
    <w:p w:rsidR="00B96198" w:rsidRPr="00EF6A15" w:rsidRDefault="00B96198" w:rsidP="00EF6A15">
      <w:pPr>
        <w:pStyle w:val="ItemHead"/>
      </w:pPr>
      <w:r w:rsidRPr="00EF6A15">
        <w:t>22  Subsection</w:t>
      </w:r>
      <w:r w:rsidR="00EF6A15" w:rsidRPr="00EF6A15">
        <w:t> </w:t>
      </w:r>
      <w:r w:rsidRPr="00EF6A15">
        <w:t xml:space="preserve">15(5) (definition of </w:t>
      </w:r>
      <w:r w:rsidRPr="00EF6A15">
        <w:rPr>
          <w:i/>
        </w:rPr>
        <w:t>concessional contributions cap</w:t>
      </w:r>
      <w:r w:rsidRPr="00EF6A15">
        <w:t>)</w:t>
      </w:r>
    </w:p>
    <w:p w:rsidR="00B96198" w:rsidRPr="00EF6A15" w:rsidRDefault="00B96198" w:rsidP="00EF6A15">
      <w:pPr>
        <w:pStyle w:val="Item"/>
      </w:pPr>
      <w:r w:rsidRPr="00EF6A15">
        <w:t>Omit “the concessional”, substitute “the basic concessional”.</w:t>
      </w:r>
    </w:p>
    <w:p w:rsidR="00B96198" w:rsidRPr="00EF6A15" w:rsidRDefault="00B96198" w:rsidP="00EF6A15">
      <w:pPr>
        <w:pStyle w:val="ActHead9"/>
        <w:rPr>
          <w:i w:val="0"/>
        </w:rPr>
      </w:pPr>
      <w:bookmarkStart w:id="17" w:name="_Toc485992334"/>
      <w:r w:rsidRPr="00EF6A15">
        <w:t>Taxation Administration Act 1953</w:t>
      </w:r>
      <w:bookmarkEnd w:id="17"/>
    </w:p>
    <w:p w:rsidR="00B96198" w:rsidRPr="00EF6A15" w:rsidRDefault="00B96198" w:rsidP="00EF6A15">
      <w:pPr>
        <w:pStyle w:val="ItemHead"/>
      </w:pPr>
      <w:r w:rsidRPr="00EF6A15">
        <w:t>23  Paragraph 286</w:t>
      </w:r>
      <w:r w:rsidR="001D7483">
        <w:noBreakHyphen/>
      </w:r>
      <w:r w:rsidRPr="00EF6A15">
        <w:t>80(2)(a) in Schedule</w:t>
      </w:r>
      <w:r w:rsidR="00EF6A15" w:rsidRPr="00EF6A15">
        <w:t> </w:t>
      </w:r>
      <w:r w:rsidRPr="00EF6A15">
        <w:t>1</w:t>
      </w:r>
    </w:p>
    <w:p w:rsidR="00B96198" w:rsidRPr="00EF6A15" w:rsidRDefault="00B96198" w:rsidP="00EF6A15">
      <w:pPr>
        <w:pStyle w:val="Item"/>
      </w:pPr>
      <w:r w:rsidRPr="00EF6A15">
        <w:t>After “subsection</w:t>
      </w:r>
      <w:r w:rsidR="00EF6A15" w:rsidRPr="00EF6A15">
        <w:t> </w:t>
      </w:r>
      <w:r w:rsidRPr="00EF6A15">
        <w:t>286</w:t>
      </w:r>
      <w:r w:rsidR="001D7483">
        <w:noBreakHyphen/>
      </w:r>
      <w:r w:rsidRPr="00EF6A15">
        <w:t>75(1),”, insert “(2AA),”.</w:t>
      </w:r>
    </w:p>
    <w:p w:rsidR="00B96198" w:rsidRPr="00EF6A15" w:rsidRDefault="00B96198" w:rsidP="00EF6A15">
      <w:pPr>
        <w:pStyle w:val="ItemHead"/>
      </w:pPr>
      <w:r w:rsidRPr="00EF6A15">
        <w:t>24  Section</w:t>
      </w:r>
      <w:r w:rsidR="00EF6A15" w:rsidRPr="00EF6A15">
        <w:t> </w:t>
      </w:r>
      <w:r w:rsidRPr="00EF6A15">
        <w:t>298</w:t>
      </w:r>
      <w:r w:rsidR="001D7483">
        <w:noBreakHyphen/>
      </w:r>
      <w:r w:rsidRPr="00EF6A15">
        <w:t>10 in Schedule</w:t>
      </w:r>
      <w:r w:rsidR="00EF6A15" w:rsidRPr="00EF6A15">
        <w:t> </w:t>
      </w:r>
      <w:r w:rsidRPr="00EF6A15">
        <w:t>1</w:t>
      </w:r>
    </w:p>
    <w:p w:rsidR="00B96198" w:rsidRPr="00EF6A15" w:rsidRDefault="00B96198" w:rsidP="00EF6A15">
      <w:pPr>
        <w:pStyle w:val="Item"/>
      </w:pPr>
      <w:r w:rsidRPr="00EF6A15">
        <w:t>Omit “The Commissioner may do so in any other notice he or she gives to the entity.”.</w:t>
      </w:r>
    </w:p>
    <w:p w:rsidR="00B96198" w:rsidRPr="00EF6A15" w:rsidRDefault="00B96198" w:rsidP="00EF6A15">
      <w:pPr>
        <w:pStyle w:val="ActHead9"/>
        <w:rPr>
          <w:i w:val="0"/>
        </w:rPr>
      </w:pPr>
      <w:bookmarkStart w:id="18" w:name="_Toc485992335"/>
      <w:r w:rsidRPr="00EF6A15">
        <w:t>Treasury Laws Amendment (Fair and Sustainable Superannuation) Act 2016</w:t>
      </w:r>
      <w:bookmarkEnd w:id="18"/>
    </w:p>
    <w:p w:rsidR="00B96198" w:rsidRPr="00EF6A15" w:rsidRDefault="00B96198" w:rsidP="00EF6A15">
      <w:pPr>
        <w:pStyle w:val="ItemHead"/>
      </w:pPr>
      <w:r w:rsidRPr="00EF6A15">
        <w:t>25  Item</w:t>
      </w:r>
      <w:r w:rsidR="00EF6A15" w:rsidRPr="00EF6A15">
        <w:t> </w:t>
      </w:r>
      <w:r w:rsidRPr="00EF6A15">
        <w:t>9 of Schedule</w:t>
      </w:r>
      <w:r w:rsidR="00EF6A15" w:rsidRPr="00EF6A15">
        <w:t> </w:t>
      </w:r>
      <w:r w:rsidRPr="00EF6A15">
        <w:t>3</w:t>
      </w:r>
    </w:p>
    <w:p w:rsidR="00B96198" w:rsidRPr="00EF6A15" w:rsidRDefault="00B96198" w:rsidP="00EF6A15">
      <w:pPr>
        <w:pStyle w:val="Item"/>
      </w:pPr>
      <w:r w:rsidRPr="00EF6A15">
        <w:t>Before “The amendments”, insert “(1)”.</w:t>
      </w:r>
    </w:p>
    <w:p w:rsidR="00B96198" w:rsidRPr="00EF6A15" w:rsidRDefault="00B96198" w:rsidP="00EF6A15">
      <w:pPr>
        <w:pStyle w:val="ItemHead"/>
      </w:pPr>
      <w:r w:rsidRPr="00EF6A15">
        <w:t>26  Item</w:t>
      </w:r>
      <w:r w:rsidR="00EF6A15" w:rsidRPr="00EF6A15">
        <w:t> </w:t>
      </w:r>
      <w:r w:rsidRPr="00EF6A15">
        <w:t>9 of Schedule</w:t>
      </w:r>
      <w:r w:rsidR="00EF6A15" w:rsidRPr="00EF6A15">
        <w:t> </w:t>
      </w:r>
      <w:r w:rsidRPr="00EF6A15">
        <w:t>3</w:t>
      </w:r>
    </w:p>
    <w:p w:rsidR="00B96198" w:rsidRPr="00EF6A15" w:rsidRDefault="00B96198" w:rsidP="00EF6A15">
      <w:pPr>
        <w:pStyle w:val="Item"/>
      </w:pPr>
      <w:r w:rsidRPr="00EF6A15">
        <w:t>Before “this Schedule”, insert “items</w:t>
      </w:r>
      <w:r w:rsidR="00EF6A15" w:rsidRPr="00EF6A15">
        <w:t> </w:t>
      </w:r>
      <w:r w:rsidRPr="00EF6A15">
        <w:t>1, 2 and 6 of”.</w:t>
      </w:r>
    </w:p>
    <w:p w:rsidR="00B96198" w:rsidRPr="00EF6A15" w:rsidRDefault="00B96198" w:rsidP="00EF6A15">
      <w:pPr>
        <w:pStyle w:val="ItemHead"/>
      </w:pPr>
      <w:r w:rsidRPr="00EF6A15">
        <w:t>27  At the end of item</w:t>
      </w:r>
      <w:r w:rsidR="00EF6A15" w:rsidRPr="00EF6A15">
        <w:t> </w:t>
      </w:r>
      <w:r w:rsidRPr="00EF6A15">
        <w:t>9 of Schedule</w:t>
      </w:r>
      <w:r w:rsidR="00EF6A15" w:rsidRPr="00EF6A15">
        <w:t> </w:t>
      </w:r>
      <w:r w:rsidRPr="00EF6A15">
        <w:t>3</w:t>
      </w:r>
    </w:p>
    <w:p w:rsidR="00B96198" w:rsidRPr="00EF6A15" w:rsidRDefault="00B96198" w:rsidP="00EF6A15">
      <w:pPr>
        <w:pStyle w:val="Item"/>
      </w:pPr>
      <w:r w:rsidRPr="00EF6A15">
        <w:t>Add:</w:t>
      </w:r>
    </w:p>
    <w:p w:rsidR="00B96198" w:rsidRPr="00EF6A15" w:rsidRDefault="00B96198" w:rsidP="00EF6A15">
      <w:pPr>
        <w:pStyle w:val="Subitem"/>
      </w:pPr>
      <w:r w:rsidRPr="00EF6A15">
        <w:t>(2)</w:t>
      </w:r>
      <w:r w:rsidRPr="00EF6A15">
        <w:tab/>
        <w:t>The amendments made by items</w:t>
      </w:r>
      <w:r w:rsidR="00EF6A15" w:rsidRPr="00EF6A15">
        <w:t> </w:t>
      </w:r>
      <w:r w:rsidRPr="00EF6A15">
        <w:t>3, 4, 7 and 8 of this Schedule apply in relation to the financial year starting on 1</w:t>
      </w:r>
      <w:r w:rsidR="00EF6A15" w:rsidRPr="00EF6A15">
        <w:t> </w:t>
      </w:r>
      <w:r w:rsidRPr="00EF6A15">
        <w:t>July 2017 and later financial years.</w:t>
      </w:r>
    </w:p>
    <w:p w:rsidR="00B96198" w:rsidRPr="00EF6A15" w:rsidRDefault="00B96198" w:rsidP="00EF6A15">
      <w:pPr>
        <w:pStyle w:val="Subitem"/>
      </w:pPr>
      <w:r w:rsidRPr="00EF6A15">
        <w:t>(3)</w:t>
      </w:r>
      <w:r w:rsidRPr="00EF6A15">
        <w:tab/>
        <w:t>The amendment made by item</w:t>
      </w:r>
      <w:r w:rsidR="00EF6A15" w:rsidRPr="00EF6A15">
        <w:t> </w:t>
      </w:r>
      <w:r w:rsidRPr="00EF6A15">
        <w:t>5 of this Schedule applies in relation to non</w:t>
      </w:r>
      <w:r w:rsidR="001D7483">
        <w:noBreakHyphen/>
      </w:r>
      <w:r w:rsidRPr="00EF6A15">
        <w:t>concessional contributions for the 2013</w:t>
      </w:r>
      <w:r w:rsidR="001D7483">
        <w:noBreakHyphen/>
      </w:r>
      <w:r w:rsidRPr="00EF6A15">
        <w:t>2014 financial year and later financial years.</w:t>
      </w:r>
    </w:p>
    <w:p w:rsidR="00B96198" w:rsidRPr="00EF6A15" w:rsidRDefault="00B96198" w:rsidP="00EF6A15">
      <w:pPr>
        <w:pStyle w:val="ItemHead"/>
      </w:pPr>
      <w:r w:rsidRPr="00EF6A15">
        <w:t>28  Item</w:t>
      </w:r>
      <w:r w:rsidR="00EF6A15" w:rsidRPr="00EF6A15">
        <w:t> </w:t>
      </w:r>
      <w:r w:rsidRPr="00EF6A15">
        <w:t>28 of Schedule</w:t>
      </w:r>
      <w:r w:rsidR="00EF6A15" w:rsidRPr="00EF6A15">
        <w:t> </w:t>
      </w:r>
      <w:r w:rsidRPr="00EF6A15">
        <w:t>8</w:t>
      </w:r>
    </w:p>
    <w:p w:rsidR="00B96198" w:rsidRPr="00EF6A15" w:rsidRDefault="00B96198" w:rsidP="00EF6A15">
      <w:pPr>
        <w:pStyle w:val="Item"/>
      </w:pPr>
      <w:r w:rsidRPr="00EF6A15">
        <w:t>Repeal the item, substitute:</w:t>
      </w:r>
    </w:p>
    <w:p w:rsidR="00B96198" w:rsidRPr="00EF6A15" w:rsidRDefault="00B96198" w:rsidP="00EF6A15">
      <w:pPr>
        <w:pStyle w:val="Specialih"/>
      </w:pPr>
      <w:r w:rsidRPr="00EF6A15">
        <w:t>28  Application of amendments</w:t>
      </w:r>
    </w:p>
    <w:p w:rsidR="00B96198" w:rsidRPr="00EF6A15" w:rsidRDefault="00B96198" w:rsidP="00EF6A15">
      <w:pPr>
        <w:pStyle w:val="Subitem"/>
      </w:pPr>
      <w:r w:rsidRPr="00EF6A15">
        <w:t>(1)</w:t>
      </w:r>
      <w:r w:rsidRPr="00EF6A15">
        <w:tab/>
        <w:t>The amendments made by this Schedule apply in relation to the 2017</w:t>
      </w:r>
      <w:r w:rsidR="001D7483">
        <w:noBreakHyphen/>
      </w:r>
      <w:r w:rsidRPr="00EF6A15">
        <w:t>18 income year and later income years.</w:t>
      </w:r>
    </w:p>
    <w:p w:rsidR="00B96198" w:rsidRPr="00EF6A15" w:rsidRDefault="00B96198" w:rsidP="00EF6A15">
      <w:pPr>
        <w:pStyle w:val="Subitem"/>
      </w:pPr>
      <w:r w:rsidRPr="00EF6A15">
        <w:t>(2)</w:t>
      </w:r>
      <w:r w:rsidRPr="00EF6A15">
        <w:tab/>
        <w:t>The amendments made by items</w:t>
      </w:r>
      <w:r w:rsidR="00EF6A15" w:rsidRPr="00EF6A15">
        <w:t> </w:t>
      </w:r>
      <w:r w:rsidRPr="00EF6A15">
        <w:t>19, 26 and 27 of this Schedule also apply during the period:</w:t>
      </w:r>
    </w:p>
    <w:p w:rsidR="00B96198" w:rsidRPr="00EF6A15" w:rsidRDefault="00B96198" w:rsidP="00EF6A15">
      <w:pPr>
        <w:pStyle w:val="paragraph"/>
      </w:pPr>
      <w:r w:rsidRPr="00EF6A15">
        <w:tab/>
        <w:t>(a)</w:t>
      </w:r>
      <w:r w:rsidRPr="00EF6A15">
        <w:tab/>
        <w:t xml:space="preserve">starting on the start of the day on which the Bill that became the </w:t>
      </w:r>
      <w:r w:rsidRPr="00EF6A15">
        <w:rPr>
          <w:i/>
        </w:rPr>
        <w:t>Treasury Laws Amendment (2017 Measures No.</w:t>
      </w:r>
      <w:r w:rsidR="00EF6A15" w:rsidRPr="00EF6A15">
        <w:rPr>
          <w:i/>
        </w:rPr>
        <w:t> </w:t>
      </w:r>
      <w:r w:rsidRPr="00EF6A15">
        <w:rPr>
          <w:i/>
        </w:rPr>
        <w:t xml:space="preserve">2) Act 2017 </w:t>
      </w:r>
      <w:r w:rsidRPr="00EF6A15">
        <w:t>was introduced into the House of Representatives; and</w:t>
      </w:r>
    </w:p>
    <w:p w:rsidR="00B96198" w:rsidRPr="00EF6A15" w:rsidRDefault="00B96198" w:rsidP="00EF6A15">
      <w:pPr>
        <w:pStyle w:val="paragraph"/>
      </w:pPr>
      <w:r w:rsidRPr="00EF6A15">
        <w:tab/>
        <w:t>(b)</w:t>
      </w:r>
      <w:r w:rsidRPr="00EF6A15">
        <w:tab/>
        <w:t>ending just before 1</w:t>
      </w:r>
      <w:r w:rsidR="00EF6A15" w:rsidRPr="00EF6A15">
        <w:t> </w:t>
      </w:r>
      <w:r w:rsidRPr="00EF6A15">
        <w:t>July 2017.</w:t>
      </w:r>
    </w:p>
    <w:p w:rsidR="00B96198" w:rsidRPr="00EF6A15" w:rsidRDefault="00B96198" w:rsidP="00EF6A15">
      <w:pPr>
        <w:pStyle w:val="ActHead7"/>
        <w:pageBreakBefore/>
      </w:pPr>
      <w:bookmarkStart w:id="19" w:name="_Toc485992336"/>
      <w:r w:rsidRPr="00EF6A15">
        <w:rPr>
          <w:rStyle w:val="CharAmPartNo"/>
        </w:rPr>
        <w:t>Part</w:t>
      </w:r>
      <w:r w:rsidR="00EF6A15" w:rsidRPr="00EF6A15">
        <w:rPr>
          <w:rStyle w:val="CharAmPartNo"/>
        </w:rPr>
        <w:t> </w:t>
      </w:r>
      <w:r w:rsidRPr="00EF6A15">
        <w:rPr>
          <w:rStyle w:val="CharAmPartNo"/>
        </w:rPr>
        <w:t>2</w:t>
      </w:r>
      <w:r w:rsidRPr="00EF6A15">
        <w:t>—</w:t>
      </w:r>
      <w:r w:rsidRPr="00EF6A15">
        <w:rPr>
          <w:rStyle w:val="CharAmPartText"/>
        </w:rPr>
        <w:t>Application provisions</w:t>
      </w:r>
      <w:bookmarkEnd w:id="19"/>
    </w:p>
    <w:p w:rsidR="00B96198" w:rsidRPr="00EF6A15" w:rsidRDefault="00B96198" w:rsidP="00EF6A15">
      <w:pPr>
        <w:pStyle w:val="ActHead9"/>
        <w:rPr>
          <w:i w:val="0"/>
        </w:rPr>
      </w:pPr>
      <w:bookmarkStart w:id="20" w:name="_Toc485992337"/>
      <w:r w:rsidRPr="00EF6A15">
        <w:t>Income Tax (Transitional Provisions) Act 1997</w:t>
      </w:r>
      <w:bookmarkEnd w:id="20"/>
    </w:p>
    <w:p w:rsidR="00B96198" w:rsidRPr="00EF6A15" w:rsidRDefault="00B96198" w:rsidP="00EF6A15">
      <w:pPr>
        <w:pStyle w:val="ItemHead"/>
      </w:pPr>
      <w:r w:rsidRPr="00EF6A15">
        <w:t>29  Section</w:t>
      </w:r>
      <w:r w:rsidR="00EF6A15" w:rsidRPr="00EF6A15">
        <w:t> </w:t>
      </w:r>
      <w:r w:rsidRPr="00EF6A15">
        <w:t>294</w:t>
      </w:r>
      <w:r w:rsidR="001D7483">
        <w:noBreakHyphen/>
      </w:r>
      <w:r w:rsidRPr="00EF6A15">
        <w:t>10</w:t>
      </w:r>
    </w:p>
    <w:p w:rsidR="00B96198" w:rsidRPr="00EF6A15" w:rsidRDefault="00B96198" w:rsidP="00EF6A15">
      <w:pPr>
        <w:pStyle w:val="Item"/>
      </w:pPr>
      <w:r w:rsidRPr="00EF6A15">
        <w:t>Before “Division</w:t>
      </w:r>
      <w:r w:rsidR="00EF6A15" w:rsidRPr="00EF6A15">
        <w:t> </w:t>
      </w:r>
      <w:r w:rsidRPr="00EF6A15">
        <w:t>294”, insert “(1)”.</w:t>
      </w:r>
    </w:p>
    <w:p w:rsidR="00B96198" w:rsidRPr="00EF6A15" w:rsidRDefault="00B96198" w:rsidP="00EF6A15">
      <w:pPr>
        <w:pStyle w:val="ItemHead"/>
      </w:pPr>
      <w:r w:rsidRPr="00EF6A15">
        <w:t>30  At the end of section</w:t>
      </w:r>
      <w:r w:rsidR="00EF6A15" w:rsidRPr="00EF6A15">
        <w:t> </w:t>
      </w:r>
      <w:r w:rsidRPr="00EF6A15">
        <w:t>294</w:t>
      </w:r>
      <w:r w:rsidR="001D7483">
        <w:noBreakHyphen/>
      </w:r>
      <w:r w:rsidRPr="00EF6A15">
        <w:t>10</w:t>
      </w:r>
    </w:p>
    <w:p w:rsidR="00B96198" w:rsidRPr="00EF6A15" w:rsidRDefault="00B96198" w:rsidP="00EF6A15">
      <w:pPr>
        <w:pStyle w:val="Item"/>
      </w:pPr>
      <w:r w:rsidRPr="00EF6A15">
        <w:t>Add:</w:t>
      </w:r>
    </w:p>
    <w:p w:rsidR="00B96198" w:rsidRPr="00EF6A15" w:rsidRDefault="00B96198" w:rsidP="00EF6A15">
      <w:pPr>
        <w:pStyle w:val="subsection"/>
      </w:pPr>
      <w:r w:rsidRPr="00EF6A15">
        <w:tab/>
        <w:t>(2)</w:t>
      </w:r>
      <w:r w:rsidRPr="00EF6A15">
        <w:tab/>
        <w:t>Subject to section</w:t>
      </w:r>
      <w:r w:rsidR="00EF6A15" w:rsidRPr="00EF6A15">
        <w:t> </w:t>
      </w:r>
      <w:r w:rsidRPr="00EF6A15">
        <w:t>294</w:t>
      </w:r>
      <w:r w:rsidR="001D7483">
        <w:noBreakHyphen/>
      </w:r>
      <w:r w:rsidRPr="00EF6A15">
        <w:t>55, the amendments of Division</w:t>
      </w:r>
      <w:r w:rsidR="00EF6A15" w:rsidRPr="00EF6A15">
        <w:t> </w:t>
      </w:r>
      <w:r w:rsidRPr="00EF6A15">
        <w:t xml:space="preserve">294 of the </w:t>
      </w:r>
      <w:r w:rsidRPr="00EF6A15">
        <w:rPr>
          <w:i/>
        </w:rPr>
        <w:t>Income Tax Assessment Act 1997</w:t>
      </w:r>
      <w:r w:rsidRPr="00EF6A15">
        <w:t xml:space="preserve"> made by Schedule</w:t>
      </w:r>
      <w:r w:rsidR="00EF6A15" w:rsidRPr="00EF6A15">
        <w:t> </w:t>
      </w:r>
      <w:r w:rsidRPr="00EF6A15">
        <w:t xml:space="preserve">1 to the </w:t>
      </w:r>
      <w:r w:rsidRPr="00EF6A15">
        <w:rPr>
          <w:i/>
        </w:rPr>
        <w:t>Treasury Laws Amendment (2017 Measures No.</w:t>
      </w:r>
      <w:r w:rsidR="00EF6A15" w:rsidRPr="00EF6A15">
        <w:rPr>
          <w:i/>
        </w:rPr>
        <w:t> </w:t>
      </w:r>
      <w:r w:rsidRPr="00EF6A15">
        <w:rPr>
          <w:i/>
        </w:rPr>
        <w:t>2) Act 2017</w:t>
      </w:r>
      <w:r w:rsidRPr="00EF6A15">
        <w:t xml:space="preserve"> apply on and after 1</w:t>
      </w:r>
      <w:r w:rsidR="00EF6A15" w:rsidRPr="00EF6A15">
        <w:t> </w:t>
      </w:r>
      <w:r w:rsidRPr="00EF6A15">
        <w:t>July 2017.</w:t>
      </w:r>
    </w:p>
    <w:p w:rsidR="00B96198" w:rsidRPr="00EF6A15" w:rsidRDefault="00B96198" w:rsidP="00EF6A15">
      <w:pPr>
        <w:pStyle w:val="ItemHead"/>
      </w:pPr>
      <w:r w:rsidRPr="00EF6A15">
        <w:t xml:space="preserve">31  </w:t>
      </w:r>
      <w:r w:rsidR="00774585" w:rsidRPr="00EF6A15">
        <w:t>After section</w:t>
      </w:r>
      <w:r w:rsidR="00EF6A15" w:rsidRPr="00EF6A15">
        <w:t> </w:t>
      </w:r>
      <w:r w:rsidR="00774585" w:rsidRPr="00EF6A15">
        <w:t>294</w:t>
      </w:r>
      <w:r w:rsidR="001D7483">
        <w:noBreakHyphen/>
      </w:r>
      <w:r w:rsidR="00774585" w:rsidRPr="00EF6A15">
        <w:t>30</w:t>
      </w:r>
    </w:p>
    <w:p w:rsidR="00B96198" w:rsidRPr="00EF6A15" w:rsidRDefault="00774585" w:rsidP="00EF6A15">
      <w:pPr>
        <w:pStyle w:val="Item"/>
      </w:pPr>
      <w:r w:rsidRPr="00EF6A15">
        <w:t>Insert</w:t>
      </w:r>
      <w:r w:rsidR="00B96198" w:rsidRPr="00EF6A15">
        <w:t>:</w:t>
      </w:r>
    </w:p>
    <w:p w:rsidR="00B96198" w:rsidRPr="00EF6A15" w:rsidRDefault="00B96198" w:rsidP="00EF6A15">
      <w:pPr>
        <w:pStyle w:val="ActHead5"/>
      </w:pPr>
      <w:bookmarkStart w:id="21" w:name="_Toc485992338"/>
      <w:r w:rsidRPr="00EF6A15">
        <w:rPr>
          <w:rStyle w:val="CharSectno"/>
        </w:rPr>
        <w:t>294</w:t>
      </w:r>
      <w:r w:rsidR="001D7483">
        <w:rPr>
          <w:rStyle w:val="CharSectno"/>
        </w:rPr>
        <w:noBreakHyphen/>
      </w:r>
      <w:r w:rsidRPr="00EF6A15">
        <w:rPr>
          <w:rStyle w:val="CharSectno"/>
        </w:rPr>
        <w:t>55</w:t>
      </w:r>
      <w:r w:rsidRPr="00EF6A15">
        <w:t xml:space="preserve">  Repayment of limited recourse borrowing arrangements</w:t>
      </w:r>
      <w:bookmarkEnd w:id="21"/>
    </w:p>
    <w:p w:rsidR="00B96198" w:rsidRPr="00EF6A15" w:rsidRDefault="00B96198" w:rsidP="00EF6A15">
      <w:pPr>
        <w:pStyle w:val="subsection"/>
      </w:pPr>
      <w:r w:rsidRPr="00EF6A15">
        <w:tab/>
        <w:t>(1)</w:t>
      </w:r>
      <w:r w:rsidRPr="00EF6A15">
        <w:tab/>
        <w:t>Despite subsection</w:t>
      </w:r>
      <w:r w:rsidR="00EF6A15" w:rsidRPr="00EF6A15">
        <w:t> </w:t>
      </w:r>
      <w:r w:rsidRPr="00EF6A15">
        <w:t>294</w:t>
      </w:r>
      <w:r w:rsidR="001D7483">
        <w:noBreakHyphen/>
      </w:r>
      <w:r w:rsidRPr="00EF6A15">
        <w:t>10(2), a transfer balance credit arises under item</w:t>
      </w:r>
      <w:r w:rsidR="00EF6A15" w:rsidRPr="00EF6A15">
        <w:t> </w:t>
      </w:r>
      <w:r w:rsidRPr="00EF6A15">
        <w:t>4 of the table in subsection</w:t>
      </w:r>
      <w:r w:rsidR="00EF6A15" w:rsidRPr="00EF6A15">
        <w:t> </w:t>
      </w:r>
      <w:r w:rsidRPr="00EF6A15">
        <w:t>294</w:t>
      </w:r>
      <w:r w:rsidR="001D7483">
        <w:noBreakHyphen/>
      </w:r>
      <w:r w:rsidRPr="00EF6A15">
        <w:t xml:space="preserve">25(1) of the </w:t>
      </w:r>
      <w:r w:rsidRPr="00EF6A15">
        <w:rPr>
          <w:i/>
        </w:rPr>
        <w:t xml:space="preserve">Income Tax Assessment Act 1997 </w:t>
      </w:r>
      <w:r w:rsidRPr="00EF6A15">
        <w:t>only in relation to a borrowing that arises under a contract entered into on or after 1</w:t>
      </w:r>
      <w:r w:rsidR="00EF6A15" w:rsidRPr="00EF6A15">
        <w:t> </w:t>
      </w:r>
      <w:r w:rsidRPr="00EF6A15">
        <w:t>July 2017.</w:t>
      </w:r>
    </w:p>
    <w:p w:rsidR="00B96198" w:rsidRPr="00EF6A15" w:rsidRDefault="00B96198" w:rsidP="00EF6A15">
      <w:pPr>
        <w:pStyle w:val="subsection"/>
      </w:pPr>
      <w:r w:rsidRPr="00EF6A15">
        <w:tab/>
        <w:t>(2)</w:t>
      </w:r>
      <w:r w:rsidRPr="00EF6A15">
        <w:tab/>
        <w:t xml:space="preserve">For the purposes of </w:t>
      </w:r>
      <w:r w:rsidR="00EF6A15" w:rsidRPr="00EF6A15">
        <w:t>subsection (</w:t>
      </w:r>
      <w:r w:rsidRPr="00EF6A15">
        <w:t xml:space="preserve">1), a borrowing (the </w:t>
      </w:r>
      <w:r w:rsidRPr="00EF6A15">
        <w:rPr>
          <w:b/>
          <w:i/>
        </w:rPr>
        <w:t>new borrowing</w:t>
      </w:r>
      <w:r w:rsidRPr="00EF6A15">
        <w:t>) that arises under a contract entered into on or after 1</w:t>
      </w:r>
      <w:r w:rsidR="00EF6A15" w:rsidRPr="00EF6A15">
        <w:t> </w:t>
      </w:r>
      <w:r w:rsidRPr="00EF6A15">
        <w:t>July 2017 is treated as if it arose under a contract entered into before 1</w:t>
      </w:r>
      <w:r w:rsidR="00EF6A15" w:rsidRPr="00EF6A15">
        <w:t> </w:t>
      </w:r>
      <w:r w:rsidRPr="00EF6A15">
        <w:t>July 2017 if:</w:t>
      </w:r>
    </w:p>
    <w:p w:rsidR="00B96198" w:rsidRPr="00EF6A15" w:rsidRDefault="00B96198" w:rsidP="00EF6A15">
      <w:pPr>
        <w:pStyle w:val="paragraph"/>
      </w:pPr>
      <w:r w:rsidRPr="00EF6A15">
        <w:tab/>
        <w:t>(a)</w:t>
      </w:r>
      <w:r w:rsidRPr="00EF6A15">
        <w:tab/>
        <w:t xml:space="preserve">the new borrowing is a refinancing of a borrowing (the </w:t>
      </w:r>
      <w:r w:rsidRPr="00EF6A15">
        <w:rPr>
          <w:b/>
          <w:i/>
        </w:rPr>
        <w:t>old borrowing</w:t>
      </w:r>
      <w:r w:rsidRPr="00EF6A15">
        <w:t>) that was made under a contract:</w:t>
      </w:r>
    </w:p>
    <w:p w:rsidR="00B96198" w:rsidRPr="00EF6A15" w:rsidRDefault="00B96198" w:rsidP="00EF6A15">
      <w:pPr>
        <w:pStyle w:val="paragraphsub"/>
      </w:pPr>
      <w:r w:rsidRPr="00EF6A15">
        <w:tab/>
        <w:t>(i)</w:t>
      </w:r>
      <w:r w:rsidRPr="00EF6A15">
        <w:tab/>
        <w:t>entered into before 1</w:t>
      </w:r>
      <w:r w:rsidR="00EF6A15" w:rsidRPr="00EF6A15">
        <w:t> </w:t>
      </w:r>
      <w:r w:rsidRPr="00EF6A15">
        <w:t>July 2017; and</w:t>
      </w:r>
    </w:p>
    <w:p w:rsidR="00B96198" w:rsidRPr="00EF6A15" w:rsidRDefault="00B96198" w:rsidP="00EF6A15">
      <w:pPr>
        <w:pStyle w:val="paragraphsub"/>
      </w:pPr>
      <w:r w:rsidRPr="00EF6A15">
        <w:tab/>
        <w:t>(ii)</w:t>
      </w:r>
      <w:r w:rsidRPr="00EF6A15">
        <w:tab/>
        <w:t>covered by the exception in subsection</w:t>
      </w:r>
      <w:r w:rsidR="00EF6A15" w:rsidRPr="00EF6A15">
        <w:t> </w:t>
      </w:r>
      <w:r w:rsidRPr="00EF6A15">
        <w:t xml:space="preserve">67A(1) of the </w:t>
      </w:r>
      <w:r w:rsidRPr="00EF6A15">
        <w:rPr>
          <w:i/>
        </w:rPr>
        <w:t>Superannuation Industry (Supervision) Act 1993</w:t>
      </w:r>
      <w:r w:rsidRPr="00EF6A15">
        <w:t xml:space="preserve"> (which is about limited recourse borrowing arrangements); and</w:t>
      </w:r>
    </w:p>
    <w:p w:rsidR="00B96198" w:rsidRPr="00EF6A15" w:rsidRDefault="00B96198" w:rsidP="00EF6A15">
      <w:pPr>
        <w:pStyle w:val="paragraph"/>
      </w:pPr>
      <w:r w:rsidRPr="00EF6A15">
        <w:tab/>
        <w:t>(b)</w:t>
      </w:r>
      <w:r w:rsidRPr="00EF6A15">
        <w:tab/>
        <w:t>the new borrowing is secured by the same asset or assets as the old borrowing; and</w:t>
      </w:r>
    </w:p>
    <w:p w:rsidR="00B96198" w:rsidRPr="00EF6A15" w:rsidRDefault="00B96198" w:rsidP="00EF6A15">
      <w:pPr>
        <w:pStyle w:val="paragraph"/>
      </w:pPr>
      <w:r w:rsidRPr="00EF6A15">
        <w:tab/>
        <w:t>(c)</w:t>
      </w:r>
      <w:r w:rsidRPr="00EF6A15">
        <w:tab/>
        <w:t>the amount of the new borrowing at the time it is first made equals, or is less than, the outstanding balance on the old borrowing just before the refinancing.</w:t>
      </w:r>
    </w:p>
    <w:p w:rsidR="00B96198" w:rsidRPr="00EF6A15" w:rsidRDefault="00B96198" w:rsidP="00EF6A15">
      <w:pPr>
        <w:pStyle w:val="ItemHead"/>
      </w:pPr>
      <w:r w:rsidRPr="00EF6A15">
        <w:t>32  Application of amendments</w:t>
      </w:r>
    </w:p>
    <w:p w:rsidR="00B96198" w:rsidRPr="00EF6A15" w:rsidRDefault="00B96198" w:rsidP="00EF6A15">
      <w:pPr>
        <w:pStyle w:val="Subitem"/>
      </w:pPr>
      <w:r w:rsidRPr="00EF6A15">
        <w:t>(1)</w:t>
      </w:r>
      <w:r w:rsidRPr="00EF6A15">
        <w:tab/>
        <w:t>The amendments made by items</w:t>
      </w:r>
      <w:r w:rsidR="00EF6A15" w:rsidRPr="00EF6A15">
        <w:t> </w:t>
      </w:r>
      <w:r w:rsidRPr="00EF6A15">
        <w:t>1, 15, 16 and 22 of this Schedule apply in relation to working your concessional contributions cap for the 2019</w:t>
      </w:r>
      <w:r w:rsidR="001D7483">
        <w:noBreakHyphen/>
      </w:r>
      <w:r w:rsidRPr="00EF6A15">
        <w:t>2020 financial year and later financial years.</w:t>
      </w:r>
    </w:p>
    <w:p w:rsidR="00B96198" w:rsidRPr="00EF6A15" w:rsidRDefault="00B96198" w:rsidP="00EF6A15">
      <w:pPr>
        <w:pStyle w:val="Subitem"/>
      </w:pPr>
      <w:r w:rsidRPr="00EF6A15">
        <w:t>(2)</w:t>
      </w:r>
      <w:r w:rsidRPr="00EF6A15">
        <w:tab/>
        <w:t>The amendments made by items</w:t>
      </w:r>
      <w:r w:rsidR="00EF6A15" w:rsidRPr="00EF6A15">
        <w:t> </w:t>
      </w:r>
      <w:r w:rsidRPr="00EF6A15">
        <w:t>2, 10 and 11 of this Schedule apply in relation to the financial year starting on 1</w:t>
      </w:r>
      <w:r w:rsidR="00EF6A15" w:rsidRPr="00EF6A15">
        <w:t> </w:t>
      </w:r>
      <w:r w:rsidRPr="00EF6A15">
        <w:t>July 2017 and later financial years.</w:t>
      </w:r>
    </w:p>
    <w:p w:rsidR="00B96198" w:rsidRPr="00EF6A15" w:rsidRDefault="00B96198" w:rsidP="00EF6A15">
      <w:pPr>
        <w:pStyle w:val="Subitem"/>
      </w:pPr>
      <w:r w:rsidRPr="00EF6A15">
        <w:t>(3)</w:t>
      </w:r>
      <w:r w:rsidRPr="00EF6A15">
        <w:tab/>
        <w:t>The amendments made by items</w:t>
      </w:r>
      <w:r w:rsidR="00EF6A15" w:rsidRPr="00EF6A15">
        <w:t> </w:t>
      </w:r>
      <w:r w:rsidRPr="00EF6A15">
        <w:t>13 and 14 of this Schedule to terms defined in Schedule</w:t>
      </w:r>
      <w:r w:rsidR="00EF6A15" w:rsidRPr="00EF6A15">
        <w:t> </w:t>
      </w:r>
      <w:r w:rsidRPr="00EF6A15">
        <w:t xml:space="preserve">11 to the </w:t>
      </w:r>
      <w:r w:rsidRPr="00EF6A15">
        <w:rPr>
          <w:i/>
        </w:rPr>
        <w:t>Treasury Laws Amendment (Fair and Sustainable Superannuation) Act 2016</w:t>
      </w:r>
      <w:r w:rsidRPr="00EF6A15">
        <w:t xml:space="preserve"> apply in a provision of an Act, regulation or instrument in the same way as that provision applies.</w:t>
      </w:r>
    </w:p>
    <w:p w:rsidR="0048364F" w:rsidRPr="00EF6A15" w:rsidRDefault="00B96198" w:rsidP="00EF6A15">
      <w:pPr>
        <w:pStyle w:val="Subitem"/>
      </w:pPr>
      <w:r w:rsidRPr="00EF6A15">
        <w:t>(4)</w:t>
      </w:r>
      <w:r w:rsidRPr="00EF6A15">
        <w:tab/>
        <w:t>The amendment made by item</w:t>
      </w:r>
      <w:r w:rsidR="00EF6A15" w:rsidRPr="00EF6A15">
        <w:t> </w:t>
      </w:r>
      <w:r w:rsidRPr="00EF6A15">
        <w:t>23 of this Schedule applies in relation to a notice mentioned in subsection</w:t>
      </w:r>
      <w:r w:rsidR="00EF6A15" w:rsidRPr="00EF6A15">
        <w:t> </w:t>
      </w:r>
      <w:r w:rsidRPr="00EF6A15">
        <w:t>286</w:t>
      </w:r>
      <w:r w:rsidR="001D7483">
        <w:noBreakHyphen/>
      </w:r>
      <w:r w:rsidRPr="00EF6A15">
        <w:t>75(2AA) in Schedule</w:t>
      </w:r>
      <w:r w:rsidR="00EF6A15" w:rsidRPr="00EF6A15">
        <w:t> </w:t>
      </w:r>
      <w:r w:rsidRPr="00EF6A15">
        <w:t xml:space="preserve">1 to the </w:t>
      </w:r>
      <w:r w:rsidRPr="00EF6A15">
        <w:rPr>
          <w:i/>
        </w:rPr>
        <w:t xml:space="preserve">Taxation Administration Act 1953 </w:t>
      </w:r>
      <w:r w:rsidRPr="00EF6A15">
        <w:t>that is required to be given on or after the commencement of section</w:t>
      </w:r>
      <w:r w:rsidR="00EF6A15" w:rsidRPr="00EF6A15">
        <w:t> </w:t>
      </w:r>
      <w:r w:rsidRPr="00EF6A15">
        <w:t xml:space="preserve">1 of the </w:t>
      </w:r>
      <w:r w:rsidRPr="00EF6A15">
        <w:rPr>
          <w:i/>
        </w:rPr>
        <w:t>Treasury Laws Amendment (2017 Measures No.</w:t>
      </w:r>
      <w:r w:rsidR="00EF6A15" w:rsidRPr="00EF6A15">
        <w:rPr>
          <w:i/>
        </w:rPr>
        <w:t> </w:t>
      </w:r>
      <w:r w:rsidRPr="00EF6A15">
        <w:rPr>
          <w:i/>
        </w:rPr>
        <w:t>2) Act 2017</w:t>
      </w:r>
      <w:r w:rsidRPr="00EF6A15">
        <w:t>.</w:t>
      </w:r>
    </w:p>
    <w:p w:rsidR="00D71827" w:rsidRPr="00EF6A15" w:rsidRDefault="0071605A" w:rsidP="00EF6A15">
      <w:pPr>
        <w:pStyle w:val="ActHead6"/>
        <w:pageBreakBefore/>
      </w:pPr>
      <w:bookmarkStart w:id="22" w:name="_Toc485992339"/>
      <w:bookmarkStart w:id="23" w:name="opcCurrentFind"/>
      <w:r w:rsidRPr="00EF6A15">
        <w:rPr>
          <w:rStyle w:val="CharAmSchNo"/>
        </w:rPr>
        <w:t>Schedule</w:t>
      </w:r>
      <w:r w:rsidR="00EF6A15" w:rsidRPr="00EF6A15">
        <w:rPr>
          <w:rStyle w:val="CharAmSchNo"/>
        </w:rPr>
        <w:t> </w:t>
      </w:r>
      <w:r w:rsidRPr="00EF6A15">
        <w:rPr>
          <w:rStyle w:val="CharAmSchNo"/>
        </w:rPr>
        <w:t>2</w:t>
      </w:r>
      <w:r w:rsidR="00D71827" w:rsidRPr="00EF6A15">
        <w:t>—</w:t>
      </w:r>
      <w:r w:rsidR="00D71827" w:rsidRPr="00EF6A15">
        <w:rPr>
          <w:rStyle w:val="CharAmSchText"/>
        </w:rPr>
        <w:t>Amendments</w:t>
      </w:r>
      <w:r w:rsidRPr="00EF6A15">
        <w:rPr>
          <w:rStyle w:val="CharAmSchText"/>
        </w:rPr>
        <w:t xml:space="preserve"> relating to insolvency</w:t>
      </w:r>
      <w:bookmarkEnd w:id="22"/>
    </w:p>
    <w:bookmarkEnd w:id="23"/>
    <w:p w:rsidR="00D71827" w:rsidRPr="00EF6A15" w:rsidRDefault="00D71827" w:rsidP="00EF6A15">
      <w:pPr>
        <w:pStyle w:val="Header"/>
      </w:pPr>
      <w:r w:rsidRPr="00EF6A15">
        <w:rPr>
          <w:rStyle w:val="CharAmPartNo"/>
        </w:rPr>
        <w:t xml:space="preserve"> </w:t>
      </w:r>
      <w:r w:rsidRPr="00EF6A15">
        <w:rPr>
          <w:rStyle w:val="CharAmPartText"/>
        </w:rPr>
        <w:t xml:space="preserve"> </w:t>
      </w:r>
    </w:p>
    <w:p w:rsidR="00D71827" w:rsidRPr="00EF6A15" w:rsidRDefault="00D71827" w:rsidP="00EF6A15">
      <w:pPr>
        <w:pStyle w:val="ActHead9"/>
        <w:rPr>
          <w:i w:val="0"/>
        </w:rPr>
      </w:pPr>
      <w:bookmarkStart w:id="24" w:name="_Toc485992340"/>
      <w:r w:rsidRPr="00EF6A15">
        <w:t>Bankruptcy Act 1966</w:t>
      </w:r>
      <w:bookmarkEnd w:id="24"/>
    </w:p>
    <w:p w:rsidR="00D71827" w:rsidRPr="00EF6A15" w:rsidRDefault="00D71827" w:rsidP="00EF6A15">
      <w:pPr>
        <w:pStyle w:val="ItemHead"/>
      </w:pPr>
      <w:r w:rsidRPr="00EF6A15">
        <w:t>1  Paragraphs 60</w:t>
      </w:r>
      <w:r w:rsidR="001D7483">
        <w:noBreakHyphen/>
      </w:r>
      <w:r w:rsidRPr="00EF6A15">
        <w:t>20(4)(a) to (c) of Schedule</w:t>
      </w:r>
      <w:r w:rsidR="00EF6A15" w:rsidRPr="00EF6A15">
        <w:t> </w:t>
      </w:r>
      <w:r w:rsidRPr="00EF6A15">
        <w:t>2</w:t>
      </w:r>
    </w:p>
    <w:p w:rsidR="00D71827" w:rsidRPr="00EF6A15" w:rsidRDefault="00D71827" w:rsidP="00EF6A15">
      <w:pPr>
        <w:pStyle w:val="Item"/>
      </w:pPr>
      <w:r w:rsidRPr="00EF6A15">
        <w:t>Repeal the paragraphs, substitute:</w:t>
      </w:r>
    </w:p>
    <w:p w:rsidR="00D71827" w:rsidRPr="00EF6A15" w:rsidRDefault="00D71827" w:rsidP="00EF6A15">
      <w:pPr>
        <w:pStyle w:val="paragraph"/>
      </w:pPr>
      <w:r w:rsidRPr="00EF6A15">
        <w:tab/>
        <w:t>(a)</w:t>
      </w:r>
      <w:r w:rsidRPr="00EF6A15">
        <w:tab/>
        <w:t>the trustee employs or engages a person to provide services in connection with the administration of the estate; and</w:t>
      </w:r>
    </w:p>
    <w:p w:rsidR="00D71827" w:rsidRPr="00EF6A15" w:rsidRDefault="00D71827" w:rsidP="00EF6A15">
      <w:pPr>
        <w:pStyle w:val="paragraph"/>
      </w:pPr>
      <w:r w:rsidRPr="00EF6A15">
        <w:tab/>
        <w:t>(b)</w:t>
      </w:r>
      <w:r w:rsidRPr="00EF6A15">
        <w:tab/>
        <w:t>a related entity of the trustee directly or indirectly derives a profit or advantage as a result of that employment or engagement; and</w:t>
      </w:r>
    </w:p>
    <w:p w:rsidR="00D71827" w:rsidRPr="00EF6A15" w:rsidRDefault="00D71827" w:rsidP="00EF6A15">
      <w:pPr>
        <w:pStyle w:val="paragraph"/>
      </w:pPr>
      <w:r w:rsidRPr="00EF6A15">
        <w:tab/>
        <w:t>(c)</w:t>
      </w:r>
      <w:r w:rsidRPr="00EF6A15">
        <w:tab/>
        <w:t>one of the following is satisfied:</w:t>
      </w:r>
    </w:p>
    <w:p w:rsidR="00D71827" w:rsidRPr="00EF6A15" w:rsidRDefault="00D71827" w:rsidP="00EF6A15">
      <w:pPr>
        <w:pStyle w:val="paragraphsub"/>
      </w:pPr>
      <w:r w:rsidRPr="00EF6A15">
        <w:tab/>
        <w:t>(i)</w:t>
      </w:r>
      <w:r w:rsidRPr="00EF6A15">
        <w:tab/>
        <w:t>the trustee does not know, and could not reasonably be expected to know, that the related entity would derive that profit or advantage;</w:t>
      </w:r>
    </w:p>
    <w:p w:rsidR="00D71827" w:rsidRPr="00EF6A15" w:rsidRDefault="00D71827" w:rsidP="00EF6A15">
      <w:pPr>
        <w:pStyle w:val="paragraphsub"/>
      </w:pPr>
      <w:r w:rsidRPr="00EF6A15">
        <w:tab/>
        <w:t>(ii)</w:t>
      </w:r>
      <w:r w:rsidRPr="00EF6A15">
        <w:tab/>
        <w:t>the creditors, by resolution, agree to the related entity deriving the profit or advantage;</w:t>
      </w:r>
    </w:p>
    <w:p w:rsidR="00D71827" w:rsidRPr="00EF6A15" w:rsidRDefault="00D71827" w:rsidP="00EF6A15">
      <w:pPr>
        <w:pStyle w:val="paragraphsub"/>
      </w:pPr>
      <w:r w:rsidRPr="00EF6A15">
        <w:tab/>
        <w:t>(iii)</w:t>
      </w:r>
      <w:r w:rsidRPr="00EF6A15">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rsidR="00D71827" w:rsidRPr="00EF6A15" w:rsidRDefault="00D71827" w:rsidP="00EF6A15">
      <w:pPr>
        <w:pStyle w:val="ItemHead"/>
      </w:pPr>
      <w:r w:rsidRPr="00EF6A15">
        <w:t>2  After subsection</w:t>
      </w:r>
      <w:r w:rsidR="00EF6A15" w:rsidRPr="00EF6A15">
        <w:t> </w:t>
      </w:r>
      <w:r w:rsidRPr="00EF6A15">
        <w:t>60</w:t>
      </w:r>
      <w:r w:rsidR="001D7483">
        <w:noBreakHyphen/>
      </w:r>
      <w:r w:rsidRPr="00EF6A15">
        <w:t>20(4) of Schedule</w:t>
      </w:r>
      <w:r w:rsidR="00EF6A15" w:rsidRPr="00EF6A15">
        <w:t> </w:t>
      </w:r>
      <w:r w:rsidRPr="00EF6A15">
        <w:t>2</w:t>
      </w:r>
    </w:p>
    <w:p w:rsidR="00D71827" w:rsidRPr="00EF6A15" w:rsidRDefault="00D71827" w:rsidP="00EF6A15">
      <w:pPr>
        <w:pStyle w:val="Item"/>
      </w:pPr>
      <w:r w:rsidRPr="00EF6A15">
        <w:t>Insert:</w:t>
      </w:r>
    </w:p>
    <w:p w:rsidR="00D71827" w:rsidRPr="00EF6A15" w:rsidRDefault="00D71827" w:rsidP="00EF6A15">
      <w:pPr>
        <w:pStyle w:val="subsection"/>
      </w:pPr>
      <w:r w:rsidRPr="00EF6A15">
        <w:tab/>
        <w:t>(4A)</w:t>
      </w:r>
      <w:r w:rsidRPr="00EF6A15">
        <w:tab/>
        <w:t xml:space="preserve">Despite </w:t>
      </w:r>
      <w:r w:rsidR="00EF6A15" w:rsidRPr="00EF6A15">
        <w:t>paragraph (</w:t>
      </w:r>
      <w:r w:rsidRPr="00EF6A15">
        <w:t xml:space="preserve">2)(c), </w:t>
      </w:r>
      <w:r w:rsidR="00EF6A15" w:rsidRPr="00EF6A15">
        <w:t>subsection (</w:t>
      </w:r>
      <w:r w:rsidRPr="00EF6A15">
        <w:t>1) does not apply to the extent that a related entity of the trustee directly or indirectly derives a profit or advantage:</w:t>
      </w:r>
    </w:p>
    <w:p w:rsidR="00D71827" w:rsidRPr="00EF6A15" w:rsidRDefault="00D71827" w:rsidP="00EF6A15">
      <w:pPr>
        <w:pStyle w:val="paragraph"/>
      </w:pPr>
      <w:r w:rsidRPr="00EF6A15">
        <w:tab/>
        <w:t>(a)</w:t>
      </w:r>
      <w:r w:rsidRPr="00EF6A15">
        <w:tab/>
        <w:t>from remuneration paid to the trustee in accordance with section</w:t>
      </w:r>
      <w:r w:rsidR="00EF6A15" w:rsidRPr="00EF6A15">
        <w:t> </w:t>
      </w:r>
      <w:r w:rsidRPr="00EF6A15">
        <w:t>60</w:t>
      </w:r>
      <w:r w:rsidR="001D7483">
        <w:noBreakHyphen/>
      </w:r>
      <w:r w:rsidRPr="00EF6A15">
        <w:t>5 of this Schedule; or</w:t>
      </w:r>
    </w:p>
    <w:p w:rsidR="00D71827" w:rsidRPr="00EF6A15" w:rsidRDefault="00D71827" w:rsidP="00EF6A15">
      <w:pPr>
        <w:pStyle w:val="paragraph"/>
      </w:pPr>
      <w:r w:rsidRPr="00EF6A15">
        <w:tab/>
        <w:t>(b)</w:t>
      </w:r>
      <w:r w:rsidRPr="00EF6A15">
        <w:tab/>
        <w:t xml:space="preserve">from a profit or advantage covered by </w:t>
      </w:r>
      <w:r w:rsidR="00EF6A15" w:rsidRPr="00EF6A15">
        <w:t>subsection (</w:t>
      </w:r>
      <w:r w:rsidRPr="00EF6A15">
        <w:t>4).</w:t>
      </w:r>
    </w:p>
    <w:p w:rsidR="00D71827" w:rsidRPr="00EF6A15" w:rsidRDefault="00D71827" w:rsidP="00EF6A15">
      <w:pPr>
        <w:pStyle w:val="ActHead9"/>
        <w:rPr>
          <w:i w:val="0"/>
        </w:rPr>
      </w:pPr>
      <w:bookmarkStart w:id="25" w:name="_Toc485992341"/>
      <w:r w:rsidRPr="00EF6A15">
        <w:t>Corporations Act 2001</w:t>
      </w:r>
      <w:bookmarkEnd w:id="25"/>
    </w:p>
    <w:p w:rsidR="00D71827" w:rsidRPr="00EF6A15" w:rsidRDefault="00D71827" w:rsidP="00EF6A15">
      <w:pPr>
        <w:pStyle w:val="ItemHead"/>
      </w:pPr>
      <w:r w:rsidRPr="00EF6A15">
        <w:t>3  Paragraph 411(9)(a)</w:t>
      </w:r>
    </w:p>
    <w:p w:rsidR="00D71827" w:rsidRPr="00EF6A15" w:rsidRDefault="00D71827" w:rsidP="00EF6A15">
      <w:pPr>
        <w:pStyle w:val="Item"/>
      </w:pPr>
      <w:r w:rsidRPr="00EF6A15">
        <w:t>Omit “section</w:t>
      </w:r>
      <w:r w:rsidR="00EF6A15" w:rsidRPr="00EF6A15">
        <w:t> </w:t>
      </w:r>
      <w:r w:rsidRPr="00EF6A15">
        <w:t>425,”, substitute “sections</w:t>
      </w:r>
      <w:r w:rsidR="00EF6A15" w:rsidRPr="00EF6A15">
        <w:t> </w:t>
      </w:r>
      <w:r w:rsidRPr="00EF6A15">
        <w:t>422A, 422B and 425,”.</w:t>
      </w:r>
    </w:p>
    <w:p w:rsidR="00D71827" w:rsidRPr="00EF6A15" w:rsidRDefault="00D71827" w:rsidP="00EF6A15">
      <w:pPr>
        <w:pStyle w:val="ItemHead"/>
      </w:pPr>
      <w:r w:rsidRPr="00EF6A15">
        <w:t>4  Subparagraph 1274(2)(a)(</w:t>
      </w:r>
      <w:proofErr w:type="spellStart"/>
      <w:r w:rsidRPr="00EF6A15">
        <w:t>iab</w:t>
      </w:r>
      <w:proofErr w:type="spellEnd"/>
      <w:r w:rsidRPr="00EF6A15">
        <w:t>)</w:t>
      </w:r>
    </w:p>
    <w:p w:rsidR="00D71827" w:rsidRPr="00EF6A15" w:rsidRDefault="00D71827" w:rsidP="00EF6A15">
      <w:pPr>
        <w:pStyle w:val="Item"/>
      </w:pPr>
      <w:r w:rsidRPr="00EF6A15">
        <w:t>Repeal the subparagraph.</w:t>
      </w:r>
    </w:p>
    <w:p w:rsidR="00D71827" w:rsidRPr="00EF6A15" w:rsidRDefault="00D71827" w:rsidP="00EF6A15">
      <w:pPr>
        <w:pStyle w:val="ItemHead"/>
      </w:pPr>
      <w:r w:rsidRPr="00EF6A15">
        <w:t>5  Section</w:t>
      </w:r>
      <w:r w:rsidR="00EF6A15" w:rsidRPr="00EF6A15">
        <w:t> </w:t>
      </w:r>
      <w:r w:rsidRPr="00EF6A15">
        <w:t>40</w:t>
      </w:r>
      <w:r w:rsidR="001D7483">
        <w:noBreakHyphen/>
      </w:r>
      <w:r w:rsidRPr="00EF6A15">
        <w:t>110 of Schedule</w:t>
      </w:r>
      <w:r w:rsidR="00EF6A15" w:rsidRPr="00EF6A15">
        <w:t> </w:t>
      </w:r>
      <w:r w:rsidRPr="00EF6A15">
        <w:t>2</w:t>
      </w:r>
    </w:p>
    <w:p w:rsidR="00D71827" w:rsidRPr="00EF6A15" w:rsidRDefault="00D71827" w:rsidP="00EF6A15">
      <w:pPr>
        <w:pStyle w:val="Item"/>
      </w:pPr>
      <w:r w:rsidRPr="00EF6A15">
        <w:t>Omit “this section”, substitute “this Subdivision”.</w:t>
      </w:r>
    </w:p>
    <w:p w:rsidR="00D71827" w:rsidRPr="00EF6A15" w:rsidRDefault="00D71827" w:rsidP="00EF6A15">
      <w:pPr>
        <w:pStyle w:val="ItemHead"/>
      </w:pPr>
      <w:r w:rsidRPr="00EF6A15">
        <w:t>6  Paragraphs 60</w:t>
      </w:r>
      <w:r w:rsidR="001D7483">
        <w:noBreakHyphen/>
      </w:r>
      <w:r w:rsidRPr="00EF6A15">
        <w:t>20(4)(a) to (c) of Schedule</w:t>
      </w:r>
      <w:r w:rsidR="00EF6A15" w:rsidRPr="00EF6A15">
        <w:t> </w:t>
      </w:r>
      <w:r w:rsidRPr="00EF6A15">
        <w:t>2</w:t>
      </w:r>
    </w:p>
    <w:p w:rsidR="00D71827" w:rsidRPr="00EF6A15" w:rsidRDefault="00D71827" w:rsidP="00EF6A15">
      <w:pPr>
        <w:pStyle w:val="Item"/>
      </w:pPr>
      <w:r w:rsidRPr="00EF6A15">
        <w:t>Repeal the paragraphs, substitute:</w:t>
      </w:r>
    </w:p>
    <w:p w:rsidR="00D71827" w:rsidRPr="00EF6A15" w:rsidRDefault="00D71827" w:rsidP="00EF6A15">
      <w:pPr>
        <w:pStyle w:val="paragraph"/>
      </w:pPr>
      <w:r w:rsidRPr="00EF6A15">
        <w:tab/>
        <w:t>(a)</w:t>
      </w:r>
      <w:r w:rsidRPr="00EF6A15">
        <w:tab/>
        <w:t>the external administrator employs or engages a person to provide services in connection with the external administration of the company; and</w:t>
      </w:r>
    </w:p>
    <w:p w:rsidR="00D71827" w:rsidRPr="00EF6A15" w:rsidRDefault="00D71827" w:rsidP="00EF6A15">
      <w:pPr>
        <w:pStyle w:val="paragraph"/>
      </w:pPr>
      <w:r w:rsidRPr="00EF6A15">
        <w:tab/>
        <w:t>(b)</w:t>
      </w:r>
      <w:r w:rsidRPr="00EF6A15">
        <w:tab/>
        <w:t>a related entity of the external administrator directly or indirectly derives a profit or advantage as a result of that employment or engagement; and</w:t>
      </w:r>
    </w:p>
    <w:p w:rsidR="00D71827" w:rsidRPr="00EF6A15" w:rsidRDefault="00D71827" w:rsidP="00EF6A15">
      <w:pPr>
        <w:pStyle w:val="paragraph"/>
      </w:pPr>
      <w:r w:rsidRPr="00EF6A15">
        <w:tab/>
        <w:t>(c)</w:t>
      </w:r>
      <w:r w:rsidRPr="00EF6A15">
        <w:tab/>
        <w:t>one of the following is satisfied:</w:t>
      </w:r>
    </w:p>
    <w:p w:rsidR="00D71827" w:rsidRPr="00EF6A15" w:rsidRDefault="00D71827" w:rsidP="00EF6A15">
      <w:pPr>
        <w:pStyle w:val="paragraphsub"/>
      </w:pPr>
      <w:r w:rsidRPr="00EF6A15">
        <w:tab/>
        <w:t>(i)</w:t>
      </w:r>
      <w:r w:rsidRPr="00EF6A15">
        <w:tab/>
        <w:t>the external administrator does not know, and could not reasonably be expected to know, that the related entity would derive that profit or advantage;</w:t>
      </w:r>
    </w:p>
    <w:p w:rsidR="00D71827" w:rsidRPr="00EF6A15" w:rsidRDefault="00D71827" w:rsidP="00EF6A15">
      <w:pPr>
        <w:pStyle w:val="paragraphsub"/>
      </w:pPr>
      <w:r w:rsidRPr="00EF6A15">
        <w:tab/>
        <w:t>(ii)</w:t>
      </w:r>
      <w:r w:rsidRPr="00EF6A15">
        <w:tab/>
        <w:t>the creditors, by resolution, agree to the related entity deriving the profit or advantage;</w:t>
      </w:r>
    </w:p>
    <w:p w:rsidR="00D71827" w:rsidRPr="00EF6A15" w:rsidRDefault="00D71827" w:rsidP="00EF6A15">
      <w:pPr>
        <w:pStyle w:val="paragraphsub"/>
      </w:pPr>
      <w:r w:rsidRPr="00EF6A15">
        <w:tab/>
        <w:t>(iii)</w:t>
      </w:r>
      <w:r w:rsidRPr="00EF6A15">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rsidR="00D71827" w:rsidRPr="00EF6A15" w:rsidRDefault="00D71827" w:rsidP="00EF6A15">
      <w:pPr>
        <w:pStyle w:val="ItemHead"/>
      </w:pPr>
      <w:r w:rsidRPr="00EF6A15">
        <w:t>7  After subsection</w:t>
      </w:r>
      <w:r w:rsidR="00EF6A15" w:rsidRPr="00EF6A15">
        <w:t> </w:t>
      </w:r>
      <w:r w:rsidRPr="00EF6A15">
        <w:t>60</w:t>
      </w:r>
      <w:r w:rsidR="001D7483">
        <w:noBreakHyphen/>
      </w:r>
      <w:r w:rsidRPr="00EF6A15">
        <w:t>20(4) of Schedule</w:t>
      </w:r>
      <w:r w:rsidR="00EF6A15" w:rsidRPr="00EF6A15">
        <w:t> </w:t>
      </w:r>
      <w:r w:rsidRPr="00EF6A15">
        <w:t>2</w:t>
      </w:r>
    </w:p>
    <w:p w:rsidR="00D71827" w:rsidRPr="00EF6A15" w:rsidRDefault="00D71827" w:rsidP="00EF6A15">
      <w:pPr>
        <w:pStyle w:val="Item"/>
      </w:pPr>
      <w:r w:rsidRPr="00EF6A15">
        <w:t>Insert:</w:t>
      </w:r>
    </w:p>
    <w:p w:rsidR="00D71827" w:rsidRPr="00EF6A15" w:rsidRDefault="00D71827" w:rsidP="00EF6A15">
      <w:pPr>
        <w:pStyle w:val="subsection"/>
      </w:pPr>
      <w:r w:rsidRPr="00EF6A15">
        <w:tab/>
        <w:t>(4A)</w:t>
      </w:r>
      <w:r w:rsidRPr="00EF6A15">
        <w:tab/>
        <w:t xml:space="preserve">Despite </w:t>
      </w:r>
      <w:r w:rsidR="00EF6A15" w:rsidRPr="00EF6A15">
        <w:t>paragraph (</w:t>
      </w:r>
      <w:r w:rsidRPr="00EF6A15">
        <w:t xml:space="preserve">2)(c), </w:t>
      </w:r>
      <w:r w:rsidR="00EF6A15" w:rsidRPr="00EF6A15">
        <w:t>subsection (</w:t>
      </w:r>
      <w:r w:rsidRPr="00EF6A15">
        <w:t>1) does not apply to the extent that a related entity of the external administrator directly or indirectly derives a profit or advantage:</w:t>
      </w:r>
    </w:p>
    <w:p w:rsidR="00D71827" w:rsidRPr="00EF6A15" w:rsidRDefault="00D71827" w:rsidP="00EF6A15">
      <w:pPr>
        <w:pStyle w:val="paragraph"/>
      </w:pPr>
      <w:r w:rsidRPr="00EF6A15">
        <w:tab/>
        <w:t>(a)</w:t>
      </w:r>
      <w:r w:rsidRPr="00EF6A15">
        <w:tab/>
        <w:t>from remuneration paid to the external administrator in accordance with section</w:t>
      </w:r>
      <w:r w:rsidR="00EF6A15" w:rsidRPr="00EF6A15">
        <w:t> </w:t>
      </w:r>
      <w:r w:rsidRPr="00EF6A15">
        <w:t>60</w:t>
      </w:r>
      <w:r w:rsidR="001D7483">
        <w:noBreakHyphen/>
      </w:r>
      <w:r w:rsidRPr="00EF6A15">
        <w:t>5 of this Schedule; or</w:t>
      </w:r>
    </w:p>
    <w:p w:rsidR="00D71827" w:rsidRPr="00EF6A15" w:rsidRDefault="00D71827" w:rsidP="00EF6A15">
      <w:pPr>
        <w:pStyle w:val="paragraph"/>
      </w:pPr>
      <w:r w:rsidRPr="00EF6A15">
        <w:tab/>
        <w:t>(b)</w:t>
      </w:r>
      <w:r w:rsidRPr="00EF6A15">
        <w:tab/>
        <w:t xml:space="preserve">from a profit or advantage covered by </w:t>
      </w:r>
      <w:r w:rsidR="00EF6A15" w:rsidRPr="00EF6A15">
        <w:t>subsection (</w:t>
      </w:r>
      <w:r w:rsidRPr="00EF6A15">
        <w:t>4).</w:t>
      </w:r>
    </w:p>
    <w:p w:rsidR="00D71827" w:rsidRPr="00EF6A15" w:rsidRDefault="00D71827" w:rsidP="00EF6A15">
      <w:pPr>
        <w:pStyle w:val="ItemHead"/>
      </w:pPr>
      <w:r w:rsidRPr="00EF6A15">
        <w:t>8  Subsection</w:t>
      </w:r>
      <w:r w:rsidR="00EF6A15" w:rsidRPr="00EF6A15">
        <w:t> </w:t>
      </w:r>
      <w:r w:rsidRPr="00EF6A15">
        <w:t>70</w:t>
      </w:r>
      <w:r w:rsidR="001D7483">
        <w:noBreakHyphen/>
      </w:r>
      <w:r w:rsidRPr="00EF6A15">
        <w:t>6(4) of Schedule</w:t>
      </w:r>
      <w:r w:rsidR="00EF6A15" w:rsidRPr="00EF6A15">
        <w:t> </w:t>
      </w:r>
      <w:r w:rsidRPr="00EF6A15">
        <w:t>2</w:t>
      </w:r>
    </w:p>
    <w:p w:rsidR="001D7483" w:rsidRDefault="00D71827" w:rsidP="00EF6A15">
      <w:pPr>
        <w:pStyle w:val="Item"/>
      </w:pPr>
      <w:r w:rsidRPr="00EF6A15">
        <w:t>Omit “</w:t>
      </w:r>
      <w:r w:rsidR="00EF6A15" w:rsidRPr="00EF6A15">
        <w:t>subsection (</w:t>
      </w:r>
      <w:r w:rsidRPr="00EF6A15">
        <w:t>6)”, substitute “</w:t>
      </w:r>
      <w:r w:rsidR="00EF6A15" w:rsidRPr="00EF6A15">
        <w:t>subsection (</w:t>
      </w:r>
      <w:r w:rsidRPr="00EF6A15">
        <w:t>5)”.</w:t>
      </w:r>
    </w:p>
    <w:p w:rsidR="00A31F7D" w:rsidRDefault="00A31F7D" w:rsidP="00776064"/>
    <w:p w:rsidR="00A31F7D" w:rsidRDefault="00A31F7D" w:rsidP="00027C40">
      <w:pPr>
        <w:pStyle w:val="AssentBk"/>
        <w:keepNext/>
      </w:pPr>
    </w:p>
    <w:p w:rsidR="00A31F7D" w:rsidRDefault="00A31F7D" w:rsidP="00027C40">
      <w:pPr>
        <w:pStyle w:val="AssentBk"/>
        <w:keepNext/>
      </w:pPr>
    </w:p>
    <w:p w:rsidR="00776064" w:rsidRDefault="00776064" w:rsidP="000C5962">
      <w:pPr>
        <w:pStyle w:val="2ndRd"/>
        <w:keepNext/>
        <w:pBdr>
          <w:top w:val="single" w:sz="2" w:space="1" w:color="auto"/>
        </w:pBdr>
      </w:pPr>
    </w:p>
    <w:p w:rsidR="00776064" w:rsidRDefault="00776064" w:rsidP="000C5962">
      <w:pPr>
        <w:pStyle w:val="2ndRd"/>
        <w:keepNext/>
        <w:spacing w:line="260" w:lineRule="atLeast"/>
        <w:rPr>
          <w:i/>
        </w:rPr>
      </w:pPr>
      <w:r>
        <w:t>[</w:t>
      </w:r>
      <w:r>
        <w:rPr>
          <w:i/>
        </w:rPr>
        <w:t>Minister’s second reading speech made in—</w:t>
      </w:r>
    </w:p>
    <w:p w:rsidR="00776064" w:rsidRDefault="00776064" w:rsidP="000C5962">
      <w:pPr>
        <w:pStyle w:val="2ndRd"/>
        <w:keepNext/>
        <w:spacing w:line="260" w:lineRule="atLeast"/>
        <w:rPr>
          <w:i/>
        </w:rPr>
      </w:pPr>
      <w:r>
        <w:rPr>
          <w:i/>
        </w:rPr>
        <w:t>House of Representatives on 25 May 2017</w:t>
      </w:r>
    </w:p>
    <w:p w:rsidR="00776064" w:rsidRDefault="00776064" w:rsidP="000C5962">
      <w:pPr>
        <w:pStyle w:val="2ndRd"/>
        <w:keepNext/>
        <w:spacing w:line="260" w:lineRule="atLeast"/>
        <w:rPr>
          <w:i/>
        </w:rPr>
      </w:pPr>
      <w:r>
        <w:rPr>
          <w:i/>
        </w:rPr>
        <w:t>Senate on 15 June 2017</w:t>
      </w:r>
      <w:r>
        <w:t>]</w:t>
      </w:r>
    </w:p>
    <w:p w:rsidR="00776064" w:rsidRDefault="00776064" w:rsidP="000C5962"/>
    <w:p w:rsidR="00A31F7D" w:rsidRPr="00776064" w:rsidRDefault="00776064" w:rsidP="00776064">
      <w:pPr>
        <w:framePr w:hSpace="180" w:wrap="around" w:vAnchor="text" w:hAnchor="page" w:x="2401" w:y="7348"/>
      </w:pPr>
      <w:r>
        <w:t>(96/17)</w:t>
      </w:r>
    </w:p>
    <w:p w:rsidR="00776064" w:rsidRDefault="00776064"/>
    <w:sectPr w:rsidR="00776064" w:rsidSect="00A31F7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8E" w:rsidRDefault="0092098E" w:rsidP="0048364F">
      <w:pPr>
        <w:spacing w:line="240" w:lineRule="auto"/>
      </w:pPr>
      <w:r>
        <w:separator/>
      </w:r>
    </w:p>
  </w:endnote>
  <w:endnote w:type="continuationSeparator" w:id="0">
    <w:p w:rsidR="0092098E" w:rsidRDefault="0092098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53" w:rsidRPr="005F1388" w:rsidRDefault="00374F53" w:rsidP="00EF6A1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64" w:rsidRDefault="00776064" w:rsidP="007517B8">
    <w:pPr>
      <w:pStyle w:val="ScalePlusRef"/>
    </w:pPr>
    <w:r>
      <w:t>Note: An electronic version of this Act is available on the Federal Register of Legislation (</w:t>
    </w:r>
    <w:hyperlink r:id="rId1" w:history="1">
      <w:r>
        <w:t>https://www.legislation.gov.au/</w:t>
      </w:r>
    </w:hyperlink>
    <w:r>
      <w:t>)</w:t>
    </w:r>
  </w:p>
  <w:p w:rsidR="00776064" w:rsidRDefault="00776064" w:rsidP="007517B8"/>
  <w:p w:rsidR="00776064" w:rsidRDefault="00776064" w:rsidP="007517B8"/>
  <w:p w:rsidR="00374F53" w:rsidRDefault="00374F53" w:rsidP="00EF6A15">
    <w:pPr>
      <w:pStyle w:val="Footer"/>
      <w:spacing w:before="120"/>
    </w:pPr>
  </w:p>
  <w:p w:rsidR="00374F53" w:rsidRPr="005F1388" w:rsidRDefault="00374F53" w:rsidP="00374F5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53" w:rsidRPr="00ED79B6" w:rsidRDefault="00374F53" w:rsidP="00EF6A1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53" w:rsidRDefault="00374F53" w:rsidP="00EF6A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4F53" w:rsidTr="0000324F">
      <w:tc>
        <w:tcPr>
          <w:tcW w:w="646" w:type="dxa"/>
        </w:tcPr>
        <w:p w:rsidR="00374F53" w:rsidRDefault="00374F53" w:rsidP="0000324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7F84">
            <w:rPr>
              <w:i/>
              <w:noProof/>
              <w:sz w:val="18"/>
            </w:rPr>
            <w:t>xvii</w:t>
          </w:r>
          <w:r w:rsidRPr="00ED79B6">
            <w:rPr>
              <w:i/>
              <w:sz w:val="18"/>
            </w:rPr>
            <w:fldChar w:fldCharType="end"/>
          </w:r>
        </w:p>
      </w:tc>
      <w:tc>
        <w:tcPr>
          <w:tcW w:w="5387" w:type="dxa"/>
        </w:tcPr>
        <w:p w:rsidR="00374F53" w:rsidRDefault="008C6BBD" w:rsidP="0000324F">
          <w:pPr>
            <w:jc w:val="center"/>
            <w:rPr>
              <w:sz w:val="18"/>
            </w:rPr>
          </w:pPr>
          <w:r>
            <w:rPr>
              <w:i/>
              <w:sz w:val="18"/>
            </w:rPr>
            <w:t>Treasury Laws Amendment (2017 Measures No. 2) Act 2017</w:t>
          </w:r>
        </w:p>
      </w:tc>
      <w:tc>
        <w:tcPr>
          <w:tcW w:w="1270" w:type="dxa"/>
        </w:tcPr>
        <w:p w:rsidR="00374F53" w:rsidRDefault="008C6BBD" w:rsidP="0000324F">
          <w:pPr>
            <w:jc w:val="right"/>
            <w:rPr>
              <w:sz w:val="18"/>
            </w:rPr>
          </w:pPr>
          <w:r>
            <w:rPr>
              <w:i/>
              <w:sz w:val="18"/>
            </w:rPr>
            <w:t>No.      , 2017</w:t>
          </w:r>
        </w:p>
      </w:tc>
    </w:tr>
  </w:tbl>
  <w:p w:rsidR="00374F53" w:rsidRDefault="00374F53" w:rsidP="00374F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53" w:rsidRDefault="00374F53" w:rsidP="00EF6A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4F53" w:rsidTr="0000324F">
      <w:tc>
        <w:tcPr>
          <w:tcW w:w="1247" w:type="dxa"/>
        </w:tcPr>
        <w:p w:rsidR="00374F53" w:rsidRDefault="008C6BBD" w:rsidP="00334075">
          <w:pPr>
            <w:rPr>
              <w:i/>
              <w:sz w:val="18"/>
            </w:rPr>
          </w:pPr>
          <w:r>
            <w:rPr>
              <w:i/>
              <w:sz w:val="18"/>
            </w:rPr>
            <w:t>No.</w:t>
          </w:r>
          <w:r w:rsidR="00334075">
            <w:rPr>
              <w:i/>
              <w:sz w:val="18"/>
            </w:rPr>
            <w:t xml:space="preserve"> 55</w:t>
          </w:r>
          <w:r>
            <w:rPr>
              <w:i/>
              <w:sz w:val="18"/>
            </w:rPr>
            <w:t>, 2017</w:t>
          </w:r>
        </w:p>
      </w:tc>
      <w:tc>
        <w:tcPr>
          <w:tcW w:w="5387" w:type="dxa"/>
        </w:tcPr>
        <w:p w:rsidR="00374F53" w:rsidRDefault="008C6BBD" w:rsidP="0000324F">
          <w:pPr>
            <w:jc w:val="center"/>
            <w:rPr>
              <w:i/>
              <w:sz w:val="18"/>
            </w:rPr>
          </w:pPr>
          <w:r>
            <w:rPr>
              <w:i/>
              <w:sz w:val="18"/>
            </w:rPr>
            <w:t>Treasury Laws Amendment (2017 Measures No. 2) Act 2017</w:t>
          </w:r>
        </w:p>
      </w:tc>
      <w:tc>
        <w:tcPr>
          <w:tcW w:w="669" w:type="dxa"/>
        </w:tcPr>
        <w:p w:rsidR="00374F53" w:rsidRDefault="00374F53" w:rsidP="0000324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767B">
            <w:rPr>
              <w:i/>
              <w:noProof/>
              <w:sz w:val="18"/>
            </w:rPr>
            <w:t>i</w:t>
          </w:r>
          <w:r w:rsidRPr="00ED79B6">
            <w:rPr>
              <w:i/>
              <w:sz w:val="18"/>
            </w:rPr>
            <w:fldChar w:fldCharType="end"/>
          </w:r>
        </w:p>
      </w:tc>
    </w:tr>
  </w:tbl>
  <w:p w:rsidR="00374F53" w:rsidRPr="00ED79B6" w:rsidRDefault="00374F53" w:rsidP="00374F5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53" w:rsidRDefault="00374F53" w:rsidP="00EF6A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74F53" w:rsidTr="0000324F">
      <w:tc>
        <w:tcPr>
          <w:tcW w:w="646" w:type="dxa"/>
        </w:tcPr>
        <w:p w:rsidR="00374F53" w:rsidRDefault="00374F53" w:rsidP="0000324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767B">
            <w:rPr>
              <w:i/>
              <w:noProof/>
              <w:sz w:val="18"/>
            </w:rPr>
            <w:t>18</w:t>
          </w:r>
          <w:r w:rsidRPr="00ED79B6">
            <w:rPr>
              <w:i/>
              <w:sz w:val="18"/>
            </w:rPr>
            <w:fldChar w:fldCharType="end"/>
          </w:r>
        </w:p>
      </w:tc>
      <w:tc>
        <w:tcPr>
          <w:tcW w:w="5387" w:type="dxa"/>
        </w:tcPr>
        <w:p w:rsidR="00374F53" w:rsidRDefault="008C6BBD" w:rsidP="0000324F">
          <w:pPr>
            <w:jc w:val="center"/>
            <w:rPr>
              <w:sz w:val="18"/>
            </w:rPr>
          </w:pPr>
          <w:r>
            <w:rPr>
              <w:i/>
              <w:sz w:val="18"/>
            </w:rPr>
            <w:t>Treasury Laws Amendment (2017 Measures No. 2) Act 2017</w:t>
          </w:r>
        </w:p>
      </w:tc>
      <w:tc>
        <w:tcPr>
          <w:tcW w:w="1270" w:type="dxa"/>
        </w:tcPr>
        <w:p w:rsidR="00374F53" w:rsidRDefault="00334075" w:rsidP="0000324F">
          <w:pPr>
            <w:jc w:val="right"/>
            <w:rPr>
              <w:sz w:val="18"/>
            </w:rPr>
          </w:pPr>
          <w:r>
            <w:rPr>
              <w:i/>
              <w:sz w:val="18"/>
            </w:rPr>
            <w:t>No. 55, 2017</w:t>
          </w:r>
        </w:p>
      </w:tc>
    </w:tr>
  </w:tbl>
  <w:p w:rsidR="00374F53" w:rsidRDefault="00374F53" w:rsidP="00374F5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53" w:rsidRDefault="00374F53" w:rsidP="00EF6A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74F53" w:rsidTr="0000324F">
      <w:tc>
        <w:tcPr>
          <w:tcW w:w="1247" w:type="dxa"/>
        </w:tcPr>
        <w:p w:rsidR="00374F53" w:rsidRDefault="00334075" w:rsidP="0000324F">
          <w:pPr>
            <w:rPr>
              <w:i/>
              <w:sz w:val="18"/>
            </w:rPr>
          </w:pPr>
          <w:r>
            <w:rPr>
              <w:i/>
              <w:sz w:val="18"/>
            </w:rPr>
            <w:t>No. 55, 2017</w:t>
          </w:r>
        </w:p>
      </w:tc>
      <w:tc>
        <w:tcPr>
          <w:tcW w:w="5387" w:type="dxa"/>
        </w:tcPr>
        <w:p w:rsidR="00374F53" w:rsidRDefault="008C6BBD" w:rsidP="0000324F">
          <w:pPr>
            <w:jc w:val="center"/>
            <w:rPr>
              <w:i/>
              <w:sz w:val="18"/>
            </w:rPr>
          </w:pPr>
          <w:r>
            <w:rPr>
              <w:i/>
              <w:sz w:val="18"/>
            </w:rPr>
            <w:t>Treasury Laws Amendment (2017 Measures No. 2) Act 2017</w:t>
          </w:r>
        </w:p>
      </w:tc>
      <w:tc>
        <w:tcPr>
          <w:tcW w:w="669" w:type="dxa"/>
        </w:tcPr>
        <w:p w:rsidR="00374F53" w:rsidRDefault="00374F53" w:rsidP="0000324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767B">
            <w:rPr>
              <w:i/>
              <w:noProof/>
              <w:sz w:val="18"/>
            </w:rPr>
            <w:t>17</w:t>
          </w:r>
          <w:r w:rsidRPr="00ED79B6">
            <w:rPr>
              <w:i/>
              <w:sz w:val="18"/>
            </w:rPr>
            <w:fldChar w:fldCharType="end"/>
          </w:r>
        </w:p>
      </w:tc>
    </w:tr>
  </w:tbl>
  <w:p w:rsidR="00374F53" w:rsidRPr="00ED79B6" w:rsidRDefault="00374F53" w:rsidP="00374F53">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D6" w:rsidRDefault="008575D6" w:rsidP="00EF6A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575D6" w:rsidTr="002470F5">
      <w:tc>
        <w:tcPr>
          <w:tcW w:w="1247" w:type="dxa"/>
        </w:tcPr>
        <w:p w:rsidR="008575D6" w:rsidRDefault="00334075" w:rsidP="002470F5">
          <w:pPr>
            <w:rPr>
              <w:i/>
              <w:sz w:val="18"/>
            </w:rPr>
          </w:pPr>
          <w:r>
            <w:rPr>
              <w:i/>
              <w:sz w:val="18"/>
            </w:rPr>
            <w:t>No. 55, 2017</w:t>
          </w:r>
        </w:p>
      </w:tc>
      <w:tc>
        <w:tcPr>
          <w:tcW w:w="5387" w:type="dxa"/>
        </w:tcPr>
        <w:p w:rsidR="008575D6" w:rsidRDefault="008C6BBD" w:rsidP="002470F5">
          <w:pPr>
            <w:jc w:val="center"/>
            <w:rPr>
              <w:i/>
              <w:sz w:val="18"/>
            </w:rPr>
          </w:pPr>
          <w:r>
            <w:rPr>
              <w:i/>
              <w:sz w:val="18"/>
            </w:rPr>
            <w:t>Treasury Laws Amendment (2017 Measures No. 2) Act 2017</w:t>
          </w:r>
        </w:p>
      </w:tc>
      <w:tc>
        <w:tcPr>
          <w:tcW w:w="669" w:type="dxa"/>
        </w:tcPr>
        <w:p w:rsidR="008575D6" w:rsidRDefault="008575D6" w:rsidP="002470F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767B">
            <w:rPr>
              <w:i/>
              <w:noProof/>
              <w:sz w:val="18"/>
            </w:rPr>
            <w:t>1</w:t>
          </w:r>
          <w:r w:rsidRPr="00ED79B6">
            <w:rPr>
              <w:i/>
              <w:sz w:val="18"/>
            </w:rPr>
            <w:fldChar w:fldCharType="end"/>
          </w:r>
        </w:p>
      </w:tc>
    </w:tr>
  </w:tbl>
  <w:p w:rsidR="008575D6" w:rsidRPr="00ED79B6" w:rsidRDefault="008575D6" w:rsidP="008575D6">
    <w:pPr>
      <w:rPr>
        <w:sz w:val="18"/>
      </w:rPr>
    </w:pPr>
  </w:p>
  <w:p w:rsidR="00374F53" w:rsidRPr="00ED79B6" w:rsidRDefault="00374F53" w:rsidP="008575D6">
    <w:pPr>
      <w:pStyle w:val="Foote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8E" w:rsidRDefault="0092098E" w:rsidP="0048364F">
      <w:pPr>
        <w:spacing w:line="240" w:lineRule="auto"/>
      </w:pPr>
      <w:r>
        <w:separator/>
      </w:r>
    </w:p>
  </w:footnote>
  <w:footnote w:type="continuationSeparator" w:id="0">
    <w:p w:rsidR="0092098E" w:rsidRDefault="0092098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19767B">
      <w:rPr>
        <w:b/>
        <w:sz w:val="20"/>
      </w:rPr>
      <w:fldChar w:fldCharType="separate"/>
    </w:r>
    <w:r w:rsidR="0019767B">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19767B">
      <w:rPr>
        <w:sz w:val="20"/>
      </w:rPr>
      <w:fldChar w:fldCharType="separate"/>
    </w:r>
    <w:r w:rsidR="0019767B">
      <w:rPr>
        <w:noProof/>
        <w:sz w:val="20"/>
      </w:rPr>
      <w:t>Amendments relating to insolvency</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19767B">
      <w:rPr>
        <w:sz w:val="20"/>
      </w:rPr>
      <w:fldChar w:fldCharType="separate"/>
    </w:r>
    <w:r w:rsidR="0019767B">
      <w:rPr>
        <w:noProof/>
        <w:sz w:val="20"/>
      </w:rPr>
      <w:t>Amendments relating to insolvency</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19767B">
      <w:rPr>
        <w:b/>
        <w:sz w:val="20"/>
      </w:rPr>
      <w:fldChar w:fldCharType="separate"/>
    </w:r>
    <w:r w:rsidR="0019767B">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8E"/>
    <w:rsid w:val="0000689E"/>
    <w:rsid w:val="000113BC"/>
    <w:rsid w:val="000136AF"/>
    <w:rsid w:val="000417C9"/>
    <w:rsid w:val="00055B5C"/>
    <w:rsid w:val="00056391"/>
    <w:rsid w:val="00060FF9"/>
    <w:rsid w:val="000614BF"/>
    <w:rsid w:val="000B1FD2"/>
    <w:rsid w:val="000C356A"/>
    <w:rsid w:val="000D05EF"/>
    <w:rsid w:val="000D2C31"/>
    <w:rsid w:val="000F2168"/>
    <w:rsid w:val="000F21C1"/>
    <w:rsid w:val="00101D90"/>
    <w:rsid w:val="0010745C"/>
    <w:rsid w:val="00113BD1"/>
    <w:rsid w:val="00122206"/>
    <w:rsid w:val="0015646E"/>
    <w:rsid w:val="001643C9"/>
    <w:rsid w:val="00165568"/>
    <w:rsid w:val="00166C2F"/>
    <w:rsid w:val="001716C9"/>
    <w:rsid w:val="00173363"/>
    <w:rsid w:val="00173B94"/>
    <w:rsid w:val="001854B4"/>
    <w:rsid w:val="00187F82"/>
    <w:rsid w:val="001939E1"/>
    <w:rsid w:val="00195382"/>
    <w:rsid w:val="0019767B"/>
    <w:rsid w:val="001A3658"/>
    <w:rsid w:val="001A759A"/>
    <w:rsid w:val="001A7962"/>
    <w:rsid w:val="001B3030"/>
    <w:rsid w:val="001B7A5D"/>
    <w:rsid w:val="001C2418"/>
    <w:rsid w:val="001C69C4"/>
    <w:rsid w:val="001D7483"/>
    <w:rsid w:val="001E3590"/>
    <w:rsid w:val="001E7407"/>
    <w:rsid w:val="00201D27"/>
    <w:rsid w:val="00202618"/>
    <w:rsid w:val="00206BBC"/>
    <w:rsid w:val="00240749"/>
    <w:rsid w:val="00263820"/>
    <w:rsid w:val="00275197"/>
    <w:rsid w:val="00293B89"/>
    <w:rsid w:val="00297ECB"/>
    <w:rsid w:val="002B5A30"/>
    <w:rsid w:val="002D043A"/>
    <w:rsid w:val="002D395A"/>
    <w:rsid w:val="003101FC"/>
    <w:rsid w:val="00334075"/>
    <w:rsid w:val="003415D3"/>
    <w:rsid w:val="00350417"/>
    <w:rsid w:val="00352B0F"/>
    <w:rsid w:val="00374F53"/>
    <w:rsid w:val="00375C6C"/>
    <w:rsid w:val="003C5F2B"/>
    <w:rsid w:val="003D0BFE"/>
    <w:rsid w:val="003D5700"/>
    <w:rsid w:val="00405579"/>
    <w:rsid w:val="00410B8E"/>
    <w:rsid w:val="004116CD"/>
    <w:rsid w:val="00421FC1"/>
    <w:rsid w:val="004229C7"/>
    <w:rsid w:val="00424CA9"/>
    <w:rsid w:val="00436785"/>
    <w:rsid w:val="00436BD5"/>
    <w:rsid w:val="00437E4B"/>
    <w:rsid w:val="0044291A"/>
    <w:rsid w:val="004513E2"/>
    <w:rsid w:val="004617FC"/>
    <w:rsid w:val="0048196B"/>
    <w:rsid w:val="0048364F"/>
    <w:rsid w:val="00483E3E"/>
    <w:rsid w:val="00496F97"/>
    <w:rsid w:val="004C7C8C"/>
    <w:rsid w:val="004E2A4A"/>
    <w:rsid w:val="004F0D23"/>
    <w:rsid w:val="004F1FAC"/>
    <w:rsid w:val="00516B8D"/>
    <w:rsid w:val="00537FBC"/>
    <w:rsid w:val="00543469"/>
    <w:rsid w:val="00551B54"/>
    <w:rsid w:val="005616F0"/>
    <w:rsid w:val="00584811"/>
    <w:rsid w:val="00593AA6"/>
    <w:rsid w:val="00594161"/>
    <w:rsid w:val="00594749"/>
    <w:rsid w:val="005A0D92"/>
    <w:rsid w:val="005B4067"/>
    <w:rsid w:val="005C3F41"/>
    <w:rsid w:val="005E152A"/>
    <w:rsid w:val="00600219"/>
    <w:rsid w:val="006202FF"/>
    <w:rsid w:val="00641DE5"/>
    <w:rsid w:val="00656F0C"/>
    <w:rsid w:val="00671A1A"/>
    <w:rsid w:val="00677CC2"/>
    <w:rsid w:val="00681F92"/>
    <w:rsid w:val="006842C2"/>
    <w:rsid w:val="00685F42"/>
    <w:rsid w:val="0069207B"/>
    <w:rsid w:val="006C2874"/>
    <w:rsid w:val="006C7F8C"/>
    <w:rsid w:val="006D380D"/>
    <w:rsid w:val="006D6217"/>
    <w:rsid w:val="006E0135"/>
    <w:rsid w:val="006E303A"/>
    <w:rsid w:val="006F7E19"/>
    <w:rsid w:val="00700B2C"/>
    <w:rsid w:val="00712D8D"/>
    <w:rsid w:val="00713084"/>
    <w:rsid w:val="00714B26"/>
    <w:rsid w:val="0071605A"/>
    <w:rsid w:val="00731E00"/>
    <w:rsid w:val="007440B7"/>
    <w:rsid w:val="007634AD"/>
    <w:rsid w:val="007715C9"/>
    <w:rsid w:val="00774585"/>
    <w:rsid w:val="00774EDD"/>
    <w:rsid w:val="007757EC"/>
    <w:rsid w:val="00776064"/>
    <w:rsid w:val="007E7D4A"/>
    <w:rsid w:val="008006CC"/>
    <w:rsid w:val="00807F18"/>
    <w:rsid w:val="00811A3B"/>
    <w:rsid w:val="00817AD2"/>
    <w:rsid w:val="00831E8D"/>
    <w:rsid w:val="00856A31"/>
    <w:rsid w:val="008575D6"/>
    <w:rsid w:val="00857D6B"/>
    <w:rsid w:val="008754D0"/>
    <w:rsid w:val="00877D48"/>
    <w:rsid w:val="00883781"/>
    <w:rsid w:val="00885570"/>
    <w:rsid w:val="00893958"/>
    <w:rsid w:val="008A2E77"/>
    <w:rsid w:val="008C387F"/>
    <w:rsid w:val="008C6BBD"/>
    <w:rsid w:val="008C6F6F"/>
    <w:rsid w:val="008D0EE0"/>
    <w:rsid w:val="008F4F1C"/>
    <w:rsid w:val="008F77C4"/>
    <w:rsid w:val="009103F3"/>
    <w:rsid w:val="0091377F"/>
    <w:rsid w:val="0092098E"/>
    <w:rsid w:val="00932377"/>
    <w:rsid w:val="00967042"/>
    <w:rsid w:val="0098255A"/>
    <w:rsid w:val="009845BE"/>
    <w:rsid w:val="009969C9"/>
    <w:rsid w:val="00A048FF"/>
    <w:rsid w:val="00A10775"/>
    <w:rsid w:val="00A231E2"/>
    <w:rsid w:val="00A31F7D"/>
    <w:rsid w:val="00A36C48"/>
    <w:rsid w:val="00A41E0B"/>
    <w:rsid w:val="00A55631"/>
    <w:rsid w:val="00A64912"/>
    <w:rsid w:val="00A70A74"/>
    <w:rsid w:val="00AA3795"/>
    <w:rsid w:val="00AC1E75"/>
    <w:rsid w:val="00AD5641"/>
    <w:rsid w:val="00AE1088"/>
    <w:rsid w:val="00AF1BA4"/>
    <w:rsid w:val="00B032D8"/>
    <w:rsid w:val="00B33B3C"/>
    <w:rsid w:val="00B6382D"/>
    <w:rsid w:val="00B96198"/>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A2178"/>
    <w:rsid w:val="00CE1E31"/>
    <w:rsid w:val="00CF0BB2"/>
    <w:rsid w:val="00D00EAA"/>
    <w:rsid w:val="00D13441"/>
    <w:rsid w:val="00D243A3"/>
    <w:rsid w:val="00D477C3"/>
    <w:rsid w:val="00D51F74"/>
    <w:rsid w:val="00D52EFE"/>
    <w:rsid w:val="00D63EF6"/>
    <w:rsid w:val="00D70DFB"/>
    <w:rsid w:val="00D71827"/>
    <w:rsid w:val="00D73029"/>
    <w:rsid w:val="00D766DF"/>
    <w:rsid w:val="00DB2452"/>
    <w:rsid w:val="00DE2002"/>
    <w:rsid w:val="00DE7F84"/>
    <w:rsid w:val="00DF7AE9"/>
    <w:rsid w:val="00E05704"/>
    <w:rsid w:val="00E24D66"/>
    <w:rsid w:val="00E54292"/>
    <w:rsid w:val="00E74DC7"/>
    <w:rsid w:val="00E87699"/>
    <w:rsid w:val="00ED492F"/>
    <w:rsid w:val="00EF2E3A"/>
    <w:rsid w:val="00EF6A15"/>
    <w:rsid w:val="00F047E2"/>
    <w:rsid w:val="00F078DC"/>
    <w:rsid w:val="00F13E86"/>
    <w:rsid w:val="00F17B00"/>
    <w:rsid w:val="00F33285"/>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A15"/>
    <w:pPr>
      <w:spacing w:line="260" w:lineRule="atLeast"/>
    </w:pPr>
    <w:rPr>
      <w:sz w:val="22"/>
    </w:rPr>
  </w:style>
  <w:style w:type="paragraph" w:styleId="Heading1">
    <w:name w:val="heading 1"/>
    <w:basedOn w:val="Normal"/>
    <w:next w:val="Normal"/>
    <w:link w:val="Heading1Char"/>
    <w:uiPriority w:val="9"/>
    <w:qFormat/>
    <w:rsid w:val="00A31F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1F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1F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1F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1F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1F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1F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F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1F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6A15"/>
  </w:style>
  <w:style w:type="paragraph" w:customStyle="1" w:styleId="OPCParaBase">
    <w:name w:val="OPCParaBase"/>
    <w:link w:val="OPCParaBaseChar"/>
    <w:qFormat/>
    <w:rsid w:val="00EF6A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F6A15"/>
    <w:pPr>
      <w:spacing w:line="240" w:lineRule="auto"/>
    </w:pPr>
    <w:rPr>
      <w:b/>
      <w:sz w:val="40"/>
    </w:rPr>
  </w:style>
  <w:style w:type="paragraph" w:customStyle="1" w:styleId="ActHead1">
    <w:name w:val="ActHead 1"/>
    <w:aliases w:val="c"/>
    <w:basedOn w:val="OPCParaBase"/>
    <w:next w:val="Normal"/>
    <w:qFormat/>
    <w:rsid w:val="00EF6A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6A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6A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6A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F6A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6A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6A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6A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6A1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F6A15"/>
  </w:style>
  <w:style w:type="paragraph" w:customStyle="1" w:styleId="Blocks">
    <w:name w:val="Blocks"/>
    <w:aliases w:val="bb"/>
    <w:basedOn w:val="OPCParaBase"/>
    <w:qFormat/>
    <w:rsid w:val="00EF6A15"/>
    <w:pPr>
      <w:spacing w:line="240" w:lineRule="auto"/>
    </w:pPr>
    <w:rPr>
      <w:sz w:val="24"/>
    </w:rPr>
  </w:style>
  <w:style w:type="paragraph" w:customStyle="1" w:styleId="BoxText">
    <w:name w:val="BoxText"/>
    <w:aliases w:val="bt"/>
    <w:basedOn w:val="OPCParaBase"/>
    <w:qFormat/>
    <w:rsid w:val="00EF6A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6A15"/>
    <w:rPr>
      <w:b/>
    </w:rPr>
  </w:style>
  <w:style w:type="paragraph" w:customStyle="1" w:styleId="BoxHeadItalic">
    <w:name w:val="BoxHeadItalic"/>
    <w:aliases w:val="bhi"/>
    <w:basedOn w:val="BoxText"/>
    <w:next w:val="BoxStep"/>
    <w:qFormat/>
    <w:rsid w:val="00EF6A15"/>
    <w:rPr>
      <w:i/>
    </w:rPr>
  </w:style>
  <w:style w:type="paragraph" w:customStyle="1" w:styleId="BoxList">
    <w:name w:val="BoxList"/>
    <w:aliases w:val="bl"/>
    <w:basedOn w:val="BoxText"/>
    <w:qFormat/>
    <w:rsid w:val="00EF6A15"/>
    <w:pPr>
      <w:ind w:left="1559" w:hanging="425"/>
    </w:pPr>
  </w:style>
  <w:style w:type="paragraph" w:customStyle="1" w:styleId="BoxNote">
    <w:name w:val="BoxNote"/>
    <w:aliases w:val="bn"/>
    <w:basedOn w:val="BoxText"/>
    <w:qFormat/>
    <w:rsid w:val="00EF6A15"/>
    <w:pPr>
      <w:tabs>
        <w:tab w:val="left" w:pos="1985"/>
      </w:tabs>
      <w:spacing w:before="122" w:line="198" w:lineRule="exact"/>
      <w:ind w:left="2948" w:hanging="1814"/>
    </w:pPr>
    <w:rPr>
      <w:sz w:val="18"/>
    </w:rPr>
  </w:style>
  <w:style w:type="paragraph" w:customStyle="1" w:styleId="BoxPara">
    <w:name w:val="BoxPara"/>
    <w:aliases w:val="bp"/>
    <w:basedOn w:val="BoxText"/>
    <w:qFormat/>
    <w:rsid w:val="00EF6A15"/>
    <w:pPr>
      <w:tabs>
        <w:tab w:val="right" w:pos="2268"/>
      </w:tabs>
      <w:ind w:left="2552" w:hanging="1418"/>
    </w:pPr>
  </w:style>
  <w:style w:type="paragraph" w:customStyle="1" w:styleId="BoxStep">
    <w:name w:val="BoxStep"/>
    <w:aliases w:val="bs"/>
    <w:basedOn w:val="BoxText"/>
    <w:qFormat/>
    <w:rsid w:val="00EF6A15"/>
    <w:pPr>
      <w:ind w:left="1985" w:hanging="851"/>
    </w:pPr>
  </w:style>
  <w:style w:type="character" w:customStyle="1" w:styleId="CharAmPartNo">
    <w:name w:val="CharAmPartNo"/>
    <w:basedOn w:val="OPCCharBase"/>
    <w:qFormat/>
    <w:rsid w:val="00EF6A15"/>
  </w:style>
  <w:style w:type="character" w:customStyle="1" w:styleId="CharAmPartText">
    <w:name w:val="CharAmPartText"/>
    <w:basedOn w:val="OPCCharBase"/>
    <w:qFormat/>
    <w:rsid w:val="00EF6A15"/>
  </w:style>
  <w:style w:type="character" w:customStyle="1" w:styleId="CharAmSchNo">
    <w:name w:val="CharAmSchNo"/>
    <w:basedOn w:val="OPCCharBase"/>
    <w:qFormat/>
    <w:rsid w:val="00EF6A15"/>
  </w:style>
  <w:style w:type="character" w:customStyle="1" w:styleId="CharAmSchText">
    <w:name w:val="CharAmSchText"/>
    <w:basedOn w:val="OPCCharBase"/>
    <w:qFormat/>
    <w:rsid w:val="00EF6A15"/>
  </w:style>
  <w:style w:type="character" w:customStyle="1" w:styleId="CharBoldItalic">
    <w:name w:val="CharBoldItalic"/>
    <w:basedOn w:val="OPCCharBase"/>
    <w:uiPriority w:val="1"/>
    <w:qFormat/>
    <w:rsid w:val="00EF6A15"/>
    <w:rPr>
      <w:b/>
      <w:i/>
    </w:rPr>
  </w:style>
  <w:style w:type="character" w:customStyle="1" w:styleId="CharChapNo">
    <w:name w:val="CharChapNo"/>
    <w:basedOn w:val="OPCCharBase"/>
    <w:uiPriority w:val="1"/>
    <w:qFormat/>
    <w:rsid w:val="00EF6A15"/>
  </w:style>
  <w:style w:type="character" w:customStyle="1" w:styleId="CharChapText">
    <w:name w:val="CharChapText"/>
    <w:basedOn w:val="OPCCharBase"/>
    <w:uiPriority w:val="1"/>
    <w:qFormat/>
    <w:rsid w:val="00EF6A15"/>
  </w:style>
  <w:style w:type="character" w:customStyle="1" w:styleId="CharDivNo">
    <w:name w:val="CharDivNo"/>
    <w:basedOn w:val="OPCCharBase"/>
    <w:uiPriority w:val="1"/>
    <w:qFormat/>
    <w:rsid w:val="00EF6A15"/>
  </w:style>
  <w:style w:type="character" w:customStyle="1" w:styleId="CharDivText">
    <w:name w:val="CharDivText"/>
    <w:basedOn w:val="OPCCharBase"/>
    <w:uiPriority w:val="1"/>
    <w:qFormat/>
    <w:rsid w:val="00EF6A15"/>
  </w:style>
  <w:style w:type="character" w:customStyle="1" w:styleId="CharItalic">
    <w:name w:val="CharItalic"/>
    <w:basedOn w:val="OPCCharBase"/>
    <w:uiPriority w:val="1"/>
    <w:qFormat/>
    <w:rsid w:val="00EF6A15"/>
    <w:rPr>
      <w:i/>
    </w:rPr>
  </w:style>
  <w:style w:type="character" w:customStyle="1" w:styleId="CharPartNo">
    <w:name w:val="CharPartNo"/>
    <w:basedOn w:val="OPCCharBase"/>
    <w:uiPriority w:val="1"/>
    <w:qFormat/>
    <w:rsid w:val="00EF6A15"/>
  </w:style>
  <w:style w:type="character" w:customStyle="1" w:styleId="CharPartText">
    <w:name w:val="CharPartText"/>
    <w:basedOn w:val="OPCCharBase"/>
    <w:uiPriority w:val="1"/>
    <w:qFormat/>
    <w:rsid w:val="00EF6A15"/>
  </w:style>
  <w:style w:type="character" w:customStyle="1" w:styleId="CharSectno">
    <w:name w:val="CharSectno"/>
    <w:basedOn w:val="OPCCharBase"/>
    <w:qFormat/>
    <w:rsid w:val="00EF6A15"/>
  </w:style>
  <w:style w:type="character" w:customStyle="1" w:styleId="CharSubdNo">
    <w:name w:val="CharSubdNo"/>
    <w:basedOn w:val="OPCCharBase"/>
    <w:uiPriority w:val="1"/>
    <w:qFormat/>
    <w:rsid w:val="00EF6A15"/>
  </w:style>
  <w:style w:type="character" w:customStyle="1" w:styleId="CharSubdText">
    <w:name w:val="CharSubdText"/>
    <w:basedOn w:val="OPCCharBase"/>
    <w:uiPriority w:val="1"/>
    <w:qFormat/>
    <w:rsid w:val="00EF6A15"/>
  </w:style>
  <w:style w:type="paragraph" w:customStyle="1" w:styleId="CTA--">
    <w:name w:val="CTA --"/>
    <w:basedOn w:val="OPCParaBase"/>
    <w:next w:val="Normal"/>
    <w:rsid w:val="00EF6A15"/>
    <w:pPr>
      <w:spacing w:before="60" w:line="240" w:lineRule="atLeast"/>
      <w:ind w:left="142" w:hanging="142"/>
    </w:pPr>
    <w:rPr>
      <w:sz w:val="20"/>
    </w:rPr>
  </w:style>
  <w:style w:type="paragraph" w:customStyle="1" w:styleId="CTA-">
    <w:name w:val="CTA -"/>
    <w:basedOn w:val="OPCParaBase"/>
    <w:rsid w:val="00EF6A15"/>
    <w:pPr>
      <w:spacing w:before="60" w:line="240" w:lineRule="atLeast"/>
      <w:ind w:left="85" w:hanging="85"/>
    </w:pPr>
    <w:rPr>
      <w:sz w:val="20"/>
    </w:rPr>
  </w:style>
  <w:style w:type="paragraph" w:customStyle="1" w:styleId="CTA---">
    <w:name w:val="CTA ---"/>
    <w:basedOn w:val="OPCParaBase"/>
    <w:next w:val="Normal"/>
    <w:rsid w:val="00EF6A15"/>
    <w:pPr>
      <w:spacing w:before="60" w:line="240" w:lineRule="atLeast"/>
      <w:ind w:left="198" w:hanging="198"/>
    </w:pPr>
    <w:rPr>
      <w:sz w:val="20"/>
    </w:rPr>
  </w:style>
  <w:style w:type="paragraph" w:customStyle="1" w:styleId="CTA----">
    <w:name w:val="CTA ----"/>
    <w:basedOn w:val="OPCParaBase"/>
    <w:next w:val="Normal"/>
    <w:rsid w:val="00EF6A15"/>
    <w:pPr>
      <w:spacing w:before="60" w:line="240" w:lineRule="atLeast"/>
      <w:ind w:left="255" w:hanging="255"/>
    </w:pPr>
    <w:rPr>
      <w:sz w:val="20"/>
    </w:rPr>
  </w:style>
  <w:style w:type="paragraph" w:customStyle="1" w:styleId="CTA1a">
    <w:name w:val="CTA 1(a)"/>
    <w:basedOn w:val="OPCParaBase"/>
    <w:rsid w:val="00EF6A15"/>
    <w:pPr>
      <w:tabs>
        <w:tab w:val="right" w:pos="414"/>
      </w:tabs>
      <w:spacing w:before="40" w:line="240" w:lineRule="atLeast"/>
      <w:ind w:left="675" w:hanging="675"/>
    </w:pPr>
    <w:rPr>
      <w:sz w:val="20"/>
    </w:rPr>
  </w:style>
  <w:style w:type="paragraph" w:customStyle="1" w:styleId="CTA1ai">
    <w:name w:val="CTA 1(a)(i)"/>
    <w:basedOn w:val="OPCParaBase"/>
    <w:rsid w:val="00EF6A15"/>
    <w:pPr>
      <w:tabs>
        <w:tab w:val="right" w:pos="1004"/>
      </w:tabs>
      <w:spacing w:before="40" w:line="240" w:lineRule="atLeast"/>
      <w:ind w:left="1253" w:hanging="1253"/>
    </w:pPr>
    <w:rPr>
      <w:sz w:val="20"/>
    </w:rPr>
  </w:style>
  <w:style w:type="paragraph" w:customStyle="1" w:styleId="CTA2a">
    <w:name w:val="CTA 2(a)"/>
    <w:basedOn w:val="OPCParaBase"/>
    <w:rsid w:val="00EF6A15"/>
    <w:pPr>
      <w:tabs>
        <w:tab w:val="right" w:pos="482"/>
      </w:tabs>
      <w:spacing w:before="40" w:line="240" w:lineRule="atLeast"/>
      <w:ind w:left="748" w:hanging="748"/>
    </w:pPr>
    <w:rPr>
      <w:sz w:val="20"/>
    </w:rPr>
  </w:style>
  <w:style w:type="paragraph" w:customStyle="1" w:styleId="CTA2ai">
    <w:name w:val="CTA 2(a)(i)"/>
    <w:basedOn w:val="OPCParaBase"/>
    <w:rsid w:val="00EF6A15"/>
    <w:pPr>
      <w:tabs>
        <w:tab w:val="right" w:pos="1089"/>
      </w:tabs>
      <w:spacing w:before="40" w:line="240" w:lineRule="atLeast"/>
      <w:ind w:left="1327" w:hanging="1327"/>
    </w:pPr>
    <w:rPr>
      <w:sz w:val="20"/>
    </w:rPr>
  </w:style>
  <w:style w:type="paragraph" w:customStyle="1" w:styleId="CTA3a">
    <w:name w:val="CTA 3(a)"/>
    <w:basedOn w:val="OPCParaBase"/>
    <w:rsid w:val="00EF6A15"/>
    <w:pPr>
      <w:tabs>
        <w:tab w:val="right" w:pos="556"/>
      </w:tabs>
      <w:spacing w:before="40" w:line="240" w:lineRule="atLeast"/>
      <w:ind w:left="805" w:hanging="805"/>
    </w:pPr>
    <w:rPr>
      <w:sz w:val="20"/>
    </w:rPr>
  </w:style>
  <w:style w:type="paragraph" w:customStyle="1" w:styleId="CTA3ai">
    <w:name w:val="CTA 3(a)(i)"/>
    <w:basedOn w:val="OPCParaBase"/>
    <w:rsid w:val="00EF6A15"/>
    <w:pPr>
      <w:tabs>
        <w:tab w:val="right" w:pos="1140"/>
      </w:tabs>
      <w:spacing w:before="40" w:line="240" w:lineRule="atLeast"/>
      <w:ind w:left="1361" w:hanging="1361"/>
    </w:pPr>
    <w:rPr>
      <w:sz w:val="20"/>
    </w:rPr>
  </w:style>
  <w:style w:type="paragraph" w:customStyle="1" w:styleId="CTA4a">
    <w:name w:val="CTA 4(a)"/>
    <w:basedOn w:val="OPCParaBase"/>
    <w:rsid w:val="00EF6A15"/>
    <w:pPr>
      <w:tabs>
        <w:tab w:val="right" w:pos="624"/>
      </w:tabs>
      <w:spacing w:before="40" w:line="240" w:lineRule="atLeast"/>
      <w:ind w:left="873" w:hanging="873"/>
    </w:pPr>
    <w:rPr>
      <w:sz w:val="20"/>
    </w:rPr>
  </w:style>
  <w:style w:type="paragraph" w:customStyle="1" w:styleId="CTA4ai">
    <w:name w:val="CTA 4(a)(i)"/>
    <w:basedOn w:val="OPCParaBase"/>
    <w:rsid w:val="00EF6A15"/>
    <w:pPr>
      <w:tabs>
        <w:tab w:val="right" w:pos="1213"/>
      </w:tabs>
      <w:spacing w:before="40" w:line="240" w:lineRule="atLeast"/>
      <w:ind w:left="1452" w:hanging="1452"/>
    </w:pPr>
    <w:rPr>
      <w:sz w:val="20"/>
    </w:rPr>
  </w:style>
  <w:style w:type="paragraph" w:customStyle="1" w:styleId="CTACAPS">
    <w:name w:val="CTA CAPS"/>
    <w:basedOn w:val="OPCParaBase"/>
    <w:rsid w:val="00EF6A15"/>
    <w:pPr>
      <w:spacing w:before="60" w:line="240" w:lineRule="atLeast"/>
    </w:pPr>
    <w:rPr>
      <w:sz w:val="20"/>
    </w:rPr>
  </w:style>
  <w:style w:type="paragraph" w:customStyle="1" w:styleId="CTAright">
    <w:name w:val="CTA right"/>
    <w:basedOn w:val="OPCParaBase"/>
    <w:rsid w:val="00EF6A15"/>
    <w:pPr>
      <w:spacing w:before="60" w:line="240" w:lineRule="auto"/>
      <w:jc w:val="right"/>
    </w:pPr>
    <w:rPr>
      <w:sz w:val="20"/>
    </w:rPr>
  </w:style>
  <w:style w:type="paragraph" w:customStyle="1" w:styleId="subsection">
    <w:name w:val="subsection"/>
    <w:aliases w:val="ss"/>
    <w:basedOn w:val="OPCParaBase"/>
    <w:link w:val="subsectionChar"/>
    <w:rsid w:val="00EF6A15"/>
    <w:pPr>
      <w:tabs>
        <w:tab w:val="right" w:pos="1021"/>
      </w:tabs>
      <w:spacing w:before="180" w:line="240" w:lineRule="auto"/>
      <w:ind w:left="1134" w:hanging="1134"/>
    </w:pPr>
  </w:style>
  <w:style w:type="paragraph" w:customStyle="1" w:styleId="Definition">
    <w:name w:val="Definition"/>
    <w:aliases w:val="dd"/>
    <w:basedOn w:val="OPCParaBase"/>
    <w:rsid w:val="00EF6A15"/>
    <w:pPr>
      <w:spacing w:before="180" w:line="240" w:lineRule="auto"/>
      <w:ind w:left="1134"/>
    </w:pPr>
  </w:style>
  <w:style w:type="paragraph" w:customStyle="1" w:styleId="ETAsubitem">
    <w:name w:val="ETA(subitem)"/>
    <w:basedOn w:val="OPCParaBase"/>
    <w:rsid w:val="00EF6A15"/>
    <w:pPr>
      <w:tabs>
        <w:tab w:val="right" w:pos="340"/>
      </w:tabs>
      <w:spacing w:before="60" w:line="240" w:lineRule="auto"/>
      <w:ind w:left="454" w:hanging="454"/>
    </w:pPr>
    <w:rPr>
      <w:sz w:val="20"/>
    </w:rPr>
  </w:style>
  <w:style w:type="paragraph" w:customStyle="1" w:styleId="ETApara">
    <w:name w:val="ETA(para)"/>
    <w:basedOn w:val="OPCParaBase"/>
    <w:rsid w:val="00EF6A15"/>
    <w:pPr>
      <w:tabs>
        <w:tab w:val="right" w:pos="754"/>
      </w:tabs>
      <w:spacing w:before="60" w:line="240" w:lineRule="auto"/>
      <w:ind w:left="828" w:hanging="828"/>
    </w:pPr>
    <w:rPr>
      <w:sz w:val="20"/>
    </w:rPr>
  </w:style>
  <w:style w:type="paragraph" w:customStyle="1" w:styleId="ETAsubpara">
    <w:name w:val="ETA(subpara)"/>
    <w:basedOn w:val="OPCParaBase"/>
    <w:rsid w:val="00EF6A15"/>
    <w:pPr>
      <w:tabs>
        <w:tab w:val="right" w:pos="1083"/>
      </w:tabs>
      <w:spacing w:before="60" w:line="240" w:lineRule="auto"/>
      <w:ind w:left="1191" w:hanging="1191"/>
    </w:pPr>
    <w:rPr>
      <w:sz w:val="20"/>
    </w:rPr>
  </w:style>
  <w:style w:type="paragraph" w:customStyle="1" w:styleId="ETAsub-subpara">
    <w:name w:val="ETA(sub-subpara)"/>
    <w:basedOn w:val="OPCParaBase"/>
    <w:rsid w:val="00EF6A15"/>
    <w:pPr>
      <w:tabs>
        <w:tab w:val="right" w:pos="1412"/>
      </w:tabs>
      <w:spacing w:before="60" w:line="240" w:lineRule="auto"/>
      <w:ind w:left="1525" w:hanging="1525"/>
    </w:pPr>
    <w:rPr>
      <w:sz w:val="20"/>
    </w:rPr>
  </w:style>
  <w:style w:type="paragraph" w:customStyle="1" w:styleId="Formula">
    <w:name w:val="Formula"/>
    <w:basedOn w:val="OPCParaBase"/>
    <w:rsid w:val="00EF6A15"/>
    <w:pPr>
      <w:spacing w:line="240" w:lineRule="auto"/>
      <w:ind w:left="1134"/>
    </w:pPr>
    <w:rPr>
      <w:sz w:val="20"/>
    </w:rPr>
  </w:style>
  <w:style w:type="paragraph" w:styleId="Header">
    <w:name w:val="header"/>
    <w:basedOn w:val="OPCParaBase"/>
    <w:link w:val="HeaderChar"/>
    <w:unhideWhenUsed/>
    <w:rsid w:val="00EF6A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6A15"/>
    <w:rPr>
      <w:rFonts w:eastAsia="Times New Roman" w:cs="Times New Roman"/>
      <w:sz w:val="16"/>
      <w:lang w:eastAsia="en-AU"/>
    </w:rPr>
  </w:style>
  <w:style w:type="paragraph" w:customStyle="1" w:styleId="House">
    <w:name w:val="House"/>
    <w:basedOn w:val="OPCParaBase"/>
    <w:rsid w:val="00EF6A15"/>
    <w:pPr>
      <w:spacing w:line="240" w:lineRule="auto"/>
    </w:pPr>
    <w:rPr>
      <w:sz w:val="28"/>
    </w:rPr>
  </w:style>
  <w:style w:type="paragraph" w:customStyle="1" w:styleId="Item">
    <w:name w:val="Item"/>
    <w:aliases w:val="i"/>
    <w:basedOn w:val="OPCParaBase"/>
    <w:next w:val="ItemHead"/>
    <w:rsid w:val="00EF6A15"/>
    <w:pPr>
      <w:keepLines/>
      <w:spacing w:before="80" w:line="240" w:lineRule="auto"/>
      <w:ind w:left="709"/>
    </w:pPr>
  </w:style>
  <w:style w:type="paragraph" w:customStyle="1" w:styleId="ItemHead">
    <w:name w:val="ItemHead"/>
    <w:aliases w:val="ih"/>
    <w:basedOn w:val="OPCParaBase"/>
    <w:next w:val="Item"/>
    <w:link w:val="ItemHeadChar"/>
    <w:rsid w:val="00EF6A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6A15"/>
    <w:pPr>
      <w:spacing w:line="240" w:lineRule="auto"/>
    </w:pPr>
    <w:rPr>
      <w:b/>
      <w:sz w:val="32"/>
    </w:rPr>
  </w:style>
  <w:style w:type="paragraph" w:customStyle="1" w:styleId="notedraft">
    <w:name w:val="note(draft)"/>
    <w:aliases w:val="nd"/>
    <w:basedOn w:val="OPCParaBase"/>
    <w:rsid w:val="00EF6A15"/>
    <w:pPr>
      <w:spacing w:before="240" w:line="240" w:lineRule="auto"/>
      <w:ind w:left="284" w:hanging="284"/>
    </w:pPr>
    <w:rPr>
      <w:i/>
      <w:sz w:val="24"/>
    </w:rPr>
  </w:style>
  <w:style w:type="paragraph" w:customStyle="1" w:styleId="notemargin">
    <w:name w:val="note(margin)"/>
    <w:aliases w:val="nm"/>
    <w:basedOn w:val="OPCParaBase"/>
    <w:rsid w:val="00EF6A15"/>
    <w:pPr>
      <w:tabs>
        <w:tab w:val="left" w:pos="709"/>
      </w:tabs>
      <w:spacing w:before="122" w:line="198" w:lineRule="exact"/>
      <w:ind w:left="709" w:hanging="709"/>
    </w:pPr>
    <w:rPr>
      <w:sz w:val="18"/>
    </w:rPr>
  </w:style>
  <w:style w:type="paragraph" w:customStyle="1" w:styleId="noteToPara">
    <w:name w:val="noteToPara"/>
    <w:aliases w:val="ntp"/>
    <w:basedOn w:val="OPCParaBase"/>
    <w:rsid w:val="00EF6A15"/>
    <w:pPr>
      <w:spacing w:before="122" w:line="198" w:lineRule="exact"/>
      <w:ind w:left="2353" w:hanging="709"/>
    </w:pPr>
    <w:rPr>
      <w:sz w:val="18"/>
    </w:rPr>
  </w:style>
  <w:style w:type="paragraph" w:customStyle="1" w:styleId="noteParlAmend">
    <w:name w:val="note(ParlAmend)"/>
    <w:aliases w:val="npp"/>
    <w:basedOn w:val="OPCParaBase"/>
    <w:next w:val="ParlAmend"/>
    <w:rsid w:val="00EF6A15"/>
    <w:pPr>
      <w:spacing w:line="240" w:lineRule="auto"/>
      <w:jc w:val="right"/>
    </w:pPr>
    <w:rPr>
      <w:rFonts w:ascii="Arial" w:hAnsi="Arial"/>
      <w:b/>
      <w:i/>
    </w:rPr>
  </w:style>
  <w:style w:type="paragraph" w:customStyle="1" w:styleId="Page1">
    <w:name w:val="Page1"/>
    <w:basedOn w:val="OPCParaBase"/>
    <w:rsid w:val="00EF6A15"/>
    <w:pPr>
      <w:spacing w:before="400" w:line="240" w:lineRule="auto"/>
    </w:pPr>
    <w:rPr>
      <w:b/>
      <w:sz w:val="32"/>
    </w:rPr>
  </w:style>
  <w:style w:type="paragraph" w:customStyle="1" w:styleId="PageBreak">
    <w:name w:val="PageBreak"/>
    <w:aliases w:val="pb"/>
    <w:basedOn w:val="OPCParaBase"/>
    <w:rsid w:val="00EF6A15"/>
    <w:pPr>
      <w:spacing w:line="240" w:lineRule="auto"/>
    </w:pPr>
    <w:rPr>
      <w:sz w:val="20"/>
    </w:rPr>
  </w:style>
  <w:style w:type="paragraph" w:customStyle="1" w:styleId="paragraphsub">
    <w:name w:val="paragraph(sub)"/>
    <w:aliases w:val="aa"/>
    <w:basedOn w:val="OPCParaBase"/>
    <w:rsid w:val="00EF6A15"/>
    <w:pPr>
      <w:tabs>
        <w:tab w:val="right" w:pos="1985"/>
      </w:tabs>
      <w:spacing w:before="40" w:line="240" w:lineRule="auto"/>
      <w:ind w:left="2098" w:hanging="2098"/>
    </w:pPr>
  </w:style>
  <w:style w:type="paragraph" w:customStyle="1" w:styleId="paragraphsub-sub">
    <w:name w:val="paragraph(sub-sub)"/>
    <w:aliases w:val="aaa"/>
    <w:basedOn w:val="OPCParaBase"/>
    <w:rsid w:val="00EF6A15"/>
    <w:pPr>
      <w:tabs>
        <w:tab w:val="right" w:pos="2722"/>
      </w:tabs>
      <w:spacing w:before="40" w:line="240" w:lineRule="auto"/>
      <w:ind w:left="2835" w:hanging="2835"/>
    </w:pPr>
  </w:style>
  <w:style w:type="paragraph" w:customStyle="1" w:styleId="paragraph">
    <w:name w:val="paragraph"/>
    <w:aliases w:val="a"/>
    <w:basedOn w:val="OPCParaBase"/>
    <w:link w:val="paragraphChar"/>
    <w:rsid w:val="00EF6A15"/>
    <w:pPr>
      <w:tabs>
        <w:tab w:val="right" w:pos="1531"/>
      </w:tabs>
      <w:spacing w:before="40" w:line="240" w:lineRule="auto"/>
      <w:ind w:left="1644" w:hanging="1644"/>
    </w:pPr>
  </w:style>
  <w:style w:type="paragraph" w:customStyle="1" w:styleId="ParlAmend">
    <w:name w:val="ParlAmend"/>
    <w:aliases w:val="pp"/>
    <w:basedOn w:val="OPCParaBase"/>
    <w:rsid w:val="00EF6A15"/>
    <w:pPr>
      <w:spacing w:before="240" w:line="240" w:lineRule="atLeast"/>
      <w:ind w:hanging="567"/>
    </w:pPr>
    <w:rPr>
      <w:sz w:val="24"/>
    </w:rPr>
  </w:style>
  <w:style w:type="paragraph" w:customStyle="1" w:styleId="Penalty">
    <w:name w:val="Penalty"/>
    <w:basedOn w:val="OPCParaBase"/>
    <w:rsid w:val="00EF6A15"/>
    <w:pPr>
      <w:tabs>
        <w:tab w:val="left" w:pos="2977"/>
      </w:tabs>
      <w:spacing w:before="180" w:line="240" w:lineRule="auto"/>
      <w:ind w:left="1985" w:hanging="851"/>
    </w:pPr>
  </w:style>
  <w:style w:type="paragraph" w:customStyle="1" w:styleId="Portfolio">
    <w:name w:val="Portfolio"/>
    <w:basedOn w:val="OPCParaBase"/>
    <w:rsid w:val="00EF6A15"/>
    <w:pPr>
      <w:spacing w:line="240" w:lineRule="auto"/>
    </w:pPr>
    <w:rPr>
      <w:i/>
      <w:sz w:val="20"/>
    </w:rPr>
  </w:style>
  <w:style w:type="paragraph" w:customStyle="1" w:styleId="Preamble">
    <w:name w:val="Preamble"/>
    <w:basedOn w:val="OPCParaBase"/>
    <w:next w:val="Normal"/>
    <w:rsid w:val="00EF6A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6A15"/>
    <w:pPr>
      <w:spacing w:line="240" w:lineRule="auto"/>
    </w:pPr>
    <w:rPr>
      <w:i/>
      <w:sz w:val="20"/>
    </w:rPr>
  </w:style>
  <w:style w:type="paragraph" w:customStyle="1" w:styleId="Session">
    <w:name w:val="Session"/>
    <w:basedOn w:val="OPCParaBase"/>
    <w:rsid w:val="00EF6A15"/>
    <w:pPr>
      <w:spacing w:line="240" w:lineRule="auto"/>
    </w:pPr>
    <w:rPr>
      <w:sz w:val="28"/>
    </w:rPr>
  </w:style>
  <w:style w:type="paragraph" w:customStyle="1" w:styleId="Sponsor">
    <w:name w:val="Sponsor"/>
    <w:basedOn w:val="OPCParaBase"/>
    <w:rsid w:val="00EF6A15"/>
    <w:pPr>
      <w:spacing w:line="240" w:lineRule="auto"/>
    </w:pPr>
    <w:rPr>
      <w:i/>
    </w:rPr>
  </w:style>
  <w:style w:type="paragraph" w:customStyle="1" w:styleId="Subitem">
    <w:name w:val="Subitem"/>
    <w:aliases w:val="iss"/>
    <w:basedOn w:val="OPCParaBase"/>
    <w:rsid w:val="00EF6A15"/>
    <w:pPr>
      <w:spacing w:before="180" w:line="240" w:lineRule="auto"/>
      <w:ind w:left="709" w:hanging="709"/>
    </w:pPr>
  </w:style>
  <w:style w:type="paragraph" w:customStyle="1" w:styleId="SubitemHead">
    <w:name w:val="SubitemHead"/>
    <w:aliases w:val="issh"/>
    <w:basedOn w:val="OPCParaBase"/>
    <w:rsid w:val="00EF6A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6A15"/>
    <w:pPr>
      <w:spacing w:before="40" w:line="240" w:lineRule="auto"/>
      <w:ind w:left="1134"/>
    </w:pPr>
  </w:style>
  <w:style w:type="paragraph" w:customStyle="1" w:styleId="SubsectionHead">
    <w:name w:val="SubsectionHead"/>
    <w:aliases w:val="ssh"/>
    <w:basedOn w:val="OPCParaBase"/>
    <w:next w:val="subsection"/>
    <w:rsid w:val="00EF6A15"/>
    <w:pPr>
      <w:keepNext/>
      <w:keepLines/>
      <w:spacing w:before="240" w:line="240" w:lineRule="auto"/>
      <w:ind w:left="1134"/>
    </w:pPr>
    <w:rPr>
      <w:i/>
    </w:rPr>
  </w:style>
  <w:style w:type="paragraph" w:customStyle="1" w:styleId="Tablea">
    <w:name w:val="Table(a)"/>
    <w:aliases w:val="ta"/>
    <w:basedOn w:val="OPCParaBase"/>
    <w:rsid w:val="00EF6A15"/>
    <w:pPr>
      <w:spacing w:before="60" w:line="240" w:lineRule="auto"/>
      <w:ind w:left="284" w:hanging="284"/>
    </w:pPr>
    <w:rPr>
      <w:sz w:val="20"/>
    </w:rPr>
  </w:style>
  <w:style w:type="paragraph" w:customStyle="1" w:styleId="TableAA">
    <w:name w:val="Table(AA)"/>
    <w:aliases w:val="taaa"/>
    <w:basedOn w:val="OPCParaBase"/>
    <w:rsid w:val="00EF6A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6A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6A15"/>
    <w:pPr>
      <w:spacing w:before="60" w:line="240" w:lineRule="atLeast"/>
    </w:pPr>
    <w:rPr>
      <w:sz w:val="20"/>
    </w:rPr>
  </w:style>
  <w:style w:type="paragraph" w:customStyle="1" w:styleId="TLPBoxTextnote">
    <w:name w:val="TLPBoxText(note"/>
    <w:aliases w:val="right)"/>
    <w:basedOn w:val="OPCParaBase"/>
    <w:rsid w:val="00EF6A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6A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6A15"/>
    <w:pPr>
      <w:spacing w:before="122" w:line="198" w:lineRule="exact"/>
      <w:ind w:left="1985" w:hanging="851"/>
      <w:jc w:val="right"/>
    </w:pPr>
    <w:rPr>
      <w:sz w:val="18"/>
    </w:rPr>
  </w:style>
  <w:style w:type="paragraph" w:customStyle="1" w:styleId="TLPTableBullet">
    <w:name w:val="TLPTableBullet"/>
    <w:aliases w:val="ttb"/>
    <w:basedOn w:val="OPCParaBase"/>
    <w:rsid w:val="00EF6A15"/>
    <w:pPr>
      <w:spacing w:line="240" w:lineRule="exact"/>
      <w:ind w:left="284" w:hanging="284"/>
    </w:pPr>
    <w:rPr>
      <w:sz w:val="20"/>
    </w:rPr>
  </w:style>
  <w:style w:type="paragraph" w:styleId="TOC1">
    <w:name w:val="toc 1"/>
    <w:basedOn w:val="OPCParaBase"/>
    <w:next w:val="Normal"/>
    <w:uiPriority w:val="39"/>
    <w:semiHidden/>
    <w:unhideWhenUsed/>
    <w:rsid w:val="00EF6A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6A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6A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6A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17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6A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6A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6A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6A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6A15"/>
    <w:pPr>
      <w:keepLines/>
      <w:spacing w:before="240" w:after="120" w:line="240" w:lineRule="auto"/>
      <w:ind w:left="794"/>
    </w:pPr>
    <w:rPr>
      <w:b/>
      <w:kern w:val="28"/>
      <w:sz w:val="20"/>
    </w:rPr>
  </w:style>
  <w:style w:type="paragraph" w:customStyle="1" w:styleId="TofSectsHeading">
    <w:name w:val="TofSects(Heading)"/>
    <w:basedOn w:val="OPCParaBase"/>
    <w:rsid w:val="00EF6A15"/>
    <w:pPr>
      <w:spacing w:before="240" w:after="120" w:line="240" w:lineRule="auto"/>
    </w:pPr>
    <w:rPr>
      <w:b/>
      <w:sz w:val="24"/>
    </w:rPr>
  </w:style>
  <w:style w:type="paragraph" w:customStyle="1" w:styleId="TofSectsSection">
    <w:name w:val="TofSects(Section)"/>
    <w:basedOn w:val="OPCParaBase"/>
    <w:rsid w:val="00EF6A15"/>
    <w:pPr>
      <w:keepLines/>
      <w:spacing w:before="40" w:line="240" w:lineRule="auto"/>
      <w:ind w:left="1588" w:hanging="794"/>
    </w:pPr>
    <w:rPr>
      <w:kern w:val="28"/>
      <w:sz w:val="18"/>
    </w:rPr>
  </w:style>
  <w:style w:type="paragraph" w:customStyle="1" w:styleId="TofSectsSubdiv">
    <w:name w:val="TofSects(Subdiv)"/>
    <w:basedOn w:val="OPCParaBase"/>
    <w:rsid w:val="00EF6A15"/>
    <w:pPr>
      <w:keepLines/>
      <w:spacing w:before="80" w:line="240" w:lineRule="auto"/>
      <w:ind w:left="1588" w:hanging="794"/>
    </w:pPr>
    <w:rPr>
      <w:kern w:val="28"/>
    </w:rPr>
  </w:style>
  <w:style w:type="paragraph" w:customStyle="1" w:styleId="WRStyle">
    <w:name w:val="WR Style"/>
    <w:aliases w:val="WR"/>
    <w:basedOn w:val="OPCParaBase"/>
    <w:rsid w:val="00EF6A15"/>
    <w:pPr>
      <w:spacing w:before="240" w:line="240" w:lineRule="auto"/>
      <w:ind w:left="284" w:hanging="284"/>
    </w:pPr>
    <w:rPr>
      <w:b/>
      <w:i/>
      <w:kern w:val="28"/>
      <w:sz w:val="24"/>
    </w:rPr>
  </w:style>
  <w:style w:type="paragraph" w:customStyle="1" w:styleId="notepara">
    <w:name w:val="note(para)"/>
    <w:aliases w:val="na"/>
    <w:basedOn w:val="OPCParaBase"/>
    <w:rsid w:val="00EF6A15"/>
    <w:pPr>
      <w:spacing w:before="40" w:line="198" w:lineRule="exact"/>
      <w:ind w:left="2354" w:hanging="369"/>
    </w:pPr>
    <w:rPr>
      <w:sz w:val="18"/>
    </w:rPr>
  </w:style>
  <w:style w:type="paragraph" w:styleId="Footer">
    <w:name w:val="footer"/>
    <w:link w:val="FooterChar"/>
    <w:rsid w:val="00EF6A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6A15"/>
    <w:rPr>
      <w:rFonts w:eastAsia="Times New Roman" w:cs="Times New Roman"/>
      <w:sz w:val="22"/>
      <w:szCs w:val="24"/>
      <w:lang w:eastAsia="en-AU"/>
    </w:rPr>
  </w:style>
  <w:style w:type="character" w:styleId="LineNumber">
    <w:name w:val="line number"/>
    <w:basedOn w:val="OPCCharBase"/>
    <w:uiPriority w:val="99"/>
    <w:semiHidden/>
    <w:unhideWhenUsed/>
    <w:rsid w:val="00EF6A15"/>
    <w:rPr>
      <w:sz w:val="16"/>
    </w:rPr>
  </w:style>
  <w:style w:type="table" w:customStyle="1" w:styleId="CFlag">
    <w:name w:val="CFlag"/>
    <w:basedOn w:val="TableNormal"/>
    <w:uiPriority w:val="99"/>
    <w:rsid w:val="00EF6A15"/>
    <w:rPr>
      <w:rFonts w:eastAsia="Times New Roman" w:cs="Times New Roman"/>
      <w:lang w:eastAsia="en-AU"/>
    </w:rPr>
    <w:tblPr/>
  </w:style>
  <w:style w:type="paragraph" w:customStyle="1" w:styleId="NotesHeading1">
    <w:name w:val="NotesHeading 1"/>
    <w:basedOn w:val="OPCParaBase"/>
    <w:next w:val="Normal"/>
    <w:rsid w:val="00EF6A15"/>
    <w:rPr>
      <w:b/>
      <w:sz w:val="28"/>
      <w:szCs w:val="28"/>
    </w:rPr>
  </w:style>
  <w:style w:type="paragraph" w:customStyle="1" w:styleId="NotesHeading2">
    <w:name w:val="NotesHeading 2"/>
    <w:basedOn w:val="OPCParaBase"/>
    <w:next w:val="Normal"/>
    <w:rsid w:val="00EF6A15"/>
    <w:rPr>
      <w:b/>
      <w:sz w:val="28"/>
      <w:szCs w:val="28"/>
    </w:rPr>
  </w:style>
  <w:style w:type="paragraph" w:customStyle="1" w:styleId="SignCoverPageEnd">
    <w:name w:val="SignCoverPageEnd"/>
    <w:basedOn w:val="OPCParaBase"/>
    <w:next w:val="Normal"/>
    <w:rsid w:val="00EF6A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6A15"/>
    <w:pPr>
      <w:pBdr>
        <w:top w:val="single" w:sz="4" w:space="1" w:color="auto"/>
      </w:pBdr>
      <w:spacing w:before="360"/>
      <w:ind w:right="397"/>
      <w:jc w:val="both"/>
    </w:pPr>
  </w:style>
  <w:style w:type="paragraph" w:customStyle="1" w:styleId="Paragraphsub-sub-sub">
    <w:name w:val="Paragraph(sub-sub-sub)"/>
    <w:aliases w:val="aaaa"/>
    <w:basedOn w:val="OPCParaBase"/>
    <w:rsid w:val="00EF6A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6A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6A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6A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6A1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F6A15"/>
    <w:pPr>
      <w:spacing w:before="120"/>
    </w:pPr>
  </w:style>
  <w:style w:type="paragraph" w:customStyle="1" w:styleId="TableTextEndNotes">
    <w:name w:val="TableTextEndNotes"/>
    <w:aliases w:val="Tten"/>
    <w:basedOn w:val="Normal"/>
    <w:rsid w:val="00EF6A15"/>
    <w:pPr>
      <w:spacing w:before="60" w:line="240" w:lineRule="auto"/>
    </w:pPr>
    <w:rPr>
      <w:rFonts w:cs="Arial"/>
      <w:sz w:val="20"/>
      <w:szCs w:val="22"/>
    </w:rPr>
  </w:style>
  <w:style w:type="paragraph" w:customStyle="1" w:styleId="TableHeading">
    <w:name w:val="TableHeading"/>
    <w:aliases w:val="th"/>
    <w:basedOn w:val="OPCParaBase"/>
    <w:next w:val="Tabletext"/>
    <w:rsid w:val="00EF6A15"/>
    <w:pPr>
      <w:keepNext/>
      <w:spacing w:before="60" w:line="240" w:lineRule="atLeast"/>
    </w:pPr>
    <w:rPr>
      <w:b/>
      <w:sz w:val="20"/>
    </w:rPr>
  </w:style>
  <w:style w:type="paragraph" w:customStyle="1" w:styleId="NoteToSubpara">
    <w:name w:val="NoteToSubpara"/>
    <w:aliases w:val="nts"/>
    <w:basedOn w:val="OPCParaBase"/>
    <w:rsid w:val="00EF6A15"/>
    <w:pPr>
      <w:spacing w:before="40" w:line="198" w:lineRule="exact"/>
      <w:ind w:left="2835" w:hanging="709"/>
    </w:pPr>
    <w:rPr>
      <w:sz w:val="18"/>
    </w:rPr>
  </w:style>
  <w:style w:type="paragraph" w:customStyle="1" w:styleId="ENoteTableHeading">
    <w:name w:val="ENoteTableHeading"/>
    <w:aliases w:val="enth"/>
    <w:basedOn w:val="OPCParaBase"/>
    <w:rsid w:val="00EF6A15"/>
    <w:pPr>
      <w:keepNext/>
      <w:spacing w:before="60" w:line="240" w:lineRule="atLeast"/>
    </w:pPr>
    <w:rPr>
      <w:rFonts w:ascii="Arial" w:hAnsi="Arial"/>
      <w:b/>
      <w:sz w:val="16"/>
    </w:rPr>
  </w:style>
  <w:style w:type="paragraph" w:customStyle="1" w:styleId="ENoteTTi">
    <w:name w:val="ENoteTTi"/>
    <w:aliases w:val="entti"/>
    <w:basedOn w:val="OPCParaBase"/>
    <w:rsid w:val="00EF6A15"/>
    <w:pPr>
      <w:keepNext/>
      <w:spacing w:before="60" w:line="240" w:lineRule="atLeast"/>
      <w:ind w:left="170"/>
    </w:pPr>
    <w:rPr>
      <w:sz w:val="16"/>
    </w:rPr>
  </w:style>
  <w:style w:type="paragraph" w:customStyle="1" w:styleId="ENotesHeading1">
    <w:name w:val="ENotesHeading 1"/>
    <w:aliases w:val="Enh1"/>
    <w:basedOn w:val="OPCParaBase"/>
    <w:next w:val="Normal"/>
    <w:rsid w:val="00EF6A15"/>
    <w:pPr>
      <w:spacing w:before="120"/>
      <w:outlineLvl w:val="1"/>
    </w:pPr>
    <w:rPr>
      <w:b/>
      <w:sz w:val="28"/>
      <w:szCs w:val="28"/>
    </w:rPr>
  </w:style>
  <w:style w:type="paragraph" w:customStyle="1" w:styleId="ENotesHeading2">
    <w:name w:val="ENotesHeading 2"/>
    <w:aliases w:val="Enh2"/>
    <w:basedOn w:val="OPCParaBase"/>
    <w:next w:val="Normal"/>
    <w:rsid w:val="00EF6A15"/>
    <w:pPr>
      <w:spacing w:before="120" w:after="120"/>
      <w:outlineLvl w:val="2"/>
    </w:pPr>
    <w:rPr>
      <w:b/>
      <w:sz w:val="24"/>
      <w:szCs w:val="28"/>
    </w:rPr>
  </w:style>
  <w:style w:type="paragraph" w:customStyle="1" w:styleId="ENoteTTIndentHeading">
    <w:name w:val="ENoteTTIndentHeading"/>
    <w:aliases w:val="enTTHi"/>
    <w:basedOn w:val="OPCParaBase"/>
    <w:rsid w:val="00EF6A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6A15"/>
    <w:pPr>
      <w:spacing w:before="60" w:line="240" w:lineRule="atLeast"/>
    </w:pPr>
    <w:rPr>
      <w:sz w:val="16"/>
    </w:rPr>
  </w:style>
  <w:style w:type="paragraph" w:customStyle="1" w:styleId="MadeunderText">
    <w:name w:val="MadeunderText"/>
    <w:basedOn w:val="OPCParaBase"/>
    <w:next w:val="Normal"/>
    <w:rsid w:val="00EF6A15"/>
    <w:pPr>
      <w:spacing w:before="240"/>
    </w:pPr>
    <w:rPr>
      <w:sz w:val="24"/>
      <w:szCs w:val="24"/>
    </w:rPr>
  </w:style>
  <w:style w:type="paragraph" w:customStyle="1" w:styleId="ENotesHeading3">
    <w:name w:val="ENotesHeading 3"/>
    <w:aliases w:val="Enh3"/>
    <w:basedOn w:val="OPCParaBase"/>
    <w:next w:val="Normal"/>
    <w:rsid w:val="00EF6A15"/>
    <w:pPr>
      <w:keepNext/>
      <w:spacing w:before="120" w:line="240" w:lineRule="auto"/>
      <w:outlineLvl w:val="4"/>
    </w:pPr>
    <w:rPr>
      <w:b/>
      <w:szCs w:val="24"/>
    </w:rPr>
  </w:style>
  <w:style w:type="paragraph" w:customStyle="1" w:styleId="SubPartCASA">
    <w:name w:val="SubPart(CASA)"/>
    <w:aliases w:val="csp"/>
    <w:basedOn w:val="OPCParaBase"/>
    <w:next w:val="ActHead3"/>
    <w:rsid w:val="00EF6A15"/>
    <w:pPr>
      <w:keepNext/>
      <w:keepLines/>
      <w:spacing w:before="280"/>
      <w:outlineLvl w:val="1"/>
    </w:pPr>
    <w:rPr>
      <w:b/>
      <w:kern w:val="28"/>
      <w:sz w:val="32"/>
    </w:rPr>
  </w:style>
  <w:style w:type="character" w:customStyle="1" w:styleId="CharSubPartTextCASA">
    <w:name w:val="CharSubPartText(CASA)"/>
    <w:basedOn w:val="OPCCharBase"/>
    <w:uiPriority w:val="1"/>
    <w:rsid w:val="00EF6A15"/>
  </w:style>
  <w:style w:type="character" w:customStyle="1" w:styleId="CharSubPartNoCASA">
    <w:name w:val="CharSubPartNo(CASA)"/>
    <w:basedOn w:val="OPCCharBase"/>
    <w:uiPriority w:val="1"/>
    <w:rsid w:val="00EF6A15"/>
  </w:style>
  <w:style w:type="paragraph" w:customStyle="1" w:styleId="ENoteTTIndentHeadingSub">
    <w:name w:val="ENoteTTIndentHeadingSub"/>
    <w:aliases w:val="enTTHis"/>
    <w:basedOn w:val="OPCParaBase"/>
    <w:rsid w:val="00EF6A15"/>
    <w:pPr>
      <w:keepNext/>
      <w:spacing w:before="60" w:line="240" w:lineRule="atLeast"/>
      <w:ind w:left="340"/>
    </w:pPr>
    <w:rPr>
      <w:b/>
      <w:sz w:val="16"/>
    </w:rPr>
  </w:style>
  <w:style w:type="paragraph" w:customStyle="1" w:styleId="ENoteTTiSub">
    <w:name w:val="ENoteTTiSub"/>
    <w:aliases w:val="enttis"/>
    <w:basedOn w:val="OPCParaBase"/>
    <w:rsid w:val="00EF6A15"/>
    <w:pPr>
      <w:keepNext/>
      <w:spacing w:before="60" w:line="240" w:lineRule="atLeast"/>
      <w:ind w:left="340"/>
    </w:pPr>
    <w:rPr>
      <w:sz w:val="16"/>
    </w:rPr>
  </w:style>
  <w:style w:type="paragraph" w:customStyle="1" w:styleId="SubDivisionMigration">
    <w:name w:val="SubDivisionMigration"/>
    <w:aliases w:val="sdm"/>
    <w:basedOn w:val="OPCParaBase"/>
    <w:rsid w:val="00EF6A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6A15"/>
    <w:pPr>
      <w:keepNext/>
      <w:keepLines/>
      <w:spacing w:before="240" w:line="240" w:lineRule="auto"/>
      <w:ind w:left="1134" w:hanging="1134"/>
    </w:pPr>
    <w:rPr>
      <w:b/>
      <w:sz w:val="28"/>
    </w:rPr>
  </w:style>
  <w:style w:type="table" w:styleId="TableGrid">
    <w:name w:val="Table Grid"/>
    <w:basedOn w:val="TableNormal"/>
    <w:uiPriority w:val="59"/>
    <w:rsid w:val="00EF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F6A1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F6A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6A15"/>
    <w:rPr>
      <w:sz w:val="22"/>
    </w:rPr>
  </w:style>
  <w:style w:type="paragraph" w:customStyle="1" w:styleId="SOTextNote">
    <w:name w:val="SO TextNote"/>
    <w:aliases w:val="sont"/>
    <w:basedOn w:val="SOText"/>
    <w:qFormat/>
    <w:rsid w:val="00EF6A15"/>
    <w:pPr>
      <w:spacing w:before="122" w:line="198" w:lineRule="exact"/>
      <w:ind w:left="1843" w:hanging="709"/>
    </w:pPr>
    <w:rPr>
      <w:sz w:val="18"/>
    </w:rPr>
  </w:style>
  <w:style w:type="paragraph" w:customStyle="1" w:styleId="SOPara">
    <w:name w:val="SO Para"/>
    <w:aliases w:val="soa"/>
    <w:basedOn w:val="SOText"/>
    <w:link w:val="SOParaChar"/>
    <w:qFormat/>
    <w:rsid w:val="00EF6A15"/>
    <w:pPr>
      <w:tabs>
        <w:tab w:val="right" w:pos="1786"/>
      </w:tabs>
      <w:spacing w:before="40"/>
      <w:ind w:left="2070" w:hanging="936"/>
    </w:pPr>
  </w:style>
  <w:style w:type="character" w:customStyle="1" w:styleId="SOParaChar">
    <w:name w:val="SO Para Char"/>
    <w:aliases w:val="soa Char"/>
    <w:basedOn w:val="DefaultParagraphFont"/>
    <w:link w:val="SOPara"/>
    <w:rsid w:val="00EF6A15"/>
    <w:rPr>
      <w:sz w:val="22"/>
    </w:rPr>
  </w:style>
  <w:style w:type="paragraph" w:customStyle="1" w:styleId="FileName">
    <w:name w:val="FileName"/>
    <w:basedOn w:val="Normal"/>
    <w:rsid w:val="00EF6A15"/>
  </w:style>
  <w:style w:type="paragraph" w:customStyle="1" w:styleId="SOHeadBold">
    <w:name w:val="SO HeadBold"/>
    <w:aliases w:val="sohb"/>
    <w:basedOn w:val="SOText"/>
    <w:next w:val="SOText"/>
    <w:link w:val="SOHeadBoldChar"/>
    <w:qFormat/>
    <w:rsid w:val="00EF6A15"/>
    <w:rPr>
      <w:b/>
    </w:rPr>
  </w:style>
  <w:style w:type="character" w:customStyle="1" w:styleId="SOHeadBoldChar">
    <w:name w:val="SO HeadBold Char"/>
    <w:aliases w:val="sohb Char"/>
    <w:basedOn w:val="DefaultParagraphFont"/>
    <w:link w:val="SOHeadBold"/>
    <w:rsid w:val="00EF6A15"/>
    <w:rPr>
      <w:b/>
      <w:sz w:val="22"/>
    </w:rPr>
  </w:style>
  <w:style w:type="paragraph" w:customStyle="1" w:styleId="SOHeadItalic">
    <w:name w:val="SO HeadItalic"/>
    <w:aliases w:val="sohi"/>
    <w:basedOn w:val="SOText"/>
    <w:next w:val="SOText"/>
    <w:link w:val="SOHeadItalicChar"/>
    <w:qFormat/>
    <w:rsid w:val="00EF6A15"/>
    <w:rPr>
      <w:i/>
    </w:rPr>
  </w:style>
  <w:style w:type="character" w:customStyle="1" w:styleId="SOHeadItalicChar">
    <w:name w:val="SO HeadItalic Char"/>
    <w:aliases w:val="sohi Char"/>
    <w:basedOn w:val="DefaultParagraphFont"/>
    <w:link w:val="SOHeadItalic"/>
    <w:rsid w:val="00EF6A15"/>
    <w:rPr>
      <w:i/>
      <w:sz w:val="22"/>
    </w:rPr>
  </w:style>
  <w:style w:type="paragraph" w:customStyle="1" w:styleId="SOBullet">
    <w:name w:val="SO Bullet"/>
    <w:aliases w:val="sotb"/>
    <w:basedOn w:val="SOText"/>
    <w:link w:val="SOBulletChar"/>
    <w:qFormat/>
    <w:rsid w:val="00EF6A15"/>
    <w:pPr>
      <w:ind w:left="1559" w:hanging="425"/>
    </w:pPr>
  </w:style>
  <w:style w:type="character" w:customStyle="1" w:styleId="SOBulletChar">
    <w:name w:val="SO Bullet Char"/>
    <w:aliases w:val="sotb Char"/>
    <w:basedOn w:val="DefaultParagraphFont"/>
    <w:link w:val="SOBullet"/>
    <w:rsid w:val="00EF6A15"/>
    <w:rPr>
      <w:sz w:val="22"/>
    </w:rPr>
  </w:style>
  <w:style w:type="paragraph" w:customStyle="1" w:styleId="SOBulletNote">
    <w:name w:val="SO BulletNote"/>
    <w:aliases w:val="sonb"/>
    <w:basedOn w:val="SOTextNote"/>
    <w:link w:val="SOBulletNoteChar"/>
    <w:qFormat/>
    <w:rsid w:val="00EF6A15"/>
    <w:pPr>
      <w:tabs>
        <w:tab w:val="left" w:pos="1560"/>
      </w:tabs>
      <w:ind w:left="2268" w:hanging="1134"/>
    </w:pPr>
  </w:style>
  <w:style w:type="character" w:customStyle="1" w:styleId="SOBulletNoteChar">
    <w:name w:val="SO BulletNote Char"/>
    <w:aliases w:val="sonb Char"/>
    <w:basedOn w:val="DefaultParagraphFont"/>
    <w:link w:val="SOBulletNote"/>
    <w:rsid w:val="00EF6A15"/>
    <w:rPr>
      <w:sz w:val="18"/>
    </w:rPr>
  </w:style>
  <w:style w:type="paragraph" w:customStyle="1" w:styleId="SOText2">
    <w:name w:val="SO Text2"/>
    <w:aliases w:val="sot2"/>
    <w:basedOn w:val="Normal"/>
    <w:next w:val="SOText"/>
    <w:link w:val="SOText2Char"/>
    <w:rsid w:val="00EF6A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6A15"/>
    <w:rPr>
      <w:sz w:val="22"/>
    </w:rPr>
  </w:style>
  <w:style w:type="paragraph" w:customStyle="1" w:styleId="Specialih">
    <w:name w:val="Special ih"/>
    <w:basedOn w:val="ItemHead"/>
    <w:link w:val="SpecialihChar"/>
    <w:rsid w:val="00D71827"/>
  </w:style>
  <w:style w:type="character" w:customStyle="1" w:styleId="ItemHeadChar">
    <w:name w:val="ItemHead Char"/>
    <w:aliases w:val="ih Char"/>
    <w:basedOn w:val="DefaultParagraphFont"/>
    <w:link w:val="ItemHead"/>
    <w:rsid w:val="00D7182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D71827"/>
    <w:rPr>
      <w:rFonts w:ascii="Arial" w:eastAsia="Times New Roman" w:hAnsi="Arial" w:cs="Times New Roman"/>
      <w:b/>
      <w:kern w:val="28"/>
      <w:sz w:val="24"/>
      <w:lang w:eastAsia="en-AU"/>
    </w:rPr>
  </w:style>
  <w:style w:type="character" w:customStyle="1" w:styleId="paragraphChar">
    <w:name w:val="paragraph Char"/>
    <w:aliases w:val="a Char"/>
    <w:link w:val="paragraph"/>
    <w:rsid w:val="00D71827"/>
    <w:rPr>
      <w:rFonts w:eastAsia="Times New Roman" w:cs="Times New Roman"/>
      <w:sz w:val="22"/>
      <w:lang w:eastAsia="en-AU"/>
    </w:rPr>
  </w:style>
  <w:style w:type="character" w:customStyle="1" w:styleId="ActHead5Char">
    <w:name w:val="ActHead 5 Char"/>
    <w:aliases w:val="s Char"/>
    <w:link w:val="ActHead5"/>
    <w:rsid w:val="00D71827"/>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D71827"/>
    <w:rPr>
      <w:rFonts w:eastAsia="Times New Roman" w:cs="Times New Roman"/>
      <w:sz w:val="22"/>
      <w:lang w:eastAsia="en-AU"/>
    </w:rPr>
  </w:style>
  <w:style w:type="paragraph" w:styleId="BalloonText">
    <w:name w:val="Balloon Text"/>
    <w:basedOn w:val="Normal"/>
    <w:link w:val="BalloonTextChar"/>
    <w:uiPriority w:val="99"/>
    <w:semiHidden/>
    <w:unhideWhenUsed/>
    <w:rsid w:val="00817A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D2"/>
    <w:rPr>
      <w:rFonts w:ascii="Tahoma" w:hAnsi="Tahoma" w:cs="Tahoma"/>
      <w:sz w:val="16"/>
      <w:szCs w:val="16"/>
    </w:rPr>
  </w:style>
  <w:style w:type="character" w:customStyle="1" w:styleId="Heading1Char">
    <w:name w:val="Heading 1 Char"/>
    <w:basedOn w:val="DefaultParagraphFont"/>
    <w:link w:val="Heading1"/>
    <w:uiPriority w:val="9"/>
    <w:rsid w:val="00A31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1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1F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31F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31F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31F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31F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31F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1F7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31F7D"/>
    <w:pPr>
      <w:spacing w:before="800"/>
    </w:pPr>
  </w:style>
  <w:style w:type="character" w:customStyle="1" w:styleId="OPCParaBaseChar">
    <w:name w:val="OPCParaBase Char"/>
    <w:basedOn w:val="DefaultParagraphFont"/>
    <w:link w:val="OPCParaBase"/>
    <w:rsid w:val="00A31F7D"/>
    <w:rPr>
      <w:rFonts w:eastAsia="Times New Roman" w:cs="Times New Roman"/>
      <w:sz w:val="22"/>
      <w:lang w:eastAsia="en-AU"/>
    </w:rPr>
  </w:style>
  <w:style w:type="character" w:customStyle="1" w:styleId="ShortTChar">
    <w:name w:val="ShortT Char"/>
    <w:basedOn w:val="OPCParaBaseChar"/>
    <w:link w:val="ShortT"/>
    <w:rsid w:val="00A31F7D"/>
    <w:rPr>
      <w:rFonts w:eastAsia="Times New Roman" w:cs="Times New Roman"/>
      <w:b/>
      <w:sz w:val="40"/>
      <w:lang w:eastAsia="en-AU"/>
    </w:rPr>
  </w:style>
  <w:style w:type="character" w:customStyle="1" w:styleId="ShortTP1Char">
    <w:name w:val="ShortTP1 Char"/>
    <w:basedOn w:val="ShortTChar"/>
    <w:link w:val="ShortTP1"/>
    <w:rsid w:val="00A31F7D"/>
    <w:rPr>
      <w:rFonts w:eastAsia="Times New Roman" w:cs="Times New Roman"/>
      <w:b/>
      <w:sz w:val="40"/>
      <w:lang w:eastAsia="en-AU"/>
    </w:rPr>
  </w:style>
  <w:style w:type="paragraph" w:customStyle="1" w:styleId="ActNoP1">
    <w:name w:val="ActNoP1"/>
    <w:basedOn w:val="Actno"/>
    <w:link w:val="ActNoP1Char"/>
    <w:rsid w:val="00A31F7D"/>
    <w:pPr>
      <w:spacing w:before="800"/>
    </w:pPr>
    <w:rPr>
      <w:sz w:val="28"/>
    </w:rPr>
  </w:style>
  <w:style w:type="character" w:customStyle="1" w:styleId="ActnoChar">
    <w:name w:val="Actno Char"/>
    <w:basedOn w:val="ShortTChar"/>
    <w:link w:val="Actno"/>
    <w:rsid w:val="00A31F7D"/>
    <w:rPr>
      <w:rFonts w:eastAsia="Times New Roman" w:cs="Times New Roman"/>
      <w:b/>
      <w:sz w:val="40"/>
      <w:lang w:eastAsia="en-AU"/>
    </w:rPr>
  </w:style>
  <w:style w:type="character" w:customStyle="1" w:styleId="ActNoP1Char">
    <w:name w:val="ActNoP1 Char"/>
    <w:basedOn w:val="ActnoChar"/>
    <w:link w:val="ActNoP1"/>
    <w:rsid w:val="00A31F7D"/>
    <w:rPr>
      <w:rFonts w:eastAsia="Times New Roman" w:cs="Times New Roman"/>
      <w:b/>
      <w:sz w:val="28"/>
      <w:lang w:eastAsia="en-AU"/>
    </w:rPr>
  </w:style>
  <w:style w:type="paragraph" w:customStyle="1" w:styleId="ShortTCP">
    <w:name w:val="ShortTCP"/>
    <w:basedOn w:val="ShortT"/>
    <w:link w:val="ShortTCPChar"/>
    <w:rsid w:val="00A31F7D"/>
  </w:style>
  <w:style w:type="character" w:customStyle="1" w:styleId="ShortTCPChar">
    <w:name w:val="ShortTCP Char"/>
    <w:basedOn w:val="ShortTChar"/>
    <w:link w:val="ShortTCP"/>
    <w:rsid w:val="00A31F7D"/>
    <w:rPr>
      <w:rFonts w:eastAsia="Times New Roman" w:cs="Times New Roman"/>
      <w:b/>
      <w:sz w:val="40"/>
      <w:lang w:eastAsia="en-AU"/>
    </w:rPr>
  </w:style>
  <w:style w:type="paragraph" w:customStyle="1" w:styleId="ActNoCP">
    <w:name w:val="ActNoCP"/>
    <w:basedOn w:val="Actno"/>
    <w:link w:val="ActNoCPChar"/>
    <w:rsid w:val="00A31F7D"/>
    <w:pPr>
      <w:spacing w:before="400"/>
    </w:pPr>
  </w:style>
  <w:style w:type="character" w:customStyle="1" w:styleId="ActNoCPChar">
    <w:name w:val="ActNoCP Char"/>
    <w:basedOn w:val="ActnoChar"/>
    <w:link w:val="ActNoCP"/>
    <w:rsid w:val="00A31F7D"/>
    <w:rPr>
      <w:rFonts w:eastAsia="Times New Roman" w:cs="Times New Roman"/>
      <w:b/>
      <w:sz w:val="40"/>
      <w:lang w:eastAsia="en-AU"/>
    </w:rPr>
  </w:style>
  <w:style w:type="paragraph" w:customStyle="1" w:styleId="AssentBk">
    <w:name w:val="AssentBk"/>
    <w:basedOn w:val="Normal"/>
    <w:rsid w:val="00A31F7D"/>
    <w:pPr>
      <w:spacing w:line="240" w:lineRule="auto"/>
    </w:pPr>
    <w:rPr>
      <w:rFonts w:eastAsia="Times New Roman" w:cs="Times New Roman"/>
      <w:sz w:val="20"/>
      <w:lang w:eastAsia="en-AU"/>
    </w:rPr>
  </w:style>
  <w:style w:type="paragraph" w:customStyle="1" w:styleId="AssentDt">
    <w:name w:val="AssentDt"/>
    <w:basedOn w:val="Normal"/>
    <w:rsid w:val="00776064"/>
    <w:pPr>
      <w:spacing w:line="240" w:lineRule="auto"/>
    </w:pPr>
    <w:rPr>
      <w:rFonts w:eastAsia="Times New Roman" w:cs="Times New Roman"/>
      <w:sz w:val="20"/>
      <w:lang w:eastAsia="en-AU"/>
    </w:rPr>
  </w:style>
  <w:style w:type="paragraph" w:customStyle="1" w:styleId="2ndRd">
    <w:name w:val="2ndRd"/>
    <w:basedOn w:val="Normal"/>
    <w:rsid w:val="00776064"/>
    <w:pPr>
      <w:spacing w:line="240" w:lineRule="auto"/>
    </w:pPr>
    <w:rPr>
      <w:rFonts w:eastAsia="Times New Roman" w:cs="Times New Roman"/>
      <w:sz w:val="20"/>
      <w:lang w:eastAsia="en-AU"/>
    </w:rPr>
  </w:style>
  <w:style w:type="paragraph" w:customStyle="1" w:styleId="ScalePlusRef">
    <w:name w:val="ScalePlusRef"/>
    <w:basedOn w:val="Normal"/>
    <w:rsid w:val="0077606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6A15"/>
    <w:pPr>
      <w:spacing w:line="260" w:lineRule="atLeast"/>
    </w:pPr>
    <w:rPr>
      <w:sz w:val="22"/>
    </w:rPr>
  </w:style>
  <w:style w:type="paragraph" w:styleId="Heading1">
    <w:name w:val="heading 1"/>
    <w:basedOn w:val="Normal"/>
    <w:next w:val="Normal"/>
    <w:link w:val="Heading1Char"/>
    <w:uiPriority w:val="9"/>
    <w:qFormat/>
    <w:rsid w:val="00A31F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1F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1F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1F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1F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1F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1F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F7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1F7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6A15"/>
  </w:style>
  <w:style w:type="paragraph" w:customStyle="1" w:styleId="OPCParaBase">
    <w:name w:val="OPCParaBase"/>
    <w:link w:val="OPCParaBaseChar"/>
    <w:qFormat/>
    <w:rsid w:val="00EF6A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F6A15"/>
    <w:pPr>
      <w:spacing w:line="240" w:lineRule="auto"/>
    </w:pPr>
    <w:rPr>
      <w:b/>
      <w:sz w:val="40"/>
    </w:rPr>
  </w:style>
  <w:style w:type="paragraph" w:customStyle="1" w:styleId="ActHead1">
    <w:name w:val="ActHead 1"/>
    <w:aliases w:val="c"/>
    <w:basedOn w:val="OPCParaBase"/>
    <w:next w:val="Normal"/>
    <w:qFormat/>
    <w:rsid w:val="00EF6A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6A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6A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6A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F6A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6A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6A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6A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F6A1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F6A15"/>
  </w:style>
  <w:style w:type="paragraph" w:customStyle="1" w:styleId="Blocks">
    <w:name w:val="Blocks"/>
    <w:aliases w:val="bb"/>
    <w:basedOn w:val="OPCParaBase"/>
    <w:qFormat/>
    <w:rsid w:val="00EF6A15"/>
    <w:pPr>
      <w:spacing w:line="240" w:lineRule="auto"/>
    </w:pPr>
    <w:rPr>
      <w:sz w:val="24"/>
    </w:rPr>
  </w:style>
  <w:style w:type="paragraph" w:customStyle="1" w:styleId="BoxText">
    <w:name w:val="BoxText"/>
    <w:aliases w:val="bt"/>
    <w:basedOn w:val="OPCParaBase"/>
    <w:qFormat/>
    <w:rsid w:val="00EF6A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6A15"/>
    <w:rPr>
      <w:b/>
    </w:rPr>
  </w:style>
  <w:style w:type="paragraph" w:customStyle="1" w:styleId="BoxHeadItalic">
    <w:name w:val="BoxHeadItalic"/>
    <w:aliases w:val="bhi"/>
    <w:basedOn w:val="BoxText"/>
    <w:next w:val="BoxStep"/>
    <w:qFormat/>
    <w:rsid w:val="00EF6A15"/>
    <w:rPr>
      <w:i/>
    </w:rPr>
  </w:style>
  <w:style w:type="paragraph" w:customStyle="1" w:styleId="BoxList">
    <w:name w:val="BoxList"/>
    <w:aliases w:val="bl"/>
    <w:basedOn w:val="BoxText"/>
    <w:qFormat/>
    <w:rsid w:val="00EF6A15"/>
    <w:pPr>
      <w:ind w:left="1559" w:hanging="425"/>
    </w:pPr>
  </w:style>
  <w:style w:type="paragraph" w:customStyle="1" w:styleId="BoxNote">
    <w:name w:val="BoxNote"/>
    <w:aliases w:val="bn"/>
    <w:basedOn w:val="BoxText"/>
    <w:qFormat/>
    <w:rsid w:val="00EF6A15"/>
    <w:pPr>
      <w:tabs>
        <w:tab w:val="left" w:pos="1985"/>
      </w:tabs>
      <w:spacing w:before="122" w:line="198" w:lineRule="exact"/>
      <w:ind w:left="2948" w:hanging="1814"/>
    </w:pPr>
    <w:rPr>
      <w:sz w:val="18"/>
    </w:rPr>
  </w:style>
  <w:style w:type="paragraph" w:customStyle="1" w:styleId="BoxPara">
    <w:name w:val="BoxPara"/>
    <w:aliases w:val="bp"/>
    <w:basedOn w:val="BoxText"/>
    <w:qFormat/>
    <w:rsid w:val="00EF6A15"/>
    <w:pPr>
      <w:tabs>
        <w:tab w:val="right" w:pos="2268"/>
      </w:tabs>
      <w:ind w:left="2552" w:hanging="1418"/>
    </w:pPr>
  </w:style>
  <w:style w:type="paragraph" w:customStyle="1" w:styleId="BoxStep">
    <w:name w:val="BoxStep"/>
    <w:aliases w:val="bs"/>
    <w:basedOn w:val="BoxText"/>
    <w:qFormat/>
    <w:rsid w:val="00EF6A15"/>
    <w:pPr>
      <w:ind w:left="1985" w:hanging="851"/>
    </w:pPr>
  </w:style>
  <w:style w:type="character" w:customStyle="1" w:styleId="CharAmPartNo">
    <w:name w:val="CharAmPartNo"/>
    <w:basedOn w:val="OPCCharBase"/>
    <w:qFormat/>
    <w:rsid w:val="00EF6A15"/>
  </w:style>
  <w:style w:type="character" w:customStyle="1" w:styleId="CharAmPartText">
    <w:name w:val="CharAmPartText"/>
    <w:basedOn w:val="OPCCharBase"/>
    <w:qFormat/>
    <w:rsid w:val="00EF6A15"/>
  </w:style>
  <w:style w:type="character" w:customStyle="1" w:styleId="CharAmSchNo">
    <w:name w:val="CharAmSchNo"/>
    <w:basedOn w:val="OPCCharBase"/>
    <w:qFormat/>
    <w:rsid w:val="00EF6A15"/>
  </w:style>
  <w:style w:type="character" w:customStyle="1" w:styleId="CharAmSchText">
    <w:name w:val="CharAmSchText"/>
    <w:basedOn w:val="OPCCharBase"/>
    <w:qFormat/>
    <w:rsid w:val="00EF6A15"/>
  </w:style>
  <w:style w:type="character" w:customStyle="1" w:styleId="CharBoldItalic">
    <w:name w:val="CharBoldItalic"/>
    <w:basedOn w:val="OPCCharBase"/>
    <w:uiPriority w:val="1"/>
    <w:qFormat/>
    <w:rsid w:val="00EF6A15"/>
    <w:rPr>
      <w:b/>
      <w:i/>
    </w:rPr>
  </w:style>
  <w:style w:type="character" w:customStyle="1" w:styleId="CharChapNo">
    <w:name w:val="CharChapNo"/>
    <w:basedOn w:val="OPCCharBase"/>
    <w:uiPriority w:val="1"/>
    <w:qFormat/>
    <w:rsid w:val="00EF6A15"/>
  </w:style>
  <w:style w:type="character" w:customStyle="1" w:styleId="CharChapText">
    <w:name w:val="CharChapText"/>
    <w:basedOn w:val="OPCCharBase"/>
    <w:uiPriority w:val="1"/>
    <w:qFormat/>
    <w:rsid w:val="00EF6A15"/>
  </w:style>
  <w:style w:type="character" w:customStyle="1" w:styleId="CharDivNo">
    <w:name w:val="CharDivNo"/>
    <w:basedOn w:val="OPCCharBase"/>
    <w:uiPriority w:val="1"/>
    <w:qFormat/>
    <w:rsid w:val="00EF6A15"/>
  </w:style>
  <w:style w:type="character" w:customStyle="1" w:styleId="CharDivText">
    <w:name w:val="CharDivText"/>
    <w:basedOn w:val="OPCCharBase"/>
    <w:uiPriority w:val="1"/>
    <w:qFormat/>
    <w:rsid w:val="00EF6A15"/>
  </w:style>
  <w:style w:type="character" w:customStyle="1" w:styleId="CharItalic">
    <w:name w:val="CharItalic"/>
    <w:basedOn w:val="OPCCharBase"/>
    <w:uiPriority w:val="1"/>
    <w:qFormat/>
    <w:rsid w:val="00EF6A15"/>
    <w:rPr>
      <w:i/>
    </w:rPr>
  </w:style>
  <w:style w:type="character" w:customStyle="1" w:styleId="CharPartNo">
    <w:name w:val="CharPartNo"/>
    <w:basedOn w:val="OPCCharBase"/>
    <w:uiPriority w:val="1"/>
    <w:qFormat/>
    <w:rsid w:val="00EF6A15"/>
  </w:style>
  <w:style w:type="character" w:customStyle="1" w:styleId="CharPartText">
    <w:name w:val="CharPartText"/>
    <w:basedOn w:val="OPCCharBase"/>
    <w:uiPriority w:val="1"/>
    <w:qFormat/>
    <w:rsid w:val="00EF6A15"/>
  </w:style>
  <w:style w:type="character" w:customStyle="1" w:styleId="CharSectno">
    <w:name w:val="CharSectno"/>
    <w:basedOn w:val="OPCCharBase"/>
    <w:qFormat/>
    <w:rsid w:val="00EF6A15"/>
  </w:style>
  <w:style w:type="character" w:customStyle="1" w:styleId="CharSubdNo">
    <w:name w:val="CharSubdNo"/>
    <w:basedOn w:val="OPCCharBase"/>
    <w:uiPriority w:val="1"/>
    <w:qFormat/>
    <w:rsid w:val="00EF6A15"/>
  </w:style>
  <w:style w:type="character" w:customStyle="1" w:styleId="CharSubdText">
    <w:name w:val="CharSubdText"/>
    <w:basedOn w:val="OPCCharBase"/>
    <w:uiPriority w:val="1"/>
    <w:qFormat/>
    <w:rsid w:val="00EF6A15"/>
  </w:style>
  <w:style w:type="paragraph" w:customStyle="1" w:styleId="CTA--">
    <w:name w:val="CTA --"/>
    <w:basedOn w:val="OPCParaBase"/>
    <w:next w:val="Normal"/>
    <w:rsid w:val="00EF6A15"/>
    <w:pPr>
      <w:spacing w:before="60" w:line="240" w:lineRule="atLeast"/>
      <w:ind w:left="142" w:hanging="142"/>
    </w:pPr>
    <w:rPr>
      <w:sz w:val="20"/>
    </w:rPr>
  </w:style>
  <w:style w:type="paragraph" w:customStyle="1" w:styleId="CTA-">
    <w:name w:val="CTA -"/>
    <w:basedOn w:val="OPCParaBase"/>
    <w:rsid w:val="00EF6A15"/>
    <w:pPr>
      <w:spacing w:before="60" w:line="240" w:lineRule="atLeast"/>
      <w:ind w:left="85" w:hanging="85"/>
    </w:pPr>
    <w:rPr>
      <w:sz w:val="20"/>
    </w:rPr>
  </w:style>
  <w:style w:type="paragraph" w:customStyle="1" w:styleId="CTA---">
    <w:name w:val="CTA ---"/>
    <w:basedOn w:val="OPCParaBase"/>
    <w:next w:val="Normal"/>
    <w:rsid w:val="00EF6A15"/>
    <w:pPr>
      <w:spacing w:before="60" w:line="240" w:lineRule="atLeast"/>
      <w:ind w:left="198" w:hanging="198"/>
    </w:pPr>
    <w:rPr>
      <w:sz w:val="20"/>
    </w:rPr>
  </w:style>
  <w:style w:type="paragraph" w:customStyle="1" w:styleId="CTA----">
    <w:name w:val="CTA ----"/>
    <w:basedOn w:val="OPCParaBase"/>
    <w:next w:val="Normal"/>
    <w:rsid w:val="00EF6A15"/>
    <w:pPr>
      <w:spacing w:before="60" w:line="240" w:lineRule="atLeast"/>
      <w:ind w:left="255" w:hanging="255"/>
    </w:pPr>
    <w:rPr>
      <w:sz w:val="20"/>
    </w:rPr>
  </w:style>
  <w:style w:type="paragraph" w:customStyle="1" w:styleId="CTA1a">
    <w:name w:val="CTA 1(a)"/>
    <w:basedOn w:val="OPCParaBase"/>
    <w:rsid w:val="00EF6A15"/>
    <w:pPr>
      <w:tabs>
        <w:tab w:val="right" w:pos="414"/>
      </w:tabs>
      <w:spacing w:before="40" w:line="240" w:lineRule="atLeast"/>
      <w:ind w:left="675" w:hanging="675"/>
    </w:pPr>
    <w:rPr>
      <w:sz w:val="20"/>
    </w:rPr>
  </w:style>
  <w:style w:type="paragraph" w:customStyle="1" w:styleId="CTA1ai">
    <w:name w:val="CTA 1(a)(i)"/>
    <w:basedOn w:val="OPCParaBase"/>
    <w:rsid w:val="00EF6A15"/>
    <w:pPr>
      <w:tabs>
        <w:tab w:val="right" w:pos="1004"/>
      </w:tabs>
      <w:spacing w:before="40" w:line="240" w:lineRule="atLeast"/>
      <w:ind w:left="1253" w:hanging="1253"/>
    </w:pPr>
    <w:rPr>
      <w:sz w:val="20"/>
    </w:rPr>
  </w:style>
  <w:style w:type="paragraph" w:customStyle="1" w:styleId="CTA2a">
    <w:name w:val="CTA 2(a)"/>
    <w:basedOn w:val="OPCParaBase"/>
    <w:rsid w:val="00EF6A15"/>
    <w:pPr>
      <w:tabs>
        <w:tab w:val="right" w:pos="482"/>
      </w:tabs>
      <w:spacing w:before="40" w:line="240" w:lineRule="atLeast"/>
      <w:ind w:left="748" w:hanging="748"/>
    </w:pPr>
    <w:rPr>
      <w:sz w:val="20"/>
    </w:rPr>
  </w:style>
  <w:style w:type="paragraph" w:customStyle="1" w:styleId="CTA2ai">
    <w:name w:val="CTA 2(a)(i)"/>
    <w:basedOn w:val="OPCParaBase"/>
    <w:rsid w:val="00EF6A15"/>
    <w:pPr>
      <w:tabs>
        <w:tab w:val="right" w:pos="1089"/>
      </w:tabs>
      <w:spacing w:before="40" w:line="240" w:lineRule="atLeast"/>
      <w:ind w:left="1327" w:hanging="1327"/>
    </w:pPr>
    <w:rPr>
      <w:sz w:val="20"/>
    </w:rPr>
  </w:style>
  <w:style w:type="paragraph" w:customStyle="1" w:styleId="CTA3a">
    <w:name w:val="CTA 3(a)"/>
    <w:basedOn w:val="OPCParaBase"/>
    <w:rsid w:val="00EF6A15"/>
    <w:pPr>
      <w:tabs>
        <w:tab w:val="right" w:pos="556"/>
      </w:tabs>
      <w:spacing w:before="40" w:line="240" w:lineRule="atLeast"/>
      <w:ind w:left="805" w:hanging="805"/>
    </w:pPr>
    <w:rPr>
      <w:sz w:val="20"/>
    </w:rPr>
  </w:style>
  <w:style w:type="paragraph" w:customStyle="1" w:styleId="CTA3ai">
    <w:name w:val="CTA 3(a)(i)"/>
    <w:basedOn w:val="OPCParaBase"/>
    <w:rsid w:val="00EF6A15"/>
    <w:pPr>
      <w:tabs>
        <w:tab w:val="right" w:pos="1140"/>
      </w:tabs>
      <w:spacing w:before="40" w:line="240" w:lineRule="atLeast"/>
      <w:ind w:left="1361" w:hanging="1361"/>
    </w:pPr>
    <w:rPr>
      <w:sz w:val="20"/>
    </w:rPr>
  </w:style>
  <w:style w:type="paragraph" w:customStyle="1" w:styleId="CTA4a">
    <w:name w:val="CTA 4(a)"/>
    <w:basedOn w:val="OPCParaBase"/>
    <w:rsid w:val="00EF6A15"/>
    <w:pPr>
      <w:tabs>
        <w:tab w:val="right" w:pos="624"/>
      </w:tabs>
      <w:spacing w:before="40" w:line="240" w:lineRule="atLeast"/>
      <w:ind w:left="873" w:hanging="873"/>
    </w:pPr>
    <w:rPr>
      <w:sz w:val="20"/>
    </w:rPr>
  </w:style>
  <w:style w:type="paragraph" w:customStyle="1" w:styleId="CTA4ai">
    <w:name w:val="CTA 4(a)(i)"/>
    <w:basedOn w:val="OPCParaBase"/>
    <w:rsid w:val="00EF6A15"/>
    <w:pPr>
      <w:tabs>
        <w:tab w:val="right" w:pos="1213"/>
      </w:tabs>
      <w:spacing w:before="40" w:line="240" w:lineRule="atLeast"/>
      <w:ind w:left="1452" w:hanging="1452"/>
    </w:pPr>
    <w:rPr>
      <w:sz w:val="20"/>
    </w:rPr>
  </w:style>
  <w:style w:type="paragraph" w:customStyle="1" w:styleId="CTACAPS">
    <w:name w:val="CTA CAPS"/>
    <w:basedOn w:val="OPCParaBase"/>
    <w:rsid w:val="00EF6A15"/>
    <w:pPr>
      <w:spacing w:before="60" w:line="240" w:lineRule="atLeast"/>
    </w:pPr>
    <w:rPr>
      <w:sz w:val="20"/>
    </w:rPr>
  </w:style>
  <w:style w:type="paragraph" w:customStyle="1" w:styleId="CTAright">
    <w:name w:val="CTA right"/>
    <w:basedOn w:val="OPCParaBase"/>
    <w:rsid w:val="00EF6A15"/>
    <w:pPr>
      <w:spacing w:before="60" w:line="240" w:lineRule="auto"/>
      <w:jc w:val="right"/>
    </w:pPr>
    <w:rPr>
      <w:sz w:val="20"/>
    </w:rPr>
  </w:style>
  <w:style w:type="paragraph" w:customStyle="1" w:styleId="subsection">
    <w:name w:val="subsection"/>
    <w:aliases w:val="ss"/>
    <w:basedOn w:val="OPCParaBase"/>
    <w:link w:val="subsectionChar"/>
    <w:rsid w:val="00EF6A15"/>
    <w:pPr>
      <w:tabs>
        <w:tab w:val="right" w:pos="1021"/>
      </w:tabs>
      <w:spacing w:before="180" w:line="240" w:lineRule="auto"/>
      <w:ind w:left="1134" w:hanging="1134"/>
    </w:pPr>
  </w:style>
  <w:style w:type="paragraph" w:customStyle="1" w:styleId="Definition">
    <w:name w:val="Definition"/>
    <w:aliases w:val="dd"/>
    <w:basedOn w:val="OPCParaBase"/>
    <w:rsid w:val="00EF6A15"/>
    <w:pPr>
      <w:spacing w:before="180" w:line="240" w:lineRule="auto"/>
      <w:ind w:left="1134"/>
    </w:pPr>
  </w:style>
  <w:style w:type="paragraph" w:customStyle="1" w:styleId="ETAsubitem">
    <w:name w:val="ETA(subitem)"/>
    <w:basedOn w:val="OPCParaBase"/>
    <w:rsid w:val="00EF6A15"/>
    <w:pPr>
      <w:tabs>
        <w:tab w:val="right" w:pos="340"/>
      </w:tabs>
      <w:spacing w:before="60" w:line="240" w:lineRule="auto"/>
      <w:ind w:left="454" w:hanging="454"/>
    </w:pPr>
    <w:rPr>
      <w:sz w:val="20"/>
    </w:rPr>
  </w:style>
  <w:style w:type="paragraph" w:customStyle="1" w:styleId="ETApara">
    <w:name w:val="ETA(para)"/>
    <w:basedOn w:val="OPCParaBase"/>
    <w:rsid w:val="00EF6A15"/>
    <w:pPr>
      <w:tabs>
        <w:tab w:val="right" w:pos="754"/>
      </w:tabs>
      <w:spacing w:before="60" w:line="240" w:lineRule="auto"/>
      <w:ind w:left="828" w:hanging="828"/>
    </w:pPr>
    <w:rPr>
      <w:sz w:val="20"/>
    </w:rPr>
  </w:style>
  <w:style w:type="paragraph" w:customStyle="1" w:styleId="ETAsubpara">
    <w:name w:val="ETA(subpara)"/>
    <w:basedOn w:val="OPCParaBase"/>
    <w:rsid w:val="00EF6A15"/>
    <w:pPr>
      <w:tabs>
        <w:tab w:val="right" w:pos="1083"/>
      </w:tabs>
      <w:spacing w:before="60" w:line="240" w:lineRule="auto"/>
      <w:ind w:left="1191" w:hanging="1191"/>
    </w:pPr>
    <w:rPr>
      <w:sz w:val="20"/>
    </w:rPr>
  </w:style>
  <w:style w:type="paragraph" w:customStyle="1" w:styleId="ETAsub-subpara">
    <w:name w:val="ETA(sub-subpara)"/>
    <w:basedOn w:val="OPCParaBase"/>
    <w:rsid w:val="00EF6A15"/>
    <w:pPr>
      <w:tabs>
        <w:tab w:val="right" w:pos="1412"/>
      </w:tabs>
      <w:spacing w:before="60" w:line="240" w:lineRule="auto"/>
      <w:ind w:left="1525" w:hanging="1525"/>
    </w:pPr>
    <w:rPr>
      <w:sz w:val="20"/>
    </w:rPr>
  </w:style>
  <w:style w:type="paragraph" w:customStyle="1" w:styleId="Formula">
    <w:name w:val="Formula"/>
    <w:basedOn w:val="OPCParaBase"/>
    <w:rsid w:val="00EF6A15"/>
    <w:pPr>
      <w:spacing w:line="240" w:lineRule="auto"/>
      <w:ind w:left="1134"/>
    </w:pPr>
    <w:rPr>
      <w:sz w:val="20"/>
    </w:rPr>
  </w:style>
  <w:style w:type="paragraph" w:styleId="Header">
    <w:name w:val="header"/>
    <w:basedOn w:val="OPCParaBase"/>
    <w:link w:val="HeaderChar"/>
    <w:unhideWhenUsed/>
    <w:rsid w:val="00EF6A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6A15"/>
    <w:rPr>
      <w:rFonts w:eastAsia="Times New Roman" w:cs="Times New Roman"/>
      <w:sz w:val="16"/>
      <w:lang w:eastAsia="en-AU"/>
    </w:rPr>
  </w:style>
  <w:style w:type="paragraph" w:customStyle="1" w:styleId="House">
    <w:name w:val="House"/>
    <w:basedOn w:val="OPCParaBase"/>
    <w:rsid w:val="00EF6A15"/>
    <w:pPr>
      <w:spacing w:line="240" w:lineRule="auto"/>
    </w:pPr>
    <w:rPr>
      <w:sz w:val="28"/>
    </w:rPr>
  </w:style>
  <w:style w:type="paragraph" w:customStyle="1" w:styleId="Item">
    <w:name w:val="Item"/>
    <w:aliases w:val="i"/>
    <w:basedOn w:val="OPCParaBase"/>
    <w:next w:val="ItemHead"/>
    <w:rsid w:val="00EF6A15"/>
    <w:pPr>
      <w:keepLines/>
      <w:spacing w:before="80" w:line="240" w:lineRule="auto"/>
      <w:ind w:left="709"/>
    </w:pPr>
  </w:style>
  <w:style w:type="paragraph" w:customStyle="1" w:styleId="ItemHead">
    <w:name w:val="ItemHead"/>
    <w:aliases w:val="ih"/>
    <w:basedOn w:val="OPCParaBase"/>
    <w:next w:val="Item"/>
    <w:link w:val="ItemHeadChar"/>
    <w:rsid w:val="00EF6A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6A15"/>
    <w:pPr>
      <w:spacing w:line="240" w:lineRule="auto"/>
    </w:pPr>
    <w:rPr>
      <w:b/>
      <w:sz w:val="32"/>
    </w:rPr>
  </w:style>
  <w:style w:type="paragraph" w:customStyle="1" w:styleId="notedraft">
    <w:name w:val="note(draft)"/>
    <w:aliases w:val="nd"/>
    <w:basedOn w:val="OPCParaBase"/>
    <w:rsid w:val="00EF6A15"/>
    <w:pPr>
      <w:spacing w:before="240" w:line="240" w:lineRule="auto"/>
      <w:ind w:left="284" w:hanging="284"/>
    </w:pPr>
    <w:rPr>
      <w:i/>
      <w:sz w:val="24"/>
    </w:rPr>
  </w:style>
  <w:style w:type="paragraph" w:customStyle="1" w:styleId="notemargin">
    <w:name w:val="note(margin)"/>
    <w:aliases w:val="nm"/>
    <w:basedOn w:val="OPCParaBase"/>
    <w:rsid w:val="00EF6A15"/>
    <w:pPr>
      <w:tabs>
        <w:tab w:val="left" w:pos="709"/>
      </w:tabs>
      <w:spacing w:before="122" w:line="198" w:lineRule="exact"/>
      <w:ind w:left="709" w:hanging="709"/>
    </w:pPr>
    <w:rPr>
      <w:sz w:val="18"/>
    </w:rPr>
  </w:style>
  <w:style w:type="paragraph" w:customStyle="1" w:styleId="noteToPara">
    <w:name w:val="noteToPara"/>
    <w:aliases w:val="ntp"/>
    <w:basedOn w:val="OPCParaBase"/>
    <w:rsid w:val="00EF6A15"/>
    <w:pPr>
      <w:spacing w:before="122" w:line="198" w:lineRule="exact"/>
      <w:ind w:left="2353" w:hanging="709"/>
    </w:pPr>
    <w:rPr>
      <w:sz w:val="18"/>
    </w:rPr>
  </w:style>
  <w:style w:type="paragraph" w:customStyle="1" w:styleId="noteParlAmend">
    <w:name w:val="note(ParlAmend)"/>
    <w:aliases w:val="npp"/>
    <w:basedOn w:val="OPCParaBase"/>
    <w:next w:val="ParlAmend"/>
    <w:rsid w:val="00EF6A15"/>
    <w:pPr>
      <w:spacing w:line="240" w:lineRule="auto"/>
      <w:jc w:val="right"/>
    </w:pPr>
    <w:rPr>
      <w:rFonts w:ascii="Arial" w:hAnsi="Arial"/>
      <w:b/>
      <w:i/>
    </w:rPr>
  </w:style>
  <w:style w:type="paragraph" w:customStyle="1" w:styleId="Page1">
    <w:name w:val="Page1"/>
    <w:basedOn w:val="OPCParaBase"/>
    <w:rsid w:val="00EF6A15"/>
    <w:pPr>
      <w:spacing w:before="400" w:line="240" w:lineRule="auto"/>
    </w:pPr>
    <w:rPr>
      <w:b/>
      <w:sz w:val="32"/>
    </w:rPr>
  </w:style>
  <w:style w:type="paragraph" w:customStyle="1" w:styleId="PageBreak">
    <w:name w:val="PageBreak"/>
    <w:aliases w:val="pb"/>
    <w:basedOn w:val="OPCParaBase"/>
    <w:rsid w:val="00EF6A15"/>
    <w:pPr>
      <w:spacing w:line="240" w:lineRule="auto"/>
    </w:pPr>
    <w:rPr>
      <w:sz w:val="20"/>
    </w:rPr>
  </w:style>
  <w:style w:type="paragraph" w:customStyle="1" w:styleId="paragraphsub">
    <w:name w:val="paragraph(sub)"/>
    <w:aliases w:val="aa"/>
    <w:basedOn w:val="OPCParaBase"/>
    <w:rsid w:val="00EF6A15"/>
    <w:pPr>
      <w:tabs>
        <w:tab w:val="right" w:pos="1985"/>
      </w:tabs>
      <w:spacing w:before="40" w:line="240" w:lineRule="auto"/>
      <w:ind w:left="2098" w:hanging="2098"/>
    </w:pPr>
  </w:style>
  <w:style w:type="paragraph" w:customStyle="1" w:styleId="paragraphsub-sub">
    <w:name w:val="paragraph(sub-sub)"/>
    <w:aliases w:val="aaa"/>
    <w:basedOn w:val="OPCParaBase"/>
    <w:rsid w:val="00EF6A15"/>
    <w:pPr>
      <w:tabs>
        <w:tab w:val="right" w:pos="2722"/>
      </w:tabs>
      <w:spacing w:before="40" w:line="240" w:lineRule="auto"/>
      <w:ind w:left="2835" w:hanging="2835"/>
    </w:pPr>
  </w:style>
  <w:style w:type="paragraph" w:customStyle="1" w:styleId="paragraph">
    <w:name w:val="paragraph"/>
    <w:aliases w:val="a"/>
    <w:basedOn w:val="OPCParaBase"/>
    <w:link w:val="paragraphChar"/>
    <w:rsid w:val="00EF6A15"/>
    <w:pPr>
      <w:tabs>
        <w:tab w:val="right" w:pos="1531"/>
      </w:tabs>
      <w:spacing w:before="40" w:line="240" w:lineRule="auto"/>
      <w:ind w:left="1644" w:hanging="1644"/>
    </w:pPr>
  </w:style>
  <w:style w:type="paragraph" w:customStyle="1" w:styleId="ParlAmend">
    <w:name w:val="ParlAmend"/>
    <w:aliases w:val="pp"/>
    <w:basedOn w:val="OPCParaBase"/>
    <w:rsid w:val="00EF6A15"/>
    <w:pPr>
      <w:spacing w:before="240" w:line="240" w:lineRule="atLeast"/>
      <w:ind w:hanging="567"/>
    </w:pPr>
    <w:rPr>
      <w:sz w:val="24"/>
    </w:rPr>
  </w:style>
  <w:style w:type="paragraph" w:customStyle="1" w:styleId="Penalty">
    <w:name w:val="Penalty"/>
    <w:basedOn w:val="OPCParaBase"/>
    <w:rsid w:val="00EF6A15"/>
    <w:pPr>
      <w:tabs>
        <w:tab w:val="left" w:pos="2977"/>
      </w:tabs>
      <w:spacing w:before="180" w:line="240" w:lineRule="auto"/>
      <w:ind w:left="1985" w:hanging="851"/>
    </w:pPr>
  </w:style>
  <w:style w:type="paragraph" w:customStyle="1" w:styleId="Portfolio">
    <w:name w:val="Portfolio"/>
    <w:basedOn w:val="OPCParaBase"/>
    <w:rsid w:val="00EF6A15"/>
    <w:pPr>
      <w:spacing w:line="240" w:lineRule="auto"/>
    </w:pPr>
    <w:rPr>
      <w:i/>
      <w:sz w:val="20"/>
    </w:rPr>
  </w:style>
  <w:style w:type="paragraph" w:customStyle="1" w:styleId="Preamble">
    <w:name w:val="Preamble"/>
    <w:basedOn w:val="OPCParaBase"/>
    <w:next w:val="Normal"/>
    <w:rsid w:val="00EF6A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6A15"/>
    <w:pPr>
      <w:spacing w:line="240" w:lineRule="auto"/>
    </w:pPr>
    <w:rPr>
      <w:i/>
      <w:sz w:val="20"/>
    </w:rPr>
  </w:style>
  <w:style w:type="paragraph" w:customStyle="1" w:styleId="Session">
    <w:name w:val="Session"/>
    <w:basedOn w:val="OPCParaBase"/>
    <w:rsid w:val="00EF6A15"/>
    <w:pPr>
      <w:spacing w:line="240" w:lineRule="auto"/>
    </w:pPr>
    <w:rPr>
      <w:sz w:val="28"/>
    </w:rPr>
  </w:style>
  <w:style w:type="paragraph" w:customStyle="1" w:styleId="Sponsor">
    <w:name w:val="Sponsor"/>
    <w:basedOn w:val="OPCParaBase"/>
    <w:rsid w:val="00EF6A15"/>
    <w:pPr>
      <w:spacing w:line="240" w:lineRule="auto"/>
    </w:pPr>
    <w:rPr>
      <w:i/>
    </w:rPr>
  </w:style>
  <w:style w:type="paragraph" w:customStyle="1" w:styleId="Subitem">
    <w:name w:val="Subitem"/>
    <w:aliases w:val="iss"/>
    <w:basedOn w:val="OPCParaBase"/>
    <w:rsid w:val="00EF6A15"/>
    <w:pPr>
      <w:spacing w:before="180" w:line="240" w:lineRule="auto"/>
      <w:ind w:left="709" w:hanging="709"/>
    </w:pPr>
  </w:style>
  <w:style w:type="paragraph" w:customStyle="1" w:styleId="SubitemHead">
    <w:name w:val="SubitemHead"/>
    <w:aliases w:val="issh"/>
    <w:basedOn w:val="OPCParaBase"/>
    <w:rsid w:val="00EF6A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6A15"/>
    <w:pPr>
      <w:spacing w:before="40" w:line="240" w:lineRule="auto"/>
      <w:ind w:left="1134"/>
    </w:pPr>
  </w:style>
  <w:style w:type="paragraph" w:customStyle="1" w:styleId="SubsectionHead">
    <w:name w:val="SubsectionHead"/>
    <w:aliases w:val="ssh"/>
    <w:basedOn w:val="OPCParaBase"/>
    <w:next w:val="subsection"/>
    <w:rsid w:val="00EF6A15"/>
    <w:pPr>
      <w:keepNext/>
      <w:keepLines/>
      <w:spacing w:before="240" w:line="240" w:lineRule="auto"/>
      <w:ind w:left="1134"/>
    </w:pPr>
    <w:rPr>
      <w:i/>
    </w:rPr>
  </w:style>
  <w:style w:type="paragraph" w:customStyle="1" w:styleId="Tablea">
    <w:name w:val="Table(a)"/>
    <w:aliases w:val="ta"/>
    <w:basedOn w:val="OPCParaBase"/>
    <w:rsid w:val="00EF6A15"/>
    <w:pPr>
      <w:spacing w:before="60" w:line="240" w:lineRule="auto"/>
      <w:ind w:left="284" w:hanging="284"/>
    </w:pPr>
    <w:rPr>
      <w:sz w:val="20"/>
    </w:rPr>
  </w:style>
  <w:style w:type="paragraph" w:customStyle="1" w:styleId="TableAA">
    <w:name w:val="Table(AA)"/>
    <w:aliases w:val="taaa"/>
    <w:basedOn w:val="OPCParaBase"/>
    <w:rsid w:val="00EF6A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6A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6A15"/>
    <w:pPr>
      <w:spacing w:before="60" w:line="240" w:lineRule="atLeast"/>
    </w:pPr>
    <w:rPr>
      <w:sz w:val="20"/>
    </w:rPr>
  </w:style>
  <w:style w:type="paragraph" w:customStyle="1" w:styleId="TLPBoxTextnote">
    <w:name w:val="TLPBoxText(note"/>
    <w:aliases w:val="right)"/>
    <w:basedOn w:val="OPCParaBase"/>
    <w:rsid w:val="00EF6A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6A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6A15"/>
    <w:pPr>
      <w:spacing w:before="122" w:line="198" w:lineRule="exact"/>
      <w:ind w:left="1985" w:hanging="851"/>
      <w:jc w:val="right"/>
    </w:pPr>
    <w:rPr>
      <w:sz w:val="18"/>
    </w:rPr>
  </w:style>
  <w:style w:type="paragraph" w:customStyle="1" w:styleId="TLPTableBullet">
    <w:name w:val="TLPTableBullet"/>
    <w:aliases w:val="ttb"/>
    <w:basedOn w:val="OPCParaBase"/>
    <w:rsid w:val="00EF6A15"/>
    <w:pPr>
      <w:spacing w:line="240" w:lineRule="exact"/>
      <w:ind w:left="284" w:hanging="284"/>
    </w:pPr>
    <w:rPr>
      <w:sz w:val="20"/>
    </w:rPr>
  </w:style>
  <w:style w:type="paragraph" w:styleId="TOC1">
    <w:name w:val="toc 1"/>
    <w:basedOn w:val="OPCParaBase"/>
    <w:next w:val="Normal"/>
    <w:uiPriority w:val="39"/>
    <w:semiHidden/>
    <w:unhideWhenUsed/>
    <w:rsid w:val="00EF6A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6A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6A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6A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617F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6A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F6A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6A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6A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6A15"/>
    <w:pPr>
      <w:keepLines/>
      <w:spacing w:before="240" w:after="120" w:line="240" w:lineRule="auto"/>
      <w:ind w:left="794"/>
    </w:pPr>
    <w:rPr>
      <w:b/>
      <w:kern w:val="28"/>
      <w:sz w:val="20"/>
    </w:rPr>
  </w:style>
  <w:style w:type="paragraph" w:customStyle="1" w:styleId="TofSectsHeading">
    <w:name w:val="TofSects(Heading)"/>
    <w:basedOn w:val="OPCParaBase"/>
    <w:rsid w:val="00EF6A15"/>
    <w:pPr>
      <w:spacing w:before="240" w:after="120" w:line="240" w:lineRule="auto"/>
    </w:pPr>
    <w:rPr>
      <w:b/>
      <w:sz w:val="24"/>
    </w:rPr>
  </w:style>
  <w:style w:type="paragraph" w:customStyle="1" w:styleId="TofSectsSection">
    <w:name w:val="TofSects(Section)"/>
    <w:basedOn w:val="OPCParaBase"/>
    <w:rsid w:val="00EF6A15"/>
    <w:pPr>
      <w:keepLines/>
      <w:spacing w:before="40" w:line="240" w:lineRule="auto"/>
      <w:ind w:left="1588" w:hanging="794"/>
    </w:pPr>
    <w:rPr>
      <w:kern w:val="28"/>
      <w:sz w:val="18"/>
    </w:rPr>
  </w:style>
  <w:style w:type="paragraph" w:customStyle="1" w:styleId="TofSectsSubdiv">
    <w:name w:val="TofSects(Subdiv)"/>
    <w:basedOn w:val="OPCParaBase"/>
    <w:rsid w:val="00EF6A15"/>
    <w:pPr>
      <w:keepLines/>
      <w:spacing w:before="80" w:line="240" w:lineRule="auto"/>
      <w:ind w:left="1588" w:hanging="794"/>
    </w:pPr>
    <w:rPr>
      <w:kern w:val="28"/>
    </w:rPr>
  </w:style>
  <w:style w:type="paragraph" w:customStyle="1" w:styleId="WRStyle">
    <w:name w:val="WR Style"/>
    <w:aliases w:val="WR"/>
    <w:basedOn w:val="OPCParaBase"/>
    <w:rsid w:val="00EF6A15"/>
    <w:pPr>
      <w:spacing w:before="240" w:line="240" w:lineRule="auto"/>
      <w:ind w:left="284" w:hanging="284"/>
    </w:pPr>
    <w:rPr>
      <w:b/>
      <w:i/>
      <w:kern w:val="28"/>
      <w:sz w:val="24"/>
    </w:rPr>
  </w:style>
  <w:style w:type="paragraph" w:customStyle="1" w:styleId="notepara">
    <w:name w:val="note(para)"/>
    <w:aliases w:val="na"/>
    <w:basedOn w:val="OPCParaBase"/>
    <w:rsid w:val="00EF6A15"/>
    <w:pPr>
      <w:spacing w:before="40" w:line="198" w:lineRule="exact"/>
      <w:ind w:left="2354" w:hanging="369"/>
    </w:pPr>
    <w:rPr>
      <w:sz w:val="18"/>
    </w:rPr>
  </w:style>
  <w:style w:type="paragraph" w:styleId="Footer">
    <w:name w:val="footer"/>
    <w:link w:val="FooterChar"/>
    <w:rsid w:val="00EF6A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6A15"/>
    <w:rPr>
      <w:rFonts w:eastAsia="Times New Roman" w:cs="Times New Roman"/>
      <w:sz w:val="22"/>
      <w:szCs w:val="24"/>
      <w:lang w:eastAsia="en-AU"/>
    </w:rPr>
  </w:style>
  <w:style w:type="character" w:styleId="LineNumber">
    <w:name w:val="line number"/>
    <w:basedOn w:val="OPCCharBase"/>
    <w:uiPriority w:val="99"/>
    <w:semiHidden/>
    <w:unhideWhenUsed/>
    <w:rsid w:val="00EF6A15"/>
    <w:rPr>
      <w:sz w:val="16"/>
    </w:rPr>
  </w:style>
  <w:style w:type="table" w:customStyle="1" w:styleId="CFlag">
    <w:name w:val="CFlag"/>
    <w:basedOn w:val="TableNormal"/>
    <w:uiPriority w:val="99"/>
    <w:rsid w:val="00EF6A15"/>
    <w:rPr>
      <w:rFonts w:eastAsia="Times New Roman" w:cs="Times New Roman"/>
      <w:lang w:eastAsia="en-AU"/>
    </w:rPr>
    <w:tblPr/>
  </w:style>
  <w:style w:type="paragraph" w:customStyle="1" w:styleId="NotesHeading1">
    <w:name w:val="NotesHeading 1"/>
    <w:basedOn w:val="OPCParaBase"/>
    <w:next w:val="Normal"/>
    <w:rsid w:val="00EF6A15"/>
    <w:rPr>
      <w:b/>
      <w:sz w:val="28"/>
      <w:szCs w:val="28"/>
    </w:rPr>
  </w:style>
  <w:style w:type="paragraph" w:customStyle="1" w:styleId="NotesHeading2">
    <w:name w:val="NotesHeading 2"/>
    <w:basedOn w:val="OPCParaBase"/>
    <w:next w:val="Normal"/>
    <w:rsid w:val="00EF6A15"/>
    <w:rPr>
      <w:b/>
      <w:sz w:val="28"/>
      <w:szCs w:val="28"/>
    </w:rPr>
  </w:style>
  <w:style w:type="paragraph" w:customStyle="1" w:styleId="SignCoverPageEnd">
    <w:name w:val="SignCoverPageEnd"/>
    <w:basedOn w:val="OPCParaBase"/>
    <w:next w:val="Normal"/>
    <w:rsid w:val="00EF6A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6A15"/>
    <w:pPr>
      <w:pBdr>
        <w:top w:val="single" w:sz="4" w:space="1" w:color="auto"/>
      </w:pBdr>
      <w:spacing w:before="360"/>
      <w:ind w:right="397"/>
      <w:jc w:val="both"/>
    </w:pPr>
  </w:style>
  <w:style w:type="paragraph" w:customStyle="1" w:styleId="Paragraphsub-sub-sub">
    <w:name w:val="Paragraph(sub-sub-sub)"/>
    <w:aliases w:val="aaaa"/>
    <w:basedOn w:val="OPCParaBase"/>
    <w:rsid w:val="00EF6A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6A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6A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6A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6A1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F6A15"/>
    <w:pPr>
      <w:spacing w:before="120"/>
    </w:pPr>
  </w:style>
  <w:style w:type="paragraph" w:customStyle="1" w:styleId="TableTextEndNotes">
    <w:name w:val="TableTextEndNotes"/>
    <w:aliases w:val="Tten"/>
    <w:basedOn w:val="Normal"/>
    <w:rsid w:val="00EF6A15"/>
    <w:pPr>
      <w:spacing w:before="60" w:line="240" w:lineRule="auto"/>
    </w:pPr>
    <w:rPr>
      <w:rFonts w:cs="Arial"/>
      <w:sz w:val="20"/>
      <w:szCs w:val="22"/>
    </w:rPr>
  </w:style>
  <w:style w:type="paragraph" w:customStyle="1" w:styleId="TableHeading">
    <w:name w:val="TableHeading"/>
    <w:aliases w:val="th"/>
    <w:basedOn w:val="OPCParaBase"/>
    <w:next w:val="Tabletext"/>
    <w:rsid w:val="00EF6A15"/>
    <w:pPr>
      <w:keepNext/>
      <w:spacing w:before="60" w:line="240" w:lineRule="atLeast"/>
    </w:pPr>
    <w:rPr>
      <w:b/>
      <w:sz w:val="20"/>
    </w:rPr>
  </w:style>
  <w:style w:type="paragraph" w:customStyle="1" w:styleId="NoteToSubpara">
    <w:name w:val="NoteToSubpara"/>
    <w:aliases w:val="nts"/>
    <w:basedOn w:val="OPCParaBase"/>
    <w:rsid w:val="00EF6A15"/>
    <w:pPr>
      <w:spacing w:before="40" w:line="198" w:lineRule="exact"/>
      <w:ind w:left="2835" w:hanging="709"/>
    </w:pPr>
    <w:rPr>
      <w:sz w:val="18"/>
    </w:rPr>
  </w:style>
  <w:style w:type="paragraph" w:customStyle="1" w:styleId="ENoteTableHeading">
    <w:name w:val="ENoteTableHeading"/>
    <w:aliases w:val="enth"/>
    <w:basedOn w:val="OPCParaBase"/>
    <w:rsid w:val="00EF6A15"/>
    <w:pPr>
      <w:keepNext/>
      <w:spacing w:before="60" w:line="240" w:lineRule="atLeast"/>
    </w:pPr>
    <w:rPr>
      <w:rFonts w:ascii="Arial" w:hAnsi="Arial"/>
      <w:b/>
      <w:sz w:val="16"/>
    </w:rPr>
  </w:style>
  <w:style w:type="paragraph" w:customStyle="1" w:styleId="ENoteTTi">
    <w:name w:val="ENoteTTi"/>
    <w:aliases w:val="entti"/>
    <w:basedOn w:val="OPCParaBase"/>
    <w:rsid w:val="00EF6A15"/>
    <w:pPr>
      <w:keepNext/>
      <w:spacing w:before="60" w:line="240" w:lineRule="atLeast"/>
      <w:ind w:left="170"/>
    </w:pPr>
    <w:rPr>
      <w:sz w:val="16"/>
    </w:rPr>
  </w:style>
  <w:style w:type="paragraph" w:customStyle="1" w:styleId="ENotesHeading1">
    <w:name w:val="ENotesHeading 1"/>
    <w:aliases w:val="Enh1"/>
    <w:basedOn w:val="OPCParaBase"/>
    <w:next w:val="Normal"/>
    <w:rsid w:val="00EF6A15"/>
    <w:pPr>
      <w:spacing w:before="120"/>
      <w:outlineLvl w:val="1"/>
    </w:pPr>
    <w:rPr>
      <w:b/>
      <w:sz w:val="28"/>
      <w:szCs w:val="28"/>
    </w:rPr>
  </w:style>
  <w:style w:type="paragraph" w:customStyle="1" w:styleId="ENotesHeading2">
    <w:name w:val="ENotesHeading 2"/>
    <w:aliases w:val="Enh2"/>
    <w:basedOn w:val="OPCParaBase"/>
    <w:next w:val="Normal"/>
    <w:rsid w:val="00EF6A15"/>
    <w:pPr>
      <w:spacing w:before="120" w:after="120"/>
      <w:outlineLvl w:val="2"/>
    </w:pPr>
    <w:rPr>
      <w:b/>
      <w:sz w:val="24"/>
      <w:szCs w:val="28"/>
    </w:rPr>
  </w:style>
  <w:style w:type="paragraph" w:customStyle="1" w:styleId="ENoteTTIndentHeading">
    <w:name w:val="ENoteTTIndentHeading"/>
    <w:aliases w:val="enTTHi"/>
    <w:basedOn w:val="OPCParaBase"/>
    <w:rsid w:val="00EF6A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6A15"/>
    <w:pPr>
      <w:spacing w:before="60" w:line="240" w:lineRule="atLeast"/>
    </w:pPr>
    <w:rPr>
      <w:sz w:val="16"/>
    </w:rPr>
  </w:style>
  <w:style w:type="paragraph" w:customStyle="1" w:styleId="MadeunderText">
    <w:name w:val="MadeunderText"/>
    <w:basedOn w:val="OPCParaBase"/>
    <w:next w:val="Normal"/>
    <w:rsid w:val="00EF6A15"/>
    <w:pPr>
      <w:spacing w:before="240"/>
    </w:pPr>
    <w:rPr>
      <w:sz w:val="24"/>
      <w:szCs w:val="24"/>
    </w:rPr>
  </w:style>
  <w:style w:type="paragraph" w:customStyle="1" w:styleId="ENotesHeading3">
    <w:name w:val="ENotesHeading 3"/>
    <w:aliases w:val="Enh3"/>
    <w:basedOn w:val="OPCParaBase"/>
    <w:next w:val="Normal"/>
    <w:rsid w:val="00EF6A15"/>
    <w:pPr>
      <w:keepNext/>
      <w:spacing w:before="120" w:line="240" w:lineRule="auto"/>
      <w:outlineLvl w:val="4"/>
    </w:pPr>
    <w:rPr>
      <w:b/>
      <w:szCs w:val="24"/>
    </w:rPr>
  </w:style>
  <w:style w:type="paragraph" w:customStyle="1" w:styleId="SubPartCASA">
    <w:name w:val="SubPart(CASA)"/>
    <w:aliases w:val="csp"/>
    <w:basedOn w:val="OPCParaBase"/>
    <w:next w:val="ActHead3"/>
    <w:rsid w:val="00EF6A15"/>
    <w:pPr>
      <w:keepNext/>
      <w:keepLines/>
      <w:spacing w:before="280"/>
      <w:outlineLvl w:val="1"/>
    </w:pPr>
    <w:rPr>
      <w:b/>
      <w:kern w:val="28"/>
      <w:sz w:val="32"/>
    </w:rPr>
  </w:style>
  <w:style w:type="character" w:customStyle="1" w:styleId="CharSubPartTextCASA">
    <w:name w:val="CharSubPartText(CASA)"/>
    <w:basedOn w:val="OPCCharBase"/>
    <w:uiPriority w:val="1"/>
    <w:rsid w:val="00EF6A15"/>
  </w:style>
  <w:style w:type="character" w:customStyle="1" w:styleId="CharSubPartNoCASA">
    <w:name w:val="CharSubPartNo(CASA)"/>
    <w:basedOn w:val="OPCCharBase"/>
    <w:uiPriority w:val="1"/>
    <w:rsid w:val="00EF6A15"/>
  </w:style>
  <w:style w:type="paragraph" w:customStyle="1" w:styleId="ENoteTTIndentHeadingSub">
    <w:name w:val="ENoteTTIndentHeadingSub"/>
    <w:aliases w:val="enTTHis"/>
    <w:basedOn w:val="OPCParaBase"/>
    <w:rsid w:val="00EF6A15"/>
    <w:pPr>
      <w:keepNext/>
      <w:spacing w:before="60" w:line="240" w:lineRule="atLeast"/>
      <w:ind w:left="340"/>
    </w:pPr>
    <w:rPr>
      <w:b/>
      <w:sz w:val="16"/>
    </w:rPr>
  </w:style>
  <w:style w:type="paragraph" w:customStyle="1" w:styleId="ENoteTTiSub">
    <w:name w:val="ENoteTTiSub"/>
    <w:aliases w:val="enttis"/>
    <w:basedOn w:val="OPCParaBase"/>
    <w:rsid w:val="00EF6A15"/>
    <w:pPr>
      <w:keepNext/>
      <w:spacing w:before="60" w:line="240" w:lineRule="atLeast"/>
      <w:ind w:left="340"/>
    </w:pPr>
    <w:rPr>
      <w:sz w:val="16"/>
    </w:rPr>
  </w:style>
  <w:style w:type="paragraph" w:customStyle="1" w:styleId="SubDivisionMigration">
    <w:name w:val="SubDivisionMigration"/>
    <w:aliases w:val="sdm"/>
    <w:basedOn w:val="OPCParaBase"/>
    <w:rsid w:val="00EF6A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6A15"/>
    <w:pPr>
      <w:keepNext/>
      <w:keepLines/>
      <w:spacing w:before="240" w:line="240" w:lineRule="auto"/>
      <w:ind w:left="1134" w:hanging="1134"/>
    </w:pPr>
    <w:rPr>
      <w:b/>
      <w:sz w:val="28"/>
    </w:rPr>
  </w:style>
  <w:style w:type="table" w:styleId="TableGrid">
    <w:name w:val="Table Grid"/>
    <w:basedOn w:val="TableNormal"/>
    <w:uiPriority w:val="59"/>
    <w:rsid w:val="00EF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F6A1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F6A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6A15"/>
    <w:rPr>
      <w:sz w:val="22"/>
    </w:rPr>
  </w:style>
  <w:style w:type="paragraph" w:customStyle="1" w:styleId="SOTextNote">
    <w:name w:val="SO TextNote"/>
    <w:aliases w:val="sont"/>
    <w:basedOn w:val="SOText"/>
    <w:qFormat/>
    <w:rsid w:val="00EF6A15"/>
    <w:pPr>
      <w:spacing w:before="122" w:line="198" w:lineRule="exact"/>
      <w:ind w:left="1843" w:hanging="709"/>
    </w:pPr>
    <w:rPr>
      <w:sz w:val="18"/>
    </w:rPr>
  </w:style>
  <w:style w:type="paragraph" w:customStyle="1" w:styleId="SOPara">
    <w:name w:val="SO Para"/>
    <w:aliases w:val="soa"/>
    <w:basedOn w:val="SOText"/>
    <w:link w:val="SOParaChar"/>
    <w:qFormat/>
    <w:rsid w:val="00EF6A15"/>
    <w:pPr>
      <w:tabs>
        <w:tab w:val="right" w:pos="1786"/>
      </w:tabs>
      <w:spacing w:before="40"/>
      <w:ind w:left="2070" w:hanging="936"/>
    </w:pPr>
  </w:style>
  <w:style w:type="character" w:customStyle="1" w:styleId="SOParaChar">
    <w:name w:val="SO Para Char"/>
    <w:aliases w:val="soa Char"/>
    <w:basedOn w:val="DefaultParagraphFont"/>
    <w:link w:val="SOPara"/>
    <w:rsid w:val="00EF6A15"/>
    <w:rPr>
      <w:sz w:val="22"/>
    </w:rPr>
  </w:style>
  <w:style w:type="paragraph" w:customStyle="1" w:styleId="FileName">
    <w:name w:val="FileName"/>
    <w:basedOn w:val="Normal"/>
    <w:rsid w:val="00EF6A15"/>
  </w:style>
  <w:style w:type="paragraph" w:customStyle="1" w:styleId="SOHeadBold">
    <w:name w:val="SO HeadBold"/>
    <w:aliases w:val="sohb"/>
    <w:basedOn w:val="SOText"/>
    <w:next w:val="SOText"/>
    <w:link w:val="SOHeadBoldChar"/>
    <w:qFormat/>
    <w:rsid w:val="00EF6A15"/>
    <w:rPr>
      <w:b/>
    </w:rPr>
  </w:style>
  <w:style w:type="character" w:customStyle="1" w:styleId="SOHeadBoldChar">
    <w:name w:val="SO HeadBold Char"/>
    <w:aliases w:val="sohb Char"/>
    <w:basedOn w:val="DefaultParagraphFont"/>
    <w:link w:val="SOHeadBold"/>
    <w:rsid w:val="00EF6A15"/>
    <w:rPr>
      <w:b/>
      <w:sz w:val="22"/>
    </w:rPr>
  </w:style>
  <w:style w:type="paragraph" w:customStyle="1" w:styleId="SOHeadItalic">
    <w:name w:val="SO HeadItalic"/>
    <w:aliases w:val="sohi"/>
    <w:basedOn w:val="SOText"/>
    <w:next w:val="SOText"/>
    <w:link w:val="SOHeadItalicChar"/>
    <w:qFormat/>
    <w:rsid w:val="00EF6A15"/>
    <w:rPr>
      <w:i/>
    </w:rPr>
  </w:style>
  <w:style w:type="character" w:customStyle="1" w:styleId="SOHeadItalicChar">
    <w:name w:val="SO HeadItalic Char"/>
    <w:aliases w:val="sohi Char"/>
    <w:basedOn w:val="DefaultParagraphFont"/>
    <w:link w:val="SOHeadItalic"/>
    <w:rsid w:val="00EF6A15"/>
    <w:rPr>
      <w:i/>
      <w:sz w:val="22"/>
    </w:rPr>
  </w:style>
  <w:style w:type="paragraph" w:customStyle="1" w:styleId="SOBullet">
    <w:name w:val="SO Bullet"/>
    <w:aliases w:val="sotb"/>
    <w:basedOn w:val="SOText"/>
    <w:link w:val="SOBulletChar"/>
    <w:qFormat/>
    <w:rsid w:val="00EF6A15"/>
    <w:pPr>
      <w:ind w:left="1559" w:hanging="425"/>
    </w:pPr>
  </w:style>
  <w:style w:type="character" w:customStyle="1" w:styleId="SOBulletChar">
    <w:name w:val="SO Bullet Char"/>
    <w:aliases w:val="sotb Char"/>
    <w:basedOn w:val="DefaultParagraphFont"/>
    <w:link w:val="SOBullet"/>
    <w:rsid w:val="00EF6A15"/>
    <w:rPr>
      <w:sz w:val="22"/>
    </w:rPr>
  </w:style>
  <w:style w:type="paragraph" w:customStyle="1" w:styleId="SOBulletNote">
    <w:name w:val="SO BulletNote"/>
    <w:aliases w:val="sonb"/>
    <w:basedOn w:val="SOTextNote"/>
    <w:link w:val="SOBulletNoteChar"/>
    <w:qFormat/>
    <w:rsid w:val="00EF6A15"/>
    <w:pPr>
      <w:tabs>
        <w:tab w:val="left" w:pos="1560"/>
      </w:tabs>
      <w:ind w:left="2268" w:hanging="1134"/>
    </w:pPr>
  </w:style>
  <w:style w:type="character" w:customStyle="1" w:styleId="SOBulletNoteChar">
    <w:name w:val="SO BulletNote Char"/>
    <w:aliases w:val="sonb Char"/>
    <w:basedOn w:val="DefaultParagraphFont"/>
    <w:link w:val="SOBulletNote"/>
    <w:rsid w:val="00EF6A15"/>
    <w:rPr>
      <w:sz w:val="18"/>
    </w:rPr>
  </w:style>
  <w:style w:type="paragraph" w:customStyle="1" w:styleId="SOText2">
    <w:name w:val="SO Text2"/>
    <w:aliases w:val="sot2"/>
    <w:basedOn w:val="Normal"/>
    <w:next w:val="SOText"/>
    <w:link w:val="SOText2Char"/>
    <w:rsid w:val="00EF6A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F6A15"/>
    <w:rPr>
      <w:sz w:val="22"/>
    </w:rPr>
  </w:style>
  <w:style w:type="paragraph" w:customStyle="1" w:styleId="Specialih">
    <w:name w:val="Special ih"/>
    <w:basedOn w:val="ItemHead"/>
    <w:link w:val="SpecialihChar"/>
    <w:rsid w:val="00D71827"/>
  </w:style>
  <w:style w:type="character" w:customStyle="1" w:styleId="ItemHeadChar">
    <w:name w:val="ItemHead Char"/>
    <w:aliases w:val="ih Char"/>
    <w:basedOn w:val="DefaultParagraphFont"/>
    <w:link w:val="ItemHead"/>
    <w:rsid w:val="00D71827"/>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D71827"/>
    <w:rPr>
      <w:rFonts w:ascii="Arial" w:eastAsia="Times New Roman" w:hAnsi="Arial" w:cs="Times New Roman"/>
      <w:b/>
      <w:kern w:val="28"/>
      <w:sz w:val="24"/>
      <w:lang w:eastAsia="en-AU"/>
    </w:rPr>
  </w:style>
  <w:style w:type="character" w:customStyle="1" w:styleId="paragraphChar">
    <w:name w:val="paragraph Char"/>
    <w:aliases w:val="a Char"/>
    <w:link w:val="paragraph"/>
    <w:rsid w:val="00D71827"/>
    <w:rPr>
      <w:rFonts w:eastAsia="Times New Roman" w:cs="Times New Roman"/>
      <w:sz w:val="22"/>
      <w:lang w:eastAsia="en-AU"/>
    </w:rPr>
  </w:style>
  <w:style w:type="character" w:customStyle="1" w:styleId="ActHead5Char">
    <w:name w:val="ActHead 5 Char"/>
    <w:aliases w:val="s Char"/>
    <w:link w:val="ActHead5"/>
    <w:rsid w:val="00D71827"/>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D71827"/>
    <w:rPr>
      <w:rFonts w:eastAsia="Times New Roman" w:cs="Times New Roman"/>
      <w:sz w:val="22"/>
      <w:lang w:eastAsia="en-AU"/>
    </w:rPr>
  </w:style>
  <w:style w:type="paragraph" w:styleId="BalloonText">
    <w:name w:val="Balloon Text"/>
    <w:basedOn w:val="Normal"/>
    <w:link w:val="BalloonTextChar"/>
    <w:uiPriority w:val="99"/>
    <w:semiHidden/>
    <w:unhideWhenUsed/>
    <w:rsid w:val="00817A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D2"/>
    <w:rPr>
      <w:rFonts w:ascii="Tahoma" w:hAnsi="Tahoma" w:cs="Tahoma"/>
      <w:sz w:val="16"/>
      <w:szCs w:val="16"/>
    </w:rPr>
  </w:style>
  <w:style w:type="character" w:customStyle="1" w:styleId="Heading1Char">
    <w:name w:val="Heading 1 Char"/>
    <w:basedOn w:val="DefaultParagraphFont"/>
    <w:link w:val="Heading1"/>
    <w:uiPriority w:val="9"/>
    <w:rsid w:val="00A31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31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1F7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31F7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31F7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31F7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31F7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31F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1F7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A31F7D"/>
    <w:pPr>
      <w:spacing w:before="800"/>
    </w:pPr>
  </w:style>
  <w:style w:type="character" w:customStyle="1" w:styleId="OPCParaBaseChar">
    <w:name w:val="OPCParaBase Char"/>
    <w:basedOn w:val="DefaultParagraphFont"/>
    <w:link w:val="OPCParaBase"/>
    <w:rsid w:val="00A31F7D"/>
    <w:rPr>
      <w:rFonts w:eastAsia="Times New Roman" w:cs="Times New Roman"/>
      <w:sz w:val="22"/>
      <w:lang w:eastAsia="en-AU"/>
    </w:rPr>
  </w:style>
  <w:style w:type="character" w:customStyle="1" w:styleId="ShortTChar">
    <w:name w:val="ShortT Char"/>
    <w:basedOn w:val="OPCParaBaseChar"/>
    <w:link w:val="ShortT"/>
    <w:rsid w:val="00A31F7D"/>
    <w:rPr>
      <w:rFonts w:eastAsia="Times New Roman" w:cs="Times New Roman"/>
      <w:b/>
      <w:sz w:val="40"/>
      <w:lang w:eastAsia="en-AU"/>
    </w:rPr>
  </w:style>
  <w:style w:type="character" w:customStyle="1" w:styleId="ShortTP1Char">
    <w:name w:val="ShortTP1 Char"/>
    <w:basedOn w:val="ShortTChar"/>
    <w:link w:val="ShortTP1"/>
    <w:rsid w:val="00A31F7D"/>
    <w:rPr>
      <w:rFonts w:eastAsia="Times New Roman" w:cs="Times New Roman"/>
      <w:b/>
      <w:sz w:val="40"/>
      <w:lang w:eastAsia="en-AU"/>
    </w:rPr>
  </w:style>
  <w:style w:type="paragraph" w:customStyle="1" w:styleId="ActNoP1">
    <w:name w:val="ActNoP1"/>
    <w:basedOn w:val="Actno"/>
    <w:link w:val="ActNoP1Char"/>
    <w:rsid w:val="00A31F7D"/>
    <w:pPr>
      <w:spacing w:before="800"/>
    </w:pPr>
    <w:rPr>
      <w:sz w:val="28"/>
    </w:rPr>
  </w:style>
  <w:style w:type="character" w:customStyle="1" w:styleId="ActnoChar">
    <w:name w:val="Actno Char"/>
    <w:basedOn w:val="ShortTChar"/>
    <w:link w:val="Actno"/>
    <w:rsid w:val="00A31F7D"/>
    <w:rPr>
      <w:rFonts w:eastAsia="Times New Roman" w:cs="Times New Roman"/>
      <w:b/>
      <w:sz w:val="40"/>
      <w:lang w:eastAsia="en-AU"/>
    </w:rPr>
  </w:style>
  <w:style w:type="character" w:customStyle="1" w:styleId="ActNoP1Char">
    <w:name w:val="ActNoP1 Char"/>
    <w:basedOn w:val="ActnoChar"/>
    <w:link w:val="ActNoP1"/>
    <w:rsid w:val="00A31F7D"/>
    <w:rPr>
      <w:rFonts w:eastAsia="Times New Roman" w:cs="Times New Roman"/>
      <w:b/>
      <w:sz w:val="28"/>
      <w:lang w:eastAsia="en-AU"/>
    </w:rPr>
  </w:style>
  <w:style w:type="paragraph" w:customStyle="1" w:styleId="ShortTCP">
    <w:name w:val="ShortTCP"/>
    <w:basedOn w:val="ShortT"/>
    <w:link w:val="ShortTCPChar"/>
    <w:rsid w:val="00A31F7D"/>
  </w:style>
  <w:style w:type="character" w:customStyle="1" w:styleId="ShortTCPChar">
    <w:name w:val="ShortTCP Char"/>
    <w:basedOn w:val="ShortTChar"/>
    <w:link w:val="ShortTCP"/>
    <w:rsid w:val="00A31F7D"/>
    <w:rPr>
      <w:rFonts w:eastAsia="Times New Roman" w:cs="Times New Roman"/>
      <w:b/>
      <w:sz w:val="40"/>
      <w:lang w:eastAsia="en-AU"/>
    </w:rPr>
  </w:style>
  <w:style w:type="paragraph" w:customStyle="1" w:styleId="ActNoCP">
    <w:name w:val="ActNoCP"/>
    <w:basedOn w:val="Actno"/>
    <w:link w:val="ActNoCPChar"/>
    <w:rsid w:val="00A31F7D"/>
    <w:pPr>
      <w:spacing w:before="400"/>
    </w:pPr>
  </w:style>
  <w:style w:type="character" w:customStyle="1" w:styleId="ActNoCPChar">
    <w:name w:val="ActNoCP Char"/>
    <w:basedOn w:val="ActnoChar"/>
    <w:link w:val="ActNoCP"/>
    <w:rsid w:val="00A31F7D"/>
    <w:rPr>
      <w:rFonts w:eastAsia="Times New Roman" w:cs="Times New Roman"/>
      <w:b/>
      <w:sz w:val="40"/>
      <w:lang w:eastAsia="en-AU"/>
    </w:rPr>
  </w:style>
  <w:style w:type="paragraph" w:customStyle="1" w:styleId="AssentBk">
    <w:name w:val="AssentBk"/>
    <w:basedOn w:val="Normal"/>
    <w:rsid w:val="00A31F7D"/>
    <w:pPr>
      <w:spacing w:line="240" w:lineRule="auto"/>
    </w:pPr>
    <w:rPr>
      <w:rFonts w:eastAsia="Times New Roman" w:cs="Times New Roman"/>
      <w:sz w:val="20"/>
      <w:lang w:eastAsia="en-AU"/>
    </w:rPr>
  </w:style>
  <w:style w:type="paragraph" w:customStyle="1" w:styleId="AssentDt">
    <w:name w:val="AssentDt"/>
    <w:basedOn w:val="Normal"/>
    <w:rsid w:val="00776064"/>
    <w:pPr>
      <w:spacing w:line="240" w:lineRule="auto"/>
    </w:pPr>
    <w:rPr>
      <w:rFonts w:eastAsia="Times New Roman" w:cs="Times New Roman"/>
      <w:sz w:val="20"/>
      <w:lang w:eastAsia="en-AU"/>
    </w:rPr>
  </w:style>
  <w:style w:type="paragraph" w:customStyle="1" w:styleId="2ndRd">
    <w:name w:val="2ndRd"/>
    <w:basedOn w:val="Normal"/>
    <w:rsid w:val="00776064"/>
    <w:pPr>
      <w:spacing w:line="240" w:lineRule="auto"/>
    </w:pPr>
    <w:rPr>
      <w:rFonts w:eastAsia="Times New Roman" w:cs="Times New Roman"/>
      <w:sz w:val="20"/>
      <w:lang w:eastAsia="en-AU"/>
    </w:rPr>
  </w:style>
  <w:style w:type="paragraph" w:customStyle="1" w:styleId="ScalePlusRef">
    <w:name w:val="ScalePlusRef"/>
    <w:basedOn w:val="Normal"/>
    <w:rsid w:val="0077606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3785</Words>
  <Characters>19758</Characters>
  <Application>Microsoft Office Word</Application>
  <DocSecurity>0</DocSecurity>
  <PresentationFormat/>
  <Lines>372</Lines>
  <Paragraphs>204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2019-08-29T01:47:00Z</dcterms:created>
  <dcterms:modified xsi:type="dcterms:W3CDTF">2019-08-29T01:48:00Z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(2017 Measures No. 2) Act 2017</vt:lpwstr>
  </property>
  <property fmtid="{D5CDD505-2E9C-101B-9397-08002B2CF9AE}" pid="3" name="Actno">
    <vt:lpwstr>No. 55, 2017</vt:lpwstr>
  </property>
</Properties>
</file>