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C6C" w:rsidRDefault="00E2554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80.25pt" fillcolor="window">
            <v:imagedata r:id="rId9" o:title=""/>
          </v:shape>
        </w:pict>
      </w:r>
    </w:p>
    <w:p w:rsidR="00434C6C" w:rsidRDefault="00434C6C"/>
    <w:p w:rsidR="00434C6C" w:rsidRDefault="00434C6C" w:rsidP="00434C6C">
      <w:pPr>
        <w:spacing w:line="240" w:lineRule="auto"/>
      </w:pPr>
    </w:p>
    <w:p w:rsidR="00434C6C" w:rsidRDefault="00434C6C" w:rsidP="00434C6C"/>
    <w:p w:rsidR="00434C6C" w:rsidRDefault="00434C6C" w:rsidP="00434C6C"/>
    <w:p w:rsidR="00434C6C" w:rsidRDefault="00434C6C" w:rsidP="00434C6C"/>
    <w:p w:rsidR="00434C6C" w:rsidRDefault="00434C6C" w:rsidP="00434C6C"/>
    <w:p w:rsidR="0048364F" w:rsidRPr="0096031D" w:rsidRDefault="00720E31" w:rsidP="0048364F">
      <w:pPr>
        <w:pStyle w:val="ShortT"/>
      </w:pPr>
      <w:r w:rsidRPr="0096031D">
        <w:t>Treasury Laws Amendment (Major Bank Levy)</w:t>
      </w:r>
      <w:r w:rsidR="00C164CA" w:rsidRPr="0096031D">
        <w:t xml:space="preserve"> </w:t>
      </w:r>
      <w:r w:rsidR="00434C6C">
        <w:t>Act</w:t>
      </w:r>
      <w:r w:rsidR="00C164CA" w:rsidRPr="0096031D">
        <w:t xml:space="preserve"> 201</w:t>
      </w:r>
      <w:r w:rsidR="00A048FF" w:rsidRPr="0096031D">
        <w:t>7</w:t>
      </w:r>
    </w:p>
    <w:p w:rsidR="0048364F" w:rsidRPr="0096031D" w:rsidRDefault="0048364F" w:rsidP="0048364F"/>
    <w:p w:rsidR="0048364F" w:rsidRPr="0096031D" w:rsidRDefault="00C164CA" w:rsidP="00434C6C">
      <w:pPr>
        <w:pStyle w:val="Actno"/>
        <w:spacing w:before="400"/>
      </w:pPr>
      <w:r w:rsidRPr="0096031D">
        <w:t>No.</w:t>
      </w:r>
      <w:r w:rsidR="00841A7C">
        <w:t xml:space="preserve"> 64</w:t>
      </w:r>
      <w:r w:rsidRPr="0096031D">
        <w:t>, 201</w:t>
      </w:r>
      <w:r w:rsidR="00A048FF" w:rsidRPr="0096031D">
        <w:t>7</w:t>
      </w:r>
    </w:p>
    <w:p w:rsidR="0048364F" w:rsidRPr="0096031D" w:rsidRDefault="0048364F" w:rsidP="0048364F"/>
    <w:p w:rsidR="00434C6C" w:rsidRDefault="00434C6C" w:rsidP="00434C6C"/>
    <w:p w:rsidR="00434C6C" w:rsidRDefault="00434C6C" w:rsidP="00434C6C"/>
    <w:p w:rsidR="00434C6C" w:rsidRDefault="00434C6C" w:rsidP="00434C6C"/>
    <w:p w:rsidR="00434C6C" w:rsidRDefault="00434C6C" w:rsidP="00434C6C"/>
    <w:p w:rsidR="0048364F" w:rsidRPr="0096031D" w:rsidRDefault="00434C6C" w:rsidP="0048364F">
      <w:pPr>
        <w:pStyle w:val="LongT"/>
      </w:pPr>
      <w:r>
        <w:t>An Act</w:t>
      </w:r>
      <w:r w:rsidR="0048364F" w:rsidRPr="0096031D">
        <w:t xml:space="preserve"> to </w:t>
      </w:r>
      <w:r w:rsidR="00720E31" w:rsidRPr="0096031D">
        <w:t>amend the law relating to taxation</w:t>
      </w:r>
      <w:r w:rsidR="0048364F" w:rsidRPr="0096031D">
        <w:t>, and for related purposes</w:t>
      </w:r>
    </w:p>
    <w:p w:rsidR="0048364F" w:rsidRPr="0096031D" w:rsidRDefault="0048364F" w:rsidP="0048364F">
      <w:pPr>
        <w:pStyle w:val="Header"/>
        <w:tabs>
          <w:tab w:val="clear" w:pos="4150"/>
          <w:tab w:val="clear" w:pos="8307"/>
        </w:tabs>
      </w:pPr>
      <w:r w:rsidRPr="0096031D">
        <w:rPr>
          <w:rStyle w:val="CharAmSchNo"/>
        </w:rPr>
        <w:t xml:space="preserve"> </w:t>
      </w:r>
      <w:r w:rsidRPr="0096031D">
        <w:rPr>
          <w:rStyle w:val="CharAmSchText"/>
        </w:rPr>
        <w:t xml:space="preserve"> </w:t>
      </w:r>
    </w:p>
    <w:p w:rsidR="0048364F" w:rsidRPr="0096031D" w:rsidRDefault="0048364F" w:rsidP="0048364F">
      <w:pPr>
        <w:pStyle w:val="Header"/>
        <w:tabs>
          <w:tab w:val="clear" w:pos="4150"/>
          <w:tab w:val="clear" w:pos="8307"/>
        </w:tabs>
      </w:pPr>
      <w:r w:rsidRPr="0096031D">
        <w:rPr>
          <w:rStyle w:val="CharAmPartNo"/>
        </w:rPr>
        <w:t xml:space="preserve"> </w:t>
      </w:r>
      <w:r w:rsidRPr="0096031D">
        <w:rPr>
          <w:rStyle w:val="CharAmPartText"/>
        </w:rPr>
        <w:t xml:space="preserve"> </w:t>
      </w:r>
    </w:p>
    <w:p w:rsidR="0048364F" w:rsidRPr="0096031D" w:rsidRDefault="0048364F" w:rsidP="0048364F">
      <w:pPr>
        <w:sectPr w:rsidR="0048364F" w:rsidRPr="0096031D" w:rsidSect="00434C6C">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96031D" w:rsidRDefault="0048364F" w:rsidP="005D4760">
      <w:pPr>
        <w:rPr>
          <w:sz w:val="36"/>
        </w:rPr>
      </w:pPr>
      <w:r w:rsidRPr="0096031D">
        <w:rPr>
          <w:sz w:val="36"/>
        </w:rPr>
        <w:lastRenderedPageBreak/>
        <w:t>Contents</w:t>
      </w:r>
    </w:p>
    <w:bookmarkStart w:id="0" w:name="BKCheck15B_1"/>
    <w:bookmarkEnd w:id="0"/>
    <w:p w:rsidR="00841A7C" w:rsidRDefault="00841A7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r>
      <w:bookmarkStart w:id="1" w:name="_GoBack"/>
      <w:bookmarkEnd w:id="1"/>
      <w:r>
        <w:rPr>
          <w:noProof/>
        </w:rPr>
        <w:t>Short title</w:t>
      </w:r>
      <w:r w:rsidRPr="00841A7C">
        <w:rPr>
          <w:noProof/>
        </w:rPr>
        <w:tab/>
      </w:r>
      <w:r w:rsidRPr="00841A7C">
        <w:rPr>
          <w:noProof/>
        </w:rPr>
        <w:fldChar w:fldCharType="begin"/>
      </w:r>
      <w:r w:rsidRPr="00841A7C">
        <w:rPr>
          <w:noProof/>
        </w:rPr>
        <w:instrText xml:space="preserve"> PAGEREF _Toc486251397 \h </w:instrText>
      </w:r>
      <w:r w:rsidRPr="00841A7C">
        <w:rPr>
          <w:noProof/>
        </w:rPr>
      </w:r>
      <w:r w:rsidRPr="00841A7C">
        <w:rPr>
          <w:noProof/>
        </w:rPr>
        <w:fldChar w:fldCharType="separate"/>
      </w:r>
      <w:r w:rsidR="00E25547">
        <w:rPr>
          <w:noProof/>
        </w:rPr>
        <w:t>1</w:t>
      </w:r>
      <w:r w:rsidRPr="00841A7C">
        <w:rPr>
          <w:noProof/>
        </w:rPr>
        <w:fldChar w:fldCharType="end"/>
      </w:r>
    </w:p>
    <w:p w:rsidR="00841A7C" w:rsidRDefault="00841A7C">
      <w:pPr>
        <w:pStyle w:val="TOC5"/>
        <w:rPr>
          <w:rFonts w:asciiTheme="minorHAnsi" w:eastAsiaTheme="minorEastAsia" w:hAnsiTheme="minorHAnsi" w:cstheme="minorBidi"/>
          <w:noProof/>
          <w:kern w:val="0"/>
          <w:sz w:val="22"/>
          <w:szCs w:val="22"/>
        </w:rPr>
      </w:pPr>
      <w:r>
        <w:rPr>
          <w:noProof/>
        </w:rPr>
        <w:t>2</w:t>
      </w:r>
      <w:r>
        <w:rPr>
          <w:noProof/>
        </w:rPr>
        <w:tab/>
        <w:t>Commencement</w:t>
      </w:r>
      <w:r w:rsidRPr="00841A7C">
        <w:rPr>
          <w:noProof/>
        </w:rPr>
        <w:tab/>
      </w:r>
      <w:r w:rsidRPr="00841A7C">
        <w:rPr>
          <w:noProof/>
        </w:rPr>
        <w:fldChar w:fldCharType="begin"/>
      </w:r>
      <w:r w:rsidRPr="00841A7C">
        <w:rPr>
          <w:noProof/>
        </w:rPr>
        <w:instrText xml:space="preserve"> PAGEREF _Toc486251398 \h </w:instrText>
      </w:r>
      <w:r w:rsidRPr="00841A7C">
        <w:rPr>
          <w:noProof/>
        </w:rPr>
      </w:r>
      <w:r w:rsidRPr="00841A7C">
        <w:rPr>
          <w:noProof/>
        </w:rPr>
        <w:fldChar w:fldCharType="separate"/>
      </w:r>
      <w:r w:rsidR="00E25547">
        <w:rPr>
          <w:noProof/>
        </w:rPr>
        <w:t>2</w:t>
      </w:r>
      <w:r w:rsidRPr="00841A7C">
        <w:rPr>
          <w:noProof/>
        </w:rPr>
        <w:fldChar w:fldCharType="end"/>
      </w:r>
    </w:p>
    <w:p w:rsidR="00841A7C" w:rsidRDefault="00841A7C">
      <w:pPr>
        <w:pStyle w:val="TOC5"/>
        <w:rPr>
          <w:rFonts w:asciiTheme="minorHAnsi" w:eastAsiaTheme="minorEastAsia" w:hAnsiTheme="minorHAnsi" w:cstheme="minorBidi"/>
          <w:noProof/>
          <w:kern w:val="0"/>
          <w:sz w:val="22"/>
          <w:szCs w:val="22"/>
        </w:rPr>
      </w:pPr>
      <w:r>
        <w:rPr>
          <w:noProof/>
        </w:rPr>
        <w:t>3</w:t>
      </w:r>
      <w:r>
        <w:rPr>
          <w:noProof/>
        </w:rPr>
        <w:tab/>
        <w:t>Schedules</w:t>
      </w:r>
      <w:r w:rsidRPr="00841A7C">
        <w:rPr>
          <w:noProof/>
        </w:rPr>
        <w:tab/>
      </w:r>
      <w:r w:rsidRPr="00841A7C">
        <w:rPr>
          <w:noProof/>
        </w:rPr>
        <w:fldChar w:fldCharType="begin"/>
      </w:r>
      <w:r w:rsidRPr="00841A7C">
        <w:rPr>
          <w:noProof/>
        </w:rPr>
        <w:instrText xml:space="preserve"> PAGEREF _Toc486251399 \h </w:instrText>
      </w:r>
      <w:r w:rsidRPr="00841A7C">
        <w:rPr>
          <w:noProof/>
        </w:rPr>
      </w:r>
      <w:r w:rsidRPr="00841A7C">
        <w:rPr>
          <w:noProof/>
        </w:rPr>
        <w:fldChar w:fldCharType="separate"/>
      </w:r>
      <w:r w:rsidR="00E25547">
        <w:rPr>
          <w:noProof/>
        </w:rPr>
        <w:t>2</w:t>
      </w:r>
      <w:r w:rsidRPr="00841A7C">
        <w:rPr>
          <w:noProof/>
        </w:rPr>
        <w:fldChar w:fldCharType="end"/>
      </w:r>
    </w:p>
    <w:p w:rsidR="00841A7C" w:rsidRDefault="00841A7C">
      <w:pPr>
        <w:pStyle w:val="TOC6"/>
        <w:rPr>
          <w:rFonts w:asciiTheme="minorHAnsi" w:eastAsiaTheme="minorEastAsia" w:hAnsiTheme="minorHAnsi" w:cstheme="minorBidi"/>
          <w:b w:val="0"/>
          <w:noProof/>
          <w:kern w:val="0"/>
          <w:sz w:val="22"/>
          <w:szCs w:val="22"/>
        </w:rPr>
      </w:pPr>
      <w:r>
        <w:rPr>
          <w:noProof/>
        </w:rPr>
        <w:t>Schedule 1—Amendments</w:t>
      </w:r>
      <w:r w:rsidRPr="00841A7C">
        <w:rPr>
          <w:b w:val="0"/>
          <w:noProof/>
          <w:sz w:val="18"/>
        </w:rPr>
        <w:tab/>
      </w:r>
      <w:r w:rsidRPr="00841A7C">
        <w:rPr>
          <w:b w:val="0"/>
          <w:noProof/>
          <w:sz w:val="18"/>
        </w:rPr>
        <w:fldChar w:fldCharType="begin"/>
      </w:r>
      <w:r w:rsidRPr="00841A7C">
        <w:rPr>
          <w:b w:val="0"/>
          <w:noProof/>
          <w:sz w:val="18"/>
        </w:rPr>
        <w:instrText xml:space="preserve"> PAGEREF _Toc486251400 \h </w:instrText>
      </w:r>
      <w:r w:rsidRPr="00841A7C">
        <w:rPr>
          <w:b w:val="0"/>
          <w:noProof/>
          <w:sz w:val="18"/>
        </w:rPr>
      </w:r>
      <w:r w:rsidRPr="00841A7C">
        <w:rPr>
          <w:b w:val="0"/>
          <w:noProof/>
          <w:sz w:val="18"/>
        </w:rPr>
        <w:fldChar w:fldCharType="separate"/>
      </w:r>
      <w:r w:rsidR="00E25547">
        <w:rPr>
          <w:b w:val="0"/>
          <w:noProof/>
          <w:sz w:val="18"/>
        </w:rPr>
        <w:t>3</w:t>
      </w:r>
      <w:r w:rsidRPr="00841A7C">
        <w:rPr>
          <w:b w:val="0"/>
          <w:noProof/>
          <w:sz w:val="18"/>
        </w:rPr>
        <w:fldChar w:fldCharType="end"/>
      </w:r>
    </w:p>
    <w:p w:rsidR="00841A7C" w:rsidRDefault="00841A7C">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841A7C">
        <w:rPr>
          <w:i w:val="0"/>
          <w:noProof/>
          <w:sz w:val="18"/>
        </w:rPr>
        <w:tab/>
      </w:r>
      <w:r w:rsidRPr="00841A7C">
        <w:rPr>
          <w:i w:val="0"/>
          <w:noProof/>
          <w:sz w:val="18"/>
        </w:rPr>
        <w:fldChar w:fldCharType="begin"/>
      </w:r>
      <w:r w:rsidRPr="00841A7C">
        <w:rPr>
          <w:i w:val="0"/>
          <w:noProof/>
          <w:sz w:val="18"/>
        </w:rPr>
        <w:instrText xml:space="preserve"> PAGEREF _Toc486251401 \h </w:instrText>
      </w:r>
      <w:r w:rsidRPr="00841A7C">
        <w:rPr>
          <w:i w:val="0"/>
          <w:noProof/>
          <w:sz w:val="18"/>
        </w:rPr>
      </w:r>
      <w:r w:rsidRPr="00841A7C">
        <w:rPr>
          <w:i w:val="0"/>
          <w:noProof/>
          <w:sz w:val="18"/>
        </w:rPr>
        <w:fldChar w:fldCharType="separate"/>
      </w:r>
      <w:r w:rsidR="00E25547">
        <w:rPr>
          <w:i w:val="0"/>
          <w:noProof/>
          <w:sz w:val="18"/>
        </w:rPr>
        <w:t>3</w:t>
      </w:r>
      <w:r w:rsidRPr="00841A7C">
        <w:rPr>
          <w:i w:val="0"/>
          <w:noProof/>
          <w:sz w:val="18"/>
        </w:rPr>
        <w:fldChar w:fldCharType="end"/>
      </w:r>
    </w:p>
    <w:p w:rsidR="00841A7C" w:rsidRDefault="00841A7C">
      <w:pPr>
        <w:pStyle w:val="TOC9"/>
        <w:rPr>
          <w:rFonts w:asciiTheme="minorHAnsi" w:eastAsiaTheme="minorEastAsia" w:hAnsiTheme="minorHAnsi" w:cstheme="minorBidi"/>
          <w:i w:val="0"/>
          <w:noProof/>
          <w:kern w:val="0"/>
          <w:sz w:val="22"/>
          <w:szCs w:val="22"/>
        </w:rPr>
      </w:pPr>
      <w:r>
        <w:rPr>
          <w:noProof/>
        </w:rPr>
        <w:t>Financial Sector (Collection of Data) Act 2001</w:t>
      </w:r>
      <w:r w:rsidRPr="00841A7C">
        <w:rPr>
          <w:i w:val="0"/>
          <w:noProof/>
          <w:sz w:val="18"/>
        </w:rPr>
        <w:tab/>
      </w:r>
      <w:r w:rsidRPr="00841A7C">
        <w:rPr>
          <w:i w:val="0"/>
          <w:noProof/>
          <w:sz w:val="18"/>
        </w:rPr>
        <w:fldChar w:fldCharType="begin"/>
      </w:r>
      <w:r w:rsidRPr="00841A7C">
        <w:rPr>
          <w:i w:val="0"/>
          <w:noProof/>
          <w:sz w:val="18"/>
        </w:rPr>
        <w:instrText xml:space="preserve"> PAGEREF _Toc486251402 \h </w:instrText>
      </w:r>
      <w:r w:rsidRPr="00841A7C">
        <w:rPr>
          <w:i w:val="0"/>
          <w:noProof/>
          <w:sz w:val="18"/>
        </w:rPr>
      </w:r>
      <w:r w:rsidRPr="00841A7C">
        <w:rPr>
          <w:i w:val="0"/>
          <w:noProof/>
          <w:sz w:val="18"/>
        </w:rPr>
        <w:fldChar w:fldCharType="separate"/>
      </w:r>
      <w:r w:rsidR="00E25547">
        <w:rPr>
          <w:i w:val="0"/>
          <w:noProof/>
          <w:sz w:val="18"/>
        </w:rPr>
        <w:t>3</w:t>
      </w:r>
      <w:r w:rsidRPr="00841A7C">
        <w:rPr>
          <w:i w:val="0"/>
          <w:noProof/>
          <w:sz w:val="18"/>
        </w:rPr>
        <w:fldChar w:fldCharType="end"/>
      </w:r>
    </w:p>
    <w:p w:rsidR="00841A7C" w:rsidRDefault="00841A7C">
      <w:pPr>
        <w:pStyle w:val="TOC9"/>
        <w:rPr>
          <w:rFonts w:asciiTheme="minorHAnsi" w:eastAsiaTheme="minorEastAsia" w:hAnsiTheme="minorHAnsi" w:cstheme="minorBidi"/>
          <w:i w:val="0"/>
          <w:noProof/>
          <w:kern w:val="0"/>
          <w:sz w:val="22"/>
          <w:szCs w:val="22"/>
        </w:rPr>
      </w:pPr>
      <w:r>
        <w:rPr>
          <w:noProof/>
        </w:rPr>
        <w:t>Income Tax Assessment Act 1997</w:t>
      </w:r>
      <w:r w:rsidRPr="00841A7C">
        <w:rPr>
          <w:i w:val="0"/>
          <w:noProof/>
          <w:sz w:val="18"/>
        </w:rPr>
        <w:tab/>
      </w:r>
      <w:r w:rsidRPr="00841A7C">
        <w:rPr>
          <w:i w:val="0"/>
          <w:noProof/>
          <w:sz w:val="18"/>
        </w:rPr>
        <w:fldChar w:fldCharType="begin"/>
      </w:r>
      <w:r w:rsidRPr="00841A7C">
        <w:rPr>
          <w:i w:val="0"/>
          <w:noProof/>
          <w:sz w:val="18"/>
        </w:rPr>
        <w:instrText xml:space="preserve"> PAGEREF _Toc486251403 \h </w:instrText>
      </w:r>
      <w:r w:rsidRPr="00841A7C">
        <w:rPr>
          <w:i w:val="0"/>
          <w:noProof/>
          <w:sz w:val="18"/>
        </w:rPr>
      </w:r>
      <w:r w:rsidRPr="00841A7C">
        <w:rPr>
          <w:i w:val="0"/>
          <w:noProof/>
          <w:sz w:val="18"/>
        </w:rPr>
        <w:fldChar w:fldCharType="separate"/>
      </w:r>
      <w:r w:rsidR="00E25547">
        <w:rPr>
          <w:i w:val="0"/>
          <w:noProof/>
          <w:sz w:val="18"/>
        </w:rPr>
        <w:t>4</w:t>
      </w:r>
      <w:r w:rsidRPr="00841A7C">
        <w:rPr>
          <w:i w:val="0"/>
          <w:noProof/>
          <w:sz w:val="18"/>
        </w:rPr>
        <w:fldChar w:fldCharType="end"/>
      </w:r>
    </w:p>
    <w:p w:rsidR="00841A7C" w:rsidRDefault="00841A7C">
      <w:pPr>
        <w:pStyle w:val="TOC9"/>
        <w:rPr>
          <w:rFonts w:asciiTheme="minorHAnsi" w:eastAsiaTheme="minorEastAsia" w:hAnsiTheme="minorHAnsi" w:cstheme="minorBidi"/>
          <w:i w:val="0"/>
          <w:noProof/>
          <w:kern w:val="0"/>
          <w:sz w:val="22"/>
          <w:szCs w:val="22"/>
        </w:rPr>
      </w:pPr>
      <w:r>
        <w:rPr>
          <w:noProof/>
        </w:rPr>
        <w:t>Taxation Administration Act 1953</w:t>
      </w:r>
      <w:r w:rsidRPr="00841A7C">
        <w:rPr>
          <w:i w:val="0"/>
          <w:noProof/>
          <w:sz w:val="18"/>
        </w:rPr>
        <w:tab/>
      </w:r>
      <w:r w:rsidRPr="00841A7C">
        <w:rPr>
          <w:i w:val="0"/>
          <w:noProof/>
          <w:sz w:val="18"/>
        </w:rPr>
        <w:fldChar w:fldCharType="begin"/>
      </w:r>
      <w:r w:rsidRPr="00841A7C">
        <w:rPr>
          <w:i w:val="0"/>
          <w:noProof/>
          <w:sz w:val="18"/>
        </w:rPr>
        <w:instrText xml:space="preserve"> PAGEREF _Toc486251405 \h </w:instrText>
      </w:r>
      <w:r w:rsidRPr="00841A7C">
        <w:rPr>
          <w:i w:val="0"/>
          <w:noProof/>
          <w:sz w:val="18"/>
        </w:rPr>
      </w:r>
      <w:r w:rsidRPr="00841A7C">
        <w:rPr>
          <w:i w:val="0"/>
          <w:noProof/>
          <w:sz w:val="18"/>
        </w:rPr>
        <w:fldChar w:fldCharType="separate"/>
      </w:r>
      <w:r w:rsidR="00E25547">
        <w:rPr>
          <w:i w:val="0"/>
          <w:noProof/>
          <w:sz w:val="18"/>
        </w:rPr>
        <w:t>6</w:t>
      </w:r>
      <w:r w:rsidRPr="00841A7C">
        <w:rPr>
          <w:i w:val="0"/>
          <w:noProof/>
          <w:sz w:val="18"/>
        </w:rPr>
        <w:fldChar w:fldCharType="end"/>
      </w:r>
    </w:p>
    <w:p w:rsidR="00055B5C" w:rsidRPr="0096031D" w:rsidRDefault="00841A7C" w:rsidP="0048364F">
      <w:r>
        <w:fldChar w:fldCharType="end"/>
      </w:r>
    </w:p>
    <w:p w:rsidR="00060FF9" w:rsidRPr="0096031D" w:rsidRDefault="00060FF9" w:rsidP="0048364F"/>
    <w:p w:rsidR="00FE7F93" w:rsidRPr="0096031D" w:rsidRDefault="00FE7F93" w:rsidP="0048364F">
      <w:pPr>
        <w:sectPr w:rsidR="00FE7F93" w:rsidRPr="0096031D" w:rsidSect="00434C6C">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434C6C" w:rsidRDefault="00E25547">
      <w:r>
        <w:lastRenderedPageBreak/>
        <w:pict>
          <v:shape id="_x0000_i1027" type="#_x0000_t75" style="width:110.25pt;height:80.25pt" fillcolor="window">
            <v:imagedata r:id="rId9" o:title=""/>
          </v:shape>
        </w:pict>
      </w:r>
    </w:p>
    <w:p w:rsidR="00434C6C" w:rsidRDefault="00434C6C"/>
    <w:p w:rsidR="00434C6C" w:rsidRDefault="00434C6C" w:rsidP="00434C6C">
      <w:pPr>
        <w:spacing w:line="240" w:lineRule="auto"/>
      </w:pPr>
    </w:p>
    <w:p w:rsidR="00434C6C" w:rsidRDefault="00E25547" w:rsidP="00434C6C">
      <w:pPr>
        <w:pStyle w:val="ShortTP1"/>
      </w:pPr>
      <w:r>
        <w:fldChar w:fldCharType="begin"/>
      </w:r>
      <w:r>
        <w:instrText xml:space="preserve"> STYLEREF ShortT </w:instrText>
      </w:r>
      <w:r>
        <w:fldChar w:fldCharType="separate"/>
      </w:r>
      <w:r>
        <w:rPr>
          <w:noProof/>
        </w:rPr>
        <w:t>Treasury Laws Amendment (Major Bank Levy) Act 2017</w:t>
      </w:r>
      <w:r>
        <w:rPr>
          <w:noProof/>
        </w:rPr>
        <w:fldChar w:fldCharType="end"/>
      </w:r>
    </w:p>
    <w:p w:rsidR="00434C6C" w:rsidRDefault="00E25547" w:rsidP="00434C6C">
      <w:pPr>
        <w:pStyle w:val="ActNoP1"/>
      </w:pPr>
      <w:r>
        <w:fldChar w:fldCharType="begin"/>
      </w:r>
      <w:r>
        <w:instrText xml:space="preserve"> STYLEREF Actno </w:instrText>
      </w:r>
      <w:r>
        <w:fldChar w:fldCharType="separate"/>
      </w:r>
      <w:r>
        <w:rPr>
          <w:noProof/>
        </w:rPr>
        <w:t>No. 64, 2017</w:t>
      </w:r>
      <w:r>
        <w:rPr>
          <w:noProof/>
        </w:rPr>
        <w:fldChar w:fldCharType="end"/>
      </w:r>
    </w:p>
    <w:p w:rsidR="00434C6C" w:rsidRPr="009A0728" w:rsidRDefault="00434C6C" w:rsidP="009A0728">
      <w:pPr>
        <w:pBdr>
          <w:bottom w:val="single" w:sz="6" w:space="0" w:color="auto"/>
        </w:pBdr>
        <w:spacing w:before="400" w:line="240" w:lineRule="auto"/>
        <w:rPr>
          <w:rFonts w:eastAsia="Times New Roman"/>
          <w:b/>
          <w:sz w:val="28"/>
        </w:rPr>
      </w:pPr>
    </w:p>
    <w:p w:rsidR="00434C6C" w:rsidRPr="009A0728" w:rsidRDefault="00434C6C" w:rsidP="009A0728">
      <w:pPr>
        <w:spacing w:line="40" w:lineRule="exact"/>
        <w:rPr>
          <w:rFonts w:eastAsia="Calibri"/>
          <w:b/>
          <w:sz w:val="28"/>
        </w:rPr>
      </w:pPr>
    </w:p>
    <w:p w:rsidR="00434C6C" w:rsidRPr="009A0728" w:rsidRDefault="00434C6C" w:rsidP="009A0728">
      <w:pPr>
        <w:pBdr>
          <w:top w:val="single" w:sz="12" w:space="0" w:color="auto"/>
        </w:pBdr>
        <w:spacing w:line="240" w:lineRule="auto"/>
        <w:rPr>
          <w:rFonts w:eastAsia="Times New Roman"/>
          <w:b/>
          <w:sz w:val="28"/>
        </w:rPr>
      </w:pPr>
    </w:p>
    <w:p w:rsidR="0048364F" w:rsidRPr="0096031D" w:rsidRDefault="00434C6C" w:rsidP="0096031D">
      <w:pPr>
        <w:pStyle w:val="Page1"/>
      </w:pPr>
      <w:r>
        <w:t>An Act</w:t>
      </w:r>
      <w:r w:rsidR="0096031D" w:rsidRPr="0096031D">
        <w:t xml:space="preserve"> to amend the law relating to taxation, and for related purposes</w:t>
      </w:r>
    </w:p>
    <w:p w:rsidR="00841A7C" w:rsidRPr="00841A7C" w:rsidRDefault="00841A7C" w:rsidP="00841A7C">
      <w:pPr>
        <w:pStyle w:val="AssentDt"/>
        <w:spacing w:before="240"/>
        <w:rPr>
          <w:sz w:val="24"/>
        </w:rPr>
      </w:pPr>
      <w:r>
        <w:rPr>
          <w:sz w:val="24"/>
        </w:rPr>
        <w:t>[</w:t>
      </w:r>
      <w:r>
        <w:rPr>
          <w:i/>
          <w:sz w:val="24"/>
        </w:rPr>
        <w:t>Assented to 23 June 2017</w:t>
      </w:r>
      <w:r>
        <w:rPr>
          <w:sz w:val="24"/>
        </w:rPr>
        <w:t>]</w:t>
      </w:r>
    </w:p>
    <w:p w:rsidR="0048364F" w:rsidRPr="0096031D" w:rsidRDefault="0048364F" w:rsidP="0096031D">
      <w:pPr>
        <w:spacing w:before="240" w:line="240" w:lineRule="auto"/>
        <w:rPr>
          <w:sz w:val="32"/>
        </w:rPr>
      </w:pPr>
      <w:r w:rsidRPr="0096031D">
        <w:rPr>
          <w:sz w:val="32"/>
        </w:rPr>
        <w:t>The Parliament of Australia enacts:</w:t>
      </w:r>
    </w:p>
    <w:p w:rsidR="0048364F" w:rsidRPr="0096031D" w:rsidRDefault="0048364F" w:rsidP="0096031D">
      <w:pPr>
        <w:pStyle w:val="ActHead5"/>
      </w:pPr>
      <w:bookmarkStart w:id="2" w:name="_Toc486251397"/>
      <w:r w:rsidRPr="0096031D">
        <w:rPr>
          <w:rStyle w:val="CharSectno"/>
        </w:rPr>
        <w:t>1</w:t>
      </w:r>
      <w:r w:rsidRPr="0096031D">
        <w:t xml:space="preserve">  Short title</w:t>
      </w:r>
      <w:bookmarkEnd w:id="2"/>
    </w:p>
    <w:p w:rsidR="0048364F" w:rsidRPr="0096031D" w:rsidRDefault="0048364F" w:rsidP="0096031D">
      <w:pPr>
        <w:pStyle w:val="subsection"/>
      </w:pPr>
      <w:r w:rsidRPr="0096031D">
        <w:tab/>
      </w:r>
      <w:r w:rsidRPr="0096031D">
        <w:tab/>
        <w:t xml:space="preserve">This Act </w:t>
      </w:r>
      <w:r w:rsidR="00275197" w:rsidRPr="0096031D">
        <w:t xml:space="preserve">is </w:t>
      </w:r>
      <w:r w:rsidRPr="0096031D">
        <w:t xml:space="preserve">the </w:t>
      </w:r>
      <w:r w:rsidR="00682936" w:rsidRPr="0096031D">
        <w:rPr>
          <w:i/>
        </w:rPr>
        <w:t>Treasury Laws Amendment (Major Bank Levy)</w:t>
      </w:r>
      <w:r w:rsidR="00C164CA" w:rsidRPr="0096031D">
        <w:rPr>
          <w:i/>
        </w:rPr>
        <w:t xml:space="preserve"> Act 201</w:t>
      </w:r>
      <w:r w:rsidR="00A048FF" w:rsidRPr="0096031D">
        <w:rPr>
          <w:i/>
        </w:rPr>
        <w:t>7</w:t>
      </w:r>
      <w:r w:rsidRPr="0096031D">
        <w:t>.</w:t>
      </w:r>
    </w:p>
    <w:p w:rsidR="0048364F" w:rsidRPr="0096031D" w:rsidRDefault="0048364F" w:rsidP="0096031D">
      <w:pPr>
        <w:pStyle w:val="ActHead5"/>
      </w:pPr>
      <w:bookmarkStart w:id="3" w:name="_Toc486251398"/>
      <w:r w:rsidRPr="0096031D">
        <w:rPr>
          <w:rStyle w:val="CharSectno"/>
        </w:rPr>
        <w:lastRenderedPageBreak/>
        <w:t>2</w:t>
      </w:r>
      <w:r w:rsidRPr="0096031D">
        <w:t xml:space="preserve">  Commencement</w:t>
      </w:r>
      <w:bookmarkEnd w:id="3"/>
    </w:p>
    <w:p w:rsidR="0048364F" w:rsidRPr="0096031D" w:rsidRDefault="0048364F" w:rsidP="0096031D">
      <w:pPr>
        <w:pStyle w:val="subsection"/>
      </w:pPr>
      <w:r w:rsidRPr="0096031D">
        <w:tab/>
        <w:t>(1)</w:t>
      </w:r>
      <w:r w:rsidRPr="0096031D">
        <w:tab/>
        <w:t>Each provision of this Act specified in column 1 of the table commences, or is taken to have commenced, in accordance with column 2 of the table. Any other statement in column 2 has effect according to its terms.</w:t>
      </w:r>
    </w:p>
    <w:p w:rsidR="0048364F" w:rsidRPr="0096031D" w:rsidRDefault="0048364F" w:rsidP="0096031D">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6031D" w:rsidTr="00D110E5">
        <w:trPr>
          <w:tblHeader/>
        </w:trPr>
        <w:tc>
          <w:tcPr>
            <w:tcW w:w="7111" w:type="dxa"/>
            <w:gridSpan w:val="3"/>
            <w:tcBorders>
              <w:top w:val="single" w:sz="12" w:space="0" w:color="auto"/>
              <w:bottom w:val="single" w:sz="6" w:space="0" w:color="auto"/>
            </w:tcBorders>
            <w:shd w:val="clear" w:color="auto" w:fill="auto"/>
          </w:tcPr>
          <w:p w:rsidR="0048364F" w:rsidRPr="0096031D" w:rsidRDefault="0048364F" w:rsidP="0096031D">
            <w:pPr>
              <w:pStyle w:val="TableHeading"/>
            </w:pPr>
            <w:r w:rsidRPr="0096031D">
              <w:t>Commencement information</w:t>
            </w:r>
          </w:p>
        </w:tc>
      </w:tr>
      <w:tr w:rsidR="0048364F" w:rsidRPr="0096031D" w:rsidTr="00D110E5">
        <w:trPr>
          <w:tblHeader/>
        </w:trPr>
        <w:tc>
          <w:tcPr>
            <w:tcW w:w="1701" w:type="dxa"/>
            <w:tcBorders>
              <w:top w:val="single" w:sz="6" w:space="0" w:color="auto"/>
              <w:bottom w:val="single" w:sz="6" w:space="0" w:color="auto"/>
            </w:tcBorders>
            <w:shd w:val="clear" w:color="auto" w:fill="auto"/>
          </w:tcPr>
          <w:p w:rsidR="0048364F" w:rsidRPr="0096031D" w:rsidRDefault="0048364F" w:rsidP="0096031D">
            <w:pPr>
              <w:pStyle w:val="TableHeading"/>
            </w:pPr>
            <w:r w:rsidRPr="0096031D">
              <w:t>Column 1</w:t>
            </w:r>
          </w:p>
        </w:tc>
        <w:tc>
          <w:tcPr>
            <w:tcW w:w="3828" w:type="dxa"/>
            <w:tcBorders>
              <w:top w:val="single" w:sz="6" w:space="0" w:color="auto"/>
              <w:bottom w:val="single" w:sz="6" w:space="0" w:color="auto"/>
            </w:tcBorders>
            <w:shd w:val="clear" w:color="auto" w:fill="auto"/>
          </w:tcPr>
          <w:p w:rsidR="0048364F" w:rsidRPr="0096031D" w:rsidRDefault="0048364F" w:rsidP="0096031D">
            <w:pPr>
              <w:pStyle w:val="TableHeading"/>
            </w:pPr>
            <w:r w:rsidRPr="0096031D">
              <w:t>Column 2</w:t>
            </w:r>
          </w:p>
        </w:tc>
        <w:tc>
          <w:tcPr>
            <w:tcW w:w="1582" w:type="dxa"/>
            <w:tcBorders>
              <w:top w:val="single" w:sz="6" w:space="0" w:color="auto"/>
              <w:bottom w:val="single" w:sz="6" w:space="0" w:color="auto"/>
            </w:tcBorders>
            <w:shd w:val="clear" w:color="auto" w:fill="auto"/>
          </w:tcPr>
          <w:p w:rsidR="0048364F" w:rsidRPr="0096031D" w:rsidRDefault="0048364F" w:rsidP="0096031D">
            <w:pPr>
              <w:pStyle w:val="TableHeading"/>
            </w:pPr>
            <w:r w:rsidRPr="0096031D">
              <w:t>Column 3</w:t>
            </w:r>
          </w:p>
        </w:tc>
      </w:tr>
      <w:tr w:rsidR="0048364F" w:rsidRPr="0096031D" w:rsidTr="00D110E5">
        <w:trPr>
          <w:tblHeader/>
        </w:trPr>
        <w:tc>
          <w:tcPr>
            <w:tcW w:w="1701" w:type="dxa"/>
            <w:tcBorders>
              <w:top w:val="single" w:sz="6" w:space="0" w:color="auto"/>
              <w:bottom w:val="single" w:sz="12" w:space="0" w:color="auto"/>
            </w:tcBorders>
            <w:shd w:val="clear" w:color="auto" w:fill="auto"/>
          </w:tcPr>
          <w:p w:rsidR="0048364F" w:rsidRPr="0096031D" w:rsidRDefault="0048364F" w:rsidP="0096031D">
            <w:pPr>
              <w:pStyle w:val="TableHeading"/>
            </w:pPr>
            <w:r w:rsidRPr="0096031D">
              <w:t>Provisions</w:t>
            </w:r>
          </w:p>
        </w:tc>
        <w:tc>
          <w:tcPr>
            <w:tcW w:w="3828" w:type="dxa"/>
            <w:tcBorders>
              <w:top w:val="single" w:sz="6" w:space="0" w:color="auto"/>
              <w:bottom w:val="single" w:sz="12" w:space="0" w:color="auto"/>
            </w:tcBorders>
            <w:shd w:val="clear" w:color="auto" w:fill="auto"/>
          </w:tcPr>
          <w:p w:rsidR="0048364F" w:rsidRPr="0096031D" w:rsidRDefault="0048364F" w:rsidP="0096031D">
            <w:pPr>
              <w:pStyle w:val="TableHeading"/>
            </w:pPr>
            <w:r w:rsidRPr="0096031D">
              <w:t>Commencement</w:t>
            </w:r>
          </w:p>
        </w:tc>
        <w:tc>
          <w:tcPr>
            <w:tcW w:w="1582" w:type="dxa"/>
            <w:tcBorders>
              <w:top w:val="single" w:sz="6" w:space="0" w:color="auto"/>
              <w:bottom w:val="single" w:sz="12" w:space="0" w:color="auto"/>
            </w:tcBorders>
            <w:shd w:val="clear" w:color="auto" w:fill="auto"/>
          </w:tcPr>
          <w:p w:rsidR="0048364F" w:rsidRPr="0096031D" w:rsidRDefault="0048364F" w:rsidP="0096031D">
            <w:pPr>
              <w:pStyle w:val="TableHeading"/>
            </w:pPr>
            <w:r w:rsidRPr="0096031D">
              <w:t>Date/Details</w:t>
            </w:r>
          </w:p>
        </w:tc>
      </w:tr>
      <w:tr w:rsidR="0048364F" w:rsidRPr="0096031D" w:rsidTr="00D110E5">
        <w:tc>
          <w:tcPr>
            <w:tcW w:w="1701" w:type="dxa"/>
            <w:tcBorders>
              <w:top w:val="single" w:sz="12" w:space="0" w:color="auto"/>
              <w:bottom w:val="single" w:sz="2" w:space="0" w:color="auto"/>
            </w:tcBorders>
            <w:shd w:val="clear" w:color="auto" w:fill="auto"/>
          </w:tcPr>
          <w:p w:rsidR="0048364F" w:rsidRPr="0096031D" w:rsidRDefault="0048364F" w:rsidP="0096031D">
            <w:pPr>
              <w:pStyle w:val="Tabletext"/>
            </w:pPr>
            <w:r w:rsidRPr="0096031D">
              <w:t>1.  Sections</w:t>
            </w:r>
            <w:r w:rsidR="0096031D" w:rsidRPr="0096031D">
              <w:t> </w:t>
            </w:r>
            <w:r w:rsidRPr="0096031D">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96031D" w:rsidRDefault="0048364F" w:rsidP="0096031D">
            <w:pPr>
              <w:pStyle w:val="Tabletext"/>
            </w:pPr>
            <w:r w:rsidRPr="0096031D">
              <w:t>The day this Act receives the Royal Assent.</w:t>
            </w:r>
          </w:p>
        </w:tc>
        <w:tc>
          <w:tcPr>
            <w:tcW w:w="1582" w:type="dxa"/>
            <w:tcBorders>
              <w:top w:val="single" w:sz="12" w:space="0" w:color="auto"/>
              <w:bottom w:val="single" w:sz="2" w:space="0" w:color="auto"/>
            </w:tcBorders>
            <w:shd w:val="clear" w:color="auto" w:fill="auto"/>
          </w:tcPr>
          <w:p w:rsidR="0048364F" w:rsidRPr="0096031D" w:rsidRDefault="00841A7C" w:rsidP="0096031D">
            <w:pPr>
              <w:pStyle w:val="Tabletext"/>
            </w:pPr>
            <w:r>
              <w:t>23 June 2017</w:t>
            </w:r>
          </w:p>
        </w:tc>
      </w:tr>
      <w:tr w:rsidR="00D110E5" w:rsidRPr="0096031D" w:rsidTr="00D110E5">
        <w:tc>
          <w:tcPr>
            <w:tcW w:w="1701" w:type="dxa"/>
            <w:tcBorders>
              <w:top w:val="single" w:sz="2" w:space="0" w:color="auto"/>
              <w:bottom w:val="single" w:sz="12" w:space="0" w:color="auto"/>
            </w:tcBorders>
            <w:shd w:val="clear" w:color="auto" w:fill="auto"/>
          </w:tcPr>
          <w:p w:rsidR="00D110E5" w:rsidRPr="0096031D" w:rsidRDefault="00D110E5" w:rsidP="0096031D">
            <w:pPr>
              <w:pStyle w:val="Tabletext"/>
            </w:pPr>
            <w:r w:rsidRPr="0096031D">
              <w:t>2.  Schedule</w:t>
            </w:r>
            <w:r w:rsidR="0096031D" w:rsidRPr="0096031D">
              <w:t> </w:t>
            </w:r>
            <w:r w:rsidRPr="0096031D">
              <w:t>1</w:t>
            </w:r>
          </w:p>
        </w:tc>
        <w:tc>
          <w:tcPr>
            <w:tcW w:w="3828" w:type="dxa"/>
            <w:tcBorders>
              <w:top w:val="single" w:sz="2" w:space="0" w:color="auto"/>
              <w:bottom w:val="single" w:sz="12" w:space="0" w:color="auto"/>
            </w:tcBorders>
            <w:shd w:val="clear" w:color="auto" w:fill="auto"/>
          </w:tcPr>
          <w:p w:rsidR="00D110E5" w:rsidRPr="0096031D" w:rsidRDefault="00D110E5" w:rsidP="0096031D">
            <w:pPr>
              <w:pStyle w:val="Tabletext"/>
            </w:pPr>
            <w:r w:rsidRPr="0096031D">
              <w:t xml:space="preserve">At the same time as the </w:t>
            </w:r>
            <w:r w:rsidRPr="0096031D">
              <w:rPr>
                <w:i/>
              </w:rPr>
              <w:t>Major Bank Levy Act 2017</w:t>
            </w:r>
            <w:r w:rsidRPr="0096031D">
              <w:t xml:space="preserve"> commences.</w:t>
            </w:r>
          </w:p>
          <w:p w:rsidR="00D110E5" w:rsidRPr="0096031D" w:rsidRDefault="00D110E5" w:rsidP="0096031D">
            <w:pPr>
              <w:pStyle w:val="Tabletext"/>
            </w:pPr>
            <w:r w:rsidRPr="0096031D">
              <w:t>However, the provisions do not commence at all if that Act does not commence.</w:t>
            </w:r>
          </w:p>
        </w:tc>
        <w:tc>
          <w:tcPr>
            <w:tcW w:w="1582" w:type="dxa"/>
            <w:tcBorders>
              <w:top w:val="single" w:sz="2" w:space="0" w:color="auto"/>
              <w:bottom w:val="single" w:sz="12" w:space="0" w:color="auto"/>
            </w:tcBorders>
            <w:shd w:val="clear" w:color="auto" w:fill="auto"/>
          </w:tcPr>
          <w:p w:rsidR="00D110E5" w:rsidRPr="0096031D" w:rsidRDefault="00841A7C" w:rsidP="0096031D">
            <w:pPr>
              <w:pStyle w:val="Tabletext"/>
            </w:pPr>
            <w:r>
              <w:t>24 June 2017</w:t>
            </w:r>
          </w:p>
        </w:tc>
      </w:tr>
    </w:tbl>
    <w:p w:rsidR="0048364F" w:rsidRPr="0096031D" w:rsidRDefault="00201D27" w:rsidP="0096031D">
      <w:pPr>
        <w:pStyle w:val="notetext"/>
      </w:pPr>
      <w:r w:rsidRPr="0096031D">
        <w:t>Note:</w:t>
      </w:r>
      <w:r w:rsidRPr="0096031D">
        <w:tab/>
        <w:t>This table relates only to the provisions of this Act as originally enacted. It will not be amended to deal with any later amendments of this Act.</w:t>
      </w:r>
    </w:p>
    <w:p w:rsidR="0048364F" w:rsidRPr="0096031D" w:rsidRDefault="0048364F" w:rsidP="0096031D">
      <w:pPr>
        <w:pStyle w:val="subsection"/>
      </w:pPr>
      <w:r w:rsidRPr="0096031D">
        <w:tab/>
        <w:t>(2)</w:t>
      </w:r>
      <w:r w:rsidRPr="0096031D">
        <w:tab/>
      </w:r>
      <w:r w:rsidR="00201D27" w:rsidRPr="0096031D">
        <w:t xml:space="preserve">Any information in </w:t>
      </w:r>
      <w:r w:rsidR="00877D48" w:rsidRPr="0096031D">
        <w:t>c</w:t>
      </w:r>
      <w:r w:rsidR="00201D27" w:rsidRPr="0096031D">
        <w:t>olumn 3 of the table is not part of this Act. Information may be inserted in this column, or information in it may be edited, in any published version of this Act.</w:t>
      </w:r>
    </w:p>
    <w:p w:rsidR="0048364F" w:rsidRPr="0096031D" w:rsidRDefault="0048364F" w:rsidP="0096031D">
      <w:pPr>
        <w:pStyle w:val="ActHead5"/>
      </w:pPr>
      <w:bookmarkStart w:id="4" w:name="_Toc486251399"/>
      <w:r w:rsidRPr="0096031D">
        <w:rPr>
          <w:rStyle w:val="CharSectno"/>
        </w:rPr>
        <w:t>3</w:t>
      </w:r>
      <w:r w:rsidRPr="0096031D">
        <w:t xml:space="preserve">  Schedules</w:t>
      </w:r>
      <w:bookmarkEnd w:id="4"/>
    </w:p>
    <w:p w:rsidR="0048364F" w:rsidRPr="0096031D" w:rsidRDefault="0048364F" w:rsidP="0096031D">
      <w:pPr>
        <w:pStyle w:val="subsection"/>
      </w:pPr>
      <w:r w:rsidRPr="0096031D">
        <w:tab/>
      </w:r>
      <w:r w:rsidRPr="0096031D">
        <w:tab/>
      </w:r>
      <w:r w:rsidR="00202618" w:rsidRPr="0096031D">
        <w:t>Legislation that is specified in a Schedule to this Act is amended or repealed as set out in the applicable items in the Schedule concerned, and any other item in a Schedule to this Act has effect according to its terms.</w:t>
      </w:r>
    </w:p>
    <w:p w:rsidR="0048364F" w:rsidRPr="0096031D" w:rsidRDefault="0048364F" w:rsidP="0096031D">
      <w:pPr>
        <w:pStyle w:val="ActHead6"/>
        <w:pageBreakBefore/>
      </w:pPr>
      <w:bookmarkStart w:id="5" w:name="opcAmSched"/>
      <w:bookmarkStart w:id="6" w:name="opcCurrentFind"/>
      <w:bookmarkStart w:id="7" w:name="_Toc486251400"/>
      <w:r w:rsidRPr="0096031D">
        <w:rPr>
          <w:rStyle w:val="CharAmSchNo"/>
        </w:rPr>
        <w:lastRenderedPageBreak/>
        <w:t>Schedule</w:t>
      </w:r>
      <w:r w:rsidR="0096031D" w:rsidRPr="0096031D">
        <w:rPr>
          <w:rStyle w:val="CharAmSchNo"/>
        </w:rPr>
        <w:t> </w:t>
      </w:r>
      <w:r w:rsidRPr="0096031D">
        <w:rPr>
          <w:rStyle w:val="CharAmSchNo"/>
        </w:rPr>
        <w:t>1</w:t>
      </w:r>
      <w:r w:rsidRPr="0096031D">
        <w:t>—</w:t>
      </w:r>
      <w:r w:rsidR="00682936" w:rsidRPr="0096031D">
        <w:rPr>
          <w:rStyle w:val="CharAmSchText"/>
        </w:rPr>
        <w:t>Amendments</w:t>
      </w:r>
      <w:bookmarkEnd w:id="7"/>
    </w:p>
    <w:bookmarkEnd w:id="5"/>
    <w:bookmarkEnd w:id="6"/>
    <w:p w:rsidR="0048364F" w:rsidRPr="0096031D" w:rsidRDefault="00682936" w:rsidP="0096031D">
      <w:pPr>
        <w:pStyle w:val="Header"/>
      </w:pPr>
      <w:r w:rsidRPr="0096031D">
        <w:rPr>
          <w:rStyle w:val="CharAmPartNo"/>
        </w:rPr>
        <w:t xml:space="preserve"> </w:t>
      </w:r>
      <w:r w:rsidRPr="0096031D">
        <w:rPr>
          <w:rStyle w:val="CharAmPartText"/>
        </w:rPr>
        <w:t xml:space="preserve"> </w:t>
      </w:r>
    </w:p>
    <w:p w:rsidR="00AC66DE" w:rsidRPr="0096031D" w:rsidRDefault="00AC0CAF" w:rsidP="0096031D">
      <w:pPr>
        <w:pStyle w:val="ActHead9"/>
        <w:rPr>
          <w:i w:val="0"/>
        </w:rPr>
      </w:pPr>
      <w:bookmarkStart w:id="8" w:name="_Toc486251401"/>
      <w:r w:rsidRPr="0096031D">
        <w:t>Australian Prudential Regulation Authority Act 1998</w:t>
      </w:r>
      <w:bookmarkEnd w:id="8"/>
    </w:p>
    <w:p w:rsidR="00BB2BD4" w:rsidRPr="0096031D" w:rsidRDefault="00D110E5" w:rsidP="0096031D">
      <w:pPr>
        <w:pStyle w:val="ItemHead"/>
      </w:pPr>
      <w:r w:rsidRPr="0096031D">
        <w:t>1</w:t>
      </w:r>
      <w:r w:rsidR="00AC0CAF" w:rsidRPr="0096031D">
        <w:t xml:space="preserve">  After subsection</w:t>
      </w:r>
      <w:r w:rsidR="0096031D" w:rsidRPr="0096031D">
        <w:t> </w:t>
      </w:r>
      <w:r w:rsidR="00AC0CAF" w:rsidRPr="0096031D">
        <w:t>56(5</w:t>
      </w:r>
      <w:r w:rsidR="007F4D3B" w:rsidRPr="0096031D">
        <w:t>C</w:t>
      </w:r>
      <w:r w:rsidR="00AC0CAF" w:rsidRPr="0096031D">
        <w:t>)</w:t>
      </w:r>
    </w:p>
    <w:p w:rsidR="00AC0CAF" w:rsidRPr="0096031D" w:rsidRDefault="00AC0CAF" w:rsidP="0096031D">
      <w:pPr>
        <w:pStyle w:val="Item"/>
      </w:pPr>
      <w:r w:rsidRPr="0096031D">
        <w:t>Insert:</w:t>
      </w:r>
    </w:p>
    <w:p w:rsidR="00AC0CAF" w:rsidRPr="0096031D" w:rsidRDefault="00AC0CAF" w:rsidP="0096031D">
      <w:pPr>
        <w:pStyle w:val="subsection"/>
      </w:pPr>
      <w:r w:rsidRPr="0096031D">
        <w:tab/>
        <w:t>(5</w:t>
      </w:r>
      <w:r w:rsidR="007F4D3B" w:rsidRPr="0096031D">
        <w:t>D</w:t>
      </w:r>
      <w:r w:rsidRPr="0096031D">
        <w:t>)</w:t>
      </w:r>
      <w:r w:rsidRPr="0096031D">
        <w:tab/>
        <w:t>It is not an offence if the production by a person of a document that was given to APRA under section</w:t>
      </w:r>
      <w:r w:rsidR="0096031D" w:rsidRPr="0096031D">
        <w:t> </w:t>
      </w:r>
      <w:r w:rsidRPr="0096031D">
        <w:t xml:space="preserve">13 of the </w:t>
      </w:r>
      <w:r w:rsidRPr="0096031D">
        <w:rPr>
          <w:i/>
        </w:rPr>
        <w:t>Financial Sector (Collection of Data) Act 2001</w:t>
      </w:r>
      <w:r w:rsidRPr="0096031D">
        <w:t xml:space="preserve"> is to the Commissioner of Taxation for the purposes of the </w:t>
      </w:r>
      <w:r w:rsidRPr="0096031D">
        <w:rPr>
          <w:i/>
        </w:rPr>
        <w:t>Major Bank Levy Act 2017</w:t>
      </w:r>
      <w:r w:rsidRPr="0096031D">
        <w:t xml:space="preserve"> (including the administration of that Act).</w:t>
      </w:r>
    </w:p>
    <w:p w:rsidR="00076C9D" w:rsidRPr="0096031D" w:rsidRDefault="00076C9D" w:rsidP="0096031D">
      <w:pPr>
        <w:pStyle w:val="notetext"/>
      </w:pPr>
      <w:r w:rsidRPr="0096031D">
        <w:t>Note:</w:t>
      </w:r>
      <w:r w:rsidRPr="0096031D">
        <w:tab/>
        <w:t xml:space="preserve">A defendant bears an evidential burden in relation to matters in </w:t>
      </w:r>
      <w:r w:rsidR="0096031D" w:rsidRPr="0096031D">
        <w:t>subsection (</w:t>
      </w:r>
      <w:r w:rsidRPr="0096031D">
        <w:t>5</w:t>
      </w:r>
      <w:r w:rsidR="007F4D3B" w:rsidRPr="0096031D">
        <w:t>D</w:t>
      </w:r>
      <w:r w:rsidRPr="0096031D">
        <w:t>) (see subsection</w:t>
      </w:r>
      <w:r w:rsidR="0096031D" w:rsidRPr="0096031D">
        <w:t> </w:t>
      </w:r>
      <w:r w:rsidRPr="0096031D">
        <w:t xml:space="preserve">13.3(3) of the </w:t>
      </w:r>
      <w:r w:rsidRPr="0096031D">
        <w:rPr>
          <w:i/>
        </w:rPr>
        <w:t>Criminal Code</w:t>
      </w:r>
      <w:r w:rsidRPr="0096031D">
        <w:t>).</w:t>
      </w:r>
    </w:p>
    <w:p w:rsidR="00076C9D" w:rsidRPr="0096031D" w:rsidRDefault="00F836FB" w:rsidP="0096031D">
      <w:pPr>
        <w:pStyle w:val="ActHead9"/>
        <w:rPr>
          <w:i w:val="0"/>
        </w:rPr>
      </w:pPr>
      <w:bookmarkStart w:id="9" w:name="_Toc486251402"/>
      <w:r w:rsidRPr="0096031D">
        <w:t>Financial Sector (Collection of Data) Act 2001</w:t>
      </w:r>
      <w:bookmarkEnd w:id="9"/>
    </w:p>
    <w:p w:rsidR="00EA09D2" w:rsidRPr="0096031D" w:rsidRDefault="00D110E5" w:rsidP="0096031D">
      <w:pPr>
        <w:pStyle w:val="ItemHead"/>
      </w:pPr>
      <w:r w:rsidRPr="0096031D">
        <w:t>2</w:t>
      </w:r>
      <w:r w:rsidR="00EA09D2" w:rsidRPr="0096031D">
        <w:t xml:space="preserve">  At the end of subsection</w:t>
      </w:r>
      <w:r w:rsidR="0096031D" w:rsidRPr="0096031D">
        <w:t> </w:t>
      </w:r>
      <w:r w:rsidR="00EA09D2" w:rsidRPr="0096031D">
        <w:t>3(1)</w:t>
      </w:r>
    </w:p>
    <w:p w:rsidR="00EA09D2" w:rsidRPr="0096031D" w:rsidRDefault="00EA09D2" w:rsidP="0096031D">
      <w:pPr>
        <w:pStyle w:val="Item"/>
      </w:pPr>
      <w:r w:rsidRPr="0096031D">
        <w:t>Add:</w:t>
      </w:r>
    </w:p>
    <w:p w:rsidR="00EA09D2" w:rsidRPr="0096031D" w:rsidRDefault="00EA09D2" w:rsidP="0096031D">
      <w:pPr>
        <w:pStyle w:val="paragraph"/>
      </w:pPr>
      <w:r w:rsidRPr="0096031D">
        <w:tab/>
        <w:t>; and (d)</w:t>
      </w:r>
      <w:r w:rsidRPr="0096031D">
        <w:tab/>
      </w:r>
      <w:r w:rsidR="000000C8" w:rsidRPr="0096031D">
        <w:t>reporting</w:t>
      </w:r>
      <w:r w:rsidRPr="0096031D">
        <w:t xml:space="preserve"> amounts for the purposes of the </w:t>
      </w:r>
      <w:r w:rsidRPr="0096031D">
        <w:rPr>
          <w:i/>
        </w:rPr>
        <w:t>Major Bank Levy Act 2017</w:t>
      </w:r>
      <w:r w:rsidRPr="0096031D">
        <w:t>.</w:t>
      </w:r>
    </w:p>
    <w:p w:rsidR="00D110E5" w:rsidRPr="0096031D" w:rsidRDefault="00D110E5" w:rsidP="0096031D">
      <w:pPr>
        <w:pStyle w:val="ItemHead"/>
      </w:pPr>
      <w:r w:rsidRPr="0096031D">
        <w:t>3  After subsection</w:t>
      </w:r>
      <w:r w:rsidR="0096031D" w:rsidRPr="0096031D">
        <w:t> </w:t>
      </w:r>
      <w:r w:rsidRPr="0096031D">
        <w:t>13(2A)</w:t>
      </w:r>
    </w:p>
    <w:p w:rsidR="00D110E5" w:rsidRPr="0096031D" w:rsidRDefault="00D110E5" w:rsidP="0096031D">
      <w:pPr>
        <w:pStyle w:val="Item"/>
      </w:pPr>
      <w:r w:rsidRPr="0096031D">
        <w:t>Insert:</w:t>
      </w:r>
    </w:p>
    <w:p w:rsidR="00D110E5" w:rsidRPr="0096031D" w:rsidRDefault="00D110E5" w:rsidP="0096031D">
      <w:pPr>
        <w:pStyle w:val="subsection"/>
      </w:pPr>
      <w:r w:rsidRPr="0096031D">
        <w:tab/>
        <w:t>(2B)</w:t>
      </w:r>
      <w:r w:rsidRPr="0096031D">
        <w:tab/>
        <w:t>Without limiting the matters that may be included in the reporting standards, the matters may relate to</w:t>
      </w:r>
      <w:r w:rsidR="009077A2" w:rsidRPr="0096031D">
        <w:t xml:space="preserve"> reporting of amounts for the purposes of the </w:t>
      </w:r>
      <w:r w:rsidR="009077A2" w:rsidRPr="0096031D">
        <w:rPr>
          <w:i/>
        </w:rPr>
        <w:t>Major Bank Levy Act 2017</w:t>
      </w:r>
      <w:r w:rsidR="009077A2" w:rsidRPr="0096031D">
        <w:t>.</w:t>
      </w:r>
    </w:p>
    <w:p w:rsidR="00D110E5" w:rsidRPr="0096031D" w:rsidRDefault="00D110E5" w:rsidP="0096031D">
      <w:pPr>
        <w:pStyle w:val="subsection"/>
      </w:pPr>
      <w:r w:rsidRPr="0096031D">
        <w:tab/>
        <w:t>(2C)</w:t>
      </w:r>
      <w:r w:rsidRPr="0096031D">
        <w:tab/>
        <w:t xml:space="preserve">A reporting standard made under this section may make provision in relation to a matter mentioned in </w:t>
      </w:r>
      <w:r w:rsidR="0096031D" w:rsidRPr="0096031D">
        <w:t>subsection (</w:t>
      </w:r>
      <w:r w:rsidRPr="0096031D">
        <w:t>2B) by applying, adopting or incorporating any matter contained in any other instrument or writing as in force or existing from time to time.</w:t>
      </w:r>
    </w:p>
    <w:p w:rsidR="00D110E5" w:rsidRPr="0096031D" w:rsidRDefault="00D110E5" w:rsidP="0096031D">
      <w:pPr>
        <w:pStyle w:val="subsection"/>
      </w:pPr>
      <w:r w:rsidRPr="0096031D">
        <w:tab/>
        <w:t>(2D)</w:t>
      </w:r>
      <w:r w:rsidRPr="0096031D">
        <w:tab/>
      </w:r>
      <w:r w:rsidR="0096031D" w:rsidRPr="0096031D">
        <w:t>Subsection (</w:t>
      </w:r>
      <w:r w:rsidRPr="0096031D">
        <w:t>2C) has effect despite anything in subsection</w:t>
      </w:r>
      <w:r w:rsidR="0096031D" w:rsidRPr="0096031D">
        <w:t> </w:t>
      </w:r>
      <w:r w:rsidRPr="0096031D">
        <w:t xml:space="preserve">14(2) of the </w:t>
      </w:r>
      <w:r w:rsidRPr="0096031D">
        <w:rPr>
          <w:i/>
        </w:rPr>
        <w:t>Legislation Act 2003</w:t>
      </w:r>
      <w:r w:rsidRPr="0096031D">
        <w:t>.</w:t>
      </w:r>
    </w:p>
    <w:p w:rsidR="00AC66DE" w:rsidRPr="0096031D" w:rsidRDefault="00AC66DE" w:rsidP="0096031D">
      <w:pPr>
        <w:pStyle w:val="ActHead9"/>
        <w:rPr>
          <w:i w:val="0"/>
        </w:rPr>
      </w:pPr>
      <w:bookmarkStart w:id="10" w:name="_Toc486251403"/>
      <w:r w:rsidRPr="0096031D">
        <w:lastRenderedPageBreak/>
        <w:t>Income Tax Assessment Act 1997</w:t>
      </w:r>
      <w:bookmarkEnd w:id="10"/>
    </w:p>
    <w:p w:rsidR="001751F0" w:rsidRPr="0096031D" w:rsidRDefault="00D110E5" w:rsidP="0096031D">
      <w:pPr>
        <w:pStyle w:val="ItemHead"/>
      </w:pPr>
      <w:r w:rsidRPr="0096031D">
        <w:t>4</w:t>
      </w:r>
      <w:r w:rsidR="001751F0" w:rsidRPr="0096031D">
        <w:t xml:space="preserve">  </w:t>
      </w:r>
      <w:r w:rsidR="00EA4A7F" w:rsidRPr="0096031D">
        <w:t>After paragraph</w:t>
      </w:r>
      <w:r w:rsidR="0096031D" w:rsidRPr="0096031D">
        <w:t> </w:t>
      </w:r>
      <w:r w:rsidR="00EA4A7F" w:rsidRPr="0096031D">
        <w:t>25</w:t>
      </w:r>
      <w:r w:rsidR="00790BFB">
        <w:noBreakHyphen/>
      </w:r>
      <w:r w:rsidR="00EA4A7F" w:rsidRPr="0096031D">
        <w:t>5(1)(ca)</w:t>
      </w:r>
    </w:p>
    <w:p w:rsidR="00EA4A7F" w:rsidRPr="0096031D" w:rsidRDefault="00EA4A7F" w:rsidP="0096031D">
      <w:pPr>
        <w:pStyle w:val="Item"/>
      </w:pPr>
      <w:r w:rsidRPr="0096031D">
        <w:t>Insert:</w:t>
      </w:r>
    </w:p>
    <w:p w:rsidR="00EA4A7F" w:rsidRPr="0096031D" w:rsidRDefault="00EA4A7F" w:rsidP="0096031D">
      <w:pPr>
        <w:pStyle w:val="paragraph"/>
      </w:pPr>
      <w:r w:rsidRPr="0096031D">
        <w:tab/>
        <w:t>(</w:t>
      </w:r>
      <w:proofErr w:type="spellStart"/>
      <w:r w:rsidRPr="0096031D">
        <w:t>cb</w:t>
      </w:r>
      <w:proofErr w:type="spellEnd"/>
      <w:r w:rsidRPr="0096031D">
        <w:t>)</w:t>
      </w:r>
      <w:r w:rsidRPr="0096031D">
        <w:tab/>
        <w:t xml:space="preserve">levy under the </w:t>
      </w:r>
      <w:r w:rsidRPr="0096031D">
        <w:rPr>
          <w:i/>
        </w:rPr>
        <w:t>Major Bank Levy Act 2017</w:t>
      </w:r>
      <w:r w:rsidRPr="0096031D">
        <w:t>; or</w:t>
      </w:r>
    </w:p>
    <w:p w:rsidR="00AC66DE" w:rsidRPr="0096031D" w:rsidRDefault="00D110E5" w:rsidP="0096031D">
      <w:pPr>
        <w:pStyle w:val="ItemHead"/>
      </w:pPr>
      <w:r w:rsidRPr="0096031D">
        <w:t>5</w:t>
      </w:r>
      <w:r w:rsidR="00BD1B9F" w:rsidRPr="0096031D">
        <w:t xml:space="preserve">  Section</w:t>
      </w:r>
      <w:r w:rsidR="0096031D" w:rsidRPr="0096031D">
        <w:t> </w:t>
      </w:r>
      <w:r w:rsidR="00BD1B9F" w:rsidRPr="0096031D">
        <w:t>960</w:t>
      </w:r>
      <w:r w:rsidR="00790BFB">
        <w:noBreakHyphen/>
      </w:r>
      <w:r w:rsidR="00BD1B9F" w:rsidRPr="0096031D">
        <w:t>265 (at the end of the table)</w:t>
      </w:r>
    </w:p>
    <w:p w:rsidR="00BD1B9F" w:rsidRPr="0096031D" w:rsidRDefault="00BD1B9F" w:rsidP="0096031D">
      <w:pPr>
        <w:pStyle w:val="Item"/>
      </w:pPr>
      <w:r w:rsidRPr="0096031D">
        <w:t>Add:</w:t>
      </w:r>
    </w:p>
    <w:tbl>
      <w:tblPr>
        <w:tblW w:w="7258" w:type="dxa"/>
        <w:tblInd w:w="80" w:type="dxa"/>
        <w:tblLayout w:type="fixed"/>
        <w:tblCellMar>
          <w:left w:w="107" w:type="dxa"/>
          <w:right w:w="107" w:type="dxa"/>
        </w:tblCellMar>
        <w:tblLook w:val="0000" w:firstRow="0" w:lastRow="0" w:firstColumn="0" w:lastColumn="0" w:noHBand="0" w:noVBand="0"/>
      </w:tblPr>
      <w:tblGrid>
        <w:gridCol w:w="616"/>
        <w:gridCol w:w="4374"/>
        <w:gridCol w:w="2268"/>
      </w:tblGrid>
      <w:tr w:rsidR="00BD1B9F" w:rsidRPr="0096031D" w:rsidTr="00BD1B9F">
        <w:trPr>
          <w:cantSplit/>
        </w:trPr>
        <w:tc>
          <w:tcPr>
            <w:tcW w:w="616" w:type="dxa"/>
          </w:tcPr>
          <w:p w:rsidR="00BD1B9F" w:rsidRPr="0096031D" w:rsidRDefault="00BD1B9F" w:rsidP="0096031D">
            <w:pPr>
              <w:pStyle w:val="Tabletext"/>
            </w:pPr>
            <w:r w:rsidRPr="0096031D">
              <w:t>14</w:t>
            </w:r>
          </w:p>
        </w:tc>
        <w:tc>
          <w:tcPr>
            <w:tcW w:w="4374" w:type="dxa"/>
          </w:tcPr>
          <w:p w:rsidR="00BD1B9F" w:rsidRPr="0096031D" w:rsidRDefault="00BD1B9F" w:rsidP="0096031D">
            <w:pPr>
              <w:pStyle w:val="Tabletext"/>
              <w:rPr>
                <w:position w:val="6"/>
                <w:sz w:val="16"/>
              </w:rPr>
            </w:pPr>
            <w:r w:rsidRPr="0096031D">
              <w:t>Levy threshold for the major bank levy</w:t>
            </w:r>
          </w:p>
        </w:tc>
        <w:tc>
          <w:tcPr>
            <w:tcW w:w="2268" w:type="dxa"/>
          </w:tcPr>
          <w:p w:rsidR="00BD1B9F" w:rsidRPr="0096031D" w:rsidRDefault="00BD1B9F" w:rsidP="0096031D">
            <w:pPr>
              <w:pStyle w:val="Tabletext"/>
            </w:pPr>
            <w:r w:rsidRPr="0096031D">
              <w:t>subsection</w:t>
            </w:r>
            <w:r w:rsidR="0096031D" w:rsidRPr="0096031D">
              <w:t> </w:t>
            </w:r>
            <w:r w:rsidRPr="0096031D">
              <w:t xml:space="preserve">4(3) of the </w:t>
            </w:r>
            <w:r w:rsidRPr="0096031D">
              <w:rPr>
                <w:i/>
              </w:rPr>
              <w:t>Major Bank Levy Act 2017</w:t>
            </w:r>
          </w:p>
        </w:tc>
      </w:tr>
    </w:tbl>
    <w:p w:rsidR="001042CE" w:rsidRPr="0096031D" w:rsidRDefault="00D110E5" w:rsidP="0096031D">
      <w:pPr>
        <w:pStyle w:val="ItemHead"/>
      </w:pPr>
      <w:r w:rsidRPr="0096031D">
        <w:t>6</w:t>
      </w:r>
      <w:r w:rsidR="001042CE" w:rsidRPr="0096031D">
        <w:t xml:space="preserve">  </w:t>
      </w:r>
      <w:r w:rsidR="004228FD" w:rsidRPr="0096031D">
        <w:t>Subsection</w:t>
      </w:r>
      <w:r w:rsidR="0096031D" w:rsidRPr="0096031D">
        <w:t> </w:t>
      </w:r>
      <w:r w:rsidR="004228FD" w:rsidRPr="0096031D">
        <w:t>960</w:t>
      </w:r>
      <w:r w:rsidR="00790BFB">
        <w:noBreakHyphen/>
      </w:r>
      <w:r w:rsidR="004228FD" w:rsidRPr="0096031D">
        <w:t>270(3) (including the note)</w:t>
      </w:r>
    </w:p>
    <w:p w:rsidR="004228FD" w:rsidRPr="0096031D" w:rsidRDefault="004228FD" w:rsidP="0096031D">
      <w:pPr>
        <w:pStyle w:val="Item"/>
      </w:pPr>
      <w:r w:rsidRPr="0096031D">
        <w:t>Repeal the subsection, substitute:</w:t>
      </w:r>
    </w:p>
    <w:p w:rsidR="001042CE" w:rsidRPr="0096031D" w:rsidRDefault="001042CE" w:rsidP="0096031D">
      <w:pPr>
        <w:pStyle w:val="subsection"/>
      </w:pPr>
      <w:r w:rsidRPr="0096031D">
        <w:tab/>
        <w:t>(</w:t>
      </w:r>
      <w:r w:rsidR="004228FD" w:rsidRPr="0096031D">
        <w:t>3</w:t>
      </w:r>
      <w:r w:rsidRPr="0096031D">
        <w:t>)</w:t>
      </w:r>
      <w:r w:rsidRPr="0096031D">
        <w:tab/>
        <w:t>This section does not apply in relation to amount</w:t>
      </w:r>
      <w:r w:rsidR="004228FD" w:rsidRPr="0096031D">
        <w:t>s</w:t>
      </w:r>
      <w:r w:rsidRPr="0096031D">
        <w:t xml:space="preserve"> mentioned in the provision</w:t>
      </w:r>
      <w:r w:rsidR="0099059E" w:rsidRPr="0096031D">
        <w:t>s</w:t>
      </w:r>
      <w:r w:rsidRPr="0096031D">
        <w:t xml:space="preserve"> listed at </w:t>
      </w:r>
      <w:r w:rsidR="0099059E" w:rsidRPr="0096031D">
        <w:t>items</w:t>
      </w:r>
      <w:r w:rsidR="0096031D" w:rsidRPr="0096031D">
        <w:t> </w:t>
      </w:r>
      <w:r w:rsidR="0099059E" w:rsidRPr="0096031D">
        <w:t xml:space="preserve">8 to 12, or at </w:t>
      </w:r>
      <w:r w:rsidRPr="0096031D">
        <w:t>item</w:t>
      </w:r>
      <w:r w:rsidR="0096031D" w:rsidRPr="0096031D">
        <w:t> </w:t>
      </w:r>
      <w:r w:rsidRPr="0096031D">
        <w:t>14</w:t>
      </w:r>
      <w:r w:rsidR="0099059E" w:rsidRPr="0096031D">
        <w:t>,</w:t>
      </w:r>
      <w:r w:rsidRPr="0096031D">
        <w:t xml:space="preserve"> in section</w:t>
      </w:r>
      <w:r w:rsidR="0096031D" w:rsidRPr="0096031D">
        <w:t> </w:t>
      </w:r>
      <w:r w:rsidRPr="0096031D">
        <w:t>960</w:t>
      </w:r>
      <w:r w:rsidR="00790BFB">
        <w:noBreakHyphen/>
      </w:r>
      <w:r w:rsidRPr="0096031D">
        <w:t>265.</w:t>
      </w:r>
    </w:p>
    <w:p w:rsidR="001042CE" w:rsidRPr="0096031D" w:rsidRDefault="001042CE" w:rsidP="0096031D">
      <w:pPr>
        <w:pStyle w:val="notetext"/>
      </w:pPr>
      <w:r w:rsidRPr="0096031D">
        <w:t>Note:</w:t>
      </w:r>
      <w:r w:rsidRPr="0096031D">
        <w:tab/>
        <w:t>For the indexation of those amounts, see section</w:t>
      </w:r>
      <w:r w:rsidR="0099059E" w:rsidRPr="0096031D">
        <w:t>s</w:t>
      </w:r>
      <w:r w:rsidR="0096031D" w:rsidRPr="0096031D">
        <w:t> </w:t>
      </w:r>
      <w:r w:rsidR="0099059E" w:rsidRPr="0096031D">
        <w:t>960</w:t>
      </w:r>
      <w:r w:rsidR="00790BFB">
        <w:noBreakHyphen/>
      </w:r>
      <w:r w:rsidR="0099059E" w:rsidRPr="0096031D">
        <w:t xml:space="preserve">285 and </w:t>
      </w:r>
      <w:r w:rsidRPr="0096031D">
        <w:t>960</w:t>
      </w:r>
      <w:r w:rsidR="00790BFB">
        <w:noBreakHyphen/>
      </w:r>
      <w:r w:rsidRPr="0096031D">
        <w:t>290.</w:t>
      </w:r>
    </w:p>
    <w:p w:rsidR="004228FD" w:rsidRPr="0096031D" w:rsidRDefault="00D110E5" w:rsidP="0096031D">
      <w:pPr>
        <w:pStyle w:val="ItemHead"/>
      </w:pPr>
      <w:r w:rsidRPr="0096031D">
        <w:t>7</w:t>
      </w:r>
      <w:r w:rsidR="004228FD" w:rsidRPr="0096031D">
        <w:t xml:space="preserve">  Subsection</w:t>
      </w:r>
      <w:r w:rsidR="0096031D" w:rsidRPr="0096031D">
        <w:t> </w:t>
      </w:r>
      <w:r w:rsidR="004228FD" w:rsidRPr="0096031D">
        <w:t>960</w:t>
      </w:r>
      <w:r w:rsidR="00790BFB">
        <w:noBreakHyphen/>
      </w:r>
      <w:r w:rsidR="004228FD" w:rsidRPr="0096031D">
        <w:t>275(6) (including the note)</w:t>
      </w:r>
    </w:p>
    <w:p w:rsidR="004228FD" w:rsidRPr="0096031D" w:rsidRDefault="004228FD" w:rsidP="0096031D">
      <w:pPr>
        <w:pStyle w:val="Item"/>
      </w:pPr>
      <w:r w:rsidRPr="0096031D">
        <w:t>Repeal the subsection, substitute:</w:t>
      </w:r>
    </w:p>
    <w:p w:rsidR="004228FD" w:rsidRPr="0096031D" w:rsidRDefault="004228FD" w:rsidP="0096031D">
      <w:pPr>
        <w:pStyle w:val="subsection"/>
      </w:pPr>
      <w:r w:rsidRPr="0096031D">
        <w:tab/>
        <w:t>(6)</w:t>
      </w:r>
      <w:r w:rsidRPr="0096031D">
        <w:tab/>
        <w:t>This section does not apply in relation to amounts mentioned in the provisions listed at items</w:t>
      </w:r>
      <w:r w:rsidR="0096031D" w:rsidRPr="0096031D">
        <w:t> </w:t>
      </w:r>
      <w:r w:rsidRPr="0096031D">
        <w:t>8 to 12, or at item</w:t>
      </w:r>
      <w:r w:rsidR="0096031D" w:rsidRPr="0096031D">
        <w:t> </w:t>
      </w:r>
      <w:r w:rsidRPr="0096031D">
        <w:t>14, in section</w:t>
      </w:r>
      <w:r w:rsidR="0096031D" w:rsidRPr="0096031D">
        <w:t> </w:t>
      </w:r>
      <w:r w:rsidRPr="0096031D">
        <w:t>960</w:t>
      </w:r>
      <w:r w:rsidR="00790BFB">
        <w:noBreakHyphen/>
      </w:r>
      <w:r w:rsidRPr="0096031D">
        <w:t>265.</w:t>
      </w:r>
    </w:p>
    <w:p w:rsidR="004228FD" w:rsidRPr="0096031D" w:rsidRDefault="004228FD" w:rsidP="0096031D">
      <w:pPr>
        <w:pStyle w:val="notetext"/>
      </w:pPr>
      <w:r w:rsidRPr="0096031D">
        <w:t>Note:</w:t>
      </w:r>
      <w:r w:rsidRPr="0096031D">
        <w:tab/>
        <w:t>For the indexation of those amounts, see sections</w:t>
      </w:r>
      <w:r w:rsidR="0096031D" w:rsidRPr="0096031D">
        <w:t> </w:t>
      </w:r>
      <w:r w:rsidRPr="0096031D">
        <w:t>960</w:t>
      </w:r>
      <w:r w:rsidR="00790BFB">
        <w:noBreakHyphen/>
      </w:r>
      <w:r w:rsidRPr="0096031D">
        <w:t>285 and 960</w:t>
      </w:r>
      <w:r w:rsidR="00790BFB">
        <w:noBreakHyphen/>
      </w:r>
      <w:r w:rsidRPr="0096031D">
        <w:t>290.</w:t>
      </w:r>
    </w:p>
    <w:p w:rsidR="004228FD" w:rsidRPr="0096031D" w:rsidRDefault="00D110E5" w:rsidP="0096031D">
      <w:pPr>
        <w:pStyle w:val="ItemHead"/>
      </w:pPr>
      <w:r w:rsidRPr="0096031D">
        <w:t>8</w:t>
      </w:r>
      <w:r w:rsidR="004228FD" w:rsidRPr="0096031D">
        <w:t xml:space="preserve">  Subsection</w:t>
      </w:r>
      <w:r w:rsidR="0096031D" w:rsidRPr="0096031D">
        <w:t> </w:t>
      </w:r>
      <w:r w:rsidR="004228FD" w:rsidRPr="0096031D">
        <w:t>960</w:t>
      </w:r>
      <w:r w:rsidR="00790BFB">
        <w:noBreakHyphen/>
      </w:r>
      <w:r w:rsidR="004228FD" w:rsidRPr="0096031D">
        <w:t>280(6) (including the note)</w:t>
      </w:r>
    </w:p>
    <w:p w:rsidR="004228FD" w:rsidRPr="0096031D" w:rsidRDefault="004228FD" w:rsidP="0096031D">
      <w:pPr>
        <w:pStyle w:val="Item"/>
      </w:pPr>
      <w:r w:rsidRPr="0096031D">
        <w:t>Repeal the subsection, substitute:</w:t>
      </w:r>
    </w:p>
    <w:p w:rsidR="004228FD" w:rsidRPr="0096031D" w:rsidRDefault="004228FD" w:rsidP="0096031D">
      <w:pPr>
        <w:pStyle w:val="SubsectionHead"/>
      </w:pPr>
      <w:r w:rsidRPr="0096031D">
        <w:t>Exceptions</w:t>
      </w:r>
    </w:p>
    <w:p w:rsidR="004228FD" w:rsidRPr="0096031D" w:rsidRDefault="004228FD" w:rsidP="0096031D">
      <w:pPr>
        <w:pStyle w:val="subsection"/>
      </w:pPr>
      <w:r w:rsidRPr="0096031D">
        <w:tab/>
        <w:t>(6)</w:t>
      </w:r>
      <w:r w:rsidRPr="0096031D">
        <w:tab/>
        <w:t>This section does not apply in relation to amounts mentioned in the provisions listed at items</w:t>
      </w:r>
      <w:r w:rsidR="0096031D" w:rsidRPr="0096031D">
        <w:t> </w:t>
      </w:r>
      <w:r w:rsidRPr="0096031D">
        <w:t>8 to 12, or at item</w:t>
      </w:r>
      <w:r w:rsidR="0096031D" w:rsidRPr="0096031D">
        <w:t> </w:t>
      </w:r>
      <w:r w:rsidRPr="0096031D">
        <w:t>14, in section</w:t>
      </w:r>
      <w:r w:rsidR="0096031D" w:rsidRPr="0096031D">
        <w:t> </w:t>
      </w:r>
      <w:r w:rsidRPr="0096031D">
        <w:t>960</w:t>
      </w:r>
      <w:r w:rsidR="00790BFB">
        <w:noBreakHyphen/>
      </w:r>
      <w:r w:rsidRPr="0096031D">
        <w:t>265.</w:t>
      </w:r>
    </w:p>
    <w:p w:rsidR="004228FD" w:rsidRPr="0096031D" w:rsidRDefault="004228FD" w:rsidP="0096031D">
      <w:pPr>
        <w:pStyle w:val="notetext"/>
      </w:pPr>
      <w:r w:rsidRPr="0096031D">
        <w:t>Note:</w:t>
      </w:r>
      <w:r w:rsidRPr="0096031D">
        <w:tab/>
        <w:t>For the indexation of those amounts, see sections</w:t>
      </w:r>
      <w:r w:rsidR="0096031D" w:rsidRPr="0096031D">
        <w:t> </w:t>
      </w:r>
      <w:r w:rsidRPr="0096031D">
        <w:t>960</w:t>
      </w:r>
      <w:r w:rsidR="00790BFB">
        <w:noBreakHyphen/>
      </w:r>
      <w:r w:rsidRPr="0096031D">
        <w:t>285 and 960</w:t>
      </w:r>
      <w:r w:rsidR="00790BFB">
        <w:noBreakHyphen/>
      </w:r>
      <w:r w:rsidRPr="0096031D">
        <w:t>290.</w:t>
      </w:r>
    </w:p>
    <w:p w:rsidR="001042CE" w:rsidRPr="0096031D" w:rsidRDefault="00D110E5" w:rsidP="0096031D">
      <w:pPr>
        <w:pStyle w:val="ItemHead"/>
      </w:pPr>
      <w:r w:rsidRPr="0096031D">
        <w:lastRenderedPageBreak/>
        <w:t>9</w:t>
      </w:r>
      <w:r w:rsidR="001042CE" w:rsidRPr="0096031D">
        <w:t xml:space="preserve">  At the end of Subdivision</w:t>
      </w:r>
      <w:r w:rsidR="0096031D" w:rsidRPr="0096031D">
        <w:t> </w:t>
      </w:r>
      <w:r w:rsidR="001042CE" w:rsidRPr="0096031D">
        <w:t>960</w:t>
      </w:r>
      <w:r w:rsidR="00790BFB">
        <w:noBreakHyphen/>
      </w:r>
      <w:r w:rsidR="001042CE" w:rsidRPr="0096031D">
        <w:t>M</w:t>
      </w:r>
    </w:p>
    <w:p w:rsidR="001042CE" w:rsidRPr="0096031D" w:rsidRDefault="001042CE" w:rsidP="0096031D">
      <w:pPr>
        <w:pStyle w:val="Item"/>
      </w:pPr>
      <w:r w:rsidRPr="0096031D">
        <w:t>Add:</w:t>
      </w:r>
    </w:p>
    <w:p w:rsidR="001042CE" w:rsidRPr="0096031D" w:rsidRDefault="001042CE" w:rsidP="0096031D">
      <w:pPr>
        <w:pStyle w:val="ActHead5"/>
      </w:pPr>
      <w:bookmarkStart w:id="11" w:name="_Toc486251404"/>
      <w:r w:rsidRPr="0096031D">
        <w:rPr>
          <w:rStyle w:val="CharSectno"/>
        </w:rPr>
        <w:t>960</w:t>
      </w:r>
      <w:r w:rsidR="00790BFB">
        <w:rPr>
          <w:rStyle w:val="CharSectno"/>
        </w:rPr>
        <w:noBreakHyphen/>
      </w:r>
      <w:r w:rsidRPr="0096031D">
        <w:rPr>
          <w:rStyle w:val="CharSectno"/>
        </w:rPr>
        <w:t>290</w:t>
      </w:r>
      <w:r w:rsidRPr="0096031D">
        <w:t xml:space="preserve">  Indexation—levy threshold for the major bank levy</w:t>
      </w:r>
      <w:bookmarkEnd w:id="11"/>
    </w:p>
    <w:p w:rsidR="001042CE" w:rsidRPr="0096031D" w:rsidRDefault="001042CE" w:rsidP="0096031D">
      <w:pPr>
        <w:pStyle w:val="subsection"/>
      </w:pPr>
      <w:r w:rsidRPr="0096031D">
        <w:tab/>
        <w:t>(1)</w:t>
      </w:r>
      <w:r w:rsidRPr="0096031D">
        <w:tab/>
        <w:t>You index</w:t>
      </w:r>
      <w:r w:rsidR="0099059E" w:rsidRPr="0096031D">
        <w:t xml:space="preserve">, on a </w:t>
      </w:r>
      <w:r w:rsidR="0096031D" w:rsidRPr="0096031D">
        <w:rPr>
          <w:position w:val="6"/>
          <w:sz w:val="16"/>
        </w:rPr>
        <w:t>*</w:t>
      </w:r>
      <w:r w:rsidR="0099059E" w:rsidRPr="0096031D">
        <w:t>quarterly basis,</w:t>
      </w:r>
      <w:r w:rsidRPr="0096031D">
        <w:t xml:space="preserve"> the amount mentioned in the provision listed at item</w:t>
      </w:r>
      <w:r w:rsidR="0096031D" w:rsidRPr="0096031D">
        <w:t> </w:t>
      </w:r>
      <w:r w:rsidRPr="0096031D">
        <w:t>14 in section</w:t>
      </w:r>
      <w:r w:rsidR="0096031D" w:rsidRPr="0096031D">
        <w:t> </w:t>
      </w:r>
      <w:r w:rsidRPr="0096031D">
        <w:t>960</w:t>
      </w:r>
      <w:r w:rsidR="00790BFB">
        <w:noBreakHyphen/>
      </w:r>
      <w:r w:rsidRPr="0096031D">
        <w:t>265 by:</w:t>
      </w:r>
    </w:p>
    <w:p w:rsidR="001042CE" w:rsidRPr="0096031D" w:rsidRDefault="001042CE" w:rsidP="0096031D">
      <w:pPr>
        <w:pStyle w:val="paragraph"/>
      </w:pPr>
      <w:r w:rsidRPr="0096031D">
        <w:tab/>
        <w:t>(a)</w:t>
      </w:r>
      <w:r w:rsidRPr="0096031D">
        <w:tab/>
      </w:r>
      <w:r w:rsidR="009C5130" w:rsidRPr="0096031D">
        <w:t xml:space="preserve">first, </w:t>
      </w:r>
      <w:r w:rsidRPr="0096031D">
        <w:t xml:space="preserve">multiplying the amount by its </w:t>
      </w:r>
      <w:r w:rsidR="0096031D" w:rsidRPr="0096031D">
        <w:rPr>
          <w:position w:val="6"/>
          <w:sz w:val="16"/>
        </w:rPr>
        <w:t>*</w:t>
      </w:r>
      <w:r w:rsidRPr="0096031D">
        <w:t>indexation f</w:t>
      </w:r>
      <w:r w:rsidR="0099059E" w:rsidRPr="0096031D">
        <w:t xml:space="preserve">actor mentioned in </w:t>
      </w:r>
      <w:r w:rsidR="0096031D" w:rsidRPr="0096031D">
        <w:t>subsection (</w:t>
      </w:r>
      <w:r w:rsidR="0099059E" w:rsidRPr="0096031D">
        <w:t>3</w:t>
      </w:r>
      <w:r w:rsidRPr="0096031D">
        <w:t>); and</w:t>
      </w:r>
    </w:p>
    <w:p w:rsidR="001042CE" w:rsidRPr="0096031D" w:rsidRDefault="001042CE" w:rsidP="0096031D">
      <w:pPr>
        <w:pStyle w:val="paragraph"/>
      </w:pPr>
      <w:r w:rsidRPr="0096031D">
        <w:tab/>
        <w:t>(b)</w:t>
      </w:r>
      <w:r w:rsidRPr="0096031D">
        <w:tab/>
        <w:t xml:space="preserve">next, rounding the result in </w:t>
      </w:r>
      <w:r w:rsidR="0096031D" w:rsidRPr="0096031D">
        <w:t>paragraph (</w:t>
      </w:r>
      <w:r w:rsidRPr="0096031D">
        <w:t>a) down to the nearest multiple of $1,000,000.</w:t>
      </w:r>
    </w:p>
    <w:p w:rsidR="0099059E" w:rsidRPr="0096031D" w:rsidRDefault="0099059E" w:rsidP="0096031D">
      <w:pPr>
        <w:pStyle w:val="subsection"/>
      </w:pPr>
      <w:r w:rsidRPr="0096031D">
        <w:tab/>
        <w:t>(2)</w:t>
      </w:r>
      <w:r w:rsidRPr="0096031D">
        <w:tab/>
        <w:t xml:space="preserve">You do not index the amount if the </w:t>
      </w:r>
      <w:r w:rsidR="0096031D" w:rsidRPr="0096031D">
        <w:rPr>
          <w:position w:val="6"/>
          <w:sz w:val="16"/>
        </w:rPr>
        <w:t>*</w:t>
      </w:r>
      <w:r w:rsidRPr="0096031D">
        <w:t>indexation factor is 1 or less.</w:t>
      </w:r>
    </w:p>
    <w:p w:rsidR="0099059E" w:rsidRPr="0096031D" w:rsidRDefault="0099059E" w:rsidP="0096031D">
      <w:pPr>
        <w:pStyle w:val="subsection"/>
      </w:pPr>
      <w:r w:rsidRPr="0096031D">
        <w:tab/>
        <w:t>(3)</w:t>
      </w:r>
      <w:r w:rsidRPr="0096031D">
        <w:tab/>
        <w:t xml:space="preserve">For indexation of the amount, the </w:t>
      </w:r>
      <w:r w:rsidRPr="0096031D">
        <w:rPr>
          <w:b/>
          <w:i/>
        </w:rPr>
        <w:t>indexation factor</w:t>
      </w:r>
      <w:r w:rsidRPr="0096031D">
        <w:t xml:space="preserve"> is:</w:t>
      </w:r>
    </w:p>
    <w:p w:rsidR="0099059E" w:rsidRPr="0096031D" w:rsidRDefault="00E25547" w:rsidP="0096031D">
      <w:pPr>
        <w:pStyle w:val="subsection2"/>
      </w:pPr>
      <w:bookmarkStart w:id="12" w:name="BKCheck15B_2"/>
      <w:bookmarkEnd w:id="12"/>
      <w:r>
        <w:pict>
          <v:shape id="_x0000_i1028" type="#_x0000_t75" style="width:160.5pt;height:40.5pt">
            <v:imagedata r:id="rId21" o:title=""/>
          </v:shape>
        </w:pict>
      </w:r>
    </w:p>
    <w:p w:rsidR="0099059E" w:rsidRPr="0096031D" w:rsidRDefault="0099059E" w:rsidP="0096031D">
      <w:pPr>
        <w:pStyle w:val="subsection2"/>
      </w:pPr>
      <w:r w:rsidRPr="0096031D">
        <w:t>where:</w:t>
      </w:r>
    </w:p>
    <w:p w:rsidR="0099059E" w:rsidRPr="0096031D" w:rsidRDefault="0099059E" w:rsidP="0096031D">
      <w:pPr>
        <w:pStyle w:val="Definition"/>
      </w:pPr>
      <w:r w:rsidRPr="0096031D">
        <w:rPr>
          <w:b/>
          <w:i/>
        </w:rPr>
        <w:t>GDP number for the base quarter</w:t>
      </w:r>
      <w:r w:rsidRPr="0096031D">
        <w:t xml:space="preserve"> is the estimate that is, at the end of the </w:t>
      </w:r>
      <w:r w:rsidR="0096031D" w:rsidRPr="0096031D">
        <w:rPr>
          <w:position w:val="6"/>
          <w:sz w:val="16"/>
        </w:rPr>
        <w:t>*</w:t>
      </w:r>
      <w:r w:rsidRPr="0096031D">
        <w:t>quarter to which the indexation is to be applied, the estimate of the Gross Domestic Product: Current Prices</w:t>
      </w:r>
      <w:r w:rsidR="00790BFB">
        <w:noBreakHyphen/>
      </w:r>
      <w:r w:rsidRPr="0096031D">
        <w:t xml:space="preserve">Seasonally Adjusted most recently published by the Australian Statistician for the </w:t>
      </w:r>
      <w:r w:rsidR="0096031D" w:rsidRPr="0096031D">
        <w:rPr>
          <w:position w:val="6"/>
          <w:sz w:val="16"/>
        </w:rPr>
        <w:t>*</w:t>
      </w:r>
      <w:r w:rsidRPr="0096031D">
        <w:t>quarter ending on 30</w:t>
      </w:r>
      <w:r w:rsidR="0096031D" w:rsidRPr="0096031D">
        <w:t> </w:t>
      </w:r>
      <w:r w:rsidRPr="0096031D">
        <w:t>June 2017.</w:t>
      </w:r>
    </w:p>
    <w:p w:rsidR="0099059E" w:rsidRPr="0096031D" w:rsidRDefault="0099059E" w:rsidP="0096031D">
      <w:pPr>
        <w:pStyle w:val="Definition"/>
      </w:pPr>
      <w:r w:rsidRPr="0096031D">
        <w:rPr>
          <w:b/>
          <w:i/>
        </w:rPr>
        <w:t>GDP number for the preceding quarter</w:t>
      </w:r>
      <w:r w:rsidRPr="0096031D">
        <w:t xml:space="preserve"> is the estimate of the Gross Domestic Product: Current Prices</w:t>
      </w:r>
      <w:r w:rsidR="00790BFB">
        <w:noBreakHyphen/>
      </w:r>
      <w:r w:rsidRPr="0096031D">
        <w:t xml:space="preserve">Seasonally Adjusted first published by the Australian Statistician for the </w:t>
      </w:r>
      <w:r w:rsidR="0096031D" w:rsidRPr="0096031D">
        <w:rPr>
          <w:position w:val="6"/>
          <w:sz w:val="16"/>
        </w:rPr>
        <w:t>*</w:t>
      </w:r>
      <w:r w:rsidRPr="0096031D">
        <w:t>quarter preceding the quarter to which the indexation is to be applied.</w:t>
      </w:r>
    </w:p>
    <w:p w:rsidR="0099059E" w:rsidRPr="0096031D" w:rsidRDefault="0099059E" w:rsidP="0096031D">
      <w:pPr>
        <w:pStyle w:val="subsection"/>
      </w:pPr>
      <w:r w:rsidRPr="0096031D">
        <w:tab/>
        <w:t>(4)</w:t>
      </w:r>
      <w:r w:rsidRPr="0096031D">
        <w:tab/>
        <w:t xml:space="preserve">You work out the </w:t>
      </w:r>
      <w:r w:rsidR="0096031D" w:rsidRPr="0096031D">
        <w:rPr>
          <w:position w:val="6"/>
          <w:sz w:val="16"/>
        </w:rPr>
        <w:t>*</w:t>
      </w:r>
      <w:r w:rsidRPr="0096031D">
        <w:t xml:space="preserve">indexation factor mentioned in </w:t>
      </w:r>
      <w:r w:rsidR="0096031D" w:rsidRPr="0096031D">
        <w:t>subsection (</w:t>
      </w:r>
      <w:r w:rsidRPr="0096031D">
        <w:t>3) to 3 decimal places (rounding up if the fourth decimal place is 5 or more).</w:t>
      </w:r>
    </w:p>
    <w:p w:rsidR="00405430" w:rsidRPr="0096031D" w:rsidRDefault="00D110E5" w:rsidP="0096031D">
      <w:pPr>
        <w:pStyle w:val="ItemHead"/>
      </w:pPr>
      <w:r w:rsidRPr="0096031D">
        <w:t>10</w:t>
      </w:r>
      <w:r w:rsidR="00293CA7" w:rsidRPr="0096031D">
        <w:t xml:space="preserve">  Subsection</w:t>
      </w:r>
      <w:r w:rsidR="0096031D" w:rsidRPr="0096031D">
        <w:t> </w:t>
      </w:r>
      <w:r w:rsidR="00293CA7" w:rsidRPr="0096031D">
        <w:t>995</w:t>
      </w:r>
      <w:r w:rsidR="00790BFB">
        <w:noBreakHyphen/>
      </w:r>
      <w:r w:rsidR="00293CA7" w:rsidRPr="0096031D">
        <w:t xml:space="preserve">1(1) (at the end of the definition of </w:t>
      </w:r>
      <w:r w:rsidR="00293CA7" w:rsidRPr="0096031D">
        <w:rPr>
          <w:i/>
        </w:rPr>
        <w:t>BAS provisions</w:t>
      </w:r>
      <w:r w:rsidR="00293CA7" w:rsidRPr="0096031D">
        <w:t>)</w:t>
      </w:r>
      <w:r w:rsidR="00E83DF0" w:rsidRPr="0096031D">
        <w:t xml:space="preserve"> (before the note)</w:t>
      </w:r>
    </w:p>
    <w:p w:rsidR="00293CA7" w:rsidRPr="0096031D" w:rsidRDefault="00293CA7" w:rsidP="0096031D">
      <w:pPr>
        <w:pStyle w:val="Item"/>
      </w:pPr>
      <w:r w:rsidRPr="0096031D">
        <w:t>Add:</w:t>
      </w:r>
    </w:p>
    <w:p w:rsidR="00293CA7" w:rsidRPr="0096031D" w:rsidRDefault="00293CA7" w:rsidP="0096031D">
      <w:pPr>
        <w:pStyle w:val="paragraph"/>
      </w:pPr>
      <w:r w:rsidRPr="0096031D">
        <w:tab/>
        <w:t>; and (e)</w:t>
      </w:r>
      <w:r w:rsidRPr="0096031D">
        <w:tab/>
        <w:t xml:space="preserve">the </w:t>
      </w:r>
      <w:r w:rsidRPr="0096031D">
        <w:rPr>
          <w:i/>
        </w:rPr>
        <w:t>Major Bank Levy Act 2017</w:t>
      </w:r>
      <w:r w:rsidRPr="0096031D">
        <w:t>.</w:t>
      </w:r>
    </w:p>
    <w:p w:rsidR="00334520" w:rsidRPr="0096031D" w:rsidRDefault="00D110E5" w:rsidP="0096031D">
      <w:pPr>
        <w:pStyle w:val="ItemHead"/>
      </w:pPr>
      <w:r w:rsidRPr="0096031D">
        <w:lastRenderedPageBreak/>
        <w:t>11</w:t>
      </w:r>
      <w:r w:rsidR="00334520" w:rsidRPr="0096031D">
        <w:t xml:space="preserve">  Subsection</w:t>
      </w:r>
      <w:r w:rsidR="0096031D" w:rsidRPr="0096031D">
        <w:t> </w:t>
      </w:r>
      <w:r w:rsidR="00334520" w:rsidRPr="0096031D">
        <w:t>995</w:t>
      </w:r>
      <w:r w:rsidR="00790BFB">
        <w:noBreakHyphen/>
      </w:r>
      <w:r w:rsidR="00334520" w:rsidRPr="0096031D">
        <w:t xml:space="preserve">1(1) (after </w:t>
      </w:r>
      <w:r w:rsidR="0096031D" w:rsidRPr="0096031D">
        <w:t>paragraph (</w:t>
      </w:r>
      <w:r w:rsidR="00334520" w:rsidRPr="0096031D">
        <w:t xml:space="preserve">a) of the definition of </w:t>
      </w:r>
      <w:r w:rsidR="00334520" w:rsidRPr="0096031D">
        <w:rPr>
          <w:i/>
        </w:rPr>
        <w:t>indexation factor</w:t>
      </w:r>
      <w:r w:rsidR="00334520" w:rsidRPr="0096031D">
        <w:t>)</w:t>
      </w:r>
    </w:p>
    <w:p w:rsidR="00334520" w:rsidRPr="0096031D" w:rsidRDefault="00334520" w:rsidP="0096031D">
      <w:pPr>
        <w:pStyle w:val="Item"/>
      </w:pPr>
      <w:r w:rsidRPr="0096031D">
        <w:t>Insert:</w:t>
      </w:r>
    </w:p>
    <w:p w:rsidR="00334520" w:rsidRPr="0096031D" w:rsidRDefault="00334520" w:rsidP="0096031D">
      <w:pPr>
        <w:pStyle w:val="paragraph"/>
      </w:pPr>
      <w:r w:rsidRPr="0096031D">
        <w:tab/>
        <w:t>(aa)</w:t>
      </w:r>
      <w:r w:rsidRPr="0096031D">
        <w:tab/>
        <w:t>for the amount mentioned in the provision listed at item</w:t>
      </w:r>
      <w:r w:rsidR="0096031D" w:rsidRPr="0096031D">
        <w:t> </w:t>
      </w:r>
      <w:r w:rsidRPr="0096031D">
        <w:t>14 in section</w:t>
      </w:r>
      <w:r w:rsidR="0096031D" w:rsidRPr="0096031D">
        <w:t> </w:t>
      </w:r>
      <w:r w:rsidRPr="0096031D">
        <w:t>960</w:t>
      </w:r>
      <w:r w:rsidR="00790BFB">
        <w:noBreakHyphen/>
      </w:r>
      <w:r w:rsidRPr="0096031D">
        <w:t>265—</w:t>
      </w:r>
      <w:r w:rsidRPr="0096031D">
        <w:rPr>
          <w:b/>
          <w:i/>
        </w:rPr>
        <w:t>indexation factor</w:t>
      </w:r>
      <w:r w:rsidRPr="0096031D">
        <w:t xml:space="preserve"> has the meaning given by section</w:t>
      </w:r>
      <w:r w:rsidR="0096031D" w:rsidRPr="0096031D">
        <w:t> </w:t>
      </w:r>
      <w:r w:rsidRPr="0096031D">
        <w:t>960</w:t>
      </w:r>
      <w:r w:rsidR="00790BFB">
        <w:noBreakHyphen/>
      </w:r>
      <w:r w:rsidRPr="0096031D">
        <w:t>290; or</w:t>
      </w:r>
    </w:p>
    <w:p w:rsidR="00334520" w:rsidRPr="0096031D" w:rsidRDefault="00D110E5" w:rsidP="0096031D">
      <w:pPr>
        <w:pStyle w:val="ItemHead"/>
      </w:pPr>
      <w:r w:rsidRPr="0096031D">
        <w:t>12</w:t>
      </w:r>
      <w:r w:rsidR="00334520" w:rsidRPr="0096031D">
        <w:t xml:space="preserve">  Subsection</w:t>
      </w:r>
      <w:r w:rsidR="0096031D" w:rsidRPr="0096031D">
        <w:t> </w:t>
      </w:r>
      <w:r w:rsidR="00334520" w:rsidRPr="0096031D">
        <w:t>995</w:t>
      </w:r>
      <w:r w:rsidR="00790BFB">
        <w:noBreakHyphen/>
      </w:r>
      <w:r w:rsidR="00334520" w:rsidRPr="0096031D">
        <w:t>1(1) (</w:t>
      </w:r>
      <w:r w:rsidR="0096031D" w:rsidRPr="0096031D">
        <w:t>paragraph (</w:t>
      </w:r>
      <w:r w:rsidR="00334520" w:rsidRPr="0096031D">
        <w:t xml:space="preserve">b) of the definition of </w:t>
      </w:r>
      <w:r w:rsidR="00334520" w:rsidRPr="0096031D">
        <w:rPr>
          <w:i/>
        </w:rPr>
        <w:t>index number</w:t>
      </w:r>
      <w:r w:rsidR="00334520" w:rsidRPr="0096031D">
        <w:t>)</w:t>
      </w:r>
    </w:p>
    <w:p w:rsidR="00334520" w:rsidRPr="0096031D" w:rsidRDefault="00334520" w:rsidP="0096031D">
      <w:pPr>
        <w:pStyle w:val="Item"/>
      </w:pPr>
      <w:r w:rsidRPr="0096031D">
        <w:t>After “amount”, insert “(other than the amount mentioned in the provision listed at item</w:t>
      </w:r>
      <w:r w:rsidR="0096031D" w:rsidRPr="0096031D">
        <w:t> </w:t>
      </w:r>
      <w:r w:rsidRPr="0096031D">
        <w:t>14 in section</w:t>
      </w:r>
      <w:r w:rsidR="0096031D" w:rsidRPr="0096031D">
        <w:t> </w:t>
      </w:r>
      <w:r w:rsidRPr="0096031D">
        <w:t>960</w:t>
      </w:r>
      <w:r w:rsidR="00790BFB">
        <w:noBreakHyphen/>
      </w:r>
      <w:r w:rsidRPr="0096031D">
        <w:t>265)”.</w:t>
      </w:r>
    </w:p>
    <w:p w:rsidR="00DC4276" w:rsidRPr="0096031D" w:rsidRDefault="00D110E5" w:rsidP="0096031D">
      <w:pPr>
        <w:pStyle w:val="ItemHead"/>
      </w:pPr>
      <w:r w:rsidRPr="0096031D">
        <w:t>13</w:t>
      </w:r>
      <w:r w:rsidR="00DC4276" w:rsidRPr="0096031D">
        <w:t xml:space="preserve">  Subsection</w:t>
      </w:r>
      <w:r w:rsidR="0096031D" w:rsidRPr="0096031D">
        <w:t> </w:t>
      </w:r>
      <w:r w:rsidR="00DC4276" w:rsidRPr="0096031D">
        <w:t>995</w:t>
      </w:r>
      <w:r w:rsidR="00790BFB">
        <w:noBreakHyphen/>
      </w:r>
      <w:r w:rsidR="00DC4276" w:rsidRPr="0096031D">
        <w:t>1(1)</w:t>
      </w:r>
    </w:p>
    <w:p w:rsidR="00DC4276" w:rsidRPr="0096031D" w:rsidRDefault="00DC4276" w:rsidP="0096031D">
      <w:pPr>
        <w:pStyle w:val="Item"/>
      </w:pPr>
      <w:r w:rsidRPr="0096031D">
        <w:t>Insert:</w:t>
      </w:r>
    </w:p>
    <w:p w:rsidR="00DC4276" w:rsidRPr="0096031D" w:rsidRDefault="001F209F" w:rsidP="0096031D">
      <w:pPr>
        <w:pStyle w:val="Definition"/>
      </w:pPr>
      <w:r w:rsidRPr="0096031D">
        <w:rPr>
          <w:b/>
          <w:i/>
        </w:rPr>
        <w:t>MBL</w:t>
      </w:r>
      <w:r w:rsidR="00DC4276" w:rsidRPr="0096031D">
        <w:rPr>
          <w:b/>
          <w:i/>
        </w:rPr>
        <w:t xml:space="preserve"> benefit</w:t>
      </w:r>
      <w:r w:rsidR="00DC4276" w:rsidRPr="0096031D">
        <w:t xml:space="preserve"> has the meaning given by section</w:t>
      </w:r>
      <w:r w:rsidR="0096031D" w:rsidRPr="0096031D">
        <w:t> </w:t>
      </w:r>
      <w:r w:rsidR="00DC4276" w:rsidRPr="0096031D">
        <w:t>117</w:t>
      </w:r>
      <w:r w:rsidR="00790BFB">
        <w:noBreakHyphen/>
      </w:r>
      <w:r w:rsidR="00DC4276" w:rsidRPr="0096031D">
        <w:t>15 in Schedule</w:t>
      </w:r>
      <w:r w:rsidR="0096031D" w:rsidRPr="0096031D">
        <w:t> </w:t>
      </w:r>
      <w:r w:rsidR="00DC4276" w:rsidRPr="0096031D">
        <w:t xml:space="preserve">1 to the </w:t>
      </w:r>
      <w:r w:rsidR="00DC4276" w:rsidRPr="0096031D">
        <w:rPr>
          <w:i/>
        </w:rPr>
        <w:t>Taxation Administration Act 1953</w:t>
      </w:r>
      <w:r w:rsidR="00DC4276" w:rsidRPr="0096031D">
        <w:t>.</w:t>
      </w:r>
    </w:p>
    <w:p w:rsidR="007304A6" w:rsidRPr="0096031D" w:rsidRDefault="007304A6" w:rsidP="0096031D">
      <w:pPr>
        <w:pStyle w:val="Definition"/>
      </w:pPr>
      <w:r w:rsidRPr="0096031D">
        <w:rPr>
          <w:b/>
          <w:i/>
        </w:rPr>
        <w:t>MBL reporting day</w:t>
      </w:r>
      <w:r w:rsidRPr="0096031D">
        <w:t xml:space="preserve">, for a </w:t>
      </w:r>
      <w:r w:rsidR="0096031D" w:rsidRPr="0096031D">
        <w:rPr>
          <w:position w:val="6"/>
          <w:sz w:val="16"/>
        </w:rPr>
        <w:t>*</w:t>
      </w:r>
      <w:r w:rsidRPr="0096031D">
        <w:t xml:space="preserve">quarter, has the meaning given by </w:t>
      </w:r>
      <w:r w:rsidR="009077A2" w:rsidRPr="0096031D">
        <w:t>sub</w:t>
      </w:r>
      <w:r w:rsidRPr="0096031D">
        <w:t>section</w:t>
      </w:r>
      <w:r w:rsidR="0096031D" w:rsidRPr="0096031D">
        <w:t> </w:t>
      </w:r>
      <w:r w:rsidRPr="0096031D">
        <w:t>115</w:t>
      </w:r>
      <w:r w:rsidR="00790BFB">
        <w:noBreakHyphen/>
      </w:r>
      <w:r w:rsidRPr="0096031D">
        <w:t>5(3) in Schedule</w:t>
      </w:r>
      <w:r w:rsidR="0096031D" w:rsidRPr="0096031D">
        <w:t> </w:t>
      </w:r>
      <w:r w:rsidRPr="0096031D">
        <w:t xml:space="preserve">1 to the </w:t>
      </w:r>
      <w:r w:rsidRPr="0096031D">
        <w:rPr>
          <w:i/>
        </w:rPr>
        <w:t>Taxation Administration Act 1953</w:t>
      </w:r>
      <w:r w:rsidRPr="0096031D">
        <w:t>.</w:t>
      </w:r>
    </w:p>
    <w:p w:rsidR="00E7418E" w:rsidRPr="0096031D" w:rsidRDefault="00E7418E" w:rsidP="0096031D">
      <w:pPr>
        <w:pStyle w:val="ActHead9"/>
        <w:rPr>
          <w:i w:val="0"/>
        </w:rPr>
      </w:pPr>
      <w:bookmarkStart w:id="13" w:name="_Toc486251405"/>
      <w:r w:rsidRPr="0096031D">
        <w:t>Taxation Administration Act 1953</w:t>
      </w:r>
      <w:bookmarkEnd w:id="13"/>
    </w:p>
    <w:p w:rsidR="00EA4A7F" w:rsidRPr="0096031D" w:rsidRDefault="00D110E5" w:rsidP="0096031D">
      <w:pPr>
        <w:pStyle w:val="ItemHead"/>
      </w:pPr>
      <w:r w:rsidRPr="0096031D">
        <w:t>14</w:t>
      </w:r>
      <w:r w:rsidR="00EA4A7F" w:rsidRPr="0096031D">
        <w:t xml:space="preserve">  Subsection</w:t>
      </w:r>
      <w:r w:rsidR="0096031D" w:rsidRPr="0096031D">
        <w:t> </w:t>
      </w:r>
      <w:r w:rsidR="00EA4A7F" w:rsidRPr="0096031D">
        <w:t>8AAB(4) (after table item</w:t>
      </w:r>
      <w:r w:rsidR="0096031D" w:rsidRPr="0096031D">
        <w:t> </w:t>
      </w:r>
      <w:r w:rsidR="00FF7859" w:rsidRPr="0096031D">
        <w:t>45</w:t>
      </w:r>
      <w:r w:rsidR="00EA4A7F" w:rsidRPr="0096031D">
        <w:t>)</w:t>
      </w:r>
    </w:p>
    <w:p w:rsidR="009077A2" w:rsidRPr="0096031D" w:rsidRDefault="009077A2" w:rsidP="0096031D">
      <w:pPr>
        <w:pStyle w:val="Item"/>
      </w:pPr>
      <w:r w:rsidRPr="0096031D">
        <w:t>Insert:</w:t>
      </w:r>
    </w:p>
    <w:tbl>
      <w:tblPr>
        <w:tblW w:w="7391" w:type="dxa"/>
        <w:tblInd w:w="-4" w:type="dxa"/>
        <w:tblLayout w:type="fixed"/>
        <w:tblLook w:val="0000" w:firstRow="0" w:lastRow="0" w:firstColumn="0" w:lastColumn="0" w:noHBand="0" w:noVBand="0"/>
      </w:tblPr>
      <w:tblGrid>
        <w:gridCol w:w="757"/>
        <w:gridCol w:w="1122"/>
        <w:gridCol w:w="2567"/>
        <w:gridCol w:w="2945"/>
      </w:tblGrid>
      <w:tr w:rsidR="00EA4A7F" w:rsidRPr="0096031D" w:rsidTr="00EA4A7F">
        <w:tc>
          <w:tcPr>
            <w:tcW w:w="757" w:type="dxa"/>
            <w:shd w:val="clear" w:color="auto" w:fill="auto"/>
          </w:tcPr>
          <w:p w:rsidR="00EA4A7F" w:rsidRPr="0096031D" w:rsidRDefault="00EA4A7F" w:rsidP="0096031D">
            <w:pPr>
              <w:pStyle w:val="Tabletext"/>
            </w:pPr>
            <w:r w:rsidRPr="0096031D">
              <w:t>45A</w:t>
            </w:r>
          </w:p>
        </w:tc>
        <w:tc>
          <w:tcPr>
            <w:tcW w:w="1122" w:type="dxa"/>
            <w:shd w:val="clear" w:color="auto" w:fill="auto"/>
          </w:tcPr>
          <w:p w:rsidR="00EA4A7F" w:rsidRPr="0096031D" w:rsidRDefault="00EA4A7F" w:rsidP="0096031D">
            <w:pPr>
              <w:pStyle w:val="Tabletext"/>
            </w:pPr>
            <w:r w:rsidRPr="0096031D">
              <w:t>1</w:t>
            </w:r>
            <w:r w:rsidR="00FF7859" w:rsidRPr="0096031D">
              <w:t>1</w:t>
            </w:r>
            <w:r w:rsidRPr="0096031D">
              <w:t>5</w:t>
            </w:r>
            <w:r w:rsidR="00790BFB">
              <w:noBreakHyphen/>
            </w:r>
            <w:r w:rsidR="00FF7859" w:rsidRPr="0096031D">
              <w:t>1</w:t>
            </w:r>
            <w:r w:rsidRPr="0096031D">
              <w:t>0 in Schedule</w:t>
            </w:r>
            <w:r w:rsidR="0096031D" w:rsidRPr="0096031D">
              <w:t> </w:t>
            </w:r>
            <w:r w:rsidRPr="0096031D">
              <w:t>1</w:t>
            </w:r>
          </w:p>
        </w:tc>
        <w:tc>
          <w:tcPr>
            <w:tcW w:w="2567" w:type="dxa"/>
            <w:shd w:val="clear" w:color="auto" w:fill="auto"/>
          </w:tcPr>
          <w:p w:rsidR="00EA4A7F" w:rsidRPr="0096031D" w:rsidRDefault="00EA4A7F" w:rsidP="0096031D">
            <w:pPr>
              <w:pStyle w:val="Tabletext"/>
              <w:rPr>
                <w:iCs/>
              </w:rPr>
            </w:pPr>
            <w:r w:rsidRPr="0096031D">
              <w:rPr>
                <w:i/>
                <w:iCs/>
              </w:rPr>
              <w:t>Taxation Administration Act 1953</w:t>
            </w:r>
          </w:p>
        </w:tc>
        <w:tc>
          <w:tcPr>
            <w:tcW w:w="2945" w:type="dxa"/>
            <w:shd w:val="clear" w:color="auto" w:fill="auto"/>
          </w:tcPr>
          <w:p w:rsidR="00EA4A7F" w:rsidRPr="0096031D" w:rsidRDefault="00EA4A7F" w:rsidP="0096031D">
            <w:pPr>
              <w:pStyle w:val="Tabletext"/>
              <w:rPr>
                <w:iCs/>
              </w:rPr>
            </w:pPr>
            <w:r w:rsidRPr="0096031D">
              <w:rPr>
                <w:iCs/>
              </w:rPr>
              <w:t>payment of major bank levy</w:t>
            </w:r>
          </w:p>
        </w:tc>
      </w:tr>
    </w:tbl>
    <w:p w:rsidR="00BB3856" w:rsidRPr="0096031D" w:rsidRDefault="00D110E5" w:rsidP="0096031D">
      <w:pPr>
        <w:pStyle w:val="ItemHead"/>
      </w:pPr>
      <w:r w:rsidRPr="0096031D">
        <w:t>15</w:t>
      </w:r>
      <w:r w:rsidR="00BB3856" w:rsidRPr="0096031D">
        <w:t xml:space="preserve">  After Part</w:t>
      </w:r>
      <w:r w:rsidR="0096031D" w:rsidRPr="0096031D">
        <w:t> </w:t>
      </w:r>
      <w:r w:rsidR="00BB3856" w:rsidRPr="0096031D">
        <w:t>3</w:t>
      </w:r>
      <w:r w:rsidR="00790BFB">
        <w:noBreakHyphen/>
      </w:r>
      <w:r w:rsidR="00BB3856" w:rsidRPr="0096031D">
        <w:t>10</w:t>
      </w:r>
      <w:r w:rsidR="002D29C7" w:rsidRPr="0096031D">
        <w:t xml:space="preserve"> in Schedule</w:t>
      </w:r>
      <w:r w:rsidR="0096031D" w:rsidRPr="0096031D">
        <w:t> </w:t>
      </w:r>
      <w:r w:rsidR="002D29C7" w:rsidRPr="0096031D">
        <w:t>1</w:t>
      </w:r>
    </w:p>
    <w:p w:rsidR="00BB3856" w:rsidRPr="0096031D" w:rsidRDefault="00BB3856" w:rsidP="0096031D">
      <w:pPr>
        <w:pStyle w:val="Item"/>
      </w:pPr>
      <w:r w:rsidRPr="0096031D">
        <w:t>Insert:</w:t>
      </w:r>
    </w:p>
    <w:p w:rsidR="00BB3856" w:rsidRPr="0096031D" w:rsidRDefault="00BB3856" w:rsidP="0096031D">
      <w:pPr>
        <w:pStyle w:val="ActHead2"/>
      </w:pPr>
      <w:bookmarkStart w:id="14" w:name="_Toc486251406"/>
      <w:r w:rsidRPr="0096031D">
        <w:rPr>
          <w:rStyle w:val="CharPartNo"/>
        </w:rPr>
        <w:lastRenderedPageBreak/>
        <w:t>Part</w:t>
      </w:r>
      <w:r w:rsidR="0096031D" w:rsidRPr="0096031D">
        <w:rPr>
          <w:rStyle w:val="CharPartNo"/>
        </w:rPr>
        <w:t> </w:t>
      </w:r>
      <w:r w:rsidRPr="0096031D">
        <w:rPr>
          <w:rStyle w:val="CharPartNo"/>
        </w:rPr>
        <w:t>3</w:t>
      </w:r>
      <w:r w:rsidR="00790BFB">
        <w:rPr>
          <w:rStyle w:val="CharPartNo"/>
        </w:rPr>
        <w:noBreakHyphen/>
      </w:r>
      <w:r w:rsidRPr="0096031D">
        <w:rPr>
          <w:rStyle w:val="CharPartNo"/>
        </w:rPr>
        <w:t>15</w:t>
      </w:r>
      <w:r w:rsidRPr="0096031D">
        <w:t>—</w:t>
      </w:r>
      <w:r w:rsidRPr="0096031D">
        <w:rPr>
          <w:rStyle w:val="CharPartText"/>
        </w:rPr>
        <w:t>Major bank levy</w:t>
      </w:r>
      <w:bookmarkEnd w:id="14"/>
    </w:p>
    <w:p w:rsidR="00BB3856" w:rsidRPr="0096031D" w:rsidRDefault="00BB3856" w:rsidP="0096031D">
      <w:pPr>
        <w:pStyle w:val="ActHead3"/>
      </w:pPr>
      <w:bookmarkStart w:id="15" w:name="_Toc486251407"/>
      <w:r w:rsidRPr="0096031D">
        <w:rPr>
          <w:rStyle w:val="CharDivNo"/>
        </w:rPr>
        <w:t>Division</w:t>
      </w:r>
      <w:r w:rsidR="0096031D" w:rsidRPr="0096031D">
        <w:rPr>
          <w:rStyle w:val="CharDivNo"/>
        </w:rPr>
        <w:t> </w:t>
      </w:r>
      <w:r w:rsidRPr="0096031D">
        <w:rPr>
          <w:rStyle w:val="CharDivNo"/>
        </w:rPr>
        <w:t>115</w:t>
      </w:r>
      <w:r w:rsidRPr="0096031D">
        <w:t>—</w:t>
      </w:r>
      <w:r w:rsidR="00D00A98" w:rsidRPr="0096031D">
        <w:rPr>
          <w:rStyle w:val="CharDivText"/>
        </w:rPr>
        <w:t>General provisions relating to the major bank levy</w:t>
      </w:r>
      <w:bookmarkEnd w:id="15"/>
    </w:p>
    <w:p w:rsidR="00EF2929" w:rsidRPr="0096031D" w:rsidRDefault="00EF2929" w:rsidP="0096031D">
      <w:pPr>
        <w:pStyle w:val="ActHead5"/>
      </w:pPr>
      <w:bookmarkStart w:id="16" w:name="_Toc486251408"/>
      <w:r w:rsidRPr="0096031D">
        <w:rPr>
          <w:rStyle w:val="CharSectno"/>
        </w:rPr>
        <w:t>115</w:t>
      </w:r>
      <w:r w:rsidR="00790BFB">
        <w:rPr>
          <w:rStyle w:val="CharSectno"/>
        </w:rPr>
        <w:noBreakHyphen/>
      </w:r>
      <w:r w:rsidRPr="0096031D">
        <w:rPr>
          <w:rStyle w:val="CharSectno"/>
        </w:rPr>
        <w:t>1</w:t>
      </w:r>
      <w:r w:rsidRPr="0096031D">
        <w:t xml:space="preserve">  What this Division is about</w:t>
      </w:r>
      <w:bookmarkEnd w:id="16"/>
    </w:p>
    <w:p w:rsidR="002D29C7" w:rsidRPr="0096031D" w:rsidRDefault="002D29C7" w:rsidP="0096031D">
      <w:pPr>
        <w:pStyle w:val="SOText"/>
      </w:pPr>
      <w:r w:rsidRPr="0096031D">
        <w:t xml:space="preserve">An ADI that is liable to pay levy under the </w:t>
      </w:r>
      <w:r w:rsidRPr="0096031D">
        <w:rPr>
          <w:i/>
        </w:rPr>
        <w:t>Major Bank Levy Act 2017</w:t>
      </w:r>
      <w:r w:rsidRPr="0096031D">
        <w:t xml:space="preserve"> must give quarterly returns to the Commissioner</w:t>
      </w:r>
      <w:r w:rsidR="00E83DF0" w:rsidRPr="0096031D">
        <w:t>.</w:t>
      </w:r>
    </w:p>
    <w:p w:rsidR="00EF2929" w:rsidRPr="0096031D" w:rsidRDefault="00EF2929" w:rsidP="0096031D">
      <w:pPr>
        <w:pStyle w:val="SOText"/>
      </w:pPr>
      <w:r w:rsidRPr="0096031D">
        <w:t>A</w:t>
      </w:r>
      <w:r w:rsidR="0087749C" w:rsidRPr="0096031D">
        <w:t>n a</w:t>
      </w:r>
      <w:r w:rsidRPr="0096031D">
        <w:t xml:space="preserve">mount of levy </w:t>
      </w:r>
      <w:r w:rsidR="0050518A" w:rsidRPr="0096031D">
        <w:t>is</w:t>
      </w:r>
      <w:r w:rsidRPr="0096031D">
        <w:t xml:space="preserve"> due and payable </w:t>
      </w:r>
      <w:r w:rsidR="006D4F89" w:rsidRPr="0096031D">
        <w:t>when</w:t>
      </w:r>
      <w:r w:rsidRPr="0096031D">
        <w:t xml:space="preserve"> an ADI’s</w:t>
      </w:r>
      <w:r w:rsidR="0087749C" w:rsidRPr="0096031D">
        <w:t xml:space="preserve"> last</w:t>
      </w:r>
      <w:r w:rsidRPr="0096031D">
        <w:t xml:space="preserve"> PAYG instalment</w:t>
      </w:r>
      <w:r w:rsidR="0087749C" w:rsidRPr="0096031D">
        <w:t xml:space="preserve"> </w:t>
      </w:r>
      <w:r w:rsidR="00FF7859" w:rsidRPr="0096031D">
        <w:t>within</w:t>
      </w:r>
      <w:r w:rsidR="0087749C" w:rsidRPr="0096031D">
        <w:t xml:space="preserve"> an instalment quarter is</w:t>
      </w:r>
      <w:r w:rsidRPr="0096031D">
        <w:t xml:space="preserve"> due.</w:t>
      </w:r>
    </w:p>
    <w:p w:rsidR="0050518A" w:rsidRPr="0096031D" w:rsidRDefault="0050518A" w:rsidP="0096031D">
      <w:pPr>
        <w:pStyle w:val="TofSectsHeading"/>
      </w:pPr>
      <w:r w:rsidRPr="0096031D">
        <w:t>Table of sections</w:t>
      </w:r>
    </w:p>
    <w:p w:rsidR="0050518A" w:rsidRPr="0096031D" w:rsidRDefault="0050518A" w:rsidP="0096031D">
      <w:pPr>
        <w:pStyle w:val="TofSectsSection"/>
      </w:pPr>
      <w:r w:rsidRPr="0096031D">
        <w:t>115</w:t>
      </w:r>
      <w:r w:rsidR="00790BFB">
        <w:noBreakHyphen/>
      </w:r>
      <w:r w:rsidRPr="0096031D">
        <w:t>5</w:t>
      </w:r>
      <w:r w:rsidRPr="0096031D">
        <w:tab/>
        <w:t>Returns</w:t>
      </w:r>
    </w:p>
    <w:p w:rsidR="0050518A" w:rsidRPr="0096031D" w:rsidRDefault="0050518A" w:rsidP="0096031D">
      <w:pPr>
        <w:pStyle w:val="TofSectsSection"/>
      </w:pPr>
      <w:r w:rsidRPr="0096031D">
        <w:t>115</w:t>
      </w:r>
      <w:r w:rsidR="00790BFB">
        <w:noBreakHyphen/>
      </w:r>
      <w:r w:rsidRPr="0096031D">
        <w:t>10</w:t>
      </w:r>
      <w:r w:rsidRPr="0096031D">
        <w:tab/>
        <w:t xml:space="preserve">When major bank levy is </w:t>
      </w:r>
      <w:r w:rsidR="006D4F89" w:rsidRPr="0096031D">
        <w:t xml:space="preserve">due and </w:t>
      </w:r>
      <w:r w:rsidRPr="0096031D">
        <w:t>payable</w:t>
      </w:r>
    </w:p>
    <w:p w:rsidR="00064C22" w:rsidRPr="0096031D" w:rsidRDefault="00EF2929" w:rsidP="0096031D">
      <w:pPr>
        <w:pStyle w:val="ActHead5"/>
      </w:pPr>
      <w:bookmarkStart w:id="17" w:name="_Toc486251409"/>
      <w:r w:rsidRPr="0096031D">
        <w:rPr>
          <w:rStyle w:val="CharSectno"/>
        </w:rPr>
        <w:t>115</w:t>
      </w:r>
      <w:r w:rsidR="00790BFB">
        <w:rPr>
          <w:rStyle w:val="CharSectno"/>
        </w:rPr>
        <w:noBreakHyphen/>
      </w:r>
      <w:r w:rsidRPr="0096031D">
        <w:rPr>
          <w:rStyle w:val="CharSectno"/>
        </w:rPr>
        <w:t>5</w:t>
      </w:r>
      <w:r w:rsidRPr="0096031D">
        <w:t xml:space="preserve">  </w:t>
      </w:r>
      <w:r w:rsidR="00064C22" w:rsidRPr="0096031D">
        <w:t>Returns</w:t>
      </w:r>
      <w:bookmarkEnd w:id="17"/>
    </w:p>
    <w:p w:rsidR="00064C22" w:rsidRPr="0096031D" w:rsidRDefault="00064C22" w:rsidP="0096031D">
      <w:pPr>
        <w:pStyle w:val="subsection"/>
      </w:pPr>
      <w:r w:rsidRPr="0096031D">
        <w:tab/>
        <w:t>(1)</w:t>
      </w:r>
      <w:r w:rsidRPr="0096031D">
        <w:tab/>
        <w:t xml:space="preserve">An </w:t>
      </w:r>
      <w:r w:rsidR="0096031D" w:rsidRPr="0096031D">
        <w:rPr>
          <w:position w:val="6"/>
          <w:sz w:val="16"/>
        </w:rPr>
        <w:t>*</w:t>
      </w:r>
      <w:r w:rsidR="0050518A" w:rsidRPr="0096031D">
        <w:t>ADI</w:t>
      </w:r>
      <w:r w:rsidRPr="0096031D">
        <w:t xml:space="preserve"> that is liable to pay levy for a </w:t>
      </w:r>
      <w:r w:rsidR="0096031D" w:rsidRPr="0096031D">
        <w:rPr>
          <w:position w:val="6"/>
          <w:sz w:val="16"/>
        </w:rPr>
        <w:t>*</w:t>
      </w:r>
      <w:r w:rsidRPr="0096031D">
        <w:t xml:space="preserve">quarter under the </w:t>
      </w:r>
      <w:r w:rsidRPr="0096031D">
        <w:rPr>
          <w:i/>
        </w:rPr>
        <w:t>Major Bank Levy Act 2017</w:t>
      </w:r>
      <w:r w:rsidRPr="0096031D">
        <w:t xml:space="preserve"> must give to the Commissioner a return relating to the levy, in the</w:t>
      </w:r>
      <w:r w:rsidR="001F209F" w:rsidRPr="0096031D">
        <w:t xml:space="preserve"> </w:t>
      </w:r>
      <w:r w:rsidR="0096031D" w:rsidRPr="0096031D">
        <w:rPr>
          <w:position w:val="6"/>
          <w:sz w:val="16"/>
        </w:rPr>
        <w:t>*</w:t>
      </w:r>
      <w:r w:rsidRPr="0096031D">
        <w:t>approved form.</w:t>
      </w:r>
    </w:p>
    <w:p w:rsidR="007304A6" w:rsidRPr="0096031D" w:rsidRDefault="007304A6" w:rsidP="0096031D">
      <w:pPr>
        <w:pStyle w:val="subsection"/>
      </w:pPr>
      <w:r w:rsidRPr="0096031D">
        <w:tab/>
        <w:t>(2)</w:t>
      </w:r>
      <w:r w:rsidRPr="0096031D">
        <w:tab/>
        <w:t xml:space="preserve">The return must be given on or before the </w:t>
      </w:r>
      <w:r w:rsidR="0096031D" w:rsidRPr="0096031D">
        <w:rPr>
          <w:position w:val="6"/>
          <w:sz w:val="16"/>
        </w:rPr>
        <w:t>*</w:t>
      </w:r>
      <w:r w:rsidRPr="0096031D">
        <w:t xml:space="preserve">MBL reporting day for the </w:t>
      </w:r>
      <w:r w:rsidR="0096031D" w:rsidRPr="0096031D">
        <w:rPr>
          <w:position w:val="6"/>
          <w:sz w:val="16"/>
        </w:rPr>
        <w:t>*</w:t>
      </w:r>
      <w:r w:rsidRPr="0096031D">
        <w:t>quarter.</w:t>
      </w:r>
    </w:p>
    <w:p w:rsidR="007304A6" w:rsidRPr="0096031D" w:rsidRDefault="007304A6" w:rsidP="0096031D">
      <w:pPr>
        <w:pStyle w:val="subsection"/>
      </w:pPr>
      <w:r w:rsidRPr="0096031D">
        <w:tab/>
        <w:t>(3)</w:t>
      </w:r>
      <w:r w:rsidRPr="0096031D">
        <w:tab/>
        <w:t xml:space="preserve">The </w:t>
      </w:r>
      <w:r w:rsidRPr="0096031D">
        <w:rPr>
          <w:b/>
          <w:i/>
        </w:rPr>
        <w:t>MBL reporting day</w:t>
      </w:r>
      <w:r w:rsidRPr="0096031D">
        <w:t xml:space="preserve"> for the </w:t>
      </w:r>
      <w:r w:rsidR="0096031D" w:rsidRPr="0096031D">
        <w:rPr>
          <w:position w:val="6"/>
          <w:sz w:val="16"/>
        </w:rPr>
        <w:t>*</w:t>
      </w:r>
      <w:r w:rsidRPr="0096031D">
        <w:t xml:space="preserve">quarter is the day by which the </w:t>
      </w:r>
      <w:r w:rsidR="0096031D" w:rsidRPr="0096031D">
        <w:rPr>
          <w:position w:val="6"/>
          <w:sz w:val="16"/>
        </w:rPr>
        <w:t>*</w:t>
      </w:r>
      <w:r w:rsidRPr="0096031D">
        <w:t xml:space="preserve">ADI is required to give to </w:t>
      </w:r>
      <w:r w:rsidR="0096031D" w:rsidRPr="0096031D">
        <w:rPr>
          <w:position w:val="6"/>
          <w:sz w:val="16"/>
        </w:rPr>
        <w:t>*</w:t>
      </w:r>
      <w:r w:rsidRPr="0096031D">
        <w:t>APRA a report, in accordance with a standard determined by APRA under section</w:t>
      </w:r>
      <w:r w:rsidR="0096031D" w:rsidRPr="0096031D">
        <w:t> </w:t>
      </w:r>
      <w:r w:rsidRPr="0096031D">
        <w:t>13 of the</w:t>
      </w:r>
      <w:r w:rsidRPr="0096031D">
        <w:rPr>
          <w:i/>
        </w:rPr>
        <w:t xml:space="preserve"> Financial Sector (Collection of Data) Act 2001</w:t>
      </w:r>
      <w:r w:rsidRPr="0096031D">
        <w:t>, that:</w:t>
      </w:r>
    </w:p>
    <w:p w:rsidR="007304A6" w:rsidRPr="0096031D" w:rsidRDefault="007304A6" w:rsidP="0096031D">
      <w:pPr>
        <w:pStyle w:val="paragraph"/>
      </w:pPr>
      <w:r w:rsidRPr="0096031D">
        <w:tab/>
        <w:t>(a)</w:t>
      </w:r>
      <w:r w:rsidRPr="0096031D">
        <w:tab/>
        <w:t xml:space="preserve">relates to the </w:t>
      </w:r>
      <w:r w:rsidR="0096031D" w:rsidRPr="0096031D">
        <w:rPr>
          <w:position w:val="6"/>
          <w:sz w:val="16"/>
        </w:rPr>
        <w:t>*</w:t>
      </w:r>
      <w:r w:rsidRPr="0096031D">
        <w:t>quarter; and</w:t>
      </w:r>
    </w:p>
    <w:p w:rsidR="007304A6" w:rsidRPr="0096031D" w:rsidRDefault="007304A6" w:rsidP="0096031D">
      <w:pPr>
        <w:pStyle w:val="paragraph"/>
      </w:pPr>
      <w:r w:rsidRPr="0096031D">
        <w:tab/>
        <w:t>(b)</w:t>
      </w:r>
      <w:r w:rsidRPr="0096031D">
        <w:tab/>
        <w:t xml:space="preserve">states the total liabilities amount (within the meaning of the </w:t>
      </w:r>
      <w:r w:rsidRPr="0096031D">
        <w:rPr>
          <w:i/>
        </w:rPr>
        <w:t>Major Bank Levy Act 2017</w:t>
      </w:r>
      <w:r w:rsidRPr="0096031D">
        <w:t>)</w:t>
      </w:r>
      <w:r w:rsidR="00EE1F69" w:rsidRPr="0096031D">
        <w:t xml:space="preserve"> for the quarter in relation to the ADI</w:t>
      </w:r>
      <w:r w:rsidRPr="0096031D">
        <w:t>.</w:t>
      </w:r>
    </w:p>
    <w:p w:rsidR="00EF2929" w:rsidRPr="0096031D" w:rsidRDefault="00064C22" w:rsidP="0096031D">
      <w:pPr>
        <w:pStyle w:val="ActHead5"/>
      </w:pPr>
      <w:bookmarkStart w:id="18" w:name="_Toc486251410"/>
      <w:r w:rsidRPr="0096031D">
        <w:rPr>
          <w:rStyle w:val="CharSectno"/>
        </w:rPr>
        <w:lastRenderedPageBreak/>
        <w:t>115</w:t>
      </w:r>
      <w:r w:rsidR="00790BFB">
        <w:rPr>
          <w:rStyle w:val="CharSectno"/>
        </w:rPr>
        <w:noBreakHyphen/>
      </w:r>
      <w:r w:rsidRPr="0096031D">
        <w:rPr>
          <w:rStyle w:val="CharSectno"/>
        </w:rPr>
        <w:t>10</w:t>
      </w:r>
      <w:r w:rsidRPr="0096031D">
        <w:t xml:space="preserve">  </w:t>
      </w:r>
      <w:r w:rsidR="00EF2929" w:rsidRPr="0096031D">
        <w:t xml:space="preserve">When </w:t>
      </w:r>
      <w:r w:rsidR="00482A17" w:rsidRPr="0096031D">
        <w:t>major bank levy is</w:t>
      </w:r>
      <w:r w:rsidR="006D4F89" w:rsidRPr="0096031D">
        <w:t xml:space="preserve"> due and payable</w:t>
      </w:r>
      <w:bookmarkEnd w:id="18"/>
    </w:p>
    <w:p w:rsidR="001C7C00" w:rsidRPr="0096031D" w:rsidRDefault="001C7C00" w:rsidP="0096031D">
      <w:pPr>
        <w:pStyle w:val="subsection"/>
      </w:pPr>
      <w:r w:rsidRPr="0096031D">
        <w:tab/>
      </w:r>
      <w:r w:rsidR="00EA4A7F" w:rsidRPr="0096031D">
        <w:t>(1)</w:t>
      </w:r>
      <w:r w:rsidRPr="0096031D">
        <w:tab/>
        <w:t xml:space="preserve">An amount of levy under the </w:t>
      </w:r>
      <w:r w:rsidRPr="0096031D">
        <w:rPr>
          <w:i/>
        </w:rPr>
        <w:t>Major Bank Levy Act 2017</w:t>
      </w:r>
      <w:r w:rsidRPr="0096031D">
        <w:t xml:space="preserve"> that an </w:t>
      </w:r>
      <w:r w:rsidR="0096031D" w:rsidRPr="0096031D">
        <w:rPr>
          <w:position w:val="6"/>
          <w:sz w:val="16"/>
        </w:rPr>
        <w:t>*</w:t>
      </w:r>
      <w:r w:rsidRPr="0096031D">
        <w:t xml:space="preserve">ADI is liable to pay for a </w:t>
      </w:r>
      <w:r w:rsidR="0096031D" w:rsidRPr="0096031D">
        <w:rPr>
          <w:position w:val="6"/>
          <w:sz w:val="16"/>
        </w:rPr>
        <w:t>*</w:t>
      </w:r>
      <w:r w:rsidRPr="0096031D">
        <w:t xml:space="preserve">quarter is due </w:t>
      </w:r>
      <w:r w:rsidR="00E83DF0" w:rsidRPr="0096031D">
        <w:t xml:space="preserve">and payable </w:t>
      </w:r>
      <w:r w:rsidRPr="0096031D">
        <w:t>on the first day:</w:t>
      </w:r>
    </w:p>
    <w:p w:rsidR="001C7C00" w:rsidRPr="0096031D" w:rsidRDefault="001C7C00" w:rsidP="0096031D">
      <w:pPr>
        <w:pStyle w:val="paragraph"/>
      </w:pPr>
      <w:r w:rsidRPr="0096031D">
        <w:tab/>
        <w:t>(a)</w:t>
      </w:r>
      <w:r w:rsidRPr="0096031D">
        <w:tab/>
        <w:t xml:space="preserve">that occurs on or after the </w:t>
      </w:r>
      <w:r w:rsidR="0096031D" w:rsidRPr="0096031D">
        <w:rPr>
          <w:position w:val="6"/>
          <w:sz w:val="16"/>
        </w:rPr>
        <w:t>*</w:t>
      </w:r>
      <w:r w:rsidR="008A4060" w:rsidRPr="0096031D">
        <w:t xml:space="preserve">MBL reporting day for the </w:t>
      </w:r>
      <w:r w:rsidR="007304A6" w:rsidRPr="0096031D">
        <w:t>quarter; and</w:t>
      </w:r>
    </w:p>
    <w:p w:rsidR="001C7C00" w:rsidRPr="0096031D" w:rsidRDefault="001C7C00" w:rsidP="0096031D">
      <w:pPr>
        <w:pStyle w:val="paragraph"/>
      </w:pPr>
      <w:r w:rsidRPr="0096031D">
        <w:tab/>
        <w:t>(b)</w:t>
      </w:r>
      <w:r w:rsidRPr="0096031D">
        <w:tab/>
        <w:t xml:space="preserve">on which the last instalment that the ADI is liable to pay </w:t>
      </w:r>
      <w:r w:rsidR="00BD4D41" w:rsidRPr="0096031D">
        <w:t>within</w:t>
      </w:r>
      <w:r w:rsidRPr="0096031D">
        <w:t xml:space="preserve"> an </w:t>
      </w:r>
      <w:r w:rsidR="0096031D" w:rsidRPr="0096031D">
        <w:rPr>
          <w:position w:val="6"/>
          <w:sz w:val="16"/>
        </w:rPr>
        <w:t>*</w:t>
      </w:r>
      <w:r w:rsidRPr="0096031D">
        <w:t>instalment quarter is due under Subdivision</w:t>
      </w:r>
      <w:r w:rsidR="0096031D" w:rsidRPr="0096031D">
        <w:t> </w:t>
      </w:r>
      <w:r w:rsidRPr="0096031D">
        <w:t>45</w:t>
      </w:r>
      <w:r w:rsidR="00790BFB">
        <w:noBreakHyphen/>
      </w:r>
      <w:r w:rsidRPr="0096031D">
        <w:t>B.</w:t>
      </w:r>
    </w:p>
    <w:p w:rsidR="00EA4A7F" w:rsidRPr="0096031D" w:rsidRDefault="00EA4A7F" w:rsidP="0096031D">
      <w:pPr>
        <w:pStyle w:val="subsection"/>
      </w:pPr>
      <w:r w:rsidRPr="0096031D">
        <w:tab/>
        <w:t>(2)</w:t>
      </w:r>
      <w:r w:rsidRPr="0096031D">
        <w:tab/>
      </w:r>
      <w:r w:rsidR="006D2F2F" w:rsidRPr="0096031D">
        <w:t xml:space="preserve">If that amount remains unpaid after it is due and payable, the </w:t>
      </w:r>
      <w:r w:rsidR="0096031D" w:rsidRPr="0096031D">
        <w:rPr>
          <w:position w:val="6"/>
          <w:sz w:val="16"/>
        </w:rPr>
        <w:t>*</w:t>
      </w:r>
      <w:r w:rsidR="006D2F2F" w:rsidRPr="0096031D">
        <w:t xml:space="preserve">ADI is liable to pay </w:t>
      </w:r>
      <w:r w:rsidR="0096031D" w:rsidRPr="0096031D">
        <w:rPr>
          <w:position w:val="6"/>
          <w:sz w:val="16"/>
        </w:rPr>
        <w:t>*</w:t>
      </w:r>
      <w:r w:rsidR="006D2F2F" w:rsidRPr="0096031D">
        <w:t>general interest charge on the unpaid amount for each day in the period that:</w:t>
      </w:r>
    </w:p>
    <w:p w:rsidR="006D2F2F" w:rsidRPr="0096031D" w:rsidRDefault="006D2F2F" w:rsidP="0096031D">
      <w:pPr>
        <w:pStyle w:val="paragraph"/>
      </w:pPr>
      <w:r w:rsidRPr="0096031D">
        <w:tab/>
        <w:t>(a)</w:t>
      </w:r>
      <w:r w:rsidRPr="0096031D">
        <w:tab/>
        <w:t>start</w:t>
      </w:r>
      <w:r w:rsidR="00EE1F69" w:rsidRPr="0096031D">
        <w:t>ed</w:t>
      </w:r>
      <w:r w:rsidRPr="0096031D">
        <w:t xml:space="preserve"> at the beginning of the day by which the amount was due to be paid; and</w:t>
      </w:r>
    </w:p>
    <w:p w:rsidR="006D2F2F" w:rsidRPr="0096031D" w:rsidRDefault="006D2F2F" w:rsidP="0096031D">
      <w:pPr>
        <w:pStyle w:val="paragraph"/>
      </w:pPr>
      <w:r w:rsidRPr="0096031D">
        <w:tab/>
        <w:t>(b)</w:t>
      </w:r>
      <w:r w:rsidRPr="0096031D">
        <w:tab/>
        <w:t>finishes at the end of the last day at the end of which either of the following remains unpaid:</w:t>
      </w:r>
    </w:p>
    <w:p w:rsidR="006D2F2F" w:rsidRPr="0096031D" w:rsidRDefault="006D2F2F" w:rsidP="0096031D">
      <w:pPr>
        <w:pStyle w:val="paragraphsub"/>
      </w:pPr>
      <w:r w:rsidRPr="0096031D">
        <w:tab/>
        <w:t>(</w:t>
      </w:r>
      <w:proofErr w:type="spellStart"/>
      <w:r w:rsidRPr="0096031D">
        <w:t>i</w:t>
      </w:r>
      <w:proofErr w:type="spellEnd"/>
      <w:r w:rsidRPr="0096031D">
        <w:t>)</w:t>
      </w:r>
      <w:r w:rsidRPr="0096031D">
        <w:tab/>
        <w:t>the amount;</w:t>
      </w:r>
    </w:p>
    <w:p w:rsidR="006D2F2F" w:rsidRPr="0096031D" w:rsidRDefault="006D2F2F" w:rsidP="0096031D">
      <w:pPr>
        <w:pStyle w:val="paragraphsub"/>
      </w:pPr>
      <w:r w:rsidRPr="0096031D">
        <w:tab/>
        <w:t>(ii)</w:t>
      </w:r>
      <w:r w:rsidRPr="0096031D">
        <w:tab/>
        <w:t>general interest charge on any of the amount.</w:t>
      </w:r>
    </w:p>
    <w:p w:rsidR="0087749C" w:rsidRPr="0096031D" w:rsidRDefault="0087749C" w:rsidP="0096031D">
      <w:pPr>
        <w:pStyle w:val="ActHead3"/>
      </w:pPr>
      <w:bookmarkStart w:id="19" w:name="_Toc486251411"/>
      <w:r w:rsidRPr="0096031D">
        <w:rPr>
          <w:rStyle w:val="CharDivNo"/>
        </w:rPr>
        <w:t>Division</w:t>
      </w:r>
      <w:r w:rsidR="0096031D" w:rsidRPr="0096031D">
        <w:rPr>
          <w:rStyle w:val="CharDivNo"/>
        </w:rPr>
        <w:t> </w:t>
      </w:r>
      <w:r w:rsidRPr="0096031D">
        <w:rPr>
          <w:rStyle w:val="CharDivNo"/>
        </w:rPr>
        <w:t>117</w:t>
      </w:r>
      <w:r w:rsidRPr="0096031D">
        <w:t>—</w:t>
      </w:r>
      <w:r w:rsidRPr="0096031D">
        <w:rPr>
          <w:rStyle w:val="CharDivText"/>
        </w:rPr>
        <w:t>Anti</w:t>
      </w:r>
      <w:r w:rsidR="00790BFB">
        <w:rPr>
          <w:rStyle w:val="CharDivText"/>
        </w:rPr>
        <w:noBreakHyphen/>
      </w:r>
      <w:r w:rsidRPr="0096031D">
        <w:rPr>
          <w:rStyle w:val="CharDivText"/>
        </w:rPr>
        <w:t>avoidance</w:t>
      </w:r>
      <w:bookmarkEnd w:id="19"/>
    </w:p>
    <w:p w:rsidR="009C72E0" w:rsidRPr="0096031D" w:rsidRDefault="009C72E0" w:rsidP="0096031D">
      <w:pPr>
        <w:pStyle w:val="TofSectsHeading"/>
      </w:pPr>
      <w:r w:rsidRPr="0096031D">
        <w:t>Table of Subdivisions</w:t>
      </w:r>
    </w:p>
    <w:p w:rsidR="009C72E0" w:rsidRPr="0096031D" w:rsidRDefault="009C72E0" w:rsidP="0096031D">
      <w:pPr>
        <w:pStyle w:val="TofSectsSubdiv"/>
      </w:pPr>
      <w:r w:rsidRPr="0096031D">
        <w:tab/>
        <w:t>Guide to Division</w:t>
      </w:r>
      <w:r w:rsidR="0096031D" w:rsidRPr="0096031D">
        <w:t> </w:t>
      </w:r>
      <w:r w:rsidR="00D22053" w:rsidRPr="0096031D">
        <w:t>117</w:t>
      </w:r>
    </w:p>
    <w:p w:rsidR="009C72E0" w:rsidRPr="0096031D" w:rsidRDefault="00D22053" w:rsidP="0096031D">
      <w:pPr>
        <w:pStyle w:val="TofSectsSubdiv"/>
      </w:pPr>
      <w:r w:rsidRPr="0096031D">
        <w:t>117</w:t>
      </w:r>
      <w:r w:rsidR="00790BFB">
        <w:noBreakHyphen/>
      </w:r>
      <w:r w:rsidR="009C72E0" w:rsidRPr="0096031D">
        <w:t>A</w:t>
      </w:r>
      <w:r w:rsidR="009C72E0" w:rsidRPr="0096031D">
        <w:tab/>
        <w:t>Application of this Division</w:t>
      </w:r>
    </w:p>
    <w:p w:rsidR="009C72E0" w:rsidRPr="0096031D" w:rsidRDefault="00D22053" w:rsidP="0096031D">
      <w:pPr>
        <w:pStyle w:val="TofSectsSubdiv"/>
      </w:pPr>
      <w:r w:rsidRPr="0096031D">
        <w:t>117</w:t>
      </w:r>
      <w:r w:rsidR="00790BFB">
        <w:noBreakHyphen/>
      </w:r>
      <w:r w:rsidR="009C72E0" w:rsidRPr="0096031D">
        <w:t>B</w:t>
      </w:r>
      <w:r w:rsidR="009C72E0" w:rsidRPr="0096031D">
        <w:tab/>
        <w:t xml:space="preserve">Commissioner may negate effects of schemes for </w:t>
      </w:r>
      <w:r w:rsidR="006675CB" w:rsidRPr="0096031D">
        <w:t>MBL</w:t>
      </w:r>
      <w:r w:rsidR="009C72E0" w:rsidRPr="0096031D">
        <w:t xml:space="preserve"> benefits</w:t>
      </w:r>
    </w:p>
    <w:p w:rsidR="009C72E0" w:rsidRPr="0096031D" w:rsidRDefault="009C72E0" w:rsidP="0096031D">
      <w:pPr>
        <w:pStyle w:val="ActHead4"/>
      </w:pPr>
      <w:bookmarkStart w:id="20" w:name="_Toc486251412"/>
      <w:r w:rsidRPr="0096031D">
        <w:t>Guide to Division</w:t>
      </w:r>
      <w:r w:rsidR="0096031D" w:rsidRPr="0096031D">
        <w:t> </w:t>
      </w:r>
      <w:r w:rsidR="00D22053" w:rsidRPr="0096031D">
        <w:t>117</w:t>
      </w:r>
      <w:bookmarkEnd w:id="20"/>
    </w:p>
    <w:p w:rsidR="009C72E0" w:rsidRPr="0096031D" w:rsidRDefault="00D22053" w:rsidP="0096031D">
      <w:pPr>
        <w:pStyle w:val="ActHead5"/>
      </w:pPr>
      <w:bookmarkStart w:id="21" w:name="_Toc486251413"/>
      <w:r w:rsidRPr="0096031D">
        <w:rPr>
          <w:rStyle w:val="CharSectno"/>
        </w:rPr>
        <w:t>117</w:t>
      </w:r>
      <w:r w:rsidR="00790BFB">
        <w:rPr>
          <w:rStyle w:val="CharSectno"/>
        </w:rPr>
        <w:noBreakHyphen/>
      </w:r>
      <w:r w:rsidR="009C72E0" w:rsidRPr="0096031D">
        <w:rPr>
          <w:rStyle w:val="CharSectno"/>
        </w:rPr>
        <w:t>1</w:t>
      </w:r>
      <w:r w:rsidR="009C72E0" w:rsidRPr="0096031D">
        <w:t xml:space="preserve">  What this Division is about</w:t>
      </w:r>
      <w:bookmarkEnd w:id="21"/>
    </w:p>
    <w:p w:rsidR="009C72E0" w:rsidRPr="0096031D" w:rsidRDefault="009C72E0" w:rsidP="0096031D">
      <w:pPr>
        <w:pStyle w:val="SOText"/>
      </w:pPr>
      <w:r w:rsidRPr="0096031D">
        <w:t xml:space="preserve">This Division applies to deter schemes that give entities </w:t>
      </w:r>
      <w:r w:rsidR="001F209F" w:rsidRPr="0096031D">
        <w:t>MBL</w:t>
      </w:r>
      <w:r w:rsidRPr="0096031D">
        <w:t xml:space="preserve"> benefits.</w:t>
      </w:r>
    </w:p>
    <w:p w:rsidR="009C72E0" w:rsidRPr="0096031D" w:rsidRDefault="009C72E0" w:rsidP="0096031D">
      <w:pPr>
        <w:pStyle w:val="SOText"/>
      </w:pPr>
      <w:r w:rsidRPr="0096031D">
        <w:lastRenderedPageBreak/>
        <w:t xml:space="preserve">If the </w:t>
      </w:r>
      <w:r w:rsidR="00954CE1" w:rsidRPr="0096031D">
        <w:t>sole or dominant purpose</w:t>
      </w:r>
      <w:r w:rsidRPr="0096031D">
        <w:t xml:space="preserve"> of </w:t>
      </w:r>
      <w:r w:rsidR="00492107" w:rsidRPr="0096031D">
        <w:t xml:space="preserve">entering into </w:t>
      </w:r>
      <w:r w:rsidRPr="0096031D">
        <w:t xml:space="preserve">a scheme is to give an entity such a benefit, the </w:t>
      </w:r>
      <w:r w:rsidR="00D22053" w:rsidRPr="0096031D">
        <w:t xml:space="preserve">Commissioner may negate the </w:t>
      </w:r>
      <w:r w:rsidR="001F209F" w:rsidRPr="0096031D">
        <w:t>MBL</w:t>
      </w:r>
      <w:r w:rsidR="00D22053" w:rsidRPr="0096031D">
        <w:t xml:space="preserve"> benefit an entity gets from the scheme by making a determination.</w:t>
      </w:r>
    </w:p>
    <w:p w:rsidR="009C72E0" w:rsidRPr="0096031D" w:rsidRDefault="009C72E0" w:rsidP="0096031D">
      <w:pPr>
        <w:pStyle w:val="ActHead4"/>
      </w:pPr>
      <w:bookmarkStart w:id="22" w:name="_Toc486251414"/>
      <w:r w:rsidRPr="0096031D">
        <w:rPr>
          <w:rStyle w:val="CharSubdNo"/>
        </w:rPr>
        <w:t>Subdivision</w:t>
      </w:r>
      <w:r w:rsidR="0096031D" w:rsidRPr="0096031D">
        <w:rPr>
          <w:rStyle w:val="CharSubdNo"/>
        </w:rPr>
        <w:t> </w:t>
      </w:r>
      <w:r w:rsidRPr="0096031D">
        <w:rPr>
          <w:rStyle w:val="CharSubdNo"/>
        </w:rPr>
        <w:t>117</w:t>
      </w:r>
      <w:r w:rsidR="00790BFB">
        <w:rPr>
          <w:rStyle w:val="CharSubdNo"/>
        </w:rPr>
        <w:noBreakHyphen/>
      </w:r>
      <w:r w:rsidRPr="0096031D">
        <w:rPr>
          <w:rStyle w:val="CharSubdNo"/>
        </w:rPr>
        <w:t>A</w:t>
      </w:r>
      <w:r w:rsidRPr="0096031D">
        <w:t>—</w:t>
      </w:r>
      <w:r w:rsidRPr="0096031D">
        <w:rPr>
          <w:rStyle w:val="CharSubdText"/>
        </w:rPr>
        <w:t>Application of this Division</w:t>
      </w:r>
      <w:bookmarkEnd w:id="22"/>
    </w:p>
    <w:p w:rsidR="009C72E0" w:rsidRPr="0096031D" w:rsidRDefault="009C72E0" w:rsidP="0096031D">
      <w:pPr>
        <w:pStyle w:val="TofSectsHeading"/>
      </w:pPr>
      <w:r w:rsidRPr="0096031D">
        <w:t>Table of sections</w:t>
      </w:r>
    </w:p>
    <w:p w:rsidR="009C72E0" w:rsidRPr="0096031D" w:rsidRDefault="009C72E0" w:rsidP="0096031D">
      <w:pPr>
        <w:pStyle w:val="TofSectsSection"/>
      </w:pPr>
      <w:r w:rsidRPr="0096031D">
        <w:t>117</w:t>
      </w:r>
      <w:r w:rsidR="00790BFB">
        <w:noBreakHyphen/>
      </w:r>
      <w:r w:rsidRPr="0096031D">
        <w:t>5</w:t>
      </w:r>
      <w:r w:rsidRPr="0096031D">
        <w:tab/>
        <w:t>Object of this Division</w:t>
      </w:r>
    </w:p>
    <w:p w:rsidR="009C72E0" w:rsidRPr="0096031D" w:rsidRDefault="00E1657A" w:rsidP="0096031D">
      <w:pPr>
        <w:pStyle w:val="TofSectsSection"/>
      </w:pPr>
      <w:r w:rsidRPr="0096031D">
        <w:t>117</w:t>
      </w:r>
      <w:r w:rsidR="00790BFB">
        <w:noBreakHyphen/>
      </w:r>
      <w:r w:rsidR="009C72E0" w:rsidRPr="0096031D">
        <w:t>10</w:t>
      </w:r>
      <w:r w:rsidR="009C72E0" w:rsidRPr="0096031D">
        <w:tab/>
      </w:r>
      <w:r w:rsidR="00F05FCA" w:rsidRPr="0096031D">
        <w:t>Application of this Division</w:t>
      </w:r>
    </w:p>
    <w:p w:rsidR="009C72E0" w:rsidRPr="0096031D" w:rsidRDefault="00E1657A" w:rsidP="0096031D">
      <w:pPr>
        <w:pStyle w:val="TofSectsSection"/>
      </w:pPr>
      <w:r w:rsidRPr="0096031D">
        <w:t>117</w:t>
      </w:r>
      <w:r w:rsidR="00790BFB">
        <w:noBreakHyphen/>
      </w:r>
      <w:r w:rsidR="009C72E0" w:rsidRPr="0096031D">
        <w:t>15</w:t>
      </w:r>
      <w:r w:rsidR="009C72E0" w:rsidRPr="0096031D">
        <w:tab/>
      </w:r>
      <w:r w:rsidR="00F05FCA" w:rsidRPr="0096031D">
        <w:t xml:space="preserve">Meaning of </w:t>
      </w:r>
      <w:r w:rsidR="00F05FCA" w:rsidRPr="0096031D">
        <w:rPr>
          <w:b/>
          <w:i/>
        </w:rPr>
        <w:t>MBL benefit</w:t>
      </w:r>
    </w:p>
    <w:p w:rsidR="009C72E0" w:rsidRPr="0096031D" w:rsidRDefault="00E1657A" w:rsidP="0096031D">
      <w:pPr>
        <w:pStyle w:val="TofSectsSection"/>
      </w:pPr>
      <w:r w:rsidRPr="0096031D">
        <w:t>117</w:t>
      </w:r>
      <w:r w:rsidR="00790BFB">
        <w:noBreakHyphen/>
      </w:r>
      <w:r w:rsidR="009C72E0" w:rsidRPr="0096031D">
        <w:t>20</w:t>
      </w:r>
      <w:r w:rsidR="009C72E0" w:rsidRPr="0096031D">
        <w:tab/>
        <w:t>Matters to be considered in determining purpose</w:t>
      </w:r>
    </w:p>
    <w:p w:rsidR="009C72E0" w:rsidRPr="0096031D" w:rsidRDefault="00D22053" w:rsidP="0096031D">
      <w:pPr>
        <w:pStyle w:val="ActHead5"/>
      </w:pPr>
      <w:bookmarkStart w:id="23" w:name="_Toc486251415"/>
      <w:r w:rsidRPr="0096031D">
        <w:rPr>
          <w:rStyle w:val="CharSectno"/>
        </w:rPr>
        <w:t>117</w:t>
      </w:r>
      <w:r w:rsidR="00790BFB">
        <w:rPr>
          <w:rStyle w:val="CharSectno"/>
        </w:rPr>
        <w:noBreakHyphen/>
      </w:r>
      <w:r w:rsidR="009C72E0" w:rsidRPr="0096031D">
        <w:rPr>
          <w:rStyle w:val="CharSectno"/>
        </w:rPr>
        <w:t>5</w:t>
      </w:r>
      <w:r w:rsidR="009C72E0" w:rsidRPr="0096031D">
        <w:t xml:space="preserve">  Object of this Division</w:t>
      </w:r>
      <w:bookmarkEnd w:id="23"/>
    </w:p>
    <w:p w:rsidR="009C72E0" w:rsidRPr="0096031D" w:rsidRDefault="009C72E0" w:rsidP="0096031D">
      <w:pPr>
        <w:pStyle w:val="subsection"/>
        <w:keepNext/>
        <w:keepLines/>
      </w:pPr>
      <w:r w:rsidRPr="0096031D">
        <w:tab/>
      </w:r>
      <w:r w:rsidRPr="0096031D">
        <w:tab/>
        <w:t xml:space="preserve">The object of this Division is to deter </w:t>
      </w:r>
      <w:r w:rsidR="0096031D" w:rsidRPr="0096031D">
        <w:rPr>
          <w:position w:val="6"/>
          <w:sz w:val="16"/>
        </w:rPr>
        <w:t>*</w:t>
      </w:r>
      <w:r w:rsidRPr="0096031D">
        <w:t xml:space="preserve">schemes to give entities benefits that reduce </w:t>
      </w:r>
      <w:r w:rsidR="00954CE1" w:rsidRPr="0096031D">
        <w:t xml:space="preserve">or defer </w:t>
      </w:r>
      <w:r w:rsidRPr="0096031D">
        <w:t>liabilities</w:t>
      </w:r>
      <w:r w:rsidR="00E1657A" w:rsidRPr="0096031D">
        <w:t xml:space="preserve"> to levy under the </w:t>
      </w:r>
      <w:r w:rsidR="00E1657A" w:rsidRPr="0096031D">
        <w:rPr>
          <w:i/>
        </w:rPr>
        <w:t>Major Bank Levy Act 2017</w:t>
      </w:r>
      <w:r w:rsidRPr="0096031D">
        <w:t>.</w:t>
      </w:r>
    </w:p>
    <w:p w:rsidR="009C72E0" w:rsidRPr="0096031D" w:rsidRDefault="00DC4276" w:rsidP="0096031D">
      <w:pPr>
        <w:pStyle w:val="ActHead5"/>
      </w:pPr>
      <w:bookmarkStart w:id="24" w:name="_Toc486251416"/>
      <w:r w:rsidRPr="0096031D">
        <w:rPr>
          <w:rStyle w:val="CharSectno"/>
        </w:rPr>
        <w:t>117</w:t>
      </w:r>
      <w:r w:rsidR="00790BFB">
        <w:rPr>
          <w:rStyle w:val="CharSectno"/>
        </w:rPr>
        <w:noBreakHyphen/>
      </w:r>
      <w:r w:rsidR="009C72E0" w:rsidRPr="0096031D">
        <w:rPr>
          <w:rStyle w:val="CharSectno"/>
        </w:rPr>
        <w:t>10</w:t>
      </w:r>
      <w:r w:rsidR="009C72E0" w:rsidRPr="0096031D">
        <w:t xml:space="preserve">  </w:t>
      </w:r>
      <w:r w:rsidR="00F05FCA" w:rsidRPr="0096031D">
        <w:t xml:space="preserve">Application of </w:t>
      </w:r>
      <w:r w:rsidR="009C72E0" w:rsidRPr="0096031D">
        <w:t>this Division</w:t>
      </w:r>
      <w:bookmarkEnd w:id="24"/>
    </w:p>
    <w:p w:rsidR="009C72E0" w:rsidRPr="0096031D" w:rsidRDefault="009C72E0" w:rsidP="0096031D">
      <w:pPr>
        <w:pStyle w:val="subsection"/>
      </w:pPr>
      <w:r w:rsidRPr="0096031D">
        <w:tab/>
        <w:t>(1)</w:t>
      </w:r>
      <w:r w:rsidRPr="0096031D">
        <w:tab/>
        <w:t>This Division applies if:</w:t>
      </w:r>
    </w:p>
    <w:p w:rsidR="009C72E0" w:rsidRPr="0096031D" w:rsidRDefault="009C72E0" w:rsidP="0096031D">
      <w:pPr>
        <w:pStyle w:val="paragraph"/>
      </w:pPr>
      <w:r w:rsidRPr="0096031D">
        <w:tab/>
        <w:t>(a)</w:t>
      </w:r>
      <w:r w:rsidRPr="0096031D">
        <w:tab/>
        <w:t xml:space="preserve">an entity gets or got an </w:t>
      </w:r>
      <w:r w:rsidR="0096031D" w:rsidRPr="0096031D">
        <w:rPr>
          <w:position w:val="6"/>
          <w:sz w:val="16"/>
        </w:rPr>
        <w:t>*</w:t>
      </w:r>
      <w:r w:rsidR="001F209F" w:rsidRPr="0096031D">
        <w:t>MBL</w:t>
      </w:r>
      <w:r w:rsidRPr="0096031D">
        <w:t xml:space="preserve"> benefit from a </w:t>
      </w:r>
      <w:r w:rsidR="0096031D" w:rsidRPr="0096031D">
        <w:rPr>
          <w:position w:val="6"/>
          <w:sz w:val="16"/>
        </w:rPr>
        <w:t>*</w:t>
      </w:r>
      <w:r w:rsidRPr="0096031D">
        <w:t>scheme; and</w:t>
      </w:r>
    </w:p>
    <w:p w:rsidR="00492107" w:rsidRPr="0096031D" w:rsidRDefault="00492107" w:rsidP="0096031D">
      <w:pPr>
        <w:pStyle w:val="paragraph"/>
      </w:pPr>
      <w:r w:rsidRPr="0096031D">
        <w:tab/>
        <w:t>(b)</w:t>
      </w:r>
      <w:r w:rsidRPr="0096031D">
        <w:tab/>
        <w:t>taking account of the matters described in section</w:t>
      </w:r>
      <w:r w:rsidR="0096031D" w:rsidRPr="0096031D">
        <w:t> </w:t>
      </w:r>
      <w:r w:rsidRPr="0096031D">
        <w:t>117</w:t>
      </w:r>
      <w:r w:rsidR="00790BFB">
        <w:noBreakHyphen/>
      </w:r>
      <w:r w:rsidRPr="0096031D">
        <w:t>20, it is reasonable to conclude that an entity that (whether alone or with others) entered into or carried out the scheme, or part of the scheme, did so</w:t>
      </w:r>
      <w:r w:rsidR="00954CE1" w:rsidRPr="0096031D">
        <w:t xml:space="preserve"> for the sole or dominant purpose of that entity or another entity getting an MBL benefit from the scheme; and</w:t>
      </w:r>
    </w:p>
    <w:p w:rsidR="009C72E0" w:rsidRPr="0096031D" w:rsidRDefault="009C72E0" w:rsidP="0096031D">
      <w:pPr>
        <w:pStyle w:val="paragraph"/>
      </w:pPr>
      <w:r w:rsidRPr="0096031D">
        <w:tab/>
        <w:t>(</w:t>
      </w:r>
      <w:r w:rsidR="00DC4276" w:rsidRPr="0096031D">
        <w:t>c</w:t>
      </w:r>
      <w:r w:rsidRPr="0096031D">
        <w:t>)</w:t>
      </w:r>
      <w:r w:rsidRPr="0096031D">
        <w:tab/>
        <w:t>the scheme:</w:t>
      </w:r>
    </w:p>
    <w:p w:rsidR="009C72E0" w:rsidRPr="0096031D" w:rsidRDefault="009C72E0" w:rsidP="0096031D">
      <w:pPr>
        <w:pStyle w:val="paragraphsub"/>
      </w:pPr>
      <w:r w:rsidRPr="0096031D">
        <w:tab/>
        <w:t>(</w:t>
      </w:r>
      <w:proofErr w:type="spellStart"/>
      <w:r w:rsidRPr="0096031D">
        <w:t>i</w:t>
      </w:r>
      <w:proofErr w:type="spellEnd"/>
      <w:r w:rsidRPr="0096031D">
        <w:t>)</w:t>
      </w:r>
      <w:r w:rsidRPr="0096031D">
        <w:tab/>
        <w:t xml:space="preserve">has been or is entered into </w:t>
      </w:r>
      <w:r w:rsidR="00FF7859" w:rsidRPr="0096031D">
        <w:t>at</w:t>
      </w:r>
      <w:r w:rsidRPr="0096031D">
        <w:t xml:space="preserve"> or after </w:t>
      </w:r>
      <w:r w:rsidR="00FF7859" w:rsidRPr="0096031D">
        <w:t>7.30 pm, by legal time in the Australian Capital Territory, on 9</w:t>
      </w:r>
      <w:r w:rsidR="0096031D" w:rsidRPr="0096031D">
        <w:t> </w:t>
      </w:r>
      <w:r w:rsidR="00FF7859" w:rsidRPr="0096031D">
        <w:t>May 2017</w:t>
      </w:r>
      <w:r w:rsidRPr="0096031D">
        <w:t>; or</w:t>
      </w:r>
    </w:p>
    <w:p w:rsidR="009C72E0" w:rsidRPr="0096031D" w:rsidRDefault="009C72E0" w:rsidP="0096031D">
      <w:pPr>
        <w:pStyle w:val="paragraphsub"/>
      </w:pPr>
      <w:r w:rsidRPr="0096031D">
        <w:tab/>
        <w:t>(ii)</w:t>
      </w:r>
      <w:r w:rsidRPr="0096031D">
        <w:tab/>
        <w:t xml:space="preserve">has been or is carried out or commenced </w:t>
      </w:r>
      <w:r w:rsidR="00FF7859" w:rsidRPr="0096031D">
        <w:t>at</w:t>
      </w:r>
      <w:r w:rsidRPr="0096031D">
        <w:t xml:space="preserve"> or after that </w:t>
      </w:r>
      <w:r w:rsidR="00FF7859" w:rsidRPr="0096031D">
        <w:t>time</w:t>
      </w:r>
      <w:r w:rsidRPr="0096031D">
        <w:t xml:space="preserve"> (other than a scheme that was entered into before that </w:t>
      </w:r>
      <w:r w:rsidR="00FF7859" w:rsidRPr="0096031D">
        <w:t>time</w:t>
      </w:r>
      <w:r w:rsidRPr="0096031D">
        <w:t>).</w:t>
      </w:r>
    </w:p>
    <w:p w:rsidR="009C72E0" w:rsidRPr="0096031D" w:rsidRDefault="009C72E0" w:rsidP="0096031D">
      <w:pPr>
        <w:pStyle w:val="subsection"/>
      </w:pPr>
      <w:r w:rsidRPr="0096031D">
        <w:tab/>
        <w:t>(2)</w:t>
      </w:r>
      <w:r w:rsidRPr="0096031D">
        <w:tab/>
        <w:t xml:space="preserve">It does not matter whether the </w:t>
      </w:r>
      <w:r w:rsidR="0096031D" w:rsidRPr="0096031D">
        <w:rPr>
          <w:position w:val="6"/>
          <w:sz w:val="16"/>
        </w:rPr>
        <w:t>*</w:t>
      </w:r>
      <w:r w:rsidRPr="0096031D">
        <w:t>scheme, or any part of the scheme, was entered into or carried out inside or outside Australia.</w:t>
      </w:r>
    </w:p>
    <w:p w:rsidR="009C72E0" w:rsidRPr="0096031D" w:rsidRDefault="00DC4276" w:rsidP="0096031D">
      <w:pPr>
        <w:pStyle w:val="ActHead5"/>
      </w:pPr>
      <w:bookmarkStart w:id="25" w:name="_Toc486251417"/>
      <w:r w:rsidRPr="0096031D">
        <w:rPr>
          <w:rStyle w:val="CharSectno"/>
        </w:rPr>
        <w:lastRenderedPageBreak/>
        <w:t>117</w:t>
      </w:r>
      <w:r w:rsidR="00790BFB">
        <w:rPr>
          <w:rStyle w:val="CharSectno"/>
        </w:rPr>
        <w:noBreakHyphen/>
      </w:r>
      <w:r w:rsidR="009C72E0" w:rsidRPr="0096031D">
        <w:rPr>
          <w:rStyle w:val="CharSectno"/>
        </w:rPr>
        <w:t>15</w:t>
      </w:r>
      <w:r w:rsidR="009C72E0" w:rsidRPr="0096031D">
        <w:t xml:space="preserve">  </w:t>
      </w:r>
      <w:r w:rsidR="00F05FCA" w:rsidRPr="0096031D">
        <w:t>Meaning of</w:t>
      </w:r>
      <w:r w:rsidR="009C72E0" w:rsidRPr="0096031D">
        <w:t xml:space="preserve"> </w:t>
      </w:r>
      <w:r w:rsidR="001F209F" w:rsidRPr="0096031D">
        <w:rPr>
          <w:i/>
        </w:rPr>
        <w:t>MBL</w:t>
      </w:r>
      <w:r w:rsidR="009C72E0" w:rsidRPr="0096031D">
        <w:rPr>
          <w:i/>
        </w:rPr>
        <w:t xml:space="preserve"> benefit</w:t>
      </w:r>
      <w:bookmarkEnd w:id="25"/>
    </w:p>
    <w:p w:rsidR="009C72E0" w:rsidRPr="0096031D" w:rsidRDefault="009C72E0" w:rsidP="0096031D">
      <w:pPr>
        <w:pStyle w:val="subsection"/>
      </w:pPr>
      <w:r w:rsidRPr="0096031D">
        <w:tab/>
        <w:t>(1)</w:t>
      </w:r>
      <w:r w:rsidRPr="0096031D">
        <w:tab/>
        <w:t xml:space="preserve">An entity gets an </w:t>
      </w:r>
      <w:r w:rsidR="001F209F" w:rsidRPr="0096031D">
        <w:rPr>
          <w:b/>
          <w:i/>
        </w:rPr>
        <w:t>MBL</w:t>
      </w:r>
      <w:r w:rsidRPr="0096031D">
        <w:rPr>
          <w:b/>
          <w:i/>
        </w:rPr>
        <w:t xml:space="preserve"> benefit</w:t>
      </w:r>
      <w:r w:rsidRPr="0096031D">
        <w:t xml:space="preserve"> from a </w:t>
      </w:r>
      <w:r w:rsidR="0096031D" w:rsidRPr="0096031D">
        <w:rPr>
          <w:position w:val="6"/>
          <w:sz w:val="16"/>
        </w:rPr>
        <w:t>*</w:t>
      </w:r>
      <w:r w:rsidRPr="0096031D">
        <w:t>scheme, if:</w:t>
      </w:r>
    </w:p>
    <w:p w:rsidR="009C72E0" w:rsidRPr="0096031D" w:rsidRDefault="009C72E0" w:rsidP="0096031D">
      <w:pPr>
        <w:pStyle w:val="paragraph"/>
      </w:pPr>
      <w:r w:rsidRPr="0096031D">
        <w:tab/>
        <w:t>(a)</w:t>
      </w:r>
      <w:r w:rsidRPr="0096031D">
        <w:tab/>
      </w:r>
      <w:r w:rsidR="00A31405" w:rsidRPr="0096031D">
        <w:t xml:space="preserve">an amount </w:t>
      </w:r>
      <w:r w:rsidR="002449A0" w:rsidRPr="0096031D">
        <w:t xml:space="preserve">of levy under the </w:t>
      </w:r>
      <w:r w:rsidR="002449A0" w:rsidRPr="0096031D">
        <w:rPr>
          <w:i/>
        </w:rPr>
        <w:t>Major Bank Levy Act 2017</w:t>
      </w:r>
      <w:r w:rsidR="002449A0" w:rsidRPr="0096031D">
        <w:t xml:space="preserve"> </w:t>
      </w:r>
      <w:r w:rsidR="00A31405" w:rsidRPr="0096031D">
        <w:t>that is payable by the entity under this Act apart from this Division is, or could reasonably be expected to be, smaller than it would be apart from the scheme or a part of the scheme</w:t>
      </w:r>
      <w:r w:rsidRPr="0096031D">
        <w:t>; or</w:t>
      </w:r>
    </w:p>
    <w:p w:rsidR="009C72E0" w:rsidRPr="0096031D" w:rsidRDefault="009C72E0" w:rsidP="0096031D">
      <w:pPr>
        <w:pStyle w:val="paragraph"/>
      </w:pPr>
      <w:r w:rsidRPr="0096031D">
        <w:tab/>
        <w:t>(b)</w:t>
      </w:r>
      <w:r w:rsidRPr="0096031D">
        <w:tab/>
      </w:r>
      <w:r w:rsidR="00A31405" w:rsidRPr="0096031D">
        <w:t>all or part of an amount</w:t>
      </w:r>
      <w:r w:rsidR="002449A0" w:rsidRPr="0096031D">
        <w:t xml:space="preserve"> of levy under the </w:t>
      </w:r>
      <w:r w:rsidR="002449A0" w:rsidRPr="0096031D">
        <w:rPr>
          <w:i/>
        </w:rPr>
        <w:t>Major Bank Levy Act 2017</w:t>
      </w:r>
      <w:r w:rsidR="00A31405" w:rsidRPr="0096031D">
        <w:t xml:space="preserve"> that is payable by the entity under this Act apart from this Division is, or could reasonably be expected to be, payable later than it would have been apart from the scheme or a part of the scheme</w:t>
      </w:r>
      <w:r w:rsidRPr="0096031D">
        <w:t>.</w:t>
      </w:r>
    </w:p>
    <w:p w:rsidR="009C72E0" w:rsidRPr="0096031D" w:rsidRDefault="009C72E0" w:rsidP="0096031D">
      <w:pPr>
        <w:pStyle w:val="subsection"/>
      </w:pPr>
      <w:r w:rsidRPr="0096031D">
        <w:tab/>
        <w:t>(2)</w:t>
      </w:r>
      <w:r w:rsidRPr="0096031D">
        <w:tab/>
        <w:t xml:space="preserve">To avoid doubt, a smaller liability mentioned in </w:t>
      </w:r>
      <w:r w:rsidR="0096031D" w:rsidRPr="0096031D">
        <w:t>paragraph (</w:t>
      </w:r>
      <w:r w:rsidRPr="0096031D">
        <w:t xml:space="preserve">1)(a) includes a case where the liability is zero, or there is no </w:t>
      </w:r>
      <w:r w:rsidR="00A31405" w:rsidRPr="0096031D">
        <w:t>such</w:t>
      </w:r>
      <w:r w:rsidRPr="0096031D">
        <w:t xml:space="preserve"> liability for </w:t>
      </w:r>
      <w:r w:rsidR="00A31405" w:rsidRPr="0096031D">
        <w:t xml:space="preserve">a particular </w:t>
      </w:r>
      <w:r w:rsidR="0096031D" w:rsidRPr="0096031D">
        <w:rPr>
          <w:position w:val="6"/>
          <w:sz w:val="16"/>
        </w:rPr>
        <w:t>*</w:t>
      </w:r>
      <w:r w:rsidR="00A31405" w:rsidRPr="0096031D">
        <w:t>quarter</w:t>
      </w:r>
      <w:r w:rsidRPr="0096031D">
        <w:t>.</w:t>
      </w:r>
    </w:p>
    <w:p w:rsidR="009C72E0" w:rsidRPr="0096031D" w:rsidRDefault="008D6060" w:rsidP="0096031D">
      <w:pPr>
        <w:pStyle w:val="ActHead5"/>
      </w:pPr>
      <w:bookmarkStart w:id="26" w:name="_Toc486251418"/>
      <w:r w:rsidRPr="0096031D">
        <w:rPr>
          <w:rStyle w:val="CharSectno"/>
        </w:rPr>
        <w:t>117</w:t>
      </w:r>
      <w:r w:rsidR="00790BFB">
        <w:rPr>
          <w:rStyle w:val="CharSectno"/>
        </w:rPr>
        <w:noBreakHyphen/>
      </w:r>
      <w:r w:rsidR="009C72E0" w:rsidRPr="0096031D">
        <w:rPr>
          <w:rStyle w:val="CharSectno"/>
        </w:rPr>
        <w:t>20</w:t>
      </w:r>
      <w:r w:rsidR="009C72E0" w:rsidRPr="0096031D">
        <w:t xml:space="preserve">  Matters to be considered in determining purpose</w:t>
      </w:r>
      <w:bookmarkEnd w:id="26"/>
    </w:p>
    <w:p w:rsidR="009C72E0" w:rsidRPr="0096031D" w:rsidRDefault="009C72E0" w:rsidP="0096031D">
      <w:pPr>
        <w:pStyle w:val="subsection"/>
      </w:pPr>
      <w:r w:rsidRPr="0096031D">
        <w:tab/>
      </w:r>
      <w:r w:rsidRPr="0096031D">
        <w:tab/>
        <w:t>The following matters are to be taken into account under section</w:t>
      </w:r>
      <w:r w:rsidR="0096031D" w:rsidRPr="0096031D">
        <w:t> </w:t>
      </w:r>
      <w:r w:rsidR="008D6060" w:rsidRPr="0096031D">
        <w:t>117</w:t>
      </w:r>
      <w:r w:rsidR="00790BFB">
        <w:noBreakHyphen/>
      </w:r>
      <w:r w:rsidRPr="0096031D">
        <w:t xml:space="preserve">10 in considering an entity’s purpose in entering into or carrying out the </w:t>
      </w:r>
      <w:r w:rsidR="0096031D" w:rsidRPr="0096031D">
        <w:rPr>
          <w:position w:val="6"/>
          <w:sz w:val="16"/>
        </w:rPr>
        <w:t>*</w:t>
      </w:r>
      <w:r w:rsidRPr="0096031D">
        <w:t>scheme, or part of the scheme:</w:t>
      </w:r>
    </w:p>
    <w:p w:rsidR="009C72E0" w:rsidRPr="0096031D" w:rsidRDefault="009C72E0" w:rsidP="0096031D">
      <w:pPr>
        <w:pStyle w:val="paragraph"/>
      </w:pPr>
      <w:r w:rsidRPr="0096031D">
        <w:tab/>
        <w:t>(a)</w:t>
      </w:r>
      <w:r w:rsidRPr="0096031D">
        <w:tab/>
        <w:t>the manner in which the scheme was entered into or carried out;</w:t>
      </w:r>
    </w:p>
    <w:p w:rsidR="009C72E0" w:rsidRPr="0096031D" w:rsidRDefault="009C72E0" w:rsidP="0096031D">
      <w:pPr>
        <w:pStyle w:val="paragraph"/>
      </w:pPr>
      <w:r w:rsidRPr="0096031D">
        <w:tab/>
        <w:t>(b)</w:t>
      </w:r>
      <w:r w:rsidRPr="0096031D">
        <w:tab/>
        <w:t>the form and substance of the scheme;</w:t>
      </w:r>
    </w:p>
    <w:p w:rsidR="009C72E0" w:rsidRPr="0096031D" w:rsidRDefault="009C72E0" w:rsidP="0096031D">
      <w:pPr>
        <w:pStyle w:val="paragraph"/>
      </w:pPr>
      <w:r w:rsidRPr="0096031D">
        <w:tab/>
        <w:t>(c)</w:t>
      </w:r>
      <w:r w:rsidRPr="0096031D">
        <w:tab/>
        <w:t>the time at which the scheme was entered into and the length of the period during which the scheme was carried out;</w:t>
      </w:r>
    </w:p>
    <w:p w:rsidR="009C72E0" w:rsidRPr="0096031D" w:rsidRDefault="009C72E0" w:rsidP="0096031D">
      <w:pPr>
        <w:pStyle w:val="paragraph"/>
      </w:pPr>
      <w:r w:rsidRPr="0096031D">
        <w:tab/>
        <w:t>(d)</w:t>
      </w:r>
      <w:r w:rsidRPr="0096031D">
        <w:tab/>
        <w:t xml:space="preserve">the effect that </w:t>
      </w:r>
      <w:r w:rsidR="003A069C" w:rsidRPr="0096031D">
        <w:t xml:space="preserve">the </w:t>
      </w:r>
      <w:r w:rsidR="003A069C" w:rsidRPr="0096031D">
        <w:rPr>
          <w:i/>
        </w:rPr>
        <w:t>Major Bank Levy Act 2017</w:t>
      </w:r>
      <w:r w:rsidR="003A069C" w:rsidRPr="0096031D">
        <w:t xml:space="preserve">, and any other </w:t>
      </w:r>
      <w:r w:rsidR="0096031D" w:rsidRPr="0096031D">
        <w:rPr>
          <w:position w:val="6"/>
          <w:sz w:val="16"/>
        </w:rPr>
        <w:t>*</w:t>
      </w:r>
      <w:r w:rsidR="003A069C" w:rsidRPr="0096031D">
        <w:t>taxation law to the extent that it applies in relation to that Act,</w:t>
      </w:r>
      <w:r w:rsidRPr="0096031D">
        <w:t xml:space="preserve"> would have in relation to the scheme apart from this Division;</w:t>
      </w:r>
    </w:p>
    <w:p w:rsidR="009C72E0" w:rsidRPr="0096031D" w:rsidRDefault="009C72E0" w:rsidP="0096031D">
      <w:pPr>
        <w:pStyle w:val="paragraph"/>
      </w:pPr>
      <w:r w:rsidRPr="0096031D">
        <w:tab/>
        <w:t>(e)</w:t>
      </w:r>
      <w:r w:rsidRPr="0096031D">
        <w:tab/>
        <w:t>any change in the financial position of the entity that has resulted, or may reasonably be expected to result, from the scheme;</w:t>
      </w:r>
    </w:p>
    <w:p w:rsidR="009C72E0" w:rsidRPr="0096031D" w:rsidRDefault="009C72E0" w:rsidP="0096031D">
      <w:pPr>
        <w:pStyle w:val="paragraph"/>
      </w:pPr>
      <w:r w:rsidRPr="0096031D">
        <w:tab/>
        <w:t>(f)</w:t>
      </w:r>
      <w:r w:rsidRPr="0096031D">
        <w:tab/>
        <w:t>any change that has resulted, or may reasonably be expected to result, from the scheme in the financial position of an entity</w:t>
      </w:r>
      <w:r w:rsidR="00765291" w:rsidRPr="0096031D">
        <w:t xml:space="preserve"> </w:t>
      </w:r>
      <w:r w:rsidR="002F1E57" w:rsidRPr="0096031D">
        <w:t xml:space="preserve">(a </w:t>
      </w:r>
      <w:r w:rsidR="002F1E57" w:rsidRPr="0096031D">
        <w:rPr>
          <w:b/>
          <w:i/>
        </w:rPr>
        <w:t>connected entity</w:t>
      </w:r>
      <w:r w:rsidR="002F1E57" w:rsidRPr="0096031D">
        <w:t>)</w:t>
      </w:r>
      <w:r w:rsidRPr="0096031D">
        <w:t xml:space="preserve"> that has or had a connection or </w:t>
      </w:r>
      <w:r w:rsidRPr="0096031D">
        <w:lastRenderedPageBreak/>
        <w:t>dealing with the entity, whether the connection or dealing is or was of a business or other nature;</w:t>
      </w:r>
    </w:p>
    <w:p w:rsidR="009C72E0" w:rsidRPr="0096031D" w:rsidRDefault="009C72E0" w:rsidP="0096031D">
      <w:pPr>
        <w:pStyle w:val="paragraph"/>
      </w:pPr>
      <w:r w:rsidRPr="0096031D">
        <w:tab/>
        <w:t>(g)</w:t>
      </w:r>
      <w:r w:rsidRPr="0096031D">
        <w:tab/>
        <w:t>any other consequence for the entity or a</w:t>
      </w:r>
      <w:r w:rsidR="003510CA" w:rsidRPr="0096031D">
        <w:t xml:space="preserve"> connected</w:t>
      </w:r>
      <w:r w:rsidRPr="0096031D">
        <w:t xml:space="preserve"> entity of the scheme having been entered into or carried out;</w:t>
      </w:r>
    </w:p>
    <w:p w:rsidR="009C72E0" w:rsidRPr="0096031D" w:rsidRDefault="009C72E0" w:rsidP="0096031D">
      <w:pPr>
        <w:pStyle w:val="paragraph"/>
      </w:pPr>
      <w:r w:rsidRPr="0096031D">
        <w:tab/>
        <w:t>(h)</w:t>
      </w:r>
      <w:r w:rsidRPr="0096031D">
        <w:tab/>
        <w:t xml:space="preserve">the nature of the connection (whether of a business or other nature) between the entity and </w:t>
      </w:r>
      <w:r w:rsidR="003510CA" w:rsidRPr="0096031D">
        <w:t>a connected</w:t>
      </w:r>
      <w:r w:rsidRPr="0096031D">
        <w:t xml:space="preserve"> entity.</w:t>
      </w:r>
    </w:p>
    <w:p w:rsidR="009C72E0" w:rsidRPr="0096031D" w:rsidRDefault="009C72E0" w:rsidP="0096031D">
      <w:pPr>
        <w:pStyle w:val="ActHead4"/>
      </w:pPr>
      <w:bookmarkStart w:id="27" w:name="_Toc486251419"/>
      <w:r w:rsidRPr="0096031D">
        <w:rPr>
          <w:rStyle w:val="CharSubdNo"/>
        </w:rPr>
        <w:t>Subdivision</w:t>
      </w:r>
      <w:r w:rsidR="0096031D" w:rsidRPr="0096031D">
        <w:rPr>
          <w:rStyle w:val="CharSubdNo"/>
        </w:rPr>
        <w:t> </w:t>
      </w:r>
      <w:r w:rsidR="001F209F" w:rsidRPr="0096031D">
        <w:rPr>
          <w:rStyle w:val="CharSubdNo"/>
        </w:rPr>
        <w:t>117</w:t>
      </w:r>
      <w:r w:rsidR="00790BFB">
        <w:rPr>
          <w:rStyle w:val="CharSubdNo"/>
        </w:rPr>
        <w:noBreakHyphen/>
      </w:r>
      <w:r w:rsidRPr="0096031D">
        <w:rPr>
          <w:rStyle w:val="CharSubdNo"/>
        </w:rPr>
        <w:t>B</w:t>
      </w:r>
      <w:r w:rsidRPr="0096031D">
        <w:t>—</w:t>
      </w:r>
      <w:r w:rsidRPr="0096031D">
        <w:rPr>
          <w:rStyle w:val="CharSubdText"/>
        </w:rPr>
        <w:t xml:space="preserve">Commissioner may negate effects of schemes for </w:t>
      </w:r>
      <w:r w:rsidR="001F209F" w:rsidRPr="0096031D">
        <w:rPr>
          <w:rStyle w:val="CharSubdText"/>
        </w:rPr>
        <w:t>MBL</w:t>
      </w:r>
      <w:r w:rsidRPr="0096031D">
        <w:rPr>
          <w:rStyle w:val="CharSubdText"/>
        </w:rPr>
        <w:t xml:space="preserve"> benefits</w:t>
      </w:r>
      <w:bookmarkEnd w:id="27"/>
    </w:p>
    <w:p w:rsidR="009C72E0" w:rsidRPr="0096031D" w:rsidRDefault="009C72E0" w:rsidP="0096031D">
      <w:pPr>
        <w:pStyle w:val="TofSectsHeading"/>
      </w:pPr>
      <w:r w:rsidRPr="0096031D">
        <w:t>Table of sections</w:t>
      </w:r>
    </w:p>
    <w:p w:rsidR="009C72E0" w:rsidRPr="0096031D" w:rsidRDefault="003B3CDB" w:rsidP="0096031D">
      <w:pPr>
        <w:pStyle w:val="TofSectsSection"/>
      </w:pPr>
      <w:r w:rsidRPr="0096031D">
        <w:t>117</w:t>
      </w:r>
      <w:r w:rsidR="00790BFB">
        <w:noBreakHyphen/>
      </w:r>
      <w:r w:rsidR="009C72E0" w:rsidRPr="0096031D">
        <w:t>25</w:t>
      </w:r>
      <w:r w:rsidR="009C72E0" w:rsidRPr="0096031D">
        <w:tab/>
        <w:t xml:space="preserve">Commissioner may negate entity’s </w:t>
      </w:r>
      <w:r w:rsidR="001F209F" w:rsidRPr="0096031D">
        <w:t>MBL</w:t>
      </w:r>
      <w:r w:rsidR="009C72E0" w:rsidRPr="0096031D">
        <w:t xml:space="preserve"> benefits</w:t>
      </w:r>
    </w:p>
    <w:p w:rsidR="003B3CDB" w:rsidRPr="0096031D" w:rsidRDefault="003B3CDB" w:rsidP="0096031D">
      <w:pPr>
        <w:pStyle w:val="TofSectsSection"/>
      </w:pPr>
      <w:r w:rsidRPr="0096031D">
        <w:t>117</w:t>
      </w:r>
      <w:r w:rsidR="00790BFB">
        <w:noBreakHyphen/>
      </w:r>
      <w:r w:rsidRPr="0096031D">
        <w:t>30</w:t>
      </w:r>
      <w:r w:rsidRPr="0096031D">
        <w:tab/>
      </w:r>
      <w:r w:rsidR="002F1E57" w:rsidRPr="0096031D">
        <w:t>Determination</w:t>
      </w:r>
      <w:r w:rsidRPr="0096031D">
        <w:t xml:space="preserve"> has effect according to its terms</w:t>
      </w:r>
    </w:p>
    <w:p w:rsidR="003B3CDB" w:rsidRPr="0096031D" w:rsidRDefault="003B3CDB" w:rsidP="0096031D">
      <w:pPr>
        <w:pStyle w:val="TofSectsSection"/>
      </w:pPr>
      <w:r w:rsidRPr="0096031D">
        <w:t>117</w:t>
      </w:r>
      <w:r w:rsidR="00790BFB">
        <w:noBreakHyphen/>
      </w:r>
      <w:r w:rsidRPr="0096031D">
        <w:t>35</w:t>
      </w:r>
      <w:r w:rsidRPr="0096031D">
        <w:tab/>
        <w:t xml:space="preserve">Commissioner may disregard scheme in making </w:t>
      </w:r>
      <w:r w:rsidR="002F1E57" w:rsidRPr="0096031D">
        <w:t>determination</w:t>
      </w:r>
      <w:r w:rsidRPr="0096031D">
        <w:t>s</w:t>
      </w:r>
    </w:p>
    <w:p w:rsidR="009C72E0" w:rsidRPr="0096031D" w:rsidRDefault="003B3CDB" w:rsidP="0096031D">
      <w:pPr>
        <w:pStyle w:val="TofSectsSection"/>
      </w:pPr>
      <w:r w:rsidRPr="0096031D">
        <w:t>117</w:t>
      </w:r>
      <w:r w:rsidR="00790BFB">
        <w:noBreakHyphen/>
      </w:r>
      <w:r w:rsidRPr="0096031D">
        <w:t>40</w:t>
      </w:r>
      <w:r w:rsidR="009C72E0" w:rsidRPr="0096031D">
        <w:tab/>
        <w:t xml:space="preserve">One determination may cover several </w:t>
      </w:r>
      <w:r w:rsidR="008D6060" w:rsidRPr="0096031D">
        <w:t>quarters</w:t>
      </w:r>
      <w:r w:rsidR="009C72E0" w:rsidRPr="0096031D">
        <w:t xml:space="preserve"> etc.</w:t>
      </w:r>
    </w:p>
    <w:p w:rsidR="009C72E0" w:rsidRPr="0096031D" w:rsidRDefault="003B3CDB" w:rsidP="0096031D">
      <w:pPr>
        <w:pStyle w:val="TofSectsSection"/>
      </w:pPr>
      <w:r w:rsidRPr="0096031D">
        <w:t>117</w:t>
      </w:r>
      <w:r w:rsidR="00790BFB">
        <w:noBreakHyphen/>
      </w:r>
      <w:r w:rsidRPr="0096031D">
        <w:t>45</w:t>
      </w:r>
      <w:r w:rsidR="009C72E0" w:rsidRPr="0096031D">
        <w:tab/>
        <w:t>Commissioner must give copy of determination to entity affected</w:t>
      </w:r>
    </w:p>
    <w:p w:rsidR="000115C4" w:rsidRPr="0096031D" w:rsidRDefault="000115C4" w:rsidP="0096031D">
      <w:pPr>
        <w:pStyle w:val="TofSectsSection"/>
      </w:pPr>
      <w:r w:rsidRPr="0096031D">
        <w:t>117</w:t>
      </w:r>
      <w:r w:rsidR="00790BFB">
        <w:noBreakHyphen/>
      </w:r>
      <w:r w:rsidRPr="0096031D">
        <w:t>50</w:t>
      </w:r>
      <w:r w:rsidRPr="0096031D">
        <w:tab/>
        <w:t>Objections</w:t>
      </w:r>
    </w:p>
    <w:p w:rsidR="009C72E0" w:rsidRPr="0096031D" w:rsidRDefault="003B3CDB" w:rsidP="0096031D">
      <w:pPr>
        <w:pStyle w:val="ActHead5"/>
      </w:pPr>
      <w:bookmarkStart w:id="28" w:name="_Toc486251420"/>
      <w:r w:rsidRPr="0096031D">
        <w:rPr>
          <w:rStyle w:val="CharSectno"/>
        </w:rPr>
        <w:t>117</w:t>
      </w:r>
      <w:r w:rsidR="00790BFB">
        <w:rPr>
          <w:rStyle w:val="CharSectno"/>
        </w:rPr>
        <w:noBreakHyphen/>
      </w:r>
      <w:r w:rsidR="009C72E0" w:rsidRPr="0096031D">
        <w:rPr>
          <w:rStyle w:val="CharSectno"/>
        </w:rPr>
        <w:t>25</w:t>
      </w:r>
      <w:r w:rsidR="009C72E0" w:rsidRPr="0096031D">
        <w:t xml:space="preserve">  Commissioner may negate entity’s </w:t>
      </w:r>
      <w:r w:rsidR="001F209F" w:rsidRPr="0096031D">
        <w:t>MBL</w:t>
      </w:r>
      <w:r w:rsidR="009C72E0" w:rsidRPr="0096031D">
        <w:t xml:space="preserve"> benefits</w:t>
      </w:r>
      <w:bookmarkEnd w:id="28"/>
    </w:p>
    <w:p w:rsidR="004D54F4" w:rsidRPr="0096031D" w:rsidRDefault="009C72E0" w:rsidP="0096031D">
      <w:pPr>
        <w:pStyle w:val="subsection"/>
      </w:pPr>
      <w:r w:rsidRPr="0096031D">
        <w:tab/>
        <w:t>(1)</w:t>
      </w:r>
      <w:r w:rsidRPr="0096031D">
        <w:tab/>
        <w:t xml:space="preserve">For the purpose of negating an </w:t>
      </w:r>
      <w:r w:rsidR="0096031D" w:rsidRPr="0096031D">
        <w:rPr>
          <w:position w:val="6"/>
          <w:sz w:val="16"/>
        </w:rPr>
        <w:t>*</w:t>
      </w:r>
      <w:r w:rsidR="001F209F" w:rsidRPr="0096031D">
        <w:t>MBL</w:t>
      </w:r>
      <w:r w:rsidR="008D6060" w:rsidRPr="0096031D">
        <w:t xml:space="preserve"> benefit the </w:t>
      </w:r>
      <w:r w:rsidR="00933AA2" w:rsidRPr="0096031D">
        <w:t>entity</w:t>
      </w:r>
      <w:r w:rsidR="008D6060" w:rsidRPr="0096031D">
        <w:t xml:space="preserve"> mentioned in </w:t>
      </w:r>
      <w:r w:rsidR="00933AA2" w:rsidRPr="0096031D">
        <w:t>paragraph</w:t>
      </w:r>
      <w:r w:rsidR="0096031D" w:rsidRPr="0096031D">
        <w:t> </w:t>
      </w:r>
      <w:r w:rsidR="008D6060" w:rsidRPr="0096031D">
        <w:t>117</w:t>
      </w:r>
      <w:r w:rsidR="00790BFB">
        <w:noBreakHyphen/>
      </w:r>
      <w:r w:rsidR="008D6060" w:rsidRPr="0096031D">
        <w:t>10</w:t>
      </w:r>
      <w:r w:rsidR="00933AA2" w:rsidRPr="0096031D">
        <w:t>(1)(a)</w:t>
      </w:r>
      <w:r w:rsidRPr="0096031D">
        <w:t xml:space="preserve"> gets or got from the </w:t>
      </w:r>
      <w:r w:rsidR="0096031D" w:rsidRPr="0096031D">
        <w:rPr>
          <w:position w:val="6"/>
          <w:sz w:val="16"/>
        </w:rPr>
        <w:t>*</w:t>
      </w:r>
      <w:r w:rsidRPr="0096031D">
        <w:t>scheme, the Commissioner may</w:t>
      </w:r>
      <w:r w:rsidR="004D54F4" w:rsidRPr="0096031D">
        <w:t>:</w:t>
      </w:r>
    </w:p>
    <w:p w:rsidR="004D54F4" w:rsidRPr="0096031D" w:rsidRDefault="004D54F4" w:rsidP="0096031D">
      <w:pPr>
        <w:pStyle w:val="paragraph"/>
      </w:pPr>
      <w:r w:rsidRPr="0096031D">
        <w:tab/>
        <w:t>(a)</w:t>
      </w:r>
      <w:r w:rsidRPr="0096031D">
        <w:tab/>
        <w:t xml:space="preserve">make a determination stating the amount that is (and has been at all times) the entity’s liability for levy under the </w:t>
      </w:r>
      <w:r w:rsidRPr="0096031D">
        <w:rPr>
          <w:i/>
        </w:rPr>
        <w:t>Major Bank Levy Act 2017</w:t>
      </w:r>
      <w:r w:rsidRPr="0096031D">
        <w:t xml:space="preserve">, for a specified </w:t>
      </w:r>
      <w:r w:rsidR="0096031D" w:rsidRPr="0096031D">
        <w:rPr>
          <w:position w:val="6"/>
          <w:sz w:val="16"/>
        </w:rPr>
        <w:t>*</w:t>
      </w:r>
      <w:r w:rsidRPr="0096031D">
        <w:t>quarter that has ended; or</w:t>
      </w:r>
    </w:p>
    <w:p w:rsidR="004D54F4" w:rsidRPr="0096031D" w:rsidRDefault="004D54F4" w:rsidP="0096031D">
      <w:pPr>
        <w:pStyle w:val="paragraph"/>
      </w:pPr>
      <w:r w:rsidRPr="0096031D">
        <w:tab/>
        <w:t>(b)</w:t>
      </w:r>
      <w:r w:rsidRPr="0096031D">
        <w:tab/>
        <w:t>make a determination stating the amount that is (and has been at all times) a particular amount mentioned in paragraph</w:t>
      </w:r>
      <w:r w:rsidR="0096031D" w:rsidRPr="0096031D">
        <w:t> </w:t>
      </w:r>
      <w:r w:rsidRPr="0096031D">
        <w:t>5(2)(a) or (b) of that Act, for a specified quarter that has ended.</w:t>
      </w:r>
    </w:p>
    <w:p w:rsidR="008D6060" w:rsidRPr="0096031D" w:rsidRDefault="009C72E0" w:rsidP="0096031D">
      <w:pPr>
        <w:pStyle w:val="subsection"/>
      </w:pPr>
      <w:r w:rsidRPr="0096031D">
        <w:tab/>
        <w:t>(2)</w:t>
      </w:r>
      <w:r w:rsidRPr="0096031D">
        <w:tab/>
      </w:r>
      <w:r w:rsidR="008D6060" w:rsidRPr="0096031D">
        <w:t xml:space="preserve">A </w:t>
      </w:r>
      <w:r w:rsidR="002F1E57" w:rsidRPr="0096031D">
        <w:t>determination</w:t>
      </w:r>
      <w:r w:rsidR="008D6060" w:rsidRPr="0096031D">
        <w:t xml:space="preserve"> under this section is not a legislative instrument.</w:t>
      </w:r>
    </w:p>
    <w:p w:rsidR="009C72E0" w:rsidRPr="0096031D" w:rsidRDefault="008D6060" w:rsidP="0096031D">
      <w:pPr>
        <w:pStyle w:val="subsection"/>
      </w:pPr>
      <w:r w:rsidRPr="0096031D">
        <w:tab/>
        <w:t>(3)</w:t>
      </w:r>
      <w:r w:rsidRPr="0096031D">
        <w:tab/>
      </w:r>
      <w:r w:rsidR="009C72E0" w:rsidRPr="0096031D">
        <w:t>The Commissioner may take such action as the Commissioner considers necessary to give effect to the determination.</w:t>
      </w:r>
    </w:p>
    <w:p w:rsidR="003B3CDB" w:rsidRPr="0096031D" w:rsidRDefault="003A069C" w:rsidP="0096031D">
      <w:pPr>
        <w:pStyle w:val="ActHead5"/>
      </w:pPr>
      <w:bookmarkStart w:id="29" w:name="_Toc486251421"/>
      <w:r w:rsidRPr="0096031D">
        <w:rPr>
          <w:rStyle w:val="CharSectno"/>
        </w:rPr>
        <w:lastRenderedPageBreak/>
        <w:t>11</w:t>
      </w:r>
      <w:r w:rsidR="003B3CDB" w:rsidRPr="0096031D">
        <w:rPr>
          <w:rStyle w:val="CharSectno"/>
        </w:rPr>
        <w:t>7</w:t>
      </w:r>
      <w:r w:rsidR="00790BFB">
        <w:rPr>
          <w:rStyle w:val="CharSectno"/>
        </w:rPr>
        <w:noBreakHyphen/>
      </w:r>
      <w:r w:rsidRPr="0096031D">
        <w:rPr>
          <w:rStyle w:val="CharSectno"/>
        </w:rPr>
        <w:t>3</w:t>
      </w:r>
      <w:r w:rsidR="003B3CDB" w:rsidRPr="0096031D">
        <w:rPr>
          <w:rStyle w:val="CharSectno"/>
        </w:rPr>
        <w:t>0</w:t>
      </w:r>
      <w:r w:rsidR="003B3CDB" w:rsidRPr="0096031D">
        <w:t xml:space="preserve">  </w:t>
      </w:r>
      <w:r w:rsidR="002F1E57" w:rsidRPr="0096031D">
        <w:t>Determination</w:t>
      </w:r>
      <w:r w:rsidR="003B3CDB" w:rsidRPr="0096031D">
        <w:t xml:space="preserve"> has effect according to its terms</w:t>
      </w:r>
      <w:bookmarkEnd w:id="29"/>
    </w:p>
    <w:p w:rsidR="003B3CDB" w:rsidRPr="0096031D" w:rsidRDefault="003B3CDB" w:rsidP="0096031D">
      <w:pPr>
        <w:pStyle w:val="subsection"/>
      </w:pPr>
      <w:r w:rsidRPr="0096031D">
        <w:tab/>
      </w:r>
      <w:r w:rsidRPr="0096031D">
        <w:tab/>
        <w:t xml:space="preserve">For the purpose of making an </w:t>
      </w:r>
      <w:r w:rsidR="0096031D" w:rsidRPr="0096031D">
        <w:rPr>
          <w:position w:val="6"/>
          <w:sz w:val="16"/>
        </w:rPr>
        <w:t>*</w:t>
      </w:r>
      <w:r w:rsidRPr="0096031D">
        <w:t xml:space="preserve">assessment, a statement in a </w:t>
      </w:r>
      <w:r w:rsidR="002F1E57" w:rsidRPr="0096031D">
        <w:t>determination</w:t>
      </w:r>
      <w:r w:rsidRPr="0096031D">
        <w:t xml:space="preserve"> under this Subdivision has effect according to its terms, despite the provisions of </w:t>
      </w:r>
      <w:r w:rsidR="004D54F4" w:rsidRPr="0096031D">
        <w:t xml:space="preserve">a </w:t>
      </w:r>
      <w:r w:rsidR="0096031D" w:rsidRPr="0096031D">
        <w:rPr>
          <w:position w:val="6"/>
          <w:sz w:val="16"/>
        </w:rPr>
        <w:t>*</w:t>
      </w:r>
      <w:r w:rsidR="004D54F4" w:rsidRPr="0096031D">
        <w:t>taxation law</w:t>
      </w:r>
      <w:r w:rsidRPr="0096031D">
        <w:t xml:space="preserve"> outside of this Division.</w:t>
      </w:r>
    </w:p>
    <w:p w:rsidR="003B3CDB" w:rsidRPr="0096031D" w:rsidRDefault="003A069C" w:rsidP="0096031D">
      <w:pPr>
        <w:pStyle w:val="ActHead5"/>
      </w:pPr>
      <w:bookmarkStart w:id="30" w:name="_Toc486251422"/>
      <w:r w:rsidRPr="0096031D">
        <w:rPr>
          <w:rStyle w:val="CharSectno"/>
        </w:rPr>
        <w:t>11</w:t>
      </w:r>
      <w:r w:rsidR="003B3CDB" w:rsidRPr="0096031D">
        <w:rPr>
          <w:rStyle w:val="CharSectno"/>
        </w:rPr>
        <w:t>7</w:t>
      </w:r>
      <w:r w:rsidR="00790BFB">
        <w:rPr>
          <w:rStyle w:val="CharSectno"/>
        </w:rPr>
        <w:noBreakHyphen/>
      </w:r>
      <w:r w:rsidRPr="0096031D">
        <w:rPr>
          <w:rStyle w:val="CharSectno"/>
        </w:rPr>
        <w:t>3</w:t>
      </w:r>
      <w:r w:rsidR="003B3CDB" w:rsidRPr="0096031D">
        <w:rPr>
          <w:rStyle w:val="CharSectno"/>
        </w:rPr>
        <w:t>5</w:t>
      </w:r>
      <w:r w:rsidR="003B3CDB" w:rsidRPr="0096031D">
        <w:t xml:space="preserve">  Commissioner may disregard scheme in making </w:t>
      </w:r>
      <w:r w:rsidR="002F1E57" w:rsidRPr="0096031D">
        <w:t>determination</w:t>
      </w:r>
      <w:r w:rsidR="003B3CDB" w:rsidRPr="0096031D">
        <w:t>s</w:t>
      </w:r>
      <w:bookmarkEnd w:id="30"/>
    </w:p>
    <w:p w:rsidR="003B3CDB" w:rsidRPr="0096031D" w:rsidRDefault="003B3CDB" w:rsidP="0096031D">
      <w:pPr>
        <w:pStyle w:val="subsection"/>
      </w:pPr>
      <w:r w:rsidRPr="0096031D">
        <w:tab/>
      </w:r>
      <w:r w:rsidRPr="0096031D">
        <w:tab/>
        <w:t xml:space="preserve">For the purposes of making a </w:t>
      </w:r>
      <w:r w:rsidR="002F1E57" w:rsidRPr="0096031D">
        <w:t>determination</w:t>
      </w:r>
      <w:r w:rsidRPr="0096031D">
        <w:t xml:space="preserve"> under this Subdivision, the Commissioner may:</w:t>
      </w:r>
    </w:p>
    <w:p w:rsidR="003B3CDB" w:rsidRPr="0096031D" w:rsidRDefault="003B3CDB" w:rsidP="0096031D">
      <w:pPr>
        <w:pStyle w:val="paragraph"/>
      </w:pPr>
      <w:r w:rsidRPr="0096031D">
        <w:tab/>
        <w:t>(a)</w:t>
      </w:r>
      <w:r w:rsidRPr="0096031D">
        <w:tab/>
        <w:t>treat a particular event that actually happened as not having happened; and</w:t>
      </w:r>
    </w:p>
    <w:p w:rsidR="003B3CDB" w:rsidRPr="0096031D" w:rsidRDefault="003B3CDB" w:rsidP="0096031D">
      <w:pPr>
        <w:pStyle w:val="paragraph"/>
      </w:pPr>
      <w:r w:rsidRPr="0096031D">
        <w:tab/>
        <w:t>(b)</w:t>
      </w:r>
      <w:r w:rsidRPr="0096031D">
        <w:tab/>
        <w:t>treat a particular event that did not actually happen as having happened and, if appropriate, treat the event as:</w:t>
      </w:r>
    </w:p>
    <w:p w:rsidR="003B3CDB" w:rsidRPr="0096031D" w:rsidRDefault="003B3CDB" w:rsidP="0096031D">
      <w:pPr>
        <w:pStyle w:val="paragraphsub"/>
      </w:pPr>
      <w:r w:rsidRPr="0096031D">
        <w:tab/>
        <w:t>(</w:t>
      </w:r>
      <w:proofErr w:type="spellStart"/>
      <w:r w:rsidRPr="0096031D">
        <w:t>i</w:t>
      </w:r>
      <w:proofErr w:type="spellEnd"/>
      <w:r w:rsidRPr="0096031D">
        <w:t>)</w:t>
      </w:r>
      <w:r w:rsidRPr="0096031D">
        <w:tab/>
        <w:t>having happened at a particular time; and</w:t>
      </w:r>
    </w:p>
    <w:p w:rsidR="003B3CDB" w:rsidRPr="0096031D" w:rsidRDefault="003B3CDB" w:rsidP="0096031D">
      <w:pPr>
        <w:pStyle w:val="paragraphsub"/>
      </w:pPr>
      <w:r w:rsidRPr="0096031D">
        <w:tab/>
        <w:t>(ii)</w:t>
      </w:r>
      <w:r w:rsidRPr="0096031D">
        <w:tab/>
        <w:t>having involved particular action by a particular entity; and</w:t>
      </w:r>
    </w:p>
    <w:p w:rsidR="003B3CDB" w:rsidRPr="0096031D" w:rsidRDefault="003B3CDB" w:rsidP="0096031D">
      <w:pPr>
        <w:pStyle w:val="paragraph"/>
      </w:pPr>
      <w:r w:rsidRPr="0096031D">
        <w:tab/>
        <w:t>(c)</w:t>
      </w:r>
      <w:r w:rsidRPr="0096031D">
        <w:tab/>
        <w:t>treat a particular event that actually happened as:</w:t>
      </w:r>
    </w:p>
    <w:p w:rsidR="003B3CDB" w:rsidRPr="0096031D" w:rsidRDefault="003B3CDB" w:rsidP="0096031D">
      <w:pPr>
        <w:pStyle w:val="paragraphsub"/>
      </w:pPr>
      <w:r w:rsidRPr="0096031D">
        <w:tab/>
        <w:t>(</w:t>
      </w:r>
      <w:proofErr w:type="spellStart"/>
      <w:r w:rsidRPr="0096031D">
        <w:t>i</w:t>
      </w:r>
      <w:proofErr w:type="spellEnd"/>
      <w:r w:rsidRPr="0096031D">
        <w:t>)</w:t>
      </w:r>
      <w:r w:rsidRPr="0096031D">
        <w:tab/>
        <w:t>having happened at a time different from the time it actually happened; or</w:t>
      </w:r>
    </w:p>
    <w:p w:rsidR="003B3CDB" w:rsidRPr="0096031D" w:rsidRDefault="003B3CDB" w:rsidP="0096031D">
      <w:pPr>
        <w:pStyle w:val="paragraphsub"/>
      </w:pPr>
      <w:r w:rsidRPr="0096031D">
        <w:tab/>
        <w:t>(ii)</w:t>
      </w:r>
      <w:r w:rsidRPr="0096031D">
        <w:tab/>
        <w:t>having involved particular action by a particular entity (whether or not the event actually involved any action by that entity).</w:t>
      </w:r>
    </w:p>
    <w:p w:rsidR="009C72E0" w:rsidRPr="0096031D" w:rsidRDefault="003B3CDB" w:rsidP="0096031D">
      <w:pPr>
        <w:pStyle w:val="ActHead5"/>
      </w:pPr>
      <w:bookmarkStart w:id="31" w:name="_Toc486251423"/>
      <w:r w:rsidRPr="0096031D">
        <w:rPr>
          <w:rStyle w:val="CharSectno"/>
        </w:rPr>
        <w:t>117</w:t>
      </w:r>
      <w:r w:rsidR="00790BFB">
        <w:rPr>
          <w:rStyle w:val="CharSectno"/>
        </w:rPr>
        <w:noBreakHyphen/>
      </w:r>
      <w:r w:rsidRPr="0096031D">
        <w:rPr>
          <w:rStyle w:val="CharSectno"/>
        </w:rPr>
        <w:t>40</w:t>
      </w:r>
      <w:r w:rsidR="009C72E0" w:rsidRPr="0096031D">
        <w:t xml:space="preserve">  One determination may cover several </w:t>
      </w:r>
      <w:r w:rsidR="008D6060" w:rsidRPr="0096031D">
        <w:t>quarters</w:t>
      </w:r>
      <w:r w:rsidR="009C72E0" w:rsidRPr="0096031D">
        <w:t xml:space="preserve"> etc.</w:t>
      </w:r>
      <w:bookmarkEnd w:id="31"/>
    </w:p>
    <w:p w:rsidR="009C72E0" w:rsidRPr="0096031D" w:rsidRDefault="009C72E0" w:rsidP="0096031D">
      <w:pPr>
        <w:pStyle w:val="subsection"/>
      </w:pPr>
      <w:r w:rsidRPr="0096031D">
        <w:tab/>
      </w:r>
      <w:r w:rsidRPr="0096031D">
        <w:tab/>
        <w:t xml:space="preserve">To avoid doubt, </w:t>
      </w:r>
      <w:r w:rsidR="008D6060" w:rsidRPr="0096031D">
        <w:t xml:space="preserve">statements relating to different </w:t>
      </w:r>
      <w:r w:rsidR="0096031D" w:rsidRPr="0096031D">
        <w:rPr>
          <w:position w:val="6"/>
          <w:sz w:val="16"/>
        </w:rPr>
        <w:t>*</w:t>
      </w:r>
      <w:r w:rsidR="008D6060" w:rsidRPr="0096031D">
        <w:t xml:space="preserve">quarters and different </w:t>
      </w:r>
      <w:r w:rsidR="0096031D" w:rsidRPr="0096031D">
        <w:rPr>
          <w:position w:val="6"/>
          <w:sz w:val="16"/>
        </w:rPr>
        <w:t>*</w:t>
      </w:r>
      <w:r w:rsidR="001F209F" w:rsidRPr="0096031D">
        <w:t>MBL</w:t>
      </w:r>
      <w:r w:rsidR="008D6060" w:rsidRPr="0096031D">
        <w:t xml:space="preserve"> </w:t>
      </w:r>
      <w:r w:rsidRPr="0096031D">
        <w:t>benefits may be included in a single determination under this Subdivision.</w:t>
      </w:r>
    </w:p>
    <w:p w:rsidR="009C72E0" w:rsidRPr="0096031D" w:rsidRDefault="003B3CDB" w:rsidP="0096031D">
      <w:pPr>
        <w:pStyle w:val="ActHead5"/>
      </w:pPr>
      <w:bookmarkStart w:id="32" w:name="_Toc486251424"/>
      <w:r w:rsidRPr="0096031D">
        <w:rPr>
          <w:rStyle w:val="CharSectno"/>
        </w:rPr>
        <w:t>117</w:t>
      </w:r>
      <w:r w:rsidR="00790BFB">
        <w:rPr>
          <w:rStyle w:val="CharSectno"/>
        </w:rPr>
        <w:noBreakHyphen/>
      </w:r>
      <w:r w:rsidR="009C72E0" w:rsidRPr="0096031D">
        <w:rPr>
          <w:rStyle w:val="CharSectno"/>
        </w:rPr>
        <w:t>4</w:t>
      </w:r>
      <w:r w:rsidRPr="0096031D">
        <w:rPr>
          <w:rStyle w:val="CharSectno"/>
        </w:rPr>
        <w:t>5</w:t>
      </w:r>
      <w:r w:rsidR="009C72E0" w:rsidRPr="0096031D">
        <w:t xml:space="preserve">  Commissioner must give copy of determination to entity affected</w:t>
      </w:r>
      <w:bookmarkEnd w:id="32"/>
    </w:p>
    <w:p w:rsidR="009C72E0" w:rsidRPr="0096031D" w:rsidRDefault="009C72E0" w:rsidP="0096031D">
      <w:pPr>
        <w:pStyle w:val="subsection"/>
      </w:pPr>
      <w:r w:rsidRPr="0096031D">
        <w:tab/>
        <w:t>(1)</w:t>
      </w:r>
      <w:r w:rsidRPr="0096031D">
        <w:tab/>
        <w:t>The Commissioner must give a copy of a determination under this Subdivision to the entity whose</w:t>
      </w:r>
      <w:r w:rsidR="003A069C" w:rsidRPr="0096031D">
        <w:t xml:space="preserve"> liability for levy under the </w:t>
      </w:r>
      <w:r w:rsidR="003A069C" w:rsidRPr="0096031D">
        <w:rPr>
          <w:i/>
        </w:rPr>
        <w:t>Major Bank Levy Act 2017</w:t>
      </w:r>
      <w:r w:rsidRPr="0096031D">
        <w:t xml:space="preserve"> is stated in the determination.</w:t>
      </w:r>
    </w:p>
    <w:p w:rsidR="009C72E0" w:rsidRPr="0096031D" w:rsidRDefault="009C72E0" w:rsidP="0096031D">
      <w:pPr>
        <w:pStyle w:val="subsection"/>
      </w:pPr>
      <w:r w:rsidRPr="0096031D">
        <w:lastRenderedPageBreak/>
        <w:tab/>
        <w:t>(2)</w:t>
      </w:r>
      <w:r w:rsidRPr="0096031D">
        <w:tab/>
        <w:t xml:space="preserve">A failure to comply with </w:t>
      </w:r>
      <w:r w:rsidR="0096031D" w:rsidRPr="0096031D">
        <w:t>subsection (</w:t>
      </w:r>
      <w:r w:rsidRPr="0096031D">
        <w:t>1) does not affect the validity of the determination.</w:t>
      </w:r>
    </w:p>
    <w:p w:rsidR="000115C4" w:rsidRPr="0096031D" w:rsidRDefault="000115C4" w:rsidP="0096031D">
      <w:pPr>
        <w:pStyle w:val="ActHead5"/>
      </w:pPr>
      <w:bookmarkStart w:id="33" w:name="_Toc486251425"/>
      <w:r w:rsidRPr="0096031D">
        <w:rPr>
          <w:rStyle w:val="CharSectno"/>
        </w:rPr>
        <w:t>117</w:t>
      </w:r>
      <w:r w:rsidR="00790BFB">
        <w:rPr>
          <w:rStyle w:val="CharSectno"/>
        </w:rPr>
        <w:noBreakHyphen/>
      </w:r>
      <w:r w:rsidRPr="0096031D">
        <w:rPr>
          <w:rStyle w:val="CharSectno"/>
        </w:rPr>
        <w:t>50</w:t>
      </w:r>
      <w:r w:rsidRPr="0096031D">
        <w:t xml:space="preserve">  Objections</w:t>
      </w:r>
      <w:bookmarkEnd w:id="33"/>
    </w:p>
    <w:p w:rsidR="000115C4" w:rsidRPr="0096031D" w:rsidRDefault="000115C4" w:rsidP="0096031D">
      <w:pPr>
        <w:pStyle w:val="subsection"/>
      </w:pPr>
      <w:r w:rsidRPr="0096031D">
        <w:tab/>
      </w:r>
      <w:r w:rsidRPr="0096031D">
        <w:tab/>
        <w:t xml:space="preserve">If the entity whose liability for levy under the </w:t>
      </w:r>
      <w:r w:rsidRPr="0096031D">
        <w:rPr>
          <w:i/>
        </w:rPr>
        <w:t>Major Bank Levy Act 2017</w:t>
      </w:r>
      <w:r w:rsidRPr="0096031D">
        <w:t xml:space="preserve"> is stated in a determination under this Subdivision is dissatisfied with the determination, the entity may object against it in the manner set out in Part</w:t>
      </w:r>
      <w:r w:rsidR="0096031D" w:rsidRPr="0096031D">
        <w:t> </w:t>
      </w:r>
      <w:r w:rsidRPr="0096031D">
        <w:t xml:space="preserve">IVC of the </w:t>
      </w:r>
      <w:r w:rsidRPr="0096031D">
        <w:rPr>
          <w:i/>
        </w:rPr>
        <w:t>Taxation Administration Act 1953</w:t>
      </w:r>
      <w:r w:rsidRPr="0096031D">
        <w:t>.</w:t>
      </w:r>
    </w:p>
    <w:p w:rsidR="0087749C" w:rsidRPr="0096031D" w:rsidRDefault="00D110E5" w:rsidP="0096031D">
      <w:pPr>
        <w:pStyle w:val="ItemHead"/>
      </w:pPr>
      <w:r w:rsidRPr="0096031D">
        <w:t>16</w:t>
      </w:r>
      <w:r w:rsidR="00B732D8" w:rsidRPr="0096031D">
        <w:t xml:space="preserve">  At the end of subsection</w:t>
      </w:r>
      <w:r w:rsidR="0096031D" w:rsidRPr="0096031D">
        <w:t> </w:t>
      </w:r>
      <w:r w:rsidR="00B732D8" w:rsidRPr="0096031D">
        <w:t>155</w:t>
      </w:r>
      <w:r w:rsidR="00790BFB">
        <w:noBreakHyphen/>
      </w:r>
      <w:r w:rsidR="00B732D8" w:rsidRPr="0096031D">
        <w:t>5(2)</w:t>
      </w:r>
      <w:r w:rsidR="00765291" w:rsidRPr="0096031D">
        <w:t xml:space="preserve"> in Schedule</w:t>
      </w:r>
      <w:r w:rsidR="0096031D" w:rsidRPr="0096031D">
        <w:t> </w:t>
      </w:r>
      <w:r w:rsidR="00765291" w:rsidRPr="0096031D">
        <w:t>1</w:t>
      </w:r>
    </w:p>
    <w:p w:rsidR="00B732D8" w:rsidRPr="0096031D" w:rsidRDefault="00B732D8" w:rsidP="0096031D">
      <w:pPr>
        <w:pStyle w:val="Item"/>
      </w:pPr>
      <w:r w:rsidRPr="0096031D">
        <w:t>Add:</w:t>
      </w:r>
    </w:p>
    <w:p w:rsidR="00B732D8" w:rsidRPr="0096031D" w:rsidRDefault="00B732D8" w:rsidP="0096031D">
      <w:pPr>
        <w:pStyle w:val="paragraph"/>
      </w:pPr>
      <w:r w:rsidRPr="0096031D">
        <w:tab/>
        <w:t>; (</w:t>
      </w:r>
      <w:proofErr w:type="spellStart"/>
      <w:r w:rsidRPr="0096031D">
        <w:t>i</w:t>
      </w:r>
      <w:proofErr w:type="spellEnd"/>
      <w:r w:rsidRPr="0096031D">
        <w:t>)</w:t>
      </w:r>
      <w:r w:rsidRPr="0096031D">
        <w:tab/>
        <w:t xml:space="preserve">an amount of levy under the </w:t>
      </w:r>
      <w:r w:rsidRPr="0096031D">
        <w:rPr>
          <w:i/>
        </w:rPr>
        <w:t>Major Bank Levy Act 2017</w:t>
      </w:r>
      <w:r w:rsidRPr="0096031D">
        <w:t xml:space="preserve"> for a </w:t>
      </w:r>
      <w:r w:rsidR="0096031D" w:rsidRPr="0096031D">
        <w:rPr>
          <w:position w:val="6"/>
          <w:sz w:val="16"/>
        </w:rPr>
        <w:t>*</w:t>
      </w:r>
      <w:r w:rsidRPr="0096031D">
        <w:t>quarter.</w:t>
      </w:r>
    </w:p>
    <w:p w:rsidR="002D29C7" w:rsidRPr="0096031D" w:rsidRDefault="00D110E5" w:rsidP="0096031D">
      <w:pPr>
        <w:pStyle w:val="ItemHead"/>
      </w:pPr>
      <w:r w:rsidRPr="0096031D">
        <w:t>17</w:t>
      </w:r>
      <w:r w:rsidR="002D29C7" w:rsidRPr="0096031D">
        <w:t xml:space="preserve">  S</w:t>
      </w:r>
      <w:r w:rsidR="00CB775B" w:rsidRPr="0096031D">
        <w:t>ubs</w:t>
      </w:r>
      <w:r w:rsidR="002D29C7" w:rsidRPr="0096031D">
        <w:t>ection</w:t>
      </w:r>
      <w:r w:rsidR="0096031D" w:rsidRPr="0096031D">
        <w:t> </w:t>
      </w:r>
      <w:r w:rsidR="00CB775B" w:rsidRPr="0096031D">
        <w:t>155</w:t>
      </w:r>
      <w:r w:rsidR="00790BFB">
        <w:noBreakHyphen/>
      </w:r>
      <w:r w:rsidR="00CB775B" w:rsidRPr="0096031D">
        <w:t>1</w:t>
      </w:r>
      <w:r w:rsidR="002D29C7" w:rsidRPr="0096031D">
        <w:t>5</w:t>
      </w:r>
      <w:r w:rsidR="00CB775B" w:rsidRPr="0096031D">
        <w:t>(1) in Schedule</w:t>
      </w:r>
      <w:r w:rsidR="0096031D" w:rsidRPr="0096031D">
        <w:t> </w:t>
      </w:r>
      <w:r w:rsidR="00CB775B" w:rsidRPr="0096031D">
        <w:t xml:space="preserve">1 </w:t>
      </w:r>
      <w:r w:rsidR="002D29C7" w:rsidRPr="0096031D">
        <w:t>(at the end of the table)</w:t>
      </w:r>
    </w:p>
    <w:p w:rsidR="002D29C7" w:rsidRPr="0096031D" w:rsidRDefault="002D29C7" w:rsidP="0096031D">
      <w:pPr>
        <w:pStyle w:val="Item"/>
      </w:pPr>
      <w:r w:rsidRPr="0096031D">
        <w:t>Add:</w:t>
      </w:r>
    </w:p>
    <w:tbl>
      <w:tblPr>
        <w:tblW w:w="7083" w:type="dxa"/>
        <w:tblInd w:w="113" w:type="dxa"/>
        <w:tblLayout w:type="fixed"/>
        <w:tblLook w:val="0000" w:firstRow="0" w:lastRow="0" w:firstColumn="0" w:lastColumn="0" w:noHBand="0" w:noVBand="0"/>
      </w:tblPr>
      <w:tblGrid>
        <w:gridCol w:w="714"/>
        <w:gridCol w:w="2542"/>
        <w:gridCol w:w="1701"/>
        <w:gridCol w:w="2126"/>
      </w:tblGrid>
      <w:tr w:rsidR="00CB775B" w:rsidRPr="0096031D" w:rsidTr="00CB775B">
        <w:tc>
          <w:tcPr>
            <w:tcW w:w="714" w:type="dxa"/>
            <w:shd w:val="clear" w:color="auto" w:fill="auto"/>
          </w:tcPr>
          <w:p w:rsidR="00CB775B" w:rsidRPr="0096031D" w:rsidRDefault="00CB775B" w:rsidP="0096031D">
            <w:pPr>
              <w:pStyle w:val="Tabletext"/>
            </w:pPr>
            <w:r w:rsidRPr="0096031D">
              <w:t>5</w:t>
            </w:r>
          </w:p>
        </w:tc>
        <w:tc>
          <w:tcPr>
            <w:tcW w:w="2542" w:type="dxa"/>
            <w:shd w:val="clear" w:color="auto" w:fill="auto"/>
          </w:tcPr>
          <w:p w:rsidR="00CB775B" w:rsidRPr="0096031D" w:rsidRDefault="00CB775B" w:rsidP="0096031D">
            <w:pPr>
              <w:pStyle w:val="Tabletext"/>
            </w:pPr>
            <w:r w:rsidRPr="0096031D">
              <w:t xml:space="preserve">an amount of levy under the </w:t>
            </w:r>
            <w:r w:rsidRPr="0096031D">
              <w:rPr>
                <w:i/>
              </w:rPr>
              <w:t>Major Bank Levy Act 2017</w:t>
            </w:r>
            <w:r w:rsidRPr="0096031D">
              <w:t xml:space="preserve"> for a </w:t>
            </w:r>
            <w:r w:rsidR="0096031D" w:rsidRPr="0096031D">
              <w:rPr>
                <w:position w:val="6"/>
                <w:sz w:val="16"/>
              </w:rPr>
              <w:t>*</w:t>
            </w:r>
            <w:r w:rsidRPr="0096031D">
              <w:t>quarter</w:t>
            </w:r>
          </w:p>
        </w:tc>
        <w:tc>
          <w:tcPr>
            <w:tcW w:w="1701" w:type="dxa"/>
            <w:shd w:val="clear" w:color="auto" w:fill="auto"/>
          </w:tcPr>
          <w:p w:rsidR="00CB775B" w:rsidRPr="0096031D" w:rsidRDefault="00CB775B" w:rsidP="0096031D">
            <w:pPr>
              <w:pStyle w:val="Tabletext"/>
            </w:pPr>
            <w:r w:rsidRPr="0096031D">
              <w:t>the Commissioner</w:t>
            </w:r>
          </w:p>
        </w:tc>
        <w:tc>
          <w:tcPr>
            <w:tcW w:w="2126" w:type="dxa"/>
            <w:shd w:val="clear" w:color="auto" w:fill="auto"/>
          </w:tcPr>
          <w:p w:rsidR="00CB775B" w:rsidRPr="0096031D" w:rsidRDefault="00CB775B" w:rsidP="0096031D">
            <w:pPr>
              <w:pStyle w:val="Tabletext"/>
              <w:ind w:right="34"/>
            </w:pPr>
            <w:r w:rsidRPr="0096031D">
              <w:t>return given under section</w:t>
            </w:r>
            <w:r w:rsidR="0096031D" w:rsidRPr="0096031D">
              <w:t> </w:t>
            </w:r>
            <w:r w:rsidRPr="0096031D">
              <w:t>115</w:t>
            </w:r>
            <w:r w:rsidR="00790BFB">
              <w:noBreakHyphen/>
            </w:r>
            <w:r w:rsidRPr="0096031D">
              <w:t>5 for the quarter</w:t>
            </w:r>
          </w:p>
        </w:tc>
      </w:tr>
    </w:tbl>
    <w:p w:rsidR="00892C6C" w:rsidRPr="0096031D" w:rsidRDefault="00D110E5" w:rsidP="0096031D">
      <w:pPr>
        <w:pStyle w:val="ItemHead"/>
      </w:pPr>
      <w:r w:rsidRPr="0096031D">
        <w:t>18</w:t>
      </w:r>
      <w:r w:rsidR="00892C6C" w:rsidRPr="0096031D">
        <w:t xml:space="preserve">  Subsection</w:t>
      </w:r>
      <w:r w:rsidR="0096031D" w:rsidRPr="0096031D">
        <w:t> </w:t>
      </w:r>
      <w:r w:rsidR="00892C6C" w:rsidRPr="0096031D">
        <w:t>250</w:t>
      </w:r>
      <w:r w:rsidR="00790BFB">
        <w:noBreakHyphen/>
      </w:r>
      <w:r w:rsidR="00892C6C" w:rsidRPr="0096031D">
        <w:t>10(2) in Schedule</w:t>
      </w:r>
      <w:r w:rsidR="0096031D" w:rsidRPr="0096031D">
        <w:t> </w:t>
      </w:r>
      <w:r w:rsidR="00892C6C" w:rsidRPr="0096031D">
        <w:t>1 (after table item</w:t>
      </w:r>
      <w:r w:rsidR="0096031D" w:rsidRPr="0096031D">
        <w:t> </w:t>
      </w:r>
      <w:r w:rsidR="007D601F" w:rsidRPr="0096031D">
        <w:t>135R</w:t>
      </w:r>
      <w:r w:rsidR="00892C6C" w:rsidRPr="0096031D">
        <w:t>)</w:t>
      </w:r>
    </w:p>
    <w:p w:rsidR="001C7532" w:rsidRPr="0096031D" w:rsidRDefault="001C7532" w:rsidP="0096031D">
      <w:pPr>
        <w:pStyle w:val="Item"/>
      </w:pPr>
      <w:r w:rsidRPr="0096031D">
        <w:t>Insert:</w:t>
      </w:r>
    </w:p>
    <w:tbl>
      <w:tblPr>
        <w:tblW w:w="7237" w:type="dxa"/>
        <w:tblInd w:w="107" w:type="dxa"/>
        <w:tblLayout w:type="fixed"/>
        <w:tblCellMar>
          <w:left w:w="107" w:type="dxa"/>
          <w:right w:w="107" w:type="dxa"/>
        </w:tblCellMar>
        <w:tblLook w:val="0000" w:firstRow="0" w:lastRow="0" w:firstColumn="0" w:lastColumn="0" w:noHBand="0" w:noVBand="0"/>
      </w:tblPr>
      <w:tblGrid>
        <w:gridCol w:w="709"/>
        <w:gridCol w:w="2126"/>
        <w:gridCol w:w="1418"/>
        <w:gridCol w:w="2984"/>
      </w:tblGrid>
      <w:tr w:rsidR="00892C6C" w:rsidRPr="0096031D" w:rsidTr="00892C6C">
        <w:trPr>
          <w:cantSplit/>
        </w:trPr>
        <w:tc>
          <w:tcPr>
            <w:tcW w:w="709" w:type="dxa"/>
            <w:shd w:val="clear" w:color="auto" w:fill="auto"/>
          </w:tcPr>
          <w:p w:rsidR="00892C6C" w:rsidRPr="0096031D" w:rsidRDefault="007D601F" w:rsidP="0096031D">
            <w:pPr>
              <w:pStyle w:val="Tabletext"/>
            </w:pPr>
            <w:r w:rsidRPr="0096031D">
              <w:t>136</w:t>
            </w:r>
          </w:p>
        </w:tc>
        <w:tc>
          <w:tcPr>
            <w:tcW w:w="2126" w:type="dxa"/>
            <w:shd w:val="clear" w:color="auto" w:fill="auto"/>
          </w:tcPr>
          <w:p w:rsidR="00892C6C" w:rsidRPr="0096031D" w:rsidRDefault="00D00A98" w:rsidP="0096031D">
            <w:pPr>
              <w:pStyle w:val="Tabletext"/>
            </w:pPr>
            <w:r w:rsidRPr="0096031D">
              <w:t>amount of major bank levy</w:t>
            </w:r>
          </w:p>
        </w:tc>
        <w:tc>
          <w:tcPr>
            <w:tcW w:w="1418" w:type="dxa"/>
            <w:shd w:val="clear" w:color="auto" w:fill="auto"/>
          </w:tcPr>
          <w:p w:rsidR="00892C6C" w:rsidRPr="0096031D" w:rsidRDefault="00A60F2A" w:rsidP="0096031D">
            <w:pPr>
              <w:pStyle w:val="Tabletext"/>
            </w:pPr>
            <w:r w:rsidRPr="0096031D">
              <w:t>115</w:t>
            </w:r>
            <w:r w:rsidR="00790BFB">
              <w:noBreakHyphen/>
            </w:r>
            <w:r w:rsidRPr="0096031D">
              <w:t>10 in Schedule</w:t>
            </w:r>
            <w:r w:rsidR="0096031D" w:rsidRPr="0096031D">
              <w:t> </w:t>
            </w:r>
            <w:r w:rsidRPr="0096031D">
              <w:t>1</w:t>
            </w:r>
          </w:p>
        </w:tc>
        <w:tc>
          <w:tcPr>
            <w:tcW w:w="2984" w:type="dxa"/>
            <w:shd w:val="clear" w:color="auto" w:fill="auto"/>
          </w:tcPr>
          <w:p w:rsidR="00892C6C" w:rsidRPr="0096031D" w:rsidRDefault="00A60F2A" w:rsidP="0096031D">
            <w:pPr>
              <w:pStyle w:val="Tabletext"/>
            </w:pPr>
            <w:r w:rsidRPr="0096031D">
              <w:rPr>
                <w:i/>
              </w:rPr>
              <w:t>Taxation Administration Act 1953</w:t>
            </w:r>
          </w:p>
        </w:tc>
      </w:tr>
    </w:tbl>
    <w:p w:rsidR="00D91DB6" w:rsidRPr="0096031D" w:rsidRDefault="00D110E5" w:rsidP="0096031D">
      <w:pPr>
        <w:pStyle w:val="ItemHead"/>
      </w:pPr>
      <w:r w:rsidRPr="0096031D">
        <w:t>19</w:t>
      </w:r>
      <w:r w:rsidR="00D91DB6" w:rsidRPr="0096031D">
        <w:t xml:space="preserve">  Subsection</w:t>
      </w:r>
      <w:r w:rsidR="0096031D" w:rsidRPr="0096031D">
        <w:t> </w:t>
      </w:r>
      <w:r w:rsidR="00D91DB6" w:rsidRPr="0096031D">
        <w:t>355</w:t>
      </w:r>
      <w:r w:rsidR="00790BFB">
        <w:noBreakHyphen/>
      </w:r>
      <w:r w:rsidR="00D91DB6" w:rsidRPr="0096031D">
        <w:t>65(3) in Schedule</w:t>
      </w:r>
      <w:r w:rsidR="0096031D" w:rsidRPr="0096031D">
        <w:t> </w:t>
      </w:r>
      <w:r w:rsidR="00D91DB6" w:rsidRPr="0096031D">
        <w:t>1 (after table item</w:t>
      </w:r>
      <w:r w:rsidR="0096031D" w:rsidRPr="0096031D">
        <w:t> </w:t>
      </w:r>
      <w:r w:rsidR="00D91DB6" w:rsidRPr="0096031D">
        <w:t>5)</w:t>
      </w:r>
    </w:p>
    <w:p w:rsidR="00D91DB6" w:rsidRPr="0096031D" w:rsidRDefault="00D91DB6" w:rsidP="0096031D">
      <w:pPr>
        <w:pStyle w:val="Item"/>
      </w:pPr>
      <w:r w:rsidRPr="0096031D">
        <w:t>Insert:</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D91DB6" w:rsidRPr="0096031D" w:rsidTr="00875C1C">
        <w:trPr>
          <w:cantSplit/>
        </w:trPr>
        <w:tc>
          <w:tcPr>
            <w:tcW w:w="714" w:type="dxa"/>
            <w:shd w:val="clear" w:color="auto" w:fill="auto"/>
          </w:tcPr>
          <w:p w:rsidR="00D91DB6" w:rsidRPr="0096031D" w:rsidRDefault="00D91DB6" w:rsidP="0096031D">
            <w:pPr>
              <w:pStyle w:val="Tabletext"/>
            </w:pPr>
            <w:r w:rsidRPr="0096031D">
              <w:t>6</w:t>
            </w:r>
          </w:p>
        </w:tc>
        <w:tc>
          <w:tcPr>
            <w:tcW w:w="2910" w:type="dxa"/>
            <w:shd w:val="clear" w:color="auto" w:fill="auto"/>
          </w:tcPr>
          <w:p w:rsidR="00D91DB6" w:rsidRPr="0096031D" w:rsidRDefault="00D91DB6" w:rsidP="0096031D">
            <w:pPr>
              <w:pStyle w:val="Tabletext"/>
            </w:pPr>
            <w:r w:rsidRPr="0096031D">
              <w:t>APRA</w:t>
            </w:r>
          </w:p>
        </w:tc>
        <w:tc>
          <w:tcPr>
            <w:tcW w:w="3462" w:type="dxa"/>
            <w:shd w:val="clear" w:color="auto" w:fill="auto"/>
          </w:tcPr>
          <w:p w:rsidR="00D91DB6" w:rsidRPr="0096031D" w:rsidRDefault="00D91DB6" w:rsidP="0096031D">
            <w:pPr>
              <w:pStyle w:val="Tabletext"/>
            </w:pPr>
            <w:r w:rsidRPr="0096031D">
              <w:t xml:space="preserve">is for the purpose of administering </w:t>
            </w:r>
            <w:r w:rsidR="0084606A" w:rsidRPr="0096031D">
              <w:t>a reporting standard made under section</w:t>
            </w:r>
            <w:r w:rsidR="0096031D" w:rsidRPr="0096031D">
              <w:t> </w:t>
            </w:r>
            <w:r w:rsidR="0084606A" w:rsidRPr="0096031D">
              <w:t xml:space="preserve">13 of </w:t>
            </w:r>
            <w:r w:rsidRPr="0096031D">
              <w:t xml:space="preserve">the </w:t>
            </w:r>
            <w:r w:rsidR="0084606A" w:rsidRPr="0096031D">
              <w:rPr>
                <w:i/>
              </w:rPr>
              <w:t>Financial Sector (Collection of Data) Act 2001</w:t>
            </w:r>
            <w:r w:rsidR="0084606A" w:rsidRPr="0096031D">
              <w:t xml:space="preserve">, to the extent that the standard relates to </w:t>
            </w:r>
            <w:r w:rsidR="0072557B" w:rsidRPr="0096031D">
              <w:t xml:space="preserve">amounts reported to </w:t>
            </w:r>
            <w:r w:rsidR="0096031D" w:rsidRPr="0096031D">
              <w:rPr>
                <w:position w:val="6"/>
                <w:sz w:val="16"/>
              </w:rPr>
              <w:t>*</w:t>
            </w:r>
            <w:r w:rsidR="0072557B" w:rsidRPr="0096031D">
              <w:t xml:space="preserve">APRA for the purposes of the </w:t>
            </w:r>
            <w:r w:rsidR="0072557B" w:rsidRPr="0096031D">
              <w:rPr>
                <w:i/>
              </w:rPr>
              <w:t>Major Bank Levy Act 2017</w:t>
            </w:r>
            <w:r w:rsidRPr="0096031D">
              <w:t>.</w:t>
            </w:r>
          </w:p>
        </w:tc>
      </w:tr>
    </w:tbl>
    <w:p w:rsidR="00612A9D" w:rsidRPr="0096031D" w:rsidRDefault="00D110E5" w:rsidP="0096031D">
      <w:pPr>
        <w:pStyle w:val="ItemHead"/>
      </w:pPr>
      <w:r w:rsidRPr="0096031D">
        <w:t>20</w:t>
      </w:r>
      <w:r w:rsidR="00612A9D" w:rsidRPr="0096031D">
        <w:t xml:space="preserve">  At the end of section</w:t>
      </w:r>
      <w:r w:rsidR="0096031D" w:rsidRPr="0096031D">
        <w:t> </w:t>
      </w:r>
      <w:r w:rsidR="00612A9D" w:rsidRPr="0096031D">
        <w:t>356</w:t>
      </w:r>
      <w:r w:rsidR="00790BFB">
        <w:noBreakHyphen/>
      </w:r>
      <w:r w:rsidR="00612A9D" w:rsidRPr="0096031D">
        <w:t>1</w:t>
      </w:r>
      <w:r w:rsidR="00D72420" w:rsidRPr="0096031D">
        <w:t xml:space="preserve"> in Schedule</w:t>
      </w:r>
      <w:r w:rsidR="0096031D" w:rsidRPr="0096031D">
        <w:t> </w:t>
      </w:r>
      <w:r w:rsidR="00D72420" w:rsidRPr="0096031D">
        <w:t>1</w:t>
      </w:r>
    </w:p>
    <w:p w:rsidR="00612A9D" w:rsidRPr="0096031D" w:rsidRDefault="00612A9D" w:rsidP="0096031D">
      <w:pPr>
        <w:pStyle w:val="Item"/>
      </w:pPr>
      <w:r w:rsidRPr="0096031D">
        <w:t xml:space="preserve">Add “and the </w:t>
      </w:r>
      <w:r w:rsidRPr="0096031D">
        <w:rPr>
          <w:i/>
        </w:rPr>
        <w:t>Major Bank Levy Act 2017</w:t>
      </w:r>
      <w:r w:rsidRPr="0096031D">
        <w:t>”.</w:t>
      </w:r>
    </w:p>
    <w:p w:rsidR="00956615" w:rsidRPr="0096031D" w:rsidRDefault="00D110E5" w:rsidP="0096031D">
      <w:pPr>
        <w:pStyle w:val="ItemHead"/>
      </w:pPr>
      <w:r w:rsidRPr="0096031D">
        <w:t>21</w:t>
      </w:r>
      <w:r w:rsidR="00293CA7" w:rsidRPr="0096031D">
        <w:t xml:space="preserve">  </w:t>
      </w:r>
      <w:r w:rsidR="00612A9D" w:rsidRPr="0096031D">
        <w:t>At the end of Division</w:t>
      </w:r>
      <w:r w:rsidR="0096031D" w:rsidRPr="0096031D">
        <w:t> </w:t>
      </w:r>
      <w:r w:rsidR="00612A9D" w:rsidRPr="0096031D">
        <w:t>356 in Schedule</w:t>
      </w:r>
      <w:r w:rsidR="0096031D" w:rsidRPr="0096031D">
        <w:t> </w:t>
      </w:r>
      <w:r w:rsidR="00612A9D" w:rsidRPr="0096031D">
        <w:t>1</w:t>
      </w:r>
    </w:p>
    <w:p w:rsidR="00612A9D" w:rsidRPr="0096031D" w:rsidRDefault="00612A9D" w:rsidP="0096031D">
      <w:pPr>
        <w:pStyle w:val="Item"/>
      </w:pPr>
      <w:r w:rsidRPr="0096031D">
        <w:t>Add:</w:t>
      </w:r>
    </w:p>
    <w:p w:rsidR="00612A9D" w:rsidRPr="0096031D" w:rsidRDefault="00612A9D" w:rsidP="0096031D">
      <w:pPr>
        <w:pStyle w:val="ActHead4"/>
      </w:pPr>
      <w:bookmarkStart w:id="34" w:name="_Toc486251426"/>
      <w:r w:rsidRPr="0096031D">
        <w:rPr>
          <w:rStyle w:val="CharSubdNo"/>
        </w:rPr>
        <w:t>Subdivision</w:t>
      </w:r>
      <w:r w:rsidR="0096031D" w:rsidRPr="0096031D">
        <w:rPr>
          <w:rStyle w:val="CharSubdNo"/>
        </w:rPr>
        <w:t> </w:t>
      </w:r>
      <w:r w:rsidRPr="0096031D">
        <w:rPr>
          <w:rStyle w:val="CharSubdNo"/>
        </w:rPr>
        <w:t>356</w:t>
      </w:r>
      <w:r w:rsidR="00790BFB">
        <w:rPr>
          <w:rStyle w:val="CharSubdNo"/>
        </w:rPr>
        <w:noBreakHyphen/>
      </w:r>
      <w:r w:rsidRPr="0096031D">
        <w:rPr>
          <w:rStyle w:val="CharSubdNo"/>
        </w:rPr>
        <w:t>B</w:t>
      </w:r>
      <w:r w:rsidRPr="0096031D">
        <w:t>—</w:t>
      </w:r>
      <w:r w:rsidRPr="0096031D">
        <w:rPr>
          <w:rStyle w:val="CharSubdText"/>
        </w:rPr>
        <w:t>Major bank levy</w:t>
      </w:r>
      <w:bookmarkEnd w:id="34"/>
    </w:p>
    <w:p w:rsidR="00612A9D" w:rsidRPr="0096031D" w:rsidRDefault="00612A9D" w:rsidP="0096031D">
      <w:pPr>
        <w:pStyle w:val="TofSectsHeading"/>
      </w:pPr>
      <w:r w:rsidRPr="0096031D">
        <w:t>Table of sections</w:t>
      </w:r>
    </w:p>
    <w:p w:rsidR="00612A9D" w:rsidRPr="0096031D" w:rsidRDefault="00612A9D" w:rsidP="0096031D">
      <w:pPr>
        <w:pStyle w:val="TofSectsSection"/>
      </w:pPr>
      <w:r w:rsidRPr="0096031D">
        <w:t>356</w:t>
      </w:r>
      <w:r w:rsidR="00790BFB">
        <w:noBreakHyphen/>
      </w:r>
      <w:r w:rsidRPr="0096031D">
        <w:t>10</w:t>
      </w:r>
      <w:r w:rsidRPr="0096031D">
        <w:tab/>
        <w:t>Commissioner has general administration of major bank levy</w:t>
      </w:r>
    </w:p>
    <w:p w:rsidR="00612A9D" w:rsidRPr="0096031D" w:rsidRDefault="00612A9D" w:rsidP="0096031D">
      <w:pPr>
        <w:pStyle w:val="ActHead5"/>
      </w:pPr>
      <w:bookmarkStart w:id="35" w:name="_Toc486251427"/>
      <w:r w:rsidRPr="0096031D">
        <w:rPr>
          <w:rStyle w:val="CharSectno"/>
        </w:rPr>
        <w:t>356</w:t>
      </w:r>
      <w:r w:rsidR="00790BFB">
        <w:rPr>
          <w:rStyle w:val="CharSectno"/>
        </w:rPr>
        <w:noBreakHyphen/>
      </w:r>
      <w:r w:rsidRPr="0096031D">
        <w:rPr>
          <w:rStyle w:val="CharSectno"/>
        </w:rPr>
        <w:t>10</w:t>
      </w:r>
      <w:r w:rsidRPr="0096031D">
        <w:t xml:space="preserve">  Commissioner has general administration of major bank levy</w:t>
      </w:r>
      <w:bookmarkEnd w:id="35"/>
    </w:p>
    <w:p w:rsidR="00612A9D" w:rsidRPr="0096031D" w:rsidRDefault="00612A9D" w:rsidP="0096031D">
      <w:pPr>
        <w:pStyle w:val="subsection"/>
      </w:pPr>
      <w:r w:rsidRPr="0096031D">
        <w:tab/>
      </w:r>
      <w:r w:rsidRPr="0096031D">
        <w:tab/>
        <w:t xml:space="preserve">The Commissioner has the general administration of the </w:t>
      </w:r>
      <w:r w:rsidRPr="0096031D">
        <w:rPr>
          <w:i/>
        </w:rPr>
        <w:t>Major Bank Levy Act 2017</w:t>
      </w:r>
      <w:r w:rsidRPr="0096031D">
        <w:t>.</w:t>
      </w:r>
    </w:p>
    <w:p w:rsidR="006C0696" w:rsidRPr="0096031D" w:rsidRDefault="006C0696" w:rsidP="0096031D">
      <w:pPr>
        <w:pStyle w:val="ItemHead"/>
      </w:pPr>
      <w:r w:rsidRPr="0096031D">
        <w:t>22  After paragraph</w:t>
      </w:r>
      <w:r w:rsidR="0096031D" w:rsidRPr="0096031D">
        <w:t> </w:t>
      </w:r>
      <w:r w:rsidRPr="0096031D">
        <w:t>357</w:t>
      </w:r>
      <w:r w:rsidR="00790BFB">
        <w:noBreakHyphen/>
      </w:r>
      <w:r w:rsidRPr="0096031D">
        <w:t>55(fc) in Schedule</w:t>
      </w:r>
      <w:r w:rsidR="0096031D" w:rsidRPr="0096031D">
        <w:t> </w:t>
      </w:r>
      <w:r w:rsidRPr="0096031D">
        <w:t>1</w:t>
      </w:r>
    </w:p>
    <w:p w:rsidR="006C0696" w:rsidRPr="0096031D" w:rsidRDefault="006C0696" w:rsidP="0096031D">
      <w:pPr>
        <w:pStyle w:val="Item"/>
      </w:pPr>
      <w:r w:rsidRPr="0096031D">
        <w:t>Insert:</w:t>
      </w:r>
    </w:p>
    <w:p w:rsidR="006C0696" w:rsidRPr="0096031D" w:rsidRDefault="006C0696" w:rsidP="0096031D">
      <w:pPr>
        <w:pStyle w:val="paragraph"/>
      </w:pPr>
      <w:r w:rsidRPr="0096031D">
        <w:tab/>
        <w:t>(</w:t>
      </w:r>
      <w:proofErr w:type="spellStart"/>
      <w:r w:rsidRPr="0096031D">
        <w:t>fd</w:t>
      </w:r>
      <w:proofErr w:type="spellEnd"/>
      <w:r w:rsidRPr="0096031D">
        <w:t>)</w:t>
      </w:r>
      <w:r w:rsidRPr="0096031D">
        <w:tab/>
        <w:t xml:space="preserve">levy under the </w:t>
      </w:r>
      <w:r w:rsidRPr="0096031D">
        <w:rPr>
          <w:i/>
        </w:rPr>
        <w:t>Major Bank Levy Act 2017</w:t>
      </w:r>
      <w:r w:rsidRPr="0096031D">
        <w:t>;</w:t>
      </w:r>
    </w:p>
    <w:p w:rsidR="00612A9D" w:rsidRPr="0096031D" w:rsidRDefault="00D110E5" w:rsidP="0096031D">
      <w:pPr>
        <w:pStyle w:val="ItemHead"/>
      </w:pPr>
      <w:r w:rsidRPr="0096031D">
        <w:t>2</w:t>
      </w:r>
      <w:r w:rsidR="006C0696" w:rsidRPr="0096031D">
        <w:t>3</w:t>
      </w:r>
      <w:r w:rsidR="00B0741E" w:rsidRPr="0096031D">
        <w:t xml:space="preserve">  </w:t>
      </w:r>
      <w:r w:rsidR="00F836FB" w:rsidRPr="0096031D">
        <w:t>Application of amendments</w:t>
      </w:r>
    </w:p>
    <w:p w:rsidR="00F836FB" w:rsidRPr="0096031D" w:rsidRDefault="00D72420" w:rsidP="0096031D">
      <w:pPr>
        <w:pStyle w:val="Subitem"/>
      </w:pPr>
      <w:r w:rsidRPr="0096031D">
        <w:t>(1)</w:t>
      </w:r>
      <w:r w:rsidRPr="0096031D">
        <w:tab/>
      </w:r>
      <w:r w:rsidR="00F836FB" w:rsidRPr="0096031D">
        <w:t xml:space="preserve">The amendments made to the </w:t>
      </w:r>
      <w:r w:rsidR="00F836FB" w:rsidRPr="0096031D">
        <w:rPr>
          <w:i/>
        </w:rPr>
        <w:t>Income Tax Assessment Act 1997</w:t>
      </w:r>
      <w:r w:rsidR="00F836FB" w:rsidRPr="0096031D">
        <w:t xml:space="preserve"> and the </w:t>
      </w:r>
      <w:r w:rsidR="00F836FB" w:rsidRPr="0096031D">
        <w:rPr>
          <w:i/>
        </w:rPr>
        <w:t>Taxation Administration Act 1953</w:t>
      </w:r>
      <w:r w:rsidR="00F836FB" w:rsidRPr="0096031D">
        <w:t xml:space="preserve"> by this Schedule apply in relation to quarters starting on or after 1</w:t>
      </w:r>
      <w:r w:rsidR="0096031D" w:rsidRPr="0096031D">
        <w:t> </w:t>
      </w:r>
      <w:r w:rsidR="00F836FB" w:rsidRPr="0096031D">
        <w:t>July 2017.</w:t>
      </w:r>
    </w:p>
    <w:p w:rsidR="00790BFB" w:rsidRDefault="00D72420" w:rsidP="0096031D">
      <w:pPr>
        <w:pStyle w:val="Subitem"/>
      </w:pPr>
      <w:r w:rsidRPr="0096031D">
        <w:t>(2)</w:t>
      </w:r>
      <w:r w:rsidRPr="0096031D">
        <w:tab/>
        <w:t>However, section</w:t>
      </w:r>
      <w:r w:rsidR="0096031D" w:rsidRPr="0096031D">
        <w:t> </w:t>
      </w:r>
      <w:r w:rsidRPr="0096031D">
        <w:t>115</w:t>
      </w:r>
      <w:r w:rsidR="00790BFB">
        <w:noBreakHyphen/>
      </w:r>
      <w:r w:rsidRPr="0096031D">
        <w:t>10 in Schedule</w:t>
      </w:r>
      <w:r w:rsidR="0096031D" w:rsidRPr="0096031D">
        <w:t> </w:t>
      </w:r>
      <w:r w:rsidRPr="0096031D">
        <w:t xml:space="preserve">1 to the </w:t>
      </w:r>
      <w:r w:rsidRPr="0096031D">
        <w:rPr>
          <w:i/>
        </w:rPr>
        <w:t>Taxation Administration Act 1953</w:t>
      </w:r>
      <w:r w:rsidRPr="0096031D">
        <w:t xml:space="preserve"> as </w:t>
      </w:r>
      <w:r w:rsidR="00CB1BC7" w:rsidRPr="0096031D">
        <w:t>inserted</w:t>
      </w:r>
      <w:r w:rsidRPr="0096031D">
        <w:t xml:space="preserve"> by this Act applies in relation to the quarter starting on 1</w:t>
      </w:r>
      <w:r w:rsidR="0096031D" w:rsidRPr="0096031D">
        <w:t> </w:t>
      </w:r>
      <w:r w:rsidRPr="0096031D">
        <w:t xml:space="preserve">July 2017 as if </w:t>
      </w:r>
      <w:r w:rsidR="007304A6" w:rsidRPr="0096031D">
        <w:t>the MBL reporting day for</w:t>
      </w:r>
      <w:r w:rsidR="0030568B" w:rsidRPr="0096031D">
        <w:t xml:space="preserve"> the quarter</w:t>
      </w:r>
      <w:r w:rsidRPr="0096031D">
        <w:t xml:space="preserve"> </w:t>
      </w:r>
      <w:r w:rsidR="0030568B" w:rsidRPr="0096031D">
        <w:t xml:space="preserve">were </w:t>
      </w:r>
      <w:r w:rsidR="007304A6" w:rsidRPr="0096031D">
        <w:t>the same day as the MBL reporting day for</w:t>
      </w:r>
      <w:r w:rsidR="0030568B" w:rsidRPr="0096031D">
        <w:t xml:space="preserve"> the quarter starting on 1</w:t>
      </w:r>
      <w:r w:rsidR="0096031D" w:rsidRPr="0096031D">
        <w:t> </w:t>
      </w:r>
      <w:r w:rsidR="0030568B" w:rsidRPr="0096031D">
        <w:t>October 2017.</w:t>
      </w:r>
    </w:p>
    <w:p w:rsidR="00434C6C" w:rsidRDefault="00434C6C" w:rsidP="00841A7C"/>
    <w:p w:rsidR="00434C6C" w:rsidRDefault="00434C6C" w:rsidP="00027C40">
      <w:pPr>
        <w:pStyle w:val="AssentBk"/>
        <w:keepNext/>
      </w:pPr>
    </w:p>
    <w:p w:rsidR="00434C6C" w:rsidRDefault="00434C6C" w:rsidP="00027C40">
      <w:pPr>
        <w:pStyle w:val="AssentBk"/>
        <w:keepNext/>
      </w:pPr>
    </w:p>
    <w:p w:rsidR="00841A7C" w:rsidRDefault="00841A7C" w:rsidP="000C5962">
      <w:pPr>
        <w:pStyle w:val="2ndRd"/>
        <w:keepNext/>
        <w:pBdr>
          <w:top w:val="single" w:sz="2" w:space="1" w:color="auto"/>
        </w:pBdr>
      </w:pPr>
    </w:p>
    <w:p w:rsidR="00841A7C" w:rsidRDefault="00841A7C" w:rsidP="000C5962">
      <w:pPr>
        <w:pStyle w:val="2ndRd"/>
        <w:keepNext/>
        <w:spacing w:line="260" w:lineRule="atLeast"/>
        <w:rPr>
          <w:i/>
        </w:rPr>
      </w:pPr>
      <w:r>
        <w:t>[</w:t>
      </w:r>
      <w:r>
        <w:rPr>
          <w:i/>
        </w:rPr>
        <w:t>Minister’s second reading speech made in—</w:t>
      </w:r>
    </w:p>
    <w:p w:rsidR="00841A7C" w:rsidRDefault="00841A7C" w:rsidP="000C5962">
      <w:pPr>
        <w:pStyle w:val="2ndRd"/>
        <w:keepNext/>
        <w:spacing w:line="260" w:lineRule="atLeast"/>
        <w:rPr>
          <w:i/>
        </w:rPr>
      </w:pPr>
      <w:r>
        <w:rPr>
          <w:i/>
        </w:rPr>
        <w:t>House of Representatives on 30 May 2017</w:t>
      </w:r>
    </w:p>
    <w:p w:rsidR="00841A7C" w:rsidRDefault="00841A7C" w:rsidP="000C5962">
      <w:pPr>
        <w:pStyle w:val="2ndRd"/>
        <w:keepNext/>
        <w:spacing w:line="260" w:lineRule="atLeast"/>
        <w:rPr>
          <w:i/>
        </w:rPr>
      </w:pPr>
      <w:r>
        <w:rPr>
          <w:i/>
        </w:rPr>
        <w:t>Senate on 19 June 2017</w:t>
      </w:r>
      <w:r>
        <w:t>]</w:t>
      </w:r>
    </w:p>
    <w:p w:rsidR="00841A7C" w:rsidRDefault="00841A7C" w:rsidP="000C5962"/>
    <w:p w:rsidR="00434C6C" w:rsidRPr="00841A7C" w:rsidRDefault="00841A7C" w:rsidP="00841A7C">
      <w:pPr>
        <w:framePr w:hSpace="180" w:wrap="around" w:vAnchor="text" w:hAnchor="page" w:x="2410" w:y="5740"/>
      </w:pPr>
      <w:r>
        <w:t>(114/17)</w:t>
      </w:r>
    </w:p>
    <w:p w:rsidR="00841A7C" w:rsidRDefault="00841A7C"/>
    <w:sectPr w:rsidR="00841A7C" w:rsidSect="00434C6C">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696" w:rsidRDefault="006C0696" w:rsidP="0048364F">
      <w:pPr>
        <w:spacing w:line="240" w:lineRule="auto"/>
      </w:pPr>
      <w:r>
        <w:separator/>
      </w:r>
    </w:p>
  </w:endnote>
  <w:endnote w:type="continuationSeparator" w:id="0">
    <w:p w:rsidR="006C0696" w:rsidRDefault="006C069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96" w:rsidRPr="005F1388" w:rsidRDefault="006C0696" w:rsidP="0096031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A7C" w:rsidRDefault="00841A7C" w:rsidP="007517B8">
    <w:pPr>
      <w:pStyle w:val="ScalePlusRef"/>
    </w:pPr>
    <w:r>
      <w:t>Note: An electronic version of this Act is available on the Federal Register of Legislation (</w:t>
    </w:r>
    <w:hyperlink r:id="rId1" w:history="1">
      <w:r>
        <w:t>https://www.legislation.gov.au/</w:t>
      </w:r>
    </w:hyperlink>
    <w:r>
      <w:t>)</w:t>
    </w:r>
  </w:p>
  <w:p w:rsidR="00841A7C" w:rsidRDefault="00841A7C" w:rsidP="007517B8"/>
  <w:p w:rsidR="00841A7C" w:rsidRDefault="00841A7C" w:rsidP="007517B8"/>
  <w:p w:rsidR="006C0696" w:rsidRDefault="006C0696" w:rsidP="0096031D">
    <w:pPr>
      <w:pStyle w:val="Footer"/>
      <w:spacing w:before="120"/>
    </w:pPr>
  </w:p>
  <w:p w:rsidR="006C0696" w:rsidRPr="005F1388" w:rsidRDefault="006C069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96" w:rsidRPr="00ED79B6" w:rsidRDefault="006C0696" w:rsidP="0096031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96" w:rsidRDefault="006C0696" w:rsidP="0096031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C0696" w:rsidTr="003B3CDB">
      <w:tc>
        <w:tcPr>
          <w:tcW w:w="646" w:type="dxa"/>
        </w:tcPr>
        <w:p w:rsidR="006C0696" w:rsidRDefault="006C0696" w:rsidP="003B3CD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5547">
            <w:rPr>
              <w:i/>
              <w:noProof/>
              <w:sz w:val="18"/>
            </w:rPr>
            <w:t>vi</w:t>
          </w:r>
          <w:r w:rsidRPr="00ED79B6">
            <w:rPr>
              <w:i/>
              <w:sz w:val="18"/>
            </w:rPr>
            <w:fldChar w:fldCharType="end"/>
          </w:r>
        </w:p>
      </w:tc>
      <w:tc>
        <w:tcPr>
          <w:tcW w:w="5387" w:type="dxa"/>
        </w:tcPr>
        <w:p w:rsidR="006C0696" w:rsidRDefault="00C132C0" w:rsidP="003B3CDB">
          <w:pPr>
            <w:jc w:val="center"/>
            <w:rPr>
              <w:sz w:val="18"/>
            </w:rPr>
          </w:pPr>
          <w:r>
            <w:rPr>
              <w:i/>
              <w:sz w:val="18"/>
            </w:rPr>
            <w:t>Treasury Laws Amendment (Major Bank Levy) Act 2017</w:t>
          </w:r>
        </w:p>
      </w:tc>
      <w:tc>
        <w:tcPr>
          <w:tcW w:w="1270" w:type="dxa"/>
        </w:tcPr>
        <w:p w:rsidR="006C0696" w:rsidRDefault="00C132C0" w:rsidP="003B3CDB">
          <w:pPr>
            <w:jc w:val="right"/>
            <w:rPr>
              <w:sz w:val="18"/>
            </w:rPr>
          </w:pPr>
          <w:r>
            <w:rPr>
              <w:i/>
              <w:sz w:val="18"/>
            </w:rPr>
            <w:t>No.      , 2017</w:t>
          </w:r>
        </w:p>
      </w:tc>
    </w:tr>
  </w:tbl>
  <w:p w:rsidR="006C0696" w:rsidRDefault="006C069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96" w:rsidRDefault="006C0696" w:rsidP="0096031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C0696" w:rsidTr="003B3CDB">
      <w:tc>
        <w:tcPr>
          <w:tcW w:w="1247" w:type="dxa"/>
        </w:tcPr>
        <w:p w:rsidR="006C0696" w:rsidRDefault="00841A7C" w:rsidP="003B3CDB">
          <w:pPr>
            <w:rPr>
              <w:i/>
              <w:sz w:val="18"/>
            </w:rPr>
          </w:pPr>
          <w:r>
            <w:rPr>
              <w:i/>
              <w:sz w:val="18"/>
            </w:rPr>
            <w:t>No. 64</w:t>
          </w:r>
          <w:r w:rsidR="00C132C0">
            <w:rPr>
              <w:i/>
              <w:sz w:val="18"/>
            </w:rPr>
            <w:t>, 2017</w:t>
          </w:r>
        </w:p>
      </w:tc>
      <w:tc>
        <w:tcPr>
          <w:tcW w:w="5387" w:type="dxa"/>
        </w:tcPr>
        <w:p w:rsidR="006C0696" w:rsidRDefault="00C132C0" w:rsidP="003B3CDB">
          <w:pPr>
            <w:jc w:val="center"/>
            <w:rPr>
              <w:i/>
              <w:sz w:val="18"/>
            </w:rPr>
          </w:pPr>
          <w:r>
            <w:rPr>
              <w:i/>
              <w:sz w:val="18"/>
            </w:rPr>
            <w:t>Treasury Laws Amendment (Major Bank Levy) Act 2017</w:t>
          </w:r>
        </w:p>
      </w:tc>
      <w:tc>
        <w:tcPr>
          <w:tcW w:w="669" w:type="dxa"/>
        </w:tcPr>
        <w:p w:rsidR="006C0696" w:rsidRDefault="006C0696" w:rsidP="003B3CD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5547">
            <w:rPr>
              <w:i/>
              <w:noProof/>
              <w:sz w:val="18"/>
            </w:rPr>
            <w:t>i</w:t>
          </w:r>
          <w:r w:rsidRPr="00ED79B6">
            <w:rPr>
              <w:i/>
              <w:sz w:val="18"/>
            </w:rPr>
            <w:fldChar w:fldCharType="end"/>
          </w:r>
        </w:p>
      </w:tc>
    </w:tr>
  </w:tbl>
  <w:p w:rsidR="006C0696" w:rsidRPr="00ED79B6" w:rsidRDefault="006C0696"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96" w:rsidRPr="00A961C4" w:rsidRDefault="006C0696" w:rsidP="0096031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C0696" w:rsidTr="0096031D">
      <w:tc>
        <w:tcPr>
          <w:tcW w:w="646" w:type="dxa"/>
        </w:tcPr>
        <w:p w:rsidR="006C0696" w:rsidRDefault="006C0696" w:rsidP="003B3CD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5547">
            <w:rPr>
              <w:i/>
              <w:noProof/>
              <w:sz w:val="18"/>
            </w:rPr>
            <w:t>14</w:t>
          </w:r>
          <w:r w:rsidRPr="007A1328">
            <w:rPr>
              <w:i/>
              <w:sz w:val="18"/>
            </w:rPr>
            <w:fldChar w:fldCharType="end"/>
          </w:r>
        </w:p>
      </w:tc>
      <w:tc>
        <w:tcPr>
          <w:tcW w:w="5387" w:type="dxa"/>
        </w:tcPr>
        <w:p w:rsidR="006C0696" w:rsidRDefault="00C132C0" w:rsidP="003B3CDB">
          <w:pPr>
            <w:jc w:val="center"/>
            <w:rPr>
              <w:sz w:val="18"/>
            </w:rPr>
          </w:pPr>
          <w:r>
            <w:rPr>
              <w:i/>
              <w:sz w:val="18"/>
            </w:rPr>
            <w:t>Treasury Laws Amendment (Major Bank Levy) Act 2017</w:t>
          </w:r>
        </w:p>
      </w:tc>
      <w:tc>
        <w:tcPr>
          <w:tcW w:w="1270" w:type="dxa"/>
        </w:tcPr>
        <w:p w:rsidR="006C0696" w:rsidRDefault="00841A7C" w:rsidP="003B3CDB">
          <w:pPr>
            <w:jc w:val="right"/>
            <w:rPr>
              <w:sz w:val="18"/>
            </w:rPr>
          </w:pPr>
          <w:r>
            <w:rPr>
              <w:i/>
              <w:sz w:val="18"/>
            </w:rPr>
            <w:t>No. 64, 2017</w:t>
          </w:r>
        </w:p>
      </w:tc>
    </w:tr>
  </w:tbl>
  <w:p w:rsidR="006C0696" w:rsidRPr="00A961C4" w:rsidRDefault="006C0696"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96" w:rsidRPr="00A961C4" w:rsidRDefault="006C0696" w:rsidP="0096031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C0696" w:rsidTr="0096031D">
      <w:tc>
        <w:tcPr>
          <w:tcW w:w="1247" w:type="dxa"/>
        </w:tcPr>
        <w:p w:rsidR="006C0696" w:rsidRDefault="00841A7C" w:rsidP="003B3CDB">
          <w:pPr>
            <w:rPr>
              <w:sz w:val="18"/>
            </w:rPr>
          </w:pPr>
          <w:r>
            <w:rPr>
              <w:i/>
              <w:sz w:val="18"/>
            </w:rPr>
            <w:t>No. 64, 2017</w:t>
          </w:r>
        </w:p>
      </w:tc>
      <w:tc>
        <w:tcPr>
          <w:tcW w:w="5387" w:type="dxa"/>
        </w:tcPr>
        <w:p w:rsidR="006C0696" w:rsidRDefault="00C132C0" w:rsidP="003B3CDB">
          <w:pPr>
            <w:jc w:val="center"/>
            <w:rPr>
              <w:sz w:val="18"/>
            </w:rPr>
          </w:pPr>
          <w:r>
            <w:rPr>
              <w:i/>
              <w:sz w:val="18"/>
            </w:rPr>
            <w:t>Treasury Laws Amendment (Major Bank Levy) Act 2017</w:t>
          </w:r>
        </w:p>
      </w:tc>
      <w:tc>
        <w:tcPr>
          <w:tcW w:w="669" w:type="dxa"/>
        </w:tcPr>
        <w:p w:rsidR="006C0696" w:rsidRDefault="006C0696" w:rsidP="003B3CD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5547">
            <w:rPr>
              <w:i/>
              <w:noProof/>
              <w:sz w:val="18"/>
            </w:rPr>
            <w:t>13</w:t>
          </w:r>
          <w:r w:rsidRPr="007A1328">
            <w:rPr>
              <w:i/>
              <w:sz w:val="18"/>
            </w:rPr>
            <w:fldChar w:fldCharType="end"/>
          </w:r>
        </w:p>
      </w:tc>
    </w:tr>
  </w:tbl>
  <w:p w:rsidR="006C0696" w:rsidRPr="00055B5C" w:rsidRDefault="006C0696"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96" w:rsidRPr="00A961C4" w:rsidRDefault="006C0696" w:rsidP="0096031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C0696" w:rsidTr="0096031D">
      <w:tc>
        <w:tcPr>
          <w:tcW w:w="1247" w:type="dxa"/>
        </w:tcPr>
        <w:p w:rsidR="006C0696" w:rsidRDefault="00841A7C" w:rsidP="003B3CDB">
          <w:pPr>
            <w:rPr>
              <w:sz w:val="18"/>
            </w:rPr>
          </w:pPr>
          <w:r>
            <w:rPr>
              <w:i/>
              <w:sz w:val="18"/>
            </w:rPr>
            <w:t>No. 64, 2017</w:t>
          </w:r>
        </w:p>
      </w:tc>
      <w:tc>
        <w:tcPr>
          <w:tcW w:w="5387" w:type="dxa"/>
        </w:tcPr>
        <w:p w:rsidR="006C0696" w:rsidRDefault="00C132C0" w:rsidP="003B3CDB">
          <w:pPr>
            <w:jc w:val="center"/>
            <w:rPr>
              <w:sz w:val="18"/>
            </w:rPr>
          </w:pPr>
          <w:r>
            <w:rPr>
              <w:i/>
              <w:sz w:val="18"/>
            </w:rPr>
            <w:t>Treasury Laws Amendment (Major Bank Levy) Act 2017</w:t>
          </w:r>
        </w:p>
      </w:tc>
      <w:tc>
        <w:tcPr>
          <w:tcW w:w="669" w:type="dxa"/>
        </w:tcPr>
        <w:p w:rsidR="006C0696" w:rsidRDefault="006C0696" w:rsidP="003B3CD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5547">
            <w:rPr>
              <w:i/>
              <w:noProof/>
              <w:sz w:val="18"/>
            </w:rPr>
            <w:t>1</w:t>
          </w:r>
          <w:r w:rsidRPr="007A1328">
            <w:rPr>
              <w:i/>
              <w:sz w:val="18"/>
            </w:rPr>
            <w:fldChar w:fldCharType="end"/>
          </w:r>
        </w:p>
      </w:tc>
    </w:tr>
  </w:tbl>
  <w:p w:rsidR="006C0696" w:rsidRPr="00A961C4" w:rsidRDefault="006C0696"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696" w:rsidRDefault="006C0696" w:rsidP="0048364F">
      <w:pPr>
        <w:spacing w:line="240" w:lineRule="auto"/>
      </w:pPr>
      <w:r>
        <w:separator/>
      </w:r>
    </w:p>
  </w:footnote>
  <w:footnote w:type="continuationSeparator" w:id="0">
    <w:p w:rsidR="006C0696" w:rsidRDefault="006C069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96" w:rsidRPr="005F1388" w:rsidRDefault="006C0696"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96" w:rsidRPr="005F1388" w:rsidRDefault="006C0696"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96" w:rsidRPr="005F1388" w:rsidRDefault="006C069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96" w:rsidRPr="00ED79B6" w:rsidRDefault="006C0696"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96" w:rsidRPr="00ED79B6" w:rsidRDefault="006C0696"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96" w:rsidRPr="00ED79B6" w:rsidRDefault="006C069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96" w:rsidRPr="00A961C4" w:rsidRDefault="006C0696" w:rsidP="0048364F">
    <w:pPr>
      <w:rPr>
        <w:b/>
        <w:sz w:val="20"/>
      </w:rPr>
    </w:pPr>
    <w:r>
      <w:rPr>
        <w:b/>
        <w:sz w:val="20"/>
      </w:rPr>
      <w:fldChar w:fldCharType="begin"/>
    </w:r>
    <w:r>
      <w:rPr>
        <w:b/>
        <w:sz w:val="20"/>
      </w:rPr>
      <w:instrText xml:space="preserve"> STYLEREF CharAmSchNo </w:instrText>
    </w:r>
    <w:r w:rsidR="00E25547">
      <w:rPr>
        <w:b/>
        <w:sz w:val="20"/>
      </w:rPr>
      <w:fldChar w:fldCharType="separate"/>
    </w:r>
    <w:r w:rsidR="00E2554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25547">
      <w:rPr>
        <w:sz w:val="20"/>
      </w:rPr>
      <w:fldChar w:fldCharType="separate"/>
    </w:r>
    <w:r w:rsidR="00E25547">
      <w:rPr>
        <w:noProof/>
        <w:sz w:val="20"/>
      </w:rPr>
      <w:t>Amendments</w:t>
    </w:r>
    <w:r>
      <w:rPr>
        <w:sz w:val="20"/>
      </w:rPr>
      <w:fldChar w:fldCharType="end"/>
    </w:r>
  </w:p>
  <w:p w:rsidR="006C0696" w:rsidRPr="00A961C4" w:rsidRDefault="006C069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C0696" w:rsidRPr="00A961C4" w:rsidRDefault="006C0696"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96" w:rsidRPr="00A961C4" w:rsidRDefault="006C0696" w:rsidP="0048364F">
    <w:pPr>
      <w:jc w:val="right"/>
      <w:rPr>
        <w:sz w:val="20"/>
      </w:rPr>
    </w:pPr>
    <w:r w:rsidRPr="00A961C4">
      <w:rPr>
        <w:sz w:val="20"/>
      </w:rPr>
      <w:fldChar w:fldCharType="begin"/>
    </w:r>
    <w:r w:rsidRPr="00A961C4">
      <w:rPr>
        <w:sz w:val="20"/>
      </w:rPr>
      <w:instrText xml:space="preserve"> STYLEREF CharAmSchText </w:instrText>
    </w:r>
    <w:r w:rsidR="00E25547">
      <w:rPr>
        <w:sz w:val="20"/>
      </w:rPr>
      <w:fldChar w:fldCharType="separate"/>
    </w:r>
    <w:r w:rsidR="00E2554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25547">
      <w:rPr>
        <w:b/>
        <w:sz w:val="20"/>
      </w:rPr>
      <w:fldChar w:fldCharType="separate"/>
    </w:r>
    <w:r w:rsidR="00E25547">
      <w:rPr>
        <w:b/>
        <w:noProof/>
        <w:sz w:val="20"/>
      </w:rPr>
      <w:t>Schedule 1</w:t>
    </w:r>
    <w:r>
      <w:rPr>
        <w:b/>
        <w:sz w:val="20"/>
      </w:rPr>
      <w:fldChar w:fldCharType="end"/>
    </w:r>
  </w:p>
  <w:p w:rsidR="006C0696" w:rsidRPr="00A961C4" w:rsidRDefault="006C069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C0696" w:rsidRPr="00A961C4" w:rsidRDefault="006C0696"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96" w:rsidRPr="00A961C4" w:rsidRDefault="006C069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31"/>
    <w:rsid w:val="000000C8"/>
    <w:rsid w:val="000113BC"/>
    <w:rsid w:val="000115C4"/>
    <w:rsid w:val="00011DC7"/>
    <w:rsid w:val="000136AF"/>
    <w:rsid w:val="000417C9"/>
    <w:rsid w:val="000422E6"/>
    <w:rsid w:val="00044746"/>
    <w:rsid w:val="00055B5C"/>
    <w:rsid w:val="00056391"/>
    <w:rsid w:val="00060FF9"/>
    <w:rsid w:val="000614BF"/>
    <w:rsid w:val="00064C22"/>
    <w:rsid w:val="00076C9D"/>
    <w:rsid w:val="000B1FD2"/>
    <w:rsid w:val="000D05EF"/>
    <w:rsid w:val="000E0C79"/>
    <w:rsid w:val="000F21C1"/>
    <w:rsid w:val="00101D90"/>
    <w:rsid w:val="001042CE"/>
    <w:rsid w:val="0010745C"/>
    <w:rsid w:val="001118D1"/>
    <w:rsid w:val="00113BD1"/>
    <w:rsid w:val="00122206"/>
    <w:rsid w:val="0015646E"/>
    <w:rsid w:val="001643C9"/>
    <w:rsid w:val="00165568"/>
    <w:rsid w:val="00166C2F"/>
    <w:rsid w:val="001716C9"/>
    <w:rsid w:val="00173363"/>
    <w:rsid w:val="00173B94"/>
    <w:rsid w:val="001751F0"/>
    <w:rsid w:val="001827F6"/>
    <w:rsid w:val="001854B4"/>
    <w:rsid w:val="001939E1"/>
    <w:rsid w:val="00195382"/>
    <w:rsid w:val="001A3658"/>
    <w:rsid w:val="001A759A"/>
    <w:rsid w:val="001B5477"/>
    <w:rsid w:val="001B7A5D"/>
    <w:rsid w:val="001C2418"/>
    <w:rsid w:val="001C69C4"/>
    <w:rsid w:val="001C7532"/>
    <w:rsid w:val="001C7C00"/>
    <w:rsid w:val="001E3590"/>
    <w:rsid w:val="001E7407"/>
    <w:rsid w:val="001F209F"/>
    <w:rsid w:val="001F48D2"/>
    <w:rsid w:val="00201D27"/>
    <w:rsid w:val="00202618"/>
    <w:rsid w:val="00213801"/>
    <w:rsid w:val="002279DF"/>
    <w:rsid w:val="00240749"/>
    <w:rsid w:val="002449A0"/>
    <w:rsid w:val="00263820"/>
    <w:rsid w:val="00275197"/>
    <w:rsid w:val="00293B89"/>
    <w:rsid w:val="00293CA7"/>
    <w:rsid w:val="00297ECB"/>
    <w:rsid w:val="002A14D5"/>
    <w:rsid w:val="002B5A30"/>
    <w:rsid w:val="002C2449"/>
    <w:rsid w:val="002D043A"/>
    <w:rsid w:val="002D29C7"/>
    <w:rsid w:val="002D395A"/>
    <w:rsid w:val="002F1E4D"/>
    <w:rsid w:val="002F1E57"/>
    <w:rsid w:val="0030568B"/>
    <w:rsid w:val="00334520"/>
    <w:rsid w:val="003415D3"/>
    <w:rsid w:val="00350417"/>
    <w:rsid w:val="003510CA"/>
    <w:rsid w:val="00351E16"/>
    <w:rsid w:val="00352B0F"/>
    <w:rsid w:val="00375C6C"/>
    <w:rsid w:val="003A069C"/>
    <w:rsid w:val="003B3CDB"/>
    <w:rsid w:val="003B4B80"/>
    <w:rsid w:val="003C0772"/>
    <w:rsid w:val="003C17BE"/>
    <w:rsid w:val="003C5F2B"/>
    <w:rsid w:val="003D0BFE"/>
    <w:rsid w:val="003D1D92"/>
    <w:rsid w:val="003D5700"/>
    <w:rsid w:val="00405430"/>
    <w:rsid w:val="00405579"/>
    <w:rsid w:val="00410B8E"/>
    <w:rsid w:val="004116CD"/>
    <w:rsid w:val="0042122C"/>
    <w:rsid w:val="00421FC1"/>
    <w:rsid w:val="004228FD"/>
    <w:rsid w:val="004229C7"/>
    <w:rsid w:val="00424CA9"/>
    <w:rsid w:val="00431287"/>
    <w:rsid w:val="00432E02"/>
    <w:rsid w:val="00434C6C"/>
    <w:rsid w:val="00436785"/>
    <w:rsid w:val="00436BD5"/>
    <w:rsid w:val="004379BF"/>
    <w:rsid w:val="00437E4B"/>
    <w:rsid w:val="0044291A"/>
    <w:rsid w:val="0048196B"/>
    <w:rsid w:val="00482A17"/>
    <w:rsid w:val="0048364F"/>
    <w:rsid w:val="00492107"/>
    <w:rsid w:val="00496F97"/>
    <w:rsid w:val="004A0D01"/>
    <w:rsid w:val="004C04CA"/>
    <w:rsid w:val="004C6656"/>
    <w:rsid w:val="004C7C8C"/>
    <w:rsid w:val="004D54F4"/>
    <w:rsid w:val="004E2A4A"/>
    <w:rsid w:val="004F0D23"/>
    <w:rsid w:val="004F1FAC"/>
    <w:rsid w:val="0050518A"/>
    <w:rsid w:val="00516B8D"/>
    <w:rsid w:val="00537FBC"/>
    <w:rsid w:val="00543469"/>
    <w:rsid w:val="00551B54"/>
    <w:rsid w:val="0055595D"/>
    <w:rsid w:val="00570C1C"/>
    <w:rsid w:val="00584811"/>
    <w:rsid w:val="00593AA6"/>
    <w:rsid w:val="00594161"/>
    <w:rsid w:val="00594749"/>
    <w:rsid w:val="005A0D92"/>
    <w:rsid w:val="005B4067"/>
    <w:rsid w:val="005C3F41"/>
    <w:rsid w:val="005D463A"/>
    <w:rsid w:val="005D4760"/>
    <w:rsid w:val="005E152A"/>
    <w:rsid w:val="00600219"/>
    <w:rsid w:val="00612A9D"/>
    <w:rsid w:val="00612FEE"/>
    <w:rsid w:val="00641DE5"/>
    <w:rsid w:val="00643FA4"/>
    <w:rsid w:val="006531B0"/>
    <w:rsid w:val="00653DB8"/>
    <w:rsid w:val="00656F0C"/>
    <w:rsid w:val="006667B4"/>
    <w:rsid w:val="006675CB"/>
    <w:rsid w:val="00677CC2"/>
    <w:rsid w:val="00681F92"/>
    <w:rsid w:val="00682936"/>
    <w:rsid w:val="006842C2"/>
    <w:rsid w:val="00685F42"/>
    <w:rsid w:val="0069207B"/>
    <w:rsid w:val="00692928"/>
    <w:rsid w:val="006A3CFA"/>
    <w:rsid w:val="006C0696"/>
    <w:rsid w:val="006C2874"/>
    <w:rsid w:val="006C7F8C"/>
    <w:rsid w:val="006D2F2F"/>
    <w:rsid w:val="006D380D"/>
    <w:rsid w:val="006D4F89"/>
    <w:rsid w:val="006E0135"/>
    <w:rsid w:val="006E1AC4"/>
    <w:rsid w:val="006E303A"/>
    <w:rsid w:val="006F7E19"/>
    <w:rsid w:val="00700B2C"/>
    <w:rsid w:val="0070724D"/>
    <w:rsid w:val="00712D8D"/>
    <w:rsid w:val="00713084"/>
    <w:rsid w:val="00714B26"/>
    <w:rsid w:val="00720E31"/>
    <w:rsid w:val="0072557B"/>
    <w:rsid w:val="007304A6"/>
    <w:rsid w:val="00731E00"/>
    <w:rsid w:val="007440B7"/>
    <w:rsid w:val="007634AD"/>
    <w:rsid w:val="00765291"/>
    <w:rsid w:val="007715C9"/>
    <w:rsid w:val="00774EDD"/>
    <w:rsid w:val="007750C2"/>
    <w:rsid w:val="007757EC"/>
    <w:rsid w:val="00790BFB"/>
    <w:rsid w:val="007A1EA9"/>
    <w:rsid w:val="007C7D36"/>
    <w:rsid w:val="007D601F"/>
    <w:rsid w:val="007E7D4A"/>
    <w:rsid w:val="007F4D3B"/>
    <w:rsid w:val="007F7911"/>
    <w:rsid w:val="008006CC"/>
    <w:rsid w:val="00807F18"/>
    <w:rsid w:val="00831E8D"/>
    <w:rsid w:val="00841A7C"/>
    <w:rsid w:val="0084606A"/>
    <w:rsid w:val="0085446A"/>
    <w:rsid w:val="00856A31"/>
    <w:rsid w:val="00857D6B"/>
    <w:rsid w:val="008754D0"/>
    <w:rsid w:val="00875C1C"/>
    <w:rsid w:val="0087749C"/>
    <w:rsid w:val="00877D48"/>
    <w:rsid w:val="00883781"/>
    <w:rsid w:val="00885570"/>
    <w:rsid w:val="008909C2"/>
    <w:rsid w:val="00892C6C"/>
    <w:rsid w:val="00893958"/>
    <w:rsid w:val="008A2E77"/>
    <w:rsid w:val="008A4060"/>
    <w:rsid w:val="008C6F6F"/>
    <w:rsid w:val="008D0EE0"/>
    <w:rsid w:val="008D6060"/>
    <w:rsid w:val="008F4F1C"/>
    <w:rsid w:val="008F77C4"/>
    <w:rsid w:val="009077A2"/>
    <w:rsid w:val="009103F3"/>
    <w:rsid w:val="00932377"/>
    <w:rsid w:val="00933AA2"/>
    <w:rsid w:val="00954666"/>
    <w:rsid w:val="00954CE1"/>
    <w:rsid w:val="00956615"/>
    <w:rsid w:val="0096031D"/>
    <w:rsid w:val="00960CC7"/>
    <w:rsid w:val="00967042"/>
    <w:rsid w:val="0098255A"/>
    <w:rsid w:val="00982D70"/>
    <w:rsid w:val="009845BE"/>
    <w:rsid w:val="0099059E"/>
    <w:rsid w:val="009969C9"/>
    <w:rsid w:val="009C5130"/>
    <w:rsid w:val="009C72E0"/>
    <w:rsid w:val="009D0DA6"/>
    <w:rsid w:val="00A048FF"/>
    <w:rsid w:val="00A10775"/>
    <w:rsid w:val="00A231E2"/>
    <w:rsid w:val="00A31405"/>
    <w:rsid w:val="00A36C48"/>
    <w:rsid w:val="00A41E0B"/>
    <w:rsid w:val="00A4367A"/>
    <w:rsid w:val="00A44721"/>
    <w:rsid w:val="00A55631"/>
    <w:rsid w:val="00A60F2A"/>
    <w:rsid w:val="00A64912"/>
    <w:rsid w:val="00A70A74"/>
    <w:rsid w:val="00A84972"/>
    <w:rsid w:val="00A938E0"/>
    <w:rsid w:val="00A957E5"/>
    <w:rsid w:val="00AA3795"/>
    <w:rsid w:val="00AC0CAF"/>
    <w:rsid w:val="00AC1E75"/>
    <w:rsid w:val="00AC66DE"/>
    <w:rsid w:val="00AD3A9D"/>
    <w:rsid w:val="00AD5641"/>
    <w:rsid w:val="00AE1088"/>
    <w:rsid w:val="00AF1BA4"/>
    <w:rsid w:val="00B01F95"/>
    <w:rsid w:val="00B032D8"/>
    <w:rsid w:val="00B0741E"/>
    <w:rsid w:val="00B10B07"/>
    <w:rsid w:val="00B33B3C"/>
    <w:rsid w:val="00B619EB"/>
    <w:rsid w:val="00B6382D"/>
    <w:rsid w:val="00B732D8"/>
    <w:rsid w:val="00BA5026"/>
    <w:rsid w:val="00BA622B"/>
    <w:rsid w:val="00BB2BD4"/>
    <w:rsid w:val="00BB3856"/>
    <w:rsid w:val="00BB40BF"/>
    <w:rsid w:val="00BC0CD1"/>
    <w:rsid w:val="00BC5D2F"/>
    <w:rsid w:val="00BD1B9F"/>
    <w:rsid w:val="00BD4D41"/>
    <w:rsid w:val="00BE719A"/>
    <w:rsid w:val="00BE720A"/>
    <w:rsid w:val="00BF0461"/>
    <w:rsid w:val="00BF4944"/>
    <w:rsid w:val="00BF56D4"/>
    <w:rsid w:val="00C04409"/>
    <w:rsid w:val="00C067E5"/>
    <w:rsid w:val="00C0763B"/>
    <w:rsid w:val="00C132C0"/>
    <w:rsid w:val="00C164CA"/>
    <w:rsid w:val="00C176CF"/>
    <w:rsid w:val="00C42BF8"/>
    <w:rsid w:val="00C460AE"/>
    <w:rsid w:val="00C460B0"/>
    <w:rsid w:val="00C50043"/>
    <w:rsid w:val="00C54E84"/>
    <w:rsid w:val="00C7573B"/>
    <w:rsid w:val="00C76CF3"/>
    <w:rsid w:val="00CA235F"/>
    <w:rsid w:val="00CB1BC7"/>
    <w:rsid w:val="00CB775B"/>
    <w:rsid w:val="00CE1E31"/>
    <w:rsid w:val="00CF0BB2"/>
    <w:rsid w:val="00D00A98"/>
    <w:rsid w:val="00D00EAA"/>
    <w:rsid w:val="00D110E5"/>
    <w:rsid w:val="00D13441"/>
    <w:rsid w:val="00D13B92"/>
    <w:rsid w:val="00D22053"/>
    <w:rsid w:val="00D23C51"/>
    <w:rsid w:val="00D243A3"/>
    <w:rsid w:val="00D255A0"/>
    <w:rsid w:val="00D477C3"/>
    <w:rsid w:val="00D52EFE"/>
    <w:rsid w:val="00D61D53"/>
    <w:rsid w:val="00D63EF6"/>
    <w:rsid w:val="00D70DFB"/>
    <w:rsid w:val="00D72420"/>
    <w:rsid w:val="00D73029"/>
    <w:rsid w:val="00D766DF"/>
    <w:rsid w:val="00D90C91"/>
    <w:rsid w:val="00D91DB6"/>
    <w:rsid w:val="00DC4276"/>
    <w:rsid w:val="00DD494E"/>
    <w:rsid w:val="00DE2002"/>
    <w:rsid w:val="00DF7AE9"/>
    <w:rsid w:val="00E05704"/>
    <w:rsid w:val="00E1657A"/>
    <w:rsid w:val="00E24D66"/>
    <w:rsid w:val="00E25547"/>
    <w:rsid w:val="00E54292"/>
    <w:rsid w:val="00E567D4"/>
    <w:rsid w:val="00E7418E"/>
    <w:rsid w:val="00E74DC7"/>
    <w:rsid w:val="00E83DF0"/>
    <w:rsid w:val="00E87699"/>
    <w:rsid w:val="00EA09D2"/>
    <w:rsid w:val="00EA4A7F"/>
    <w:rsid w:val="00EC5328"/>
    <w:rsid w:val="00ED492F"/>
    <w:rsid w:val="00EE1F69"/>
    <w:rsid w:val="00EE53C7"/>
    <w:rsid w:val="00EF2929"/>
    <w:rsid w:val="00EF2E3A"/>
    <w:rsid w:val="00EF3ED4"/>
    <w:rsid w:val="00F047E2"/>
    <w:rsid w:val="00F05FCA"/>
    <w:rsid w:val="00F078DC"/>
    <w:rsid w:val="00F13E86"/>
    <w:rsid w:val="00F17B00"/>
    <w:rsid w:val="00F27FF3"/>
    <w:rsid w:val="00F34955"/>
    <w:rsid w:val="00F412B4"/>
    <w:rsid w:val="00F677A9"/>
    <w:rsid w:val="00F836FB"/>
    <w:rsid w:val="00F84CF5"/>
    <w:rsid w:val="00F92D35"/>
    <w:rsid w:val="00FA420B"/>
    <w:rsid w:val="00FA6203"/>
    <w:rsid w:val="00FD1E13"/>
    <w:rsid w:val="00FD7EB1"/>
    <w:rsid w:val="00FE00D8"/>
    <w:rsid w:val="00FE41C9"/>
    <w:rsid w:val="00FE7F93"/>
    <w:rsid w:val="00FF78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031D"/>
    <w:pPr>
      <w:spacing w:line="260" w:lineRule="atLeast"/>
    </w:pPr>
    <w:rPr>
      <w:sz w:val="22"/>
    </w:rPr>
  </w:style>
  <w:style w:type="paragraph" w:styleId="Heading1">
    <w:name w:val="heading 1"/>
    <w:basedOn w:val="Normal"/>
    <w:next w:val="Normal"/>
    <w:link w:val="Heading1Char"/>
    <w:uiPriority w:val="9"/>
    <w:qFormat/>
    <w:rsid w:val="005559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559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559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59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559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595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595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595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5595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6031D"/>
  </w:style>
  <w:style w:type="paragraph" w:customStyle="1" w:styleId="OPCParaBase">
    <w:name w:val="OPCParaBase"/>
    <w:link w:val="OPCParaBaseChar"/>
    <w:qFormat/>
    <w:rsid w:val="0096031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6031D"/>
    <w:pPr>
      <w:spacing w:line="240" w:lineRule="auto"/>
    </w:pPr>
    <w:rPr>
      <w:b/>
      <w:sz w:val="40"/>
    </w:rPr>
  </w:style>
  <w:style w:type="paragraph" w:customStyle="1" w:styleId="ActHead1">
    <w:name w:val="ActHead 1"/>
    <w:aliases w:val="c"/>
    <w:basedOn w:val="OPCParaBase"/>
    <w:next w:val="Normal"/>
    <w:qFormat/>
    <w:rsid w:val="0096031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6031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6031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96031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6031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6031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6031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6031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6031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6031D"/>
  </w:style>
  <w:style w:type="paragraph" w:customStyle="1" w:styleId="Blocks">
    <w:name w:val="Blocks"/>
    <w:aliases w:val="bb"/>
    <w:basedOn w:val="OPCParaBase"/>
    <w:qFormat/>
    <w:rsid w:val="0096031D"/>
    <w:pPr>
      <w:spacing w:line="240" w:lineRule="auto"/>
    </w:pPr>
    <w:rPr>
      <w:sz w:val="24"/>
    </w:rPr>
  </w:style>
  <w:style w:type="paragraph" w:customStyle="1" w:styleId="BoxText">
    <w:name w:val="BoxText"/>
    <w:aliases w:val="bt"/>
    <w:basedOn w:val="OPCParaBase"/>
    <w:qFormat/>
    <w:rsid w:val="0096031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6031D"/>
    <w:rPr>
      <w:b/>
    </w:rPr>
  </w:style>
  <w:style w:type="paragraph" w:customStyle="1" w:styleId="BoxHeadItalic">
    <w:name w:val="BoxHeadItalic"/>
    <w:aliases w:val="bhi"/>
    <w:basedOn w:val="BoxText"/>
    <w:next w:val="BoxStep"/>
    <w:qFormat/>
    <w:rsid w:val="0096031D"/>
    <w:rPr>
      <w:i/>
    </w:rPr>
  </w:style>
  <w:style w:type="paragraph" w:customStyle="1" w:styleId="BoxList">
    <w:name w:val="BoxList"/>
    <w:aliases w:val="bl"/>
    <w:basedOn w:val="BoxText"/>
    <w:qFormat/>
    <w:rsid w:val="0096031D"/>
    <w:pPr>
      <w:ind w:left="1559" w:hanging="425"/>
    </w:pPr>
  </w:style>
  <w:style w:type="paragraph" w:customStyle="1" w:styleId="BoxNote">
    <w:name w:val="BoxNote"/>
    <w:aliases w:val="bn"/>
    <w:basedOn w:val="BoxText"/>
    <w:qFormat/>
    <w:rsid w:val="0096031D"/>
    <w:pPr>
      <w:tabs>
        <w:tab w:val="left" w:pos="1985"/>
      </w:tabs>
      <w:spacing w:before="122" w:line="198" w:lineRule="exact"/>
      <w:ind w:left="2948" w:hanging="1814"/>
    </w:pPr>
    <w:rPr>
      <w:sz w:val="18"/>
    </w:rPr>
  </w:style>
  <w:style w:type="paragraph" w:customStyle="1" w:styleId="BoxPara">
    <w:name w:val="BoxPara"/>
    <w:aliases w:val="bp"/>
    <w:basedOn w:val="BoxText"/>
    <w:qFormat/>
    <w:rsid w:val="0096031D"/>
    <w:pPr>
      <w:tabs>
        <w:tab w:val="right" w:pos="2268"/>
      </w:tabs>
      <w:ind w:left="2552" w:hanging="1418"/>
    </w:pPr>
  </w:style>
  <w:style w:type="paragraph" w:customStyle="1" w:styleId="BoxStep">
    <w:name w:val="BoxStep"/>
    <w:aliases w:val="bs"/>
    <w:basedOn w:val="BoxText"/>
    <w:qFormat/>
    <w:rsid w:val="0096031D"/>
    <w:pPr>
      <w:ind w:left="1985" w:hanging="851"/>
    </w:pPr>
  </w:style>
  <w:style w:type="character" w:customStyle="1" w:styleId="CharAmPartNo">
    <w:name w:val="CharAmPartNo"/>
    <w:basedOn w:val="OPCCharBase"/>
    <w:qFormat/>
    <w:rsid w:val="0096031D"/>
  </w:style>
  <w:style w:type="character" w:customStyle="1" w:styleId="CharAmPartText">
    <w:name w:val="CharAmPartText"/>
    <w:basedOn w:val="OPCCharBase"/>
    <w:qFormat/>
    <w:rsid w:val="0096031D"/>
  </w:style>
  <w:style w:type="character" w:customStyle="1" w:styleId="CharAmSchNo">
    <w:name w:val="CharAmSchNo"/>
    <w:basedOn w:val="OPCCharBase"/>
    <w:qFormat/>
    <w:rsid w:val="0096031D"/>
  </w:style>
  <w:style w:type="character" w:customStyle="1" w:styleId="CharAmSchText">
    <w:name w:val="CharAmSchText"/>
    <w:basedOn w:val="OPCCharBase"/>
    <w:qFormat/>
    <w:rsid w:val="0096031D"/>
  </w:style>
  <w:style w:type="character" w:customStyle="1" w:styleId="CharBoldItalic">
    <w:name w:val="CharBoldItalic"/>
    <w:basedOn w:val="OPCCharBase"/>
    <w:uiPriority w:val="1"/>
    <w:qFormat/>
    <w:rsid w:val="0096031D"/>
    <w:rPr>
      <w:b/>
      <w:i/>
    </w:rPr>
  </w:style>
  <w:style w:type="character" w:customStyle="1" w:styleId="CharChapNo">
    <w:name w:val="CharChapNo"/>
    <w:basedOn w:val="OPCCharBase"/>
    <w:uiPriority w:val="1"/>
    <w:qFormat/>
    <w:rsid w:val="0096031D"/>
  </w:style>
  <w:style w:type="character" w:customStyle="1" w:styleId="CharChapText">
    <w:name w:val="CharChapText"/>
    <w:basedOn w:val="OPCCharBase"/>
    <w:uiPriority w:val="1"/>
    <w:qFormat/>
    <w:rsid w:val="0096031D"/>
  </w:style>
  <w:style w:type="character" w:customStyle="1" w:styleId="CharDivNo">
    <w:name w:val="CharDivNo"/>
    <w:basedOn w:val="OPCCharBase"/>
    <w:uiPriority w:val="1"/>
    <w:qFormat/>
    <w:rsid w:val="0096031D"/>
  </w:style>
  <w:style w:type="character" w:customStyle="1" w:styleId="CharDivText">
    <w:name w:val="CharDivText"/>
    <w:basedOn w:val="OPCCharBase"/>
    <w:uiPriority w:val="1"/>
    <w:qFormat/>
    <w:rsid w:val="0096031D"/>
  </w:style>
  <w:style w:type="character" w:customStyle="1" w:styleId="CharItalic">
    <w:name w:val="CharItalic"/>
    <w:basedOn w:val="OPCCharBase"/>
    <w:uiPriority w:val="1"/>
    <w:qFormat/>
    <w:rsid w:val="0096031D"/>
    <w:rPr>
      <w:i/>
    </w:rPr>
  </w:style>
  <w:style w:type="character" w:customStyle="1" w:styleId="CharPartNo">
    <w:name w:val="CharPartNo"/>
    <w:basedOn w:val="OPCCharBase"/>
    <w:uiPriority w:val="1"/>
    <w:qFormat/>
    <w:rsid w:val="0096031D"/>
  </w:style>
  <w:style w:type="character" w:customStyle="1" w:styleId="CharPartText">
    <w:name w:val="CharPartText"/>
    <w:basedOn w:val="OPCCharBase"/>
    <w:uiPriority w:val="1"/>
    <w:qFormat/>
    <w:rsid w:val="0096031D"/>
  </w:style>
  <w:style w:type="character" w:customStyle="1" w:styleId="CharSectno">
    <w:name w:val="CharSectno"/>
    <w:basedOn w:val="OPCCharBase"/>
    <w:qFormat/>
    <w:rsid w:val="0096031D"/>
  </w:style>
  <w:style w:type="character" w:customStyle="1" w:styleId="CharSubdNo">
    <w:name w:val="CharSubdNo"/>
    <w:basedOn w:val="OPCCharBase"/>
    <w:uiPriority w:val="1"/>
    <w:qFormat/>
    <w:rsid w:val="0096031D"/>
  </w:style>
  <w:style w:type="character" w:customStyle="1" w:styleId="CharSubdText">
    <w:name w:val="CharSubdText"/>
    <w:basedOn w:val="OPCCharBase"/>
    <w:uiPriority w:val="1"/>
    <w:qFormat/>
    <w:rsid w:val="0096031D"/>
  </w:style>
  <w:style w:type="paragraph" w:customStyle="1" w:styleId="CTA--">
    <w:name w:val="CTA --"/>
    <w:basedOn w:val="OPCParaBase"/>
    <w:next w:val="Normal"/>
    <w:rsid w:val="0096031D"/>
    <w:pPr>
      <w:spacing w:before="60" w:line="240" w:lineRule="atLeast"/>
      <w:ind w:left="142" w:hanging="142"/>
    </w:pPr>
    <w:rPr>
      <w:sz w:val="20"/>
    </w:rPr>
  </w:style>
  <w:style w:type="paragraph" w:customStyle="1" w:styleId="CTA-">
    <w:name w:val="CTA -"/>
    <w:basedOn w:val="OPCParaBase"/>
    <w:rsid w:val="0096031D"/>
    <w:pPr>
      <w:spacing w:before="60" w:line="240" w:lineRule="atLeast"/>
      <w:ind w:left="85" w:hanging="85"/>
    </w:pPr>
    <w:rPr>
      <w:sz w:val="20"/>
    </w:rPr>
  </w:style>
  <w:style w:type="paragraph" w:customStyle="1" w:styleId="CTA---">
    <w:name w:val="CTA ---"/>
    <w:basedOn w:val="OPCParaBase"/>
    <w:next w:val="Normal"/>
    <w:rsid w:val="0096031D"/>
    <w:pPr>
      <w:spacing w:before="60" w:line="240" w:lineRule="atLeast"/>
      <w:ind w:left="198" w:hanging="198"/>
    </w:pPr>
    <w:rPr>
      <w:sz w:val="20"/>
    </w:rPr>
  </w:style>
  <w:style w:type="paragraph" w:customStyle="1" w:styleId="CTA----">
    <w:name w:val="CTA ----"/>
    <w:basedOn w:val="OPCParaBase"/>
    <w:next w:val="Normal"/>
    <w:rsid w:val="0096031D"/>
    <w:pPr>
      <w:spacing w:before="60" w:line="240" w:lineRule="atLeast"/>
      <w:ind w:left="255" w:hanging="255"/>
    </w:pPr>
    <w:rPr>
      <w:sz w:val="20"/>
    </w:rPr>
  </w:style>
  <w:style w:type="paragraph" w:customStyle="1" w:styleId="CTA1a">
    <w:name w:val="CTA 1(a)"/>
    <w:basedOn w:val="OPCParaBase"/>
    <w:rsid w:val="0096031D"/>
    <w:pPr>
      <w:tabs>
        <w:tab w:val="right" w:pos="414"/>
      </w:tabs>
      <w:spacing w:before="40" w:line="240" w:lineRule="atLeast"/>
      <w:ind w:left="675" w:hanging="675"/>
    </w:pPr>
    <w:rPr>
      <w:sz w:val="20"/>
    </w:rPr>
  </w:style>
  <w:style w:type="paragraph" w:customStyle="1" w:styleId="CTA1ai">
    <w:name w:val="CTA 1(a)(i)"/>
    <w:basedOn w:val="OPCParaBase"/>
    <w:rsid w:val="0096031D"/>
    <w:pPr>
      <w:tabs>
        <w:tab w:val="right" w:pos="1004"/>
      </w:tabs>
      <w:spacing w:before="40" w:line="240" w:lineRule="atLeast"/>
      <w:ind w:left="1253" w:hanging="1253"/>
    </w:pPr>
    <w:rPr>
      <w:sz w:val="20"/>
    </w:rPr>
  </w:style>
  <w:style w:type="paragraph" w:customStyle="1" w:styleId="CTA2a">
    <w:name w:val="CTA 2(a)"/>
    <w:basedOn w:val="OPCParaBase"/>
    <w:rsid w:val="0096031D"/>
    <w:pPr>
      <w:tabs>
        <w:tab w:val="right" w:pos="482"/>
      </w:tabs>
      <w:spacing w:before="40" w:line="240" w:lineRule="atLeast"/>
      <w:ind w:left="748" w:hanging="748"/>
    </w:pPr>
    <w:rPr>
      <w:sz w:val="20"/>
    </w:rPr>
  </w:style>
  <w:style w:type="paragraph" w:customStyle="1" w:styleId="CTA2ai">
    <w:name w:val="CTA 2(a)(i)"/>
    <w:basedOn w:val="OPCParaBase"/>
    <w:rsid w:val="0096031D"/>
    <w:pPr>
      <w:tabs>
        <w:tab w:val="right" w:pos="1089"/>
      </w:tabs>
      <w:spacing w:before="40" w:line="240" w:lineRule="atLeast"/>
      <w:ind w:left="1327" w:hanging="1327"/>
    </w:pPr>
    <w:rPr>
      <w:sz w:val="20"/>
    </w:rPr>
  </w:style>
  <w:style w:type="paragraph" w:customStyle="1" w:styleId="CTA3a">
    <w:name w:val="CTA 3(a)"/>
    <w:basedOn w:val="OPCParaBase"/>
    <w:rsid w:val="0096031D"/>
    <w:pPr>
      <w:tabs>
        <w:tab w:val="right" w:pos="556"/>
      </w:tabs>
      <w:spacing w:before="40" w:line="240" w:lineRule="atLeast"/>
      <w:ind w:left="805" w:hanging="805"/>
    </w:pPr>
    <w:rPr>
      <w:sz w:val="20"/>
    </w:rPr>
  </w:style>
  <w:style w:type="paragraph" w:customStyle="1" w:styleId="CTA3ai">
    <w:name w:val="CTA 3(a)(i)"/>
    <w:basedOn w:val="OPCParaBase"/>
    <w:rsid w:val="0096031D"/>
    <w:pPr>
      <w:tabs>
        <w:tab w:val="right" w:pos="1140"/>
      </w:tabs>
      <w:spacing w:before="40" w:line="240" w:lineRule="atLeast"/>
      <w:ind w:left="1361" w:hanging="1361"/>
    </w:pPr>
    <w:rPr>
      <w:sz w:val="20"/>
    </w:rPr>
  </w:style>
  <w:style w:type="paragraph" w:customStyle="1" w:styleId="CTA4a">
    <w:name w:val="CTA 4(a)"/>
    <w:basedOn w:val="OPCParaBase"/>
    <w:rsid w:val="0096031D"/>
    <w:pPr>
      <w:tabs>
        <w:tab w:val="right" w:pos="624"/>
      </w:tabs>
      <w:spacing w:before="40" w:line="240" w:lineRule="atLeast"/>
      <w:ind w:left="873" w:hanging="873"/>
    </w:pPr>
    <w:rPr>
      <w:sz w:val="20"/>
    </w:rPr>
  </w:style>
  <w:style w:type="paragraph" w:customStyle="1" w:styleId="CTA4ai">
    <w:name w:val="CTA 4(a)(i)"/>
    <w:basedOn w:val="OPCParaBase"/>
    <w:rsid w:val="0096031D"/>
    <w:pPr>
      <w:tabs>
        <w:tab w:val="right" w:pos="1213"/>
      </w:tabs>
      <w:spacing w:before="40" w:line="240" w:lineRule="atLeast"/>
      <w:ind w:left="1452" w:hanging="1452"/>
    </w:pPr>
    <w:rPr>
      <w:sz w:val="20"/>
    </w:rPr>
  </w:style>
  <w:style w:type="paragraph" w:customStyle="1" w:styleId="CTACAPS">
    <w:name w:val="CTA CAPS"/>
    <w:basedOn w:val="OPCParaBase"/>
    <w:rsid w:val="0096031D"/>
    <w:pPr>
      <w:spacing w:before="60" w:line="240" w:lineRule="atLeast"/>
    </w:pPr>
    <w:rPr>
      <w:sz w:val="20"/>
    </w:rPr>
  </w:style>
  <w:style w:type="paragraph" w:customStyle="1" w:styleId="CTAright">
    <w:name w:val="CTA right"/>
    <w:basedOn w:val="OPCParaBase"/>
    <w:rsid w:val="0096031D"/>
    <w:pPr>
      <w:spacing w:before="60" w:line="240" w:lineRule="auto"/>
      <w:jc w:val="right"/>
    </w:pPr>
    <w:rPr>
      <w:sz w:val="20"/>
    </w:rPr>
  </w:style>
  <w:style w:type="paragraph" w:customStyle="1" w:styleId="subsection">
    <w:name w:val="subsection"/>
    <w:aliases w:val="ss"/>
    <w:basedOn w:val="OPCParaBase"/>
    <w:link w:val="subsectionChar"/>
    <w:rsid w:val="0096031D"/>
    <w:pPr>
      <w:tabs>
        <w:tab w:val="right" w:pos="1021"/>
      </w:tabs>
      <w:spacing w:before="180" w:line="240" w:lineRule="auto"/>
      <w:ind w:left="1134" w:hanging="1134"/>
    </w:pPr>
  </w:style>
  <w:style w:type="paragraph" w:customStyle="1" w:styleId="Definition">
    <w:name w:val="Definition"/>
    <w:aliases w:val="dd"/>
    <w:basedOn w:val="OPCParaBase"/>
    <w:rsid w:val="0096031D"/>
    <w:pPr>
      <w:spacing w:before="180" w:line="240" w:lineRule="auto"/>
      <w:ind w:left="1134"/>
    </w:pPr>
  </w:style>
  <w:style w:type="paragraph" w:customStyle="1" w:styleId="ETAsubitem">
    <w:name w:val="ETA(subitem)"/>
    <w:basedOn w:val="OPCParaBase"/>
    <w:rsid w:val="0096031D"/>
    <w:pPr>
      <w:tabs>
        <w:tab w:val="right" w:pos="340"/>
      </w:tabs>
      <w:spacing w:before="60" w:line="240" w:lineRule="auto"/>
      <w:ind w:left="454" w:hanging="454"/>
    </w:pPr>
    <w:rPr>
      <w:sz w:val="20"/>
    </w:rPr>
  </w:style>
  <w:style w:type="paragraph" w:customStyle="1" w:styleId="ETApara">
    <w:name w:val="ETA(para)"/>
    <w:basedOn w:val="OPCParaBase"/>
    <w:rsid w:val="0096031D"/>
    <w:pPr>
      <w:tabs>
        <w:tab w:val="right" w:pos="754"/>
      </w:tabs>
      <w:spacing w:before="60" w:line="240" w:lineRule="auto"/>
      <w:ind w:left="828" w:hanging="828"/>
    </w:pPr>
    <w:rPr>
      <w:sz w:val="20"/>
    </w:rPr>
  </w:style>
  <w:style w:type="paragraph" w:customStyle="1" w:styleId="ETAsubpara">
    <w:name w:val="ETA(subpara)"/>
    <w:basedOn w:val="OPCParaBase"/>
    <w:rsid w:val="0096031D"/>
    <w:pPr>
      <w:tabs>
        <w:tab w:val="right" w:pos="1083"/>
      </w:tabs>
      <w:spacing w:before="60" w:line="240" w:lineRule="auto"/>
      <w:ind w:left="1191" w:hanging="1191"/>
    </w:pPr>
    <w:rPr>
      <w:sz w:val="20"/>
    </w:rPr>
  </w:style>
  <w:style w:type="paragraph" w:customStyle="1" w:styleId="ETAsub-subpara">
    <w:name w:val="ETA(sub-subpara)"/>
    <w:basedOn w:val="OPCParaBase"/>
    <w:rsid w:val="0096031D"/>
    <w:pPr>
      <w:tabs>
        <w:tab w:val="right" w:pos="1412"/>
      </w:tabs>
      <w:spacing w:before="60" w:line="240" w:lineRule="auto"/>
      <w:ind w:left="1525" w:hanging="1525"/>
    </w:pPr>
    <w:rPr>
      <w:sz w:val="20"/>
    </w:rPr>
  </w:style>
  <w:style w:type="paragraph" w:customStyle="1" w:styleId="Formula">
    <w:name w:val="Formula"/>
    <w:basedOn w:val="OPCParaBase"/>
    <w:rsid w:val="0096031D"/>
    <w:pPr>
      <w:spacing w:line="240" w:lineRule="auto"/>
      <w:ind w:left="1134"/>
    </w:pPr>
    <w:rPr>
      <w:sz w:val="20"/>
    </w:rPr>
  </w:style>
  <w:style w:type="paragraph" w:styleId="Header">
    <w:name w:val="header"/>
    <w:basedOn w:val="OPCParaBase"/>
    <w:link w:val="HeaderChar"/>
    <w:unhideWhenUsed/>
    <w:rsid w:val="0096031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6031D"/>
    <w:rPr>
      <w:rFonts w:eastAsia="Times New Roman" w:cs="Times New Roman"/>
      <w:sz w:val="16"/>
      <w:lang w:eastAsia="en-AU"/>
    </w:rPr>
  </w:style>
  <w:style w:type="paragraph" w:customStyle="1" w:styleId="House">
    <w:name w:val="House"/>
    <w:basedOn w:val="OPCParaBase"/>
    <w:rsid w:val="0096031D"/>
    <w:pPr>
      <w:spacing w:line="240" w:lineRule="auto"/>
    </w:pPr>
    <w:rPr>
      <w:sz w:val="28"/>
    </w:rPr>
  </w:style>
  <w:style w:type="paragraph" w:customStyle="1" w:styleId="Item">
    <w:name w:val="Item"/>
    <w:aliases w:val="i"/>
    <w:basedOn w:val="OPCParaBase"/>
    <w:next w:val="ItemHead"/>
    <w:rsid w:val="0096031D"/>
    <w:pPr>
      <w:keepLines/>
      <w:spacing w:before="80" w:line="240" w:lineRule="auto"/>
      <w:ind w:left="709"/>
    </w:pPr>
  </w:style>
  <w:style w:type="paragraph" w:customStyle="1" w:styleId="ItemHead">
    <w:name w:val="ItemHead"/>
    <w:aliases w:val="ih"/>
    <w:basedOn w:val="OPCParaBase"/>
    <w:next w:val="Item"/>
    <w:rsid w:val="0096031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6031D"/>
    <w:pPr>
      <w:spacing w:line="240" w:lineRule="auto"/>
    </w:pPr>
    <w:rPr>
      <w:b/>
      <w:sz w:val="32"/>
    </w:rPr>
  </w:style>
  <w:style w:type="paragraph" w:customStyle="1" w:styleId="notedraft">
    <w:name w:val="note(draft)"/>
    <w:aliases w:val="nd"/>
    <w:basedOn w:val="OPCParaBase"/>
    <w:rsid w:val="0096031D"/>
    <w:pPr>
      <w:spacing w:before="240" w:line="240" w:lineRule="auto"/>
      <w:ind w:left="284" w:hanging="284"/>
    </w:pPr>
    <w:rPr>
      <w:i/>
      <w:sz w:val="24"/>
    </w:rPr>
  </w:style>
  <w:style w:type="paragraph" w:customStyle="1" w:styleId="notemargin">
    <w:name w:val="note(margin)"/>
    <w:aliases w:val="nm"/>
    <w:basedOn w:val="OPCParaBase"/>
    <w:rsid w:val="0096031D"/>
    <w:pPr>
      <w:tabs>
        <w:tab w:val="left" w:pos="709"/>
      </w:tabs>
      <w:spacing w:before="122" w:line="198" w:lineRule="exact"/>
      <w:ind w:left="709" w:hanging="709"/>
    </w:pPr>
    <w:rPr>
      <w:sz w:val="18"/>
    </w:rPr>
  </w:style>
  <w:style w:type="paragraph" w:customStyle="1" w:styleId="noteToPara">
    <w:name w:val="noteToPara"/>
    <w:aliases w:val="ntp"/>
    <w:basedOn w:val="OPCParaBase"/>
    <w:rsid w:val="0096031D"/>
    <w:pPr>
      <w:spacing w:before="122" w:line="198" w:lineRule="exact"/>
      <w:ind w:left="2353" w:hanging="709"/>
    </w:pPr>
    <w:rPr>
      <w:sz w:val="18"/>
    </w:rPr>
  </w:style>
  <w:style w:type="paragraph" w:customStyle="1" w:styleId="noteParlAmend">
    <w:name w:val="note(ParlAmend)"/>
    <w:aliases w:val="npp"/>
    <w:basedOn w:val="OPCParaBase"/>
    <w:next w:val="ParlAmend"/>
    <w:rsid w:val="0096031D"/>
    <w:pPr>
      <w:spacing w:line="240" w:lineRule="auto"/>
      <w:jc w:val="right"/>
    </w:pPr>
    <w:rPr>
      <w:rFonts w:ascii="Arial" w:hAnsi="Arial"/>
      <w:b/>
      <w:i/>
    </w:rPr>
  </w:style>
  <w:style w:type="paragraph" w:customStyle="1" w:styleId="Page1">
    <w:name w:val="Page1"/>
    <w:basedOn w:val="OPCParaBase"/>
    <w:rsid w:val="0096031D"/>
    <w:pPr>
      <w:spacing w:before="400" w:line="240" w:lineRule="auto"/>
    </w:pPr>
    <w:rPr>
      <w:b/>
      <w:sz w:val="32"/>
    </w:rPr>
  </w:style>
  <w:style w:type="paragraph" w:customStyle="1" w:styleId="PageBreak">
    <w:name w:val="PageBreak"/>
    <w:aliases w:val="pb"/>
    <w:basedOn w:val="OPCParaBase"/>
    <w:rsid w:val="0096031D"/>
    <w:pPr>
      <w:spacing w:line="240" w:lineRule="auto"/>
    </w:pPr>
    <w:rPr>
      <w:sz w:val="20"/>
    </w:rPr>
  </w:style>
  <w:style w:type="paragraph" w:customStyle="1" w:styleId="paragraphsub">
    <w:name w:val="paragraph(sub)"/>
    <w:aliases w:val="aa"/>
    <w:basedOn w:val="OPCParaBase"/>
    <w:rsid w:val="0096031D"/>
    <w:pPr>
      <w:tabs>
        <w:tab w:val="right" w:pos="1985"/>
      </w:tabs>
      <w:spacing w:before="40" w:line="240" w:lineRule="auto"/>
      <w:ind w:left="2098" w:hanging="2098"/>
    </w:pPr>
  </w:style>
  <w:style w:type="paragraph" w:customStyle="1" w:styleId="paragraphsub-sub">
    <w:name w:val="paragraph(sub-sub)"/>
    <w:aliases w:val="aaa"/>
    <w:basedOn w:val="OPCParaBase"/>
    <w:rsid w:val="0096031D"/>
    <w:pPr>
      <w:tabs>
        <w:tab w:val="right" w:pos="2722"/>
      </w:tabs>
      <w:spacing w:before="40" w:line="240" w:lineRule="auto"/>
      <w:ind w:left="2835" w:hanging="2835"/>
    </w:pPr>
  </w:style>
  <w:style w:type="paragraph" w:customStyle="1" w:styleId="paragraph">
    <w:name w:val="paragraph"/>
    <w:aliases w:val="a"/>
    <w:basedOn w:val="OPCParaBase"/>
    <w:link w:val="paragraphChar"/>
    <w:rsid w:val="0096031D"/>
    <w:pPr>
      <w:tabs>
        <w:tab w:val="right" w:pos="1531"/>
      </w:tabs>
      <w:spacing w:before="40" w:line="240" w:lineRule="auto"/>
      <w:ind w:left="1644" w:hanging="1644"/>
    </w:pPr>
  </w:style>
  <w:style w:type="paragraph" w:customStyle="1" w:styleId="ParlAmend">
    <w:name w:val="ParlAmend"/>
    <w:aliases w:val="pp"/>
    <w:basedOn w:val="OPCParaBase"/>
    <w:rsid w:val="0096031D"/>
    <w:pPr>
      <w:spacing w:before="240" w:line="240" w:lineRule="atLeast"/>
      <w:ind w:hanging="567"/>
    </w:pPr>
    <w:rPr>
      <w:sz w:val="24"/>
    </w:rPr>
  </w:style>
  <w:style w:type="paragraph" w:customStyle="1" w:styleId="Penalty">
    <w:name w:val="Penalty"/>
    <w:basedOn w:val="OPCParaBase"/>
    <w:rsid w:val="0096031D"/>
    <w:pPr>
      <w:tabs>
        <w:tab w:val="left" w:pos="2977"/>
      </w:tabs>
      <w:spacing w:before="180" w:line="240" w:lineRule="auto"/>
      <w:ind w:left="1985" w:hanging="851"/>
    </w:pPr>
  </w:style>
  <w:style w:type="paragraph" w:customStyle="1" w:styleId="Portfolio">
    <w:name w:val="Portfolio"/>
    <w:basedOn w:val="OPCParaBase"/>
    <w:rsid w:val="0096031D"/>
    <w:pPr>
      <w:spacing w:line="240" w:lineRule="auto"/>
    </w:pPr>
    <w:rPr>
      <w:i/>
      <w:sz w:val="20"/>
    </w:rPr>
  </w:style>
  <w:style w:type="paragraph" w:customStyle="1" w:styleId="Preamble">
    <w:name w:val="Preamble"/>
    <w:basedOn w:val="OPCParaBase"/>
    <w:next w:val="Normal"/>
    <w:rsid w:val="0096031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6031D"/>
    <w:pPr>
      <w:spacing w:line="240" w:lineRule="auto"/>
    </w:pPr>
    <w:rPr>
      <w:i/>
      <w:sz w:val="20"/>
    </w:rPr>
  </w:style>
  <w:style w:type="paragraph" w:customStyle="1" w:styleId="Session">
    <w:name w:val="Session"/>
    <w:basedOn w:val="OPCParaBase"/>
    <w:rsid w:val="0096031D"/>
    <w:pPr>
      <w:spacing w:line="240" w:lineRule="auto"/>
    </w:pPr>
    <w:rPr>
      <w:sz w:val="28"/>
    </w:rPr>
  </w:style>
  <w:style w:type="paragraph" w:customStyle="1" w:styleId="Sponsor">
    <w:name w:val="Sponsor"/>
    <w:basedOn w:val="OPCParaBase"/>
    <w:rsid w:val="0096031D"/>
    <w:pPr>
      <w:spacing w:line="240" w:lineRule="auto"/>
    </w:pPr>
    <w:rPr>
      <w:i/>
    </w:rPr>
  </w:style>
  <w:style w:type="paragraph" w:customStyle="1" w:styleId="Subitem">
    <w:name w:val="Subitem"/>
    <w:aliases w:val="iss"/>
    <w:basedOn w:val="OPCParaBase"/>
    <w:rsid w:val="0096031D"/>
    <w:pPr>
      <w:spacing w:before="180" w:line="240" w:lineRule="auto"/>
      <w:ind w:left="709" w:hanging="709"/>
    </w:pPr>
  </w:style>
  <w:style w:type="paragraph" w:customStyle="1" w:styleId="SubitemHead">
    <w:name w:val="SubitemHead"/>
    <w:aliases w:val="issh"/>
    <w:basedOn w:val="OPCParaBase"/>
    <w:rsid w:val="0096031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6031D"/>
    <w:pPr>
      <w:spacing w:before="40" w:line="240" w:lineRule="auto"/>
      <w:ind w:left="1134"/>
    </w:pPr>
  </w:style>
  <w:style w:type="paragraph" w:customStyle="1" w:styleId="SubsectionHead">
    <w:name w:val="SubsectionHead"/>
    <w:aliases w:val="ssh"/>
    <w:basedOn w:val="OPCParaBase"/>
    <w:next w:val="subsection"/>
    <w:rsid w:val="0096031D"/>
    <w:pPr>
      <w:keepNext/>
      <w:keepLines/>
      <w:spacing w:before="240" w:line="240" w:lineRule="auto"/>
      <w:ind w:left="1134"/>
    </w:pPr>
    <w:rPr>
      <w:i/>
    </w:rPr>
  </w:style>
  <w:style w:type="paragraph" w:customStyle="1" w:styleId="Tablea">
    <w:name w:val="Table(a)"/>
    <w:aliases w:val="ta"/>
    <w:basedOn w:val="OPCParaBase"/>
    <w:rsid w:val="0096031D"/>
    <w:pPr>
      <w:spacing w:before="60" w:line="240" w:lineRule="auto"/>
      <w:ind w:left="284" w:hanging="284"/>
    </w:pPr>
    <w:rPr>
      <w:sz w:val="20"/>
    </w:rPr>
  </w:style>
  <w:style w:type="paragraph" w:customStyle="1" w:styleId="TableAA">
    <w:name w:val="Table(AA)"/>
    <w:aliases w:val="taaa"/>
    <w:basedOn w:val="OPCParaBase"/>
    <w:rsid w:val="0096031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6031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6031D"/>
    <w:pPr>
      <w:spacing w:before="60" w:line="240" w:lineRule="atLeast"/>
    </w:pPr>
    <w:rPr>
      <w:sz w:val="20"/>
    </w:rPr>
  </w:style>
  <w:style w:type="paragraph" w:customStyle="1" w:styleId="TLPBoxTextnote">
    <w:name w:val="TLPBoxText(note"/>
    <w:aliases w:val="right)"/>
    <w:basedOn w:val="OPCParaBase"/>
    <w:rsid w:val="0096031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6031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6031D"/>
    <w:pPr>
      <w:spacing w:before="122" w:line="198" w:lineRule="exact"/>
      <w:ind w:left="1985" w:hanging="851"/>
      <w:jc w:val="right"/>
    </w:pPr>
    <w:rPr>
      <w:sz w:val="18"/>
    </w:rPr>
  </w:style>
  <w:style w:type="paragraph" w:customStyle="1" w:styleId="TLPTableBullet">
    <w:name w:val="TLPTableBullet"/>
    <w:aliases w:val="ttb"/>
    <w:basedOn w:val="OPCParaBase"/>
    <w:rsid w:val="0096031D"/>
    <w:pPr>
      <w:spacing w:line="240" w:lineRule="exact"/>
      <w:ind w:left="284" w:hanging="284"/>
    </w:pPr>
    <w:rPr>
      <w:sz w:val="20"/>
    </w:rPr>
  </w:style>
  <w:style w:type="paragraph" w:styleId="TOC1">
    <w:name w:val="toc 1"/>
    <w:basedOn w:val="OPCParaBase"/>
    <w:next w:val="Normal"/>
    <w:uiPriority w:val="39"/>
    <w:semiHidden/>
    <w:unhideWhenUsed/>
    <w:rsid w:val="0096031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6031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6031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6031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A622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6031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6031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6031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6031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6031D"/>
    <w:pPr>
      <w:keepLines/>
      <w:spacing w:before="240" w:after="120" w:line="240" w:lineRule="auto"/>
      <w:ind w:left="794"/>
    </w:pPr>
    <w:rPr>
      <w:b/>
      <w:kern w:val="28"/>
      <w:sz w:val="20"/>
    </w:rPr>
  </w:style>
  <w:style w:type="paragraph" w:customStyle="1" w:styleId="TofSectsHeading">
    <w:name w:val="TofSects(Heading)"/>
    <w:basedOn w:val="OPCParaBase"/>
    <w:rsid w:val="0096031D"/>
    <w:pPr>
      <w:spacing w:before="240" w:after="120" w:line="240" w:lineRule="auto"/>
    </w:pPr>
    <w:rPr>
      <w:b/>
      <w:sz w:val="24"/>
    </w:rPr>
  </w:style>
  <w:style w:type="paragraph" w:customStyle="1" w:styleId="TofSectsSection">
    <w:name w:val="TofSects(Section)"/>
    <w:basedOn w:val="OPCParaBase"/>
    <w:rsid w:val="0096031D"/>
    <w:pPr>
      <w:keepLines/>
      <w:spacing w:before="40" w:line="240" w:lineRule="auto"/>
      <w:ind w:left="1588" w:hanging="794"/>
    </w:pPr>
    <w:rPr>
      <w:kern w:val="28"/>
      <w:sz w:val="18"/>
    </w:rPr>
  </w:style>
  <w:style w:type="paragraph" w:customStyle="1" w:styleId="TofSectsSubdiv">
    <w:name w:val="TofSects(Subdiv)"/>
    <w:basedOn w:val="OPCParaBase"/>
    <w:rsid w:val="0096031D"/>
    <w:pPr>
      <w:keepLines/>
      <w:spacing w:before="80" w:line="240" w:lineRule="auto"/>
      <w:ind w:left="1588" w:hanging="794"/>
    </w:pPr>
    <w:rPr>
      <w:kern w:val="28"/>
    </w:rPr>
  </w:style>
  <w:style w:type="paragraph" w:customStyle="1" w:styleId="WRStyle">
    <w:name w:val="WR Style"/>
    <w:aliases w:val="WR"/>
    <w:basedOn w:val="OPCParaBase"/>
    <w:rsid w:val="0096031D"/>
    <w:pPr>
      <w:spacing w:before="240" w:line="240" w:lineRule="auto"/>
      <w:ind w:left="284" w:hanging="284"/>
    </w:pPr>
    <w:rPr>
      <w:b/>
      <w:i/>
      <w:kern w:val="28"/>
      <w:sz w:val="24"/>
    </w:rPr>
  </w:style>
  <w:style w:type="paragraph" w:customStyle="1" w:styleId="notepara">
    <w:name w:val="note(para)"/>
    <w:aliases w:val="na"/>
    <w:basedOn w:val="OPCParaBase"/>
    <w:rsid w:val="0096031D"/>
    <w:pPr>
      <w:spacing w:before="40" w:line="198" w:lineRule="exact"/>
      <w:ind w:left="2354" w:hanging="369"/>
    </w:pPr>
    <w:rPr>
      <w:sz w:val="18"/>
    </w:rPr>
  </w:style>
  <w:style w:type="paragraph" w:styleId="Footer">
    <w:name w:val="footer"/>
    <w:link w:val="FooterChar"/>
    <w:rsid w:val="0096031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6031D"/>
    <w:rPr>
      <w:rFonts w:eastAsia="Times New Roman" w:cs="Times New Roman"/>
      <w:sz w:val="22"/>
      <w:szCs w:val="24"/>
      <w:lang w:eastAsia="en-AU"/>
    </w:rPr>
  </w:style>
  <w:style w:type="character" w:styleId="LineNumber">
    <w:name w:val="line number"/>
    <w:basedOn w:val="OPCCharBase"/>
    <w:uiPriority w:val="99"/>
    <w:semiHidden/>
    <w:unhideWhenUsed/>
    <w:rsid w:val="0096031D"/>
    <w:rPr>
      <w:sz w:val="16"/>
    </w:rPr>
  </w:style>
  <w:style w:type="table" w:customStyle="1" w:styleId="CFlag">
    <w:name w:val="CFlag"/>
    <w:basedOn w:val="TableNormal"/>
    <w:uiPriority w:val="99"/>
    <w:rsid w:val="0096031D"/>
    <w:rPr>
      <w:rFonts w:eastAsia="Times New Roman" w:cs="Times New Roman"/>
      <w:lang w:eastAsia="en-AU"/>
    </w:rPr>
    <w:tblPr/>
  </w:style>
  <w:style w:type="paragraph" w:customStyle="1" w:styleId="NotesHeading1">
    <w:name w:val="NotesHeading 1"/>
    <w:basedOn w:val="OPCParaBase"/>
    <w:next w:val="Normal"/>
    <w:rsid w:val="0096031D"/>
    <w:rPr>
      <w:b/>
      <w:sz w:val="28"/>
      <w:szCs w:val="28"/>
    </w:rPr>
  </w:style>
  <w:style w:type="paragraph" w:customStyle="1" w:styleId="NotesHeading2">
    <w:name w:val="NotesHeading 2"/>
    <w:basedOn w:val="OPCParaBase"/>
    <w:next w:val="Normal"/>
    <w:rsid w:val="0096031D"/>
    <w:rPr>
      <w:b/>
      <w:sz w:val="28"/>
      <w:szCs w:val="28"/>
    </w:rPr>
  </w:style>
  <w:style w:type="paragraph" w:customStyle="1" w:styleId="SignCoverPageEnd">
    <w:name w:val="SignCoverPageEnd"/>
    <w:basedOn w:val="OPCParaBase"/>
    <w:next w:val="Normal"/>
    <w:rsid w:val="0096031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6031D"/>
    <w:pPr>
      <w:pBdr>
        <w:top w:val="single" w:sz="4" w:space="1" w:color="auto"/>
      </w:pBdr>
      <w:spacing w:before="360"/>
      <w:ind w:right="397"/>
      <w:jc w:val="both"/>
    </w:pPr>
  </w:style>
  <w:style w:type="paragraph" w:customStyle="1" w:styleId="Paragraphsub-sub-sub">
    <w:name w:val="Paragraph(sub-sub-sub)"/>
    <w:aliases w:val="aaaa"/>
    <w:basedOn w:val="OPCParaBase"/>
    <w:rsid w:val="0096031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6031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6031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6031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6031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6031D"/>
    <w:pPr>
      <w:spacing w:before="120"/>
    </w:pPr>
  </w:style>
  <w:style w:type="paragraph" w:customStyle="1" w:styleId="TableTextEndNotes">
    <w:name w:val="TableTextEndNotes"/>
    <w:aliases w:val="Tten"/>
    <w:basedOn w:val="Normal"/>
    <w:rsid w:val="0096031D"/>
    <w:pPr>
      <w:spacing w:before="60" w:line="240" w:lineRule="auto"/>
    </w:pPr>
    <w:rPr>
      <w:rFonts w:cs="Arial"/>
      <w:sz w:val="20"/>
      <w:szCs w:val="22"/>
    </w:rPr>
  </w:style>
  <w:style w:type="paragraph" w:customStyle="1" w:styleId="TableHeading">
    <w:name w:val="TableHeading"/>
    <w:aliases w:val="th"/>
    <w:basedOn w:val="OPCParaBase"/>
    <w:next w:val="Tabletext"/>
    <w:rsid w:val="0096031D"/>
    <w:pPr>
      <w:keepNext/>
      <w:spacing w:before="60" w:line="240" w:lineRule="atLeast"/>
    </w:pPr>
    <w:rPr>
      <w:b/>
      <w:sz w:val="20"/>
    </w:rPr>
  </w:style>
  <w:style w:type="paragraph" w:customStyle="1" w:styleId="NoteToSubpara">
    <w:name w:val="NoteToSubpara"/>
    <w:aliases w:val="nts"/>
    <w:basedOn w:val="OPCParaBase"/>
    <w:rsid w:val="0096031D"/>
    <w:pPr>
      <w:spacing w:before="40" w:line="198" w:lineRule="exact"/>
      <w:ind w:left="2835" w:hanging="709"/>
    </w:pPr>
    <w:rPr>
      <w:sz w:val="18"/>
    </w:rPr>
  </w:style>
  <w:style w:type="paragraph" w:customStyle="1" w:styleId="ENoteTableHeading">
    <w:name w:val="ENoteTableHeading"/>
    <w:aliases w:val="enth"/>
    <w:basedOn w:val="OPCParaBase"/>
    <w:rsid w:val="0096031D"/>
    <w:pPr>
      <w:keepNext/>
      <w:spacing w:before="60" w:line="240" w:lineRule="atLeast"/>
    </w:pPr>
    <w:rPr>
      <w:rFonts w:ascii="Arial" w:hAnsi="Arial"/>
      <w:b/>
      <w:sz w:val="16"/>
    </w:rPr>
  </w:style>
  <w:style w:type="paragraph" w:customStyle="1" w:styleId="ENoteTTi">
    <w:name w:val="ENoteTTi"/>
    <w:aliases w:val="entti"/>
    <w:basedOn w:val="OPCParaBase"/>
    <w:rsid w:val="0096031D"/>
    <w:pPr>
      <w:keepNext/>
      <w:spacing w:before="60" w:line="240" w:lineRule="atLeast"/>
      <w:ind w:left="170"/>
    </w:pPr>
    <w:rPr>
      <w:sz w:val="16"/>
    </w:rPr>
  </w:style>
  <w:style w:type="paragraph" w:customStyle="1" w:styleId="ENotesHeading1">
    <w:name w:val="ENotesHeading 1"/>
    <w:aliases w:val="Enh1"/>
    <w:basedOn w:val="OPCParaBase"/>
    <w:next w:val="Normal"/>
    <w:rsid w:val="0096031D"/>
    <w:pPr>
      <w:spacing w:before="120"/>
      <w:outlineLvl w:val="1"/>
    </w:pPr>
    <w:rPr>
      <w:b/>
      <w:sz w:val="28"/>
      <w:szCs w:val="28"/>
    </w:rPr>
  </w:style>
  <w:style w:type="paragraph" w:customStyle="1" w:styleId="ENotesHeading2">
    <w:name w:val="ENotesHeading 2"/>
    <w:aliases w:val="Enh2"/>
    <w:basedOn w:val="OPCParaBase"/>
    <w:next w:val="Normal"/>
    <w:rsid w:val="0096031D"/>
    <w:pPr>
      <w:spacing w:before="120" w:after="120"/>
      <w:outlineLvl w:val="2"/>
    </w:pPr>
    <w:rPr>
      <w:b/>
      <w:sz w:val="24"/>
      <w:szCs w:val="28"/>
    </w:rPr>
  </w:style>
  <w:style w:type="paragraph" w:customStyle="1" w:styleId="ENoteTTIndentHeading">
    <w:name w:val="ENoteTTIndentHeading"/>
    <w:aliases w:val="enTTHi"/>
    <w:basedOn w:val="OPCParaBase"/>
    <w:rsid w:val="0096031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6031D"/>
    <w:pPr>
      <w:spacing w:before="60" w:line="240" w:lineRule="atLeast"/>
    </w:pPr>
    <w:rPr>
      <w:sz w:val="16"/>
    </w:rPr>
  </w:style>
  <w:style w:type="paragraph" w:customStyle="1" w:styleId="MadeunderText">
    <w:name w:val="MadeunderText"/>
    <w:basedOn w:val="OPCParaBase"/>
    <w:next w:val="Normal"/>
    <w:rsid w:val="0096031D"/>
    <w:pPr>
      <w:spacing w:before="240"/>
    </w:pPr>
    <w:rPr>
      <w:sz w:val="24"/>
      <w:szCs w:val="24"/>
    </w:rPr>
  </w:style>
  <w:style w:type="paragraph" w:customStyle="1" w:styleId="ENotesHeading3">
    <w:name w:val="ENotesHeading 3"/>
    <w:aliases w:val="Enh3"/>
    <w:basedOn w:val="OPCParaBase"/>
    <w:next w:val="Normal"/>
    <w:rsid w:val="0096031D"/>
    <w:pPr>
      <w:keepNext/>
      <w:spacing w:before="120" w:line="240" w:lineRule="auto"/>
      <w:outlineLvl w:val="4"/>
    </w:pPr>
    <w:rPr>
      <w:b/>
      <w:szCs w:val="24"/>
    </w:rPr>
  </w:style>
  <w:style w:type="paragraph" w:customStyle="1" w:styleId="SubPartCASA">
    <w:name w:val="SubPart(CASA)"/>
    <w:aliases w:val="csp"/>
    <w:basedOn w:val="OPCParaBase"/>
    <w:next w:val="ActHead3"/>
    <w:rsid w:val="0096031D"/>
    <w:pPr>
      <w:keepNext/>
      <w:keepLines/>
      <w:spacing w:before="280"/>
      <w:outlineLvl w:val="1"/>
    </w:pPr>
    <w:rPr>
      <w:b/>
      <w:kern w:val="28"/>
      <w:sz w:val="32"/>
    </w:rPr>
  </w:style>
  <w:style w:type="character" w:customStyle="1" w:styleId="CharSubPartTextCASA">
    <w:name w:val="CharSubPartText(CASA)"/>
    <w:basedOn w:val="OPCCharBase"/>
    <w:uiPriority w:val="1"/>
    <w:rsid w:val="0096031D"/>
  </w:style>
  <w:style w:type="character" w:customStyle="1" w:styleId="CharSubPartNoCASA">
    <w:name w:val="CharSubPartNo(CASA)"/>
    <w:basedOn w:val="OPCCharBase"/>
    <w:uiPriority w:val="1"/>
    <w:rsid w:val="0096031D"/>
  </w:style>
  <w:style w:type="paragraph" w:customStyle="1" w:styleId="ENoteTTIndentHeadingSub">
    <w:name w:val="ENoteTTIndentHeadingSub"/>
    <w:aliases w:val="enTTHis"/>
    <w:basedOn w:val="OPCParaBase"/>
    <w:rsid w:val="0096031D"/>
    <w:pPr>
      <w:keepNext/>
      <w:spacing w:before="60" w:line="240" w:lineRule="atLeast"/>
      <w:ind w:left="340"/>
    </w:pPr>
    <w:rPr>
      <w:b/>
      <w:sz w:val="16"/>
    </w:rPr>
  </w:style>
  <w:style w:type="paragraph" w:customStyle="1" w:styleId="ENoteTTiSub">
    <w:name w:val="ENoteTTiSub"/>
    <w:aliases w:val="enttis"/>
    <w:basedOn w:val="OPCParaBase"/>
    <w:rsid w:val="0096031D"/>
    <w:pPr>
      <w:keepNext/>
      <w:spacing w:before="60" w:line="240" w:lineRule="atLeast"/>
      <w:ind w:left="340"/>
    </w:pPr>
    <w:rPr>
      <w:sz w:val="16"/>
    </w:rPr>
  </w:style>
  <w:style w:type="paragraph" w:customStyle="1" w:styleId="SubDivisionMigration">
    <w:name w:val="SubDivisionMigration"/>
    <w:aliases w:val="sdm"/>
    <w:basedOn w:val="OPCParaBase"/>
    <w:rsid w:val="0096031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6031D"/>
    <w:pPr>
      <w:keepNext/>
      <w:keepLines/>
      <w:spacing w:before="240" w:line="240" w:lineRule="auto"/>
      <w:ind w:left="1134" w:hanging="1134"/>
    </w:pPr>
    <w:rPr>
      <w:b/>
      <w:sz w:val="28"/>
    </w:rPr>
  </w:style>
  <w:style w:type="table" w:styleId="TableGrid">
    <w:name w:val="Table Grid"/>
    <w:basedOn w:val="TableNormal"/>
    <w:uiPriority w:val="59"/>
    <w:rsid w:val="00960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6031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6031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6031D"/>
    <w:rPr>
      <w:sz w:val="22"/>
    </w:rPr>
  </w:style>
  <w:style w:type="paragraph" w:customStyle="1" w:styleId="SOTextNote">
    <w:name w:val="SO TextNote"/>
    <w:aliases w:val="sont"/>
    <w:basedOn w:val="SOText"/>
    <w:qFormat/>
    <w:rsid w:val="0096031D"/>
    <w:pPr>
      <w:spacing w:before="122" w:line="198" w:lineRule="exact"/>
      <w:ind w:left="1843" w:hanging="709"/>
    </w:pPr>
    <w:rPr>
      <w:sz w:val="18"/>
    </w:rPr>
  </w:style>
  <w:style w:type="paragraph" w:customStyle="1" w:styleId="SOPara">
    <w:name w:val="SO Para"/>
    <w:aliases w:val="soa"/>
    <w:basedOn w:val="SOText"/>
    <w:link w:val="SOParaChar"/>
    <w:qFormat/>
    <w:rsid w:val="0096031D"/>
    <w:pPr>
      <w:tabs>
        <w:tab w:val="right" w:pos="1786"/>
      </w:tabs>
      <w:spacing w:before="40"/>
      <w:ind w:left="2070" w:hanging="936"/>
    </w:pPr>
  </w:style>
  <w:style w:type="character" w:customStyle="1" w:styleId="SOParaChar">
    <w:name w:val="SO Para Char"/>
    <w:aliases w:val="soa Char"/>
    <w:basedOn w:val="DefaultParagraphFont"/>
    <w:link w:val="SOPara"/>
    <w:rsid w:val="0096031D"/>
    <w:rPr>
      <w:sz w:val="22"/>
    </w:rPr>
  </w:style>
  <w:style w:type="paragraph" w:customStyle="1" w:styleId="FileName">
    <w:name w:val="FileName"/>
    <w:basedOn w:val="Normal"/>
    <w:rsid w:val="0096031D"/>
  </w:style>
  <w:style w:type="paragraph" w:customStyle="1" w:styleId="SOHeadBold">
    <w:name w:val="SO HeadBold"/>
    <w:aliases w:val="sohb"/>
    <w:basedOn w:val="SOText"/>
    <w:next w:val="SOText"/>
    <w:link w:val="SOHeadBoldChar"/>
    <w:qFormat/>
    <w:rsid w:val="0096031D"/>
    <w:rPr>
      <w:b/>
    </w:rPr>
  </w:style>
  <w:style w:type="character" w:customStyle="1" w:styleId="SOHeadBoldChar">
    <w:name w:val="SO HeadBold Char"/>
    <w:aliases w:val="sohb Char"/>
    <w:basedOn w:val="DefaultParagraphFont"/>
    <w:link w:val="SOHeadBold"/>
    <w:rsid w:val="0096031D"/>
    <w:rPr>
      <w:b/>
      <w:sz w:val="22"/>
    </w:rPr>
  </w:style>
  <w:style w:type="paragraph" w:customStyle="1" w:styleId="SOHeadItalic">
    <w:name w:val="SO HeadItalic"/>
    <w:aliases w:val="sohi"/>
    <w:basedOn w:val="SOText"/>
    <w:next w:val="SOText"/>
    <w:link w:val="SOHeadItalicChar"/>
    <w:qFormat/>
    <w:rsid w:val="0096031D"/>
    <w:rPr>
      <w:i/>
    </w:rPr>
  </w:style>
  <w:style w:type="character" w:customStyle="1" w:styleId="SOHeadItalicChar">
    <w:name w:val="SO HeadItalic Char"/>
    <w:aliases w:val="sohi Char"/>
    <w:basedOn w:val="DefaultParagraphFont"/>
    <w:link w:val="SOHeadItalic"/>
    <w:rsid w:val="0096031D"/>
    <w:rPr>
      <w:i/>
      <w:sz w:val="22"/>
    </w:rPr>
  </w:style>
  <w:style w:type="paragraph" w:customStyle="1" w:styleId="SOBullet">
    <w:name w:val="SO Bullet"/>
    <w:aliases w:val="sotb"/>
    <w:basedOn w:val="SOText"/>
    <w:link w:val="SOBulletChar"/>
    <w:qFormat/>
    <w:rsid w:val="0096031D"/>
    <w:pPr>
      <w:ind w:left="1559" w:hanging="425"/>
    </w:pPr>
  </w:style>
  <w:style w:type="character" w:customStyle="1" w:styleId="SOBulletChar">
    <w:name w:val="SO Bullet Char"/>
    <w:aliases w:val="sotb Char"/>
    <w:basedOn w:val="DefaultParagraphFont"/>
    <w:link w:val="SOBullet"/>
    <w:rsid w:val="0096031D"/>
    <w:rPr>
      <w:sz w:val="22"/>
    </w:rPr>
  </w:style>
  <w:style w:type="paragraph" w:customStyle="1" w:styleId="SOBulletNote">
    <w:name w:val="SO BulletNote"/>
    <w:aliases w:val="sonb"/>
    <w:basedOn w:val="SOTextNote"/>
    <w:link w:val="SOBulletNoteChar"/>
    <w:qFormat/>
    <w:rsid w:val="0096031D"/>
    <w:pPr>
      <w:tabs>
        <w:tab w:val="left" w:pos="1560"/>
      </w:tabs>
      <w:ind w:left="2268" w:hanging="1134"/>
    </w:pPr>
  </w:style>
  <w:style w:type="character" w:customStyle="1" w:styleId="SOBulletNoteChar">
    <w:name w:val="SO BulletNote Char"/>
    <w:aliases w:val="sonb Char"/>
    <w:basedOn w:val="DefaultParagraphFont"/>
    <w:link w:val="SOBulletNote"/>
    <w:rsid w:val="0096031D"/>
    <w:rPr>
      <w:sz w:val="18"/>
    </w:rPr>
  </w:style>
  <w:style w:type="paragraph" w:customStyle="1" w:styleId="SOText2">
    <w:name w:val="SO Text2"/>
    <w:aliases w:val="sot2"/>
    <w:basedOn w:val="Normal"/>
    <w:next w:val="SOText"/>
    <w:link w:val="SOText2Char"/>
    <w:rsid w:val="0096031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6031D"/>
    <w:rPr>
      <w:sz w:val="22"/>
    </w:rPr>
  </w:style>
  <w:style w:type="character" w:customStyle="1" w:styleId="ActHead4Char">
    <w:name w:val="ActHead 4 Char"/>
    <w:aliases w:val="sd Char"/>
    <w:link w:val="ActHead4"/>
    <w:rsid w:val="00612A9D"/>
    <w:rPr>
      <w:rFonts w:eastAsia="Times New Roman" w:cs="Times New Roman"/>
      <w:b/>
      <w:kern w:val="28"/>
      <w:sz w:val="26"/>
      <w:lang w:eastAsia="en-AU"/>
    </w:rPr>
  </w:style>
  <w:style w:type="character" w:customStyle="1" w:styleId="subsectionChar">
    <w:name w:val="subsection Char"/>
    <w:aliases w:val="ss Char"/>
    <w:link w:val="subsection"/>
    <w:rsid w:val="00612A9D"/>
    <w:rPr>
      <w:rFonts w:eastAsia="Times New Roman" w:cs="Times New Roman"/>
      <w:sz w:val="22"/>
      <w:lang w:eastAsia="en-AU"/>
    </w:rPr>
  </w:style>
  <w:style w:type="character" w:customStyle="1" w:styleId="ActHead5Char">
    <w:name w:val="ActHead 5 Char"/>
    <w:aliases w:val="s Char"/>
    <w:link w:val="ActHead5"/>
    <w:rsid w:val="00612A9D"/>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5559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559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5595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5595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5595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5595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5595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5595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5595D"/>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9C72E0"/>
    <w:rPr>
      <w:rFonts w:eastAsia="Times New Roman" w:cs="Times New Roman"/>
      <w:sz w:val="22"/>
      <w:lang w:eastAsia="en-AU"/>
    </w:rPr>
  </w:style>
  <w:style w:type="paragraph" w:customStyle="1" w:styleId="ShortTP1">
    <w:name w:val="ShortTP1"/>
    <w:basedOn w:val="ShortT"/>
    <w:link w:val="ShortTP1Char"/>
    <w:rsid w:val="00434C6C"/>
    <w:pPr>
      <w:spacing w:before="800"/>
    </w:pPr>
  </w:style>
  <w:style w:type="character" w:customStyle="1" w:styleId="OPCParaBaseChar">
    <w:name w:val="OPCParaBase Char"/>
    <w:basedOn w:val="DefaultParagraphFont"/>
    <w:link w:val="OPCParaBase"/>
    <w:rsid w:val="00434C6C"/>
    <w:rPr>
      <w:rFonts w:eastAsia="Times New Roman" w:cs="Times New Roman"/>
      <w:sz w:val="22"/>
      <w:lang w:eastAsia="en-AU"/>
    </w:rPr>
  </w:style>
  <w:style w:type="character" w:customStyle="1" w:styleId="ShortTChar">
    <w:name w:val="ShortT Char"/>
    <w:basedOn w:val="OPCParaBaseChar"/>
    <w:link w:val="ShortT"/>
    <w:rsid w:val="00434C6C"/>
    <w:rPr>
      <w:rFonts w:eastAsia="Times New Roman" w:cs="Times New Roman"/>
      <w:b/>
      <w:sz w:val="40"/>
      <w:lang w:eastAsia="en-AU"/>
    </w:rPr>
  </w:style>
  <w:style w:type="character" w:customStyle="1" w:styleId="ShortTP1Char">
    <w:name w:val="ShortTP1 Char"/>
    <w:basedOn w:val="ShortTChar"/>
    <w:link w:val="ShortTP1"/>
    <w:rsid w:val="00434C6C"/>
    <w:rPr>
      <w:rFonts w:eastAsia="Times New Roman" w:cs="Times New Roman"/>
      <w:b/>
      <w:sz w:val="40"/>
      <w:lang w:eastAsia="en-AU"/>
    </w:rPr>
  </w:style>
  <w:style w:type="paragraph" w:customStyle="1" w:styleId="ActNoP1">
    <w:name w:val="ActNoP1"/>
    <w:basedOn w:val="Actno"/>
    <w:link w:val="ActNoP1Char"/>
    <w:rsid w:val="00434C6C"/>
    <w:pPr>
      <w:spacing w:before="800"/>
    </w:pPr>
    <w:rPr>
      <w:sz w:val="28"/>
    </w:rPr>
  </w:style>
  <w:style w:type="character" w:customStyle="1" w:styleId="ActnoChar">
    <w:name w:val="Actno Char"/>
    <w:basedOn w:val="ShortTChar"/>
    <w:link w:val="Actno"/>
    <w:rsid w:val="00434C6C"/>
    <w:rPr>
      <w:rFonts w:eastAsia="Times New Roman" w:cs="Times New Roman"/>
      <w:b/>
      <w:sz w:val="40"/>
      <w:lang w:eastAsia="en-AU"/>
    </w:rPr>
  </w:style>
  <w:style w:type="character" w:customStyle="1" w:styleId="ActNoP1Char">
    <w:name w:val="ActNoP1 Char"/>
    <w:basedOn w:val="ActnoChar"/>
    <w:link w:val="ActNoP1"/>
    <w:rsid w:val="00434C6C"/>
    <w:rPr>
      <w:rFonts w:eastAsia="Times New Roman" w:cs="Times New Roman"/>
      <w:b/>
      <w:sz w:val="28"/>
      <w:lang w:eastAsia="en-AU"/>
    </w:rPr>
  </w:style>
  <w:style w:type="paragraph" w:customStyle="1" w:styleId="ShortTCP">
    <w:name w:val="ShortTCP"/>
    <w:basedOn w:val="ShortT"/>
    <w:link w:val="ShortTCPChar"/>
    <w:rsid w:val="00434C6C"/>
  </w:style>
  <w:style w:type="character" w:customStyle="1" w:styleId="ShortTCPChar">
    <w:name w:val="ShortTCP Char"/>
    <w:basedOn w:val="ShortTChar"/>
    <w:link w:val="ShortTCP"/>
    <w:rsid w:val="00434C6C"/>
    <w:rPr>
      <w:rFonts w:eastAsia="Times New Roman" w:cs="Times New Roman"/>
      <w:b/>
      <w:sz w:val="40"/>
      <w:lang w:eastAsia="en-AU"/>
    </w:rPr>
  </w:style>
  <w:style w:type="paragraph" w:customStyle="1" w:styleId="ActNoCP">
    <w:name w:val="ActNoCP"/>
    <w:basedOn w:val="Actno"/>
    <w:link w:val="ActNoCPChar"/>
    <w:rsid w:val="00434C6C"/>
    <w:pPr>
      <w:spacing w:before="400"/>
    </w:pPr>
  </w:style>
  <w:style w:type="character" w:customStyle="1" w:styleId="ActNoCPChar">
    <w:name w:val="ActNoCP Char"/>
    <w:basedOn w:val="ActnoChar"/>
    <w:link w:val="ActNoCP"/>
    <w:rsid w:val="00434C6C"/>
    <w:rPr>
      <w:rFonts w:eastAsia="Times New Roman" w:cs="Times New Roman"/>
      <w:b/>
      <w:sz w:val="40"/>
      <w:lang w:eastAsia="en-AU"/>
    </w:rPr>
  </w:style>
  <w:style w:type="paragraph" w:customStyle="1" w:styleId="AssentBk">
    <w:name w:val="AssentBk"/>
    <w:basedOn w:val="Normal"/>
    <w:rsid w:val="00434C6C"/>
    <w:pPr>
      <w:spacing w:line="240" w:lineRule="auto"/>
    </w:pPr>
    <w:rPr>
      <w:rFonts w:eastAsia="Times New Roman" w:cs="Times New Roman"/>
      <w:sz w:val="20"/>
      <w:lang w:eastAsia="en-AU"/>
    </w:rPr>
  </w:style>
  <w:style w:type="paragraph" w:customStyle="1" w:styleId="AssentDt">
    <w:name w:val="AssentDt"/>
    <w:basedOn w:val="Normal"/>
    <w:rsid w:val="00841A7C"/>
    <w:pPr>
      <w:spacing w:line="240" w:lineRule="auto"/>
    </w:pPr>
    <w:rPr>
      <w:rFonts w:eastAsia="Times New Roman" w:cs="Times New Roman"/>
      <w:sz w:val="20"/>
      <w:lang w:eastAsia="en-AU"/>
    </w:rPr>
  </w:style>
  <w:style w:type="paragraph" w:customStyle="1" w:styleId="2ndRd">
    <w:name w:val="2ndRd"/>
    <w:basedOn w:val="Normal"/>
    <w:rsid w:val="00841A7C"/>
    <w:pPr>
      <w:spacing w:line="240" w:lineRule="auto"/>
    </w:pPr>
    <w:rPr>
      <w:rFonts w:eastAsia="Times New Roman" w:cs="Times New Roman"/>
      <w:sz w:val="20"/>
      <w:lang w:eastAsia="en-AU"/>
    </w:rPr>
  </w:style>
  <w:style w:type="paragraph" w:customStyle="1" w:styleId="ScalePlusRef">
    <w:name w:val="ScalePlusRef"/>
    <w:basedOn w:val="Normal"/>
    <w:rsid w:val="00841A7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031D"/>
    <w:pPr>
      <w:spacing w:line="260" w:lineRule="atLeast"/>
    </w:pPr>
    <w:rPr>
      <w:sz w:val="22"/>
    </w:rPr>
  </w:style>
  <w:style w:type="paragraph" w:styleId="Heading1">
    <w:name w:val="heading 1"/>
    <w:basedOn w:val="Normal"/>
    <w:next w:val="Normal"/>
    <w:link w:val="Heading1Char"/>
    <w:uiPriority w:val="9"/>
    <w:qFormat/>
    <w:rsid w:val="005559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559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559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59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559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595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595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595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5595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6031D"/>
  </w:style>
  <w:style w:type="paragraph" w:customStyle="1" w:styleId="OPCParaBase">
    <w:name w:val="OPCParaBase"/>
    <w:link w:val="OPCParaBaseChar"/>
    <w:qFormat/>
    <w:rsid w:val="0096031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6031D"/>
    <w:pPr>
      <w:spacing w:line="240" w:lineRule="auto"/>
    </w:pPr>
    <w:rPr>
      <w:b/>
      <w:sz w:val="40"/>
    </w:rPr>
  </w:style>
  <w:style w:type="paragraph" w:customStyle="1" w:styleId="ActHead1">
    <w:name w:val="ActHead 1"/>
    <w:aliases w:val="c"/>
    <w:basedOn w:val="OPCParaBase"/>
    <w:next w:val="Normal"/>
    <w:qFormat/>
    <w:rsid w:val="0096031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6031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6031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96031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6031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6031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6031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6031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6031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6031D"/>
  </w:style>
  <w:style w:type="paragraph" w:customStyle="1" w:styleId="Blocks">
    <w:name w:val="Blocks"/>
    <w:aliases w:val="bb"/>
    <w:basedOn w:val="OPCParaBase"/>
    <w:qFormat/>
    <w:rsid w:val="0096031D"/>
    <w:pPr>
      <w:spacing w:line="240" w:lineRule="auto"/>
    </w:pPr>
    <w:rPr>
      <w:sz w:val="24"/>
    </w:rPr>
  </w:style>
  <w:style w:type="paragraph" w:customStyle="1" w:styleId="BoxText">
    <w:name w:val="BoxText"/>
    <w:aliases w:val="bt"/>
    <w:basedOn w:val="OPCParaBase"/>
    <w:qFormat/>
    <w:rsid w:val="0096031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6031D"/>
    <w:rPr>
      <w:b/>
    </w:rPr>
  </w:style>
  <w:style w:type="paragraph" w:customStyle="1" w:styleId="BoxHeadItalic">
    <w:name w:val="BoxHeadItalic"/>
    <w:aliases w:val="bhi"/>
    <w:basedOn w:val="BoxText"/>
    <w:next w:val="BoxStep"/>
    <w:qFormat/>
    <w:rsid w:val="0096031D"/>
    <w:rPr>
      <w:i/>
    </w:rPr>
  </w:style>
  <w:style w:type="paragraph" w:customStyle="1" w:styleId="BoxList">
    <w:name w:val="BoxList"/>
    <w:aliases w:val="bl"/>
    <w:basedOn w:val="BoxText"/>
    <w:qFormat/>
    <w:rsid w:val="0096031D"/>
    <w:pPr>
      <w:ind w:left="1559" w:hanging="425"/>
    </w:pPr>
  </w:style>
  <w:style w:type="paragraph" w:customStyle="1" w:styleId="BoxNote">
    <w:name w:val="BoxNote"/>
    <w:aliases w:val="bn"/>
    <w:basedOn w:val="BoxText"/>
    <w:qFormat/>
    <w:rsid w:val="0096031D"/>
    <w:pPr>
      <w:tabs>
        <w:tab w:val="left" w:pos="1985"/>
      </w:tabs>
      <w:spacing w:before="122" w:line="198" w:lineRule="exact"/>
      <w:ind w:left="2948" w:hanging="1814"/>
    </w:pPr>
    <w:rPr>
      <w:sz w:val="18"/>
    </w:rPr>
  </w:style>
  <w:style w:type="paragraph" w:customStyle="1" w:styleId="BoxPara">
    <w:name w:val="BoxPara"/>
    <w:aliases w:val="bp"/>
    <w:basedOn w:val="BoxText"/>
    <w:qFormat/>
    <w:rsid w:val="0096031D"/>
    <w:pPr>
      <w:tabs>
        <w:tab w:val="right" w:pos="2268"/>
      </w:tabs>
      <w:ind w:left="2552" w:hanging="1418"/>
    </w:pPr>
  </w:style>
  <w:style w:type="paragraph" w:customStyle="1" w:styleId="BoxStep">
    <w:name w:val="BoxStep"/>
    <w:aliases w:val="bs"/>
    <w:basedOn w:val="BoxText"/>
    <w:qFormat/>
    <w:rsid w:val="0096031D"/>
    <w:pPr>
      <w:ind w:left="1985" w:hanging="851"/>
    </w:pPr>
  </w:style>
  <w:style w:type="character" w:customStyle="1" w:styleId="CharAmPartNo">
    <w:name w:val="CharAmPartNo"/>
    <w:basedOn w:val="OPCCharBase"/>
    <w:qFormat/>
    <w:rsid w:val="0096031D"/>
  </w:style>
  <w:style w:type="character" w:customStyle="1" w:styleId="CharAmPartText">
    <w:name w:val="CharAmPartText"/>
    <w:basedOn w:val="OPCCharBase"/>
    <w:qFormat/>
    <w:rsid w:val="0096031D"/>
  </w:style>
  <w:style w:type="character" w:customStyle="1" w:styleId="CharAmSchNo">
    <w:name w:val="CharAmSchNo"/>
    <w:basedOn w:val="OPCCharBase"/>
    <w:qFormat/>
    <w:rsid w:val="0096031D"/>
  </w:style>
  <w:style w:type="character" w:customStyle="1" w:styleId="CharAmSchText">
    <w:name w:val="CharAmSchText"/>
    <w:basedOn w:val="OPCCharBase"/>
    <w:qFormat/>
    <w:rsid w:val="0096031D"/>
  </w:style>
  <w:style w:type="character" w:customStyle="1" w:styleId="CharBoldItalic">
    <w:name w:val="CharBoldItalic"/>
    <w:basedOn w:val="OPCCharBase"/>
    <w:uiPriority w:val="1"/>
    <w:qFormat/>
    <w:rsid w:val="0096031D"/>
    <w:rPr>
      <w:b/>
      <w:i/>
    </w:rPr>
  </w:style>
  <w:style w:type="character" w:customStyle="1" w:styleId="CharChapNo">
    <w:name w:val="CharChapNo"/>
    <w:basedOn w:val="OPCCharBase"/>
    <w:uiPriority w:val="1"/>
    <w:qFormat/>
    <w:rsid w:val="0096031D"/>
  </w:style>
  <w:style w:type="character" w:customStyle="1" w:styleId="CharChapText">
    <w:name w:val="CharChapText"/>
    <w:basedOn w:val="OPCCharBase"/>
    <w:uiPriority w:val="1"/>
    <w:qFormat/>
    <w:rsid w:val="0096031D"/>
  </w:style>
  <w:style w:type="character" w:customStyle="1" w:styleId="CharDivNo">
    <w:name w:val="CharDivNo"/>
    <w:basedOn w:val="OPCCharBase"/>
    <w:uiPriority w:val="1"/>
    <w:qFormat/>
    <w:rsid w:val="0096031D"/>
  </w:style>
  <w:style w:type="character" w:customStyle="1" w:styleId="CharDivText">
    <w:name w:val="CharDivText"/>
    <w:basedOn w:val="OPCCharBase"/>
    <w:uiPriority w:val="1"/>
    <w:qFormat/>
    <w:rsid w:val="0096031D"/>
  </w:style>
  <w:style w:type="character" w:customStyle="1" w:styleId="CharItalic">
    <w:name w:val="CharItalic"/>
    <w:basedOn w:val="OPCCharBase"/>
    <w:uiPriority w:val="1"/>
    <w:qFormat/>
    <w:rsid w:val="0096031D"/>
    <w:rPr>
      <w:i/>
    </w:rPr>
  </w:style>
  <w:style w:type="character" w:customStyle="1" w:styleId="CharPartNo">
    <w:name w:val="CharPartNo"/>
    <w:basedOn w:val="OPCCharBase"/>
    <w:uiPriority w:val="1"/>
    <w:qFormat/>
    <w:rsid w:val="0096031D"/>
  </w:style>
  <w:style w:type="character" w:customStyle="1" w:styleId="CharPartText">
    <w:name w:val="CharPartText"/>
    <w:basedOn w:val="OPCCharBase"/>
    <w:uiPriority w:val="1"/>
    <w:qFormat/>
    <w:rsid w:val="0096031D"/>
  </w:style>
  <w:style w:type="character" w:customStyle="1" w:styleId="CharSectno">
    <w:name w:val="CharSectno"/>
    <w:basedOn w:val="OPCCharBase"/>
    <w:qFormat/>
    <w:rsid w:val="0096031D"/>
  </w:style>
  <w:style w:type="character" w:customStyle="1" w:styleId="CharSubdNo">
    <w:name w:val="CharSubdNo"/>
    <w:basedOn w:val="OPCCharBase"/>
    <w:uiPriority w:val="1"/>
    <w:qFormat/>
    <w:rsid w:val="0096031D"/>
  </w:style>
  <w:style w:type="character" w:customStyle="1" w:styleId="CharSubdText">
    <w:name w:val="CharSubdText"/>
    <w:basedOn w:val="OPCCharBase"/>
    <w:uiPriority w:val="1"/>
    <w:qFormat/>
    <w:rsid w:val="0096031D"/>
  </w:style>
  <w:style w:type="paragraph" w:customStyle="1" w:styleId="CTA--">
    <w:name w:val="CTA --"/>
    <w:basedOn w:val="OPCParaBase"/>
    <w:next w:val="Normal"/>
    <w:rsid w:val="0096031D"/>
    <w:pPr>
      <w:spacing w:before="60" w:line="240" w:lineRule="atLeast"/>
      <w:ind w:left="142" w:hanging="142"/>
    </w:pPr>
    <w:rPr>
      <w:sz w:val="20"/>
    </w:rPr>
  </w:style>
  <w:style w:type="paragraph" w:customStyle="1" w:styleId="CTA-">
    <w:name w:val="CTA -"/>
    <w:basedOn w:val="OPCParaBase"/>
    <w:rsid w:val="0096031D"/>
    <w:pPr>
      <w:spacing w:before="60" w:line="240" w:lineRule="atLeast"/>
      <w:ind w:left="85" w:hanging="85"/>
    </w:pPr>
    <w:rPr>
      <w:sz w:val="20"/>
    </w:rPr>
  </w:style>
  <w:style w:type="paragraph" w:customStyle="1" w:styleId="CTA---">
    <w:name w:val="CTA ---"/>
    <w:basedOn w:val="OPCParaBase"/>
    <w:next w:val="Normal"/>
    <w:rsid w:val="0096031D"/>
    <w:pPr>
      <w:spacing w:before="60" w:line="240" w:lineRule="atLeast"/>
      <w:ind w:left="198" w:hanging="198"/>
    </w:pPr>
    <w:rPr>
      <w:sz w:val="20"/>
    </w:rPr>
  </w:style>
  <w:style w:type="paragraph" w:customStyle="1" w:styleId="CTA----">
    <w:name w:val="CTA ----"/>
    <w:basedOn w:val="OPCParaBase"/>
    <w:next w:val="Normal"/>
    <w:rsid w:val="0096031D"/>
    <w:pPr>
      <w:spacing w:before="60" w:line="240" w:lineRule="atLeast"/>
      <w:ind w:left="255" w:hanging="255"/>
    </w:pPr>
    <w:rPr>
      <w:sz w:val="20"/>
    </w:rPr>
  </w:style>
  <w:style w:type="paragraph" w:customStyle="1" w:styleId="CTA1a">
    <w:name w:val="CTA 1(a)"/>
    <w:basedOn w:val="OPCParaBase"/>
    <w:rsid w:val="0096031D"/>
    <w:pPr>
      <w:tabs>
        <w:tab w:val="right" w:pos="414"/>
      </w:tabs>
      <w:spacing w:before="40" w:line="240" w:lineRule="atLeast"/>
      <w:ind w:left="675" w:hanging="675"/>
    </w:pPr>
    <w:rPr>
      <w:sz w:val="20"/>
    </w:rPr>
  </w:style>
  <w:style w:type="paragraph" w:customStyle="1" w:styleId="CTA1ai">
    <w:name w:val="CTA 1(a)(i)"/>
    <w:basedOn w:val="OPCParaBase"/>
    <w:rsid w:val="0096031D"/>
    <w:pPr>
      <w:tabs>
        <w:tab w:val="right" w:pos="1004"/>
      </w:tabs>
      <w:spacing w:before="40" w:line="240" w:lineRule="atLeast"/>
      <w:ind w:left="1253" w:hanging="1253"/>
    </w:pPr>
    <w:rPr>
      <w:sz w:val="20"/>
    </w:rPr>
  </w:style>
  <w:style w:type="paragraph" w:customStyle="1" w:styleId="CTA2a">
    <w:name w:val="CTA 2(a)"/>
    <w:basedOn w:val="OPCParaBase"/>
    <w:rsid w:val="0096031D"/>
    <w:pPr>
      <w:tabs>
        <w:tab w:val="right" w:pos="482"/>
      </w:tabs>
      <w:spacing w:before="40" w:line="240" w:lineRule="atLeast"/>
      <w:ind w:left="748" w:hanging="748"/>
    </w:pPr>
    <w:rPr>
      <w:sz w:val="20"/>
    </w:rPr>
  </w:style>
  <w:style w:type="paragraph" w:customStyle="1" w:styleId="CTA2ai">
    <w:name w:val="CTA 2(a)(i)"/>
    <w:basedOn w:val="OPCParaBase"/>
    <w:rsid w:val="0096031D"/>
    <w:pPr>
      <w:tabs>
        <w:tab w:val="right" w:pos="1089"/>
      </w:tabs>
      <w:spacing w:before="40" w:line="240" w:lineRule="atLeast"/>
      <w:ind w:left="1327" w:hanging="1327"/>
    </w:pPr>
    <w:rPr>
      <w:sz w:val="20"/>
    </w:rPr>
  </w:style>
  <w:style w:type="paragraph" w:customStyle="1" w:styleId="CTA3a">
    <w:name w:val="CTA 3(a)"/>
    <w:basedOn w:val="OPCParaBase"/>
    <w:rsid w:val="0096031D"/>
    <w:pPr>
      <w:tabs>
        <w:tab w:val="right" w:pos="556"/>
      </w:tabs>
      <w:spacing w:before="40" w:line="240" w:lineRule="atLeast"/>
      <w:ind w:left="805" w:hanging="805"/>
    </w:pPr>
    <w:rPr>
      <w:sz w:val="20"/>
    </w:rPr>
  </w:style>
  <w:style w:type="paragraph" w:customStyle="1" w:styleId="CTA3ai">
    <w:name w:val="CTA 3(a)(i)"/>
    <w:basedOn w:val="OPCParaBase"/>
    <w:rsid w:val="0096031D"/>
    <w:pPr>
      <w:tabs>
        <w:tab w:val="right" w:pos="1140"/>
      </w:tabs>
      <w:spacing w:before="40" w:line="240" w:lineRule="atLeast"/>
      <w:ind w:left="1361" w:hanging="1361"/>
    </w:pPr>
    <w:rPr>
      <w:sz w:val="20"/>
    </w:rPr>
  </w:style>
  <w:style w:type="paragraph" w:customStyle="1" w:styleId="CTA4a">
    <w:name w:val="CTA 4(a)"/>
    <w:basedOn w:val="OPCParaBase"/>
    <w:rsid w:val="0096031D"/>
    <w:pPr>
      <w:tabs>
        <w:tab w:val="right" w:pos="624"/>
      </w:tabs>
      <w:spacing w:before="40" w:line="240" w:lineRule="atLeast"/>
      <w:ind w:left="873" w:hanging="873"/>
    </w:pPr>
    <w:rPr>
      <w:sz w:val="20"/>
    </w:rPr>
  </w:style>
  <w:style w:type="paragraph" w:customStyle="1" w:styleId="CTA4ai">
    <w:name w:val="CTA 4(a)(i)"/>
    <w:basedOn w:val="OPCParaBase"/>
    <w:rsid w:val="0096031D"/>
    <w:pPr>
      <w:tabs>
        <w:tab w:val="right" w:pos="1213"/>
      </w:tabs>
      <w:spacing w:before="40" w:line="240" w:lineRule="atLeast"/>
      <w:ind w:left="1452" w:hanging="1452"/>
    </w:pPr>
    <w:rPr>
      <w:sz w:val="20"/>
    </w:rPr>
  </w:style>
  <w:style w:type="paragraph" w:customStyle="1" w:styleId="CTACAPS">
    <w:name w:val="CTA CAPS"/>
    <w:basedOn w:val="OPCParaBase"/>
    <w:rsid w:val="0096031D"/>
    <w:pPr>
      <w:spacing w:before="60" w:line="240" w:lineRule="atLeast"/>
    </w:pPr>
    <w:rPr>
      <w:sz w:val="20"/>
    </w:rPr>
  </w:style>
  <w:style w:type="paragraph" w:customStyle="1" w:styleId="CTAright">
    <w:name w:val="CTA right"/>
    <w:basedOn w:val="OPCParaBase"/>
    <w:rsid w:val="0096031D"/>
    <w:pPr>
      <w:spacing w:before="60" w:line="240" w:lineRule="auto"/>
      <w:jc w:val="right"/>
    </w:pPr>
    <w:rPr>
      <w:sz w:val="20"/>
    </w:rPr>
  </w:style>
  <w:style w:type="paragraph" w:customStyle="1" w:styleId="subsection">
    <w:name w:val="subsection"/>
    <w:aliases w:val="ss"/>
    <w:basedOn w:val="OPCParaBase"/>
    <w:link w:val="subsectionChar"/>
    <w:rsid w:val="0096031D"/>
    <w:pPr>
      <w:tabs>
        <w:tab w:val="right" w:pos="1021"/>
      </w:tabs>
      <w:spacing w:before="180" w:line="240" w:lineRule="auto"/>
      <w:ind w:left="1134" w:hanging="1134"/>
    </w:pPr>
  </w:style>
  <w:style w:type="paragraph" w:customStyle="1" w:styleId="Definition">
    <w:name w:val="Definition"/>
    <w:aliases w:val="dd"/>
    <w:basedOn w:val="OPCParaBase"/>
    <w:rsid w:val="0096031D"/>
    <w:pPr>
      <w:spacing w:before="180" w:line="240" w:lineRule="auto"/>
      <w:ind w:left="1134"/>
    </w:pPr>
  </w:style>
  <w:style w:type="paragraph" w:customStyle="1" w:styleId="ETAsubitem">
    <w:name w:val="ETA(subitem)"/>
    <w:basedOn w:val="OPCParaBase"/>
    <w:rsid w:val="0096031D"/>
    <w:pPr>
      <w:tabs>
        <w:tab w:val="right" w:pos="340"/>
      </w:tabs>
      <w:spacing w:before="60" w:line="240" w:lineRule="auto"/>
      <w:ind w:left="454" w:hanging="454"/>
    </w:pPr>
    <w:rPr>
      <w:sz w:val="20"/>
    </w:rPr>
  </w:style>
  <w:style w:type="paragraph" w:customStyle="1" w:styleId="ETApara">
    <w:name w:val="ETA(para)"/>
    <w:basedOn w:val="OPCParaBase"/>
    <w:rsid w:val="0096031D"/>
    <w:pPr>
      <w:tabs>
        <w:tab w:val="right" w:pos="754"/>
      </w:tabs>
      <w:spacing w:before="60" w:line="240" w:lineRule="auto"/>
      <w:ind w:left="828" w:hanging="828"/>
    </w:pPr>
    <w:rPr>
      <w:sz w:val="20"/>
    </w:rPr>
  </w:style>
  <w:style w:type="paragraph" w:customStyle="1" w:styleId="ETAsubpara">
    <w:name w:val="ETA(subpara)"/>
    <w:basedOn w:val="OPCParaBase"/>
    <w:rsid w:val="0096031D"/>
    <w:pPr>
      <w:tabs>
        <w:tab w:val="right" w:pos="1083"/>
      </w:tabs>
      <w:spacing w:before="60" w:line="240" w:lineRule="auto"/>
      <w:ind w:left="1191" w:hanging="1191"/>
    </w:pPr>
    <w:rPr>
      <w:sz w:val="20"/>
    </w:rPr>
  </w:style>
  <w:style w:type="paragraph" w:customStyle="1" w:styleId="ETAsub-subpara">
    <w:name w:val="ETA(sub-subpara)"/>
    <w:basedOn w:val="OPCParaBase"/>
    <w:rsid w:val="0096031D"/>
    <w:pPr>
      <w:tabs>
        <w:tab w:val="right" w:pos="1412"/>
      </w:tabs>
      <w:spacing w:before="60" w:line="240" w:lineRule="auto"/>
      <w:ind w:left="1525" w:hanging="1525"/>
    </w:pPr>
    <w:rPr>
      <w:sz w:val="20"/>
    </w:rPr>
  </w:style>
  <w:style w:type="paragraph" w:customStyle="1" w:styleId="Formula">
    <w:name w:val="Formula"/>
    <w:basedOn w:val="OPCParaBase"/>
    <w:rsid w:val="0096031D"/>
    <w:pPr>
      <w:spacing w:line="240" w:lineRule="auto"/>
      <w:ind w:left="1134"/>
    </w:pPr>
    <w:rPr>
      <w:sz w:val="20"/>
    </w:rPr>
  </w:style>
  <w:style w:type="paragraph" w:styleId="Header">
    <w:name w:val="header"/>
    <w:basedOn w:val="OPCParaBase"/>
    <w:link w:val="HeaderChar"/>
    <w:unhideWhenUsed/>
    <w:rsid w:val="0096031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6031D"/>
    <w:rPr>
      <w:rFonts w:eastAsia="Times New Roman" w:cs="Times New Roman"/>
      <w:sz w:val="16"/>
      <w:lang w:eastAsia="en-AU"/>
    </w:rPr>
  </w:style>
  <w:style w:type="paragraph" w:customStyle="1" w:styleId="House">
    <w:name w:val="House"/>
    <w:basedOn w:val="OPCParaBase"/>
    <w:rsid w:val="0096031D"/>
    <w:pPr>
      <w:spacing w:line="240" w:lineRule="auto"/>
    </w:pPr>
    <w:rPr>
      <w:sz w:val="28"/>
    </w:rPr>
  </w:style>
  <w:style w:type="paragraph" w:customStyle="1" w:styleId="Item">
    <w:name w:val="Item"/>
    <w:aliases w:val="i"/>
    <w:basedOn w:val="OPCParaBase"/>
    <w:next w:val="ItemHead"/>
    <w:rsid w:val="0096031D"/>
    <w:pPr>
      <w:keepLines/>
      <w:spacing w:before="80" w:line="240" w:lineRule="auto"/>
      <w:ind w:left="709"/>
    </w:pPr>
  </w:style>
  <w:style w:type="paragraph" w:customStyle="1" w:styleId="ItemHead">
    <w:name w:val="ItemHead"/>
    <w:aliases w:val="ih"/>
    <w:basedOn w:val="OPCParaBase"/>
    <w:next w:val="Item"/>
    <w:rsid w:val="0096031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6031D"/>
    <w:pPr>
      <w:spacing w:line="240" w:lineRule="auto"/>
    </w:pPr>
    <w:rPr>
      <w:b/>
      <w:sz w:val="32"/>
    </w:rPr>
  </w:style>
  <w:style w:type="paragraph" w:customStyle="1" w:styleId="notedraft">
    <w:name w:val="note(draft)"/>
    <w:aliases w:val="nd"/>
    <w:basedOn w:val="OPCParaBase"/>
    <w:rsid w:val="0096031D"/>
    <w:pPr>
      <w:spacing w:before="240" w:line="240" w:lineRule="auto"/>
      <w:ind w:left="284" w:hanging="284"/>
    </w:pPr>
    <w:rPr>
      <w:i/>
      <w:sz w:val="24"/>
    </w:rPr>
  </w:style>
  <w:style w:type="paragraph" w:customStyle="1" w:styleId="notemargin">
    <w:name w:val="note(margin)"/>
    <w:aliases w:val="nm"/>
    <w:basedOn w:val="OPCParaBase"/>
    <w:rsid w:val="0096031D"/>
    <w:pPr>
      <w:tabs>
        <w:tab w:val="left" w:pos="709"/>
      </w:tabs>
      <w:spacing w:before="122" w:line="198" w:lineRule="exact"/>
      <w:ind w:left="709" w:hanging="709"/>
    </w:pPr>
    <w:rPr>
      <w:sz w:val="18"/>
    </w:rPr>
  </w:style>
  <w:style w:type="paragraph" w:customStyle="1" w:styleId="noteToPara">
    <w:name w:val="noteToPara"/>
    <w:aliases w:val="ntp"/>
    <w:basedOn w:val="OPCParaBase"/>
    <w:rsid w:val="0096031D"/>
    <w:pPr>
      <w:spacing w:before="122" w:line="198" w:lineRule="exact"/>
      <w:ind w:left="2353" w:hanging="709"/>
    </w:pPr>
    <w:rPr>
      <w:sz w:val="18"/>
    </w:rPr>
  </w:style>
  <w:style w:type="paragraph" w:customStyle="1" w:styleId="noteParlAmend">
    <w:name w:val="note(ParlAmend)"/>
    <w:aliases w:val="npp"/>
    <w:basedOn w:val="OPCParaBase"/>
    <w:next w:val="ParlAmend"/>
    <w:rsid w:val="0096031D"/>
    <w:pPr>
      <w:spacing w:line="240" w:lineRule="auto"/>
      <w:jc w:val="right"/>
    </w:pPr>
    <w:rPr>
      <w:rFonts w:ascii="Arial" w:hAnsi="Arial"/>
      <w:b/>
      <w:i/>
    </w:rPr>
  </w:style>
  <w:style w:type="paragraph" w:customStyle="1" w:styleId="Page1">
    <w:name w:val="Page1"/>
    <w:basedOn w:val="OPCParaBase"/>
    <w:rsid w:val="0096031D"/>
    <w:pPr>
      <w:spacing w:before="400" w:line="240" w:lineRule="auto"/>
    </w:pPr>
    <w:rPr>
      <w:b/>
      <w:sz w:val="32"/>
    </w:rPr>
  </w:style>
  <w:style w:type="paragraph" w:customStyle="1" w:styleId="PageBreak">
    <w:name w:val="PageBreak"/>
    <w:aliases w:val="pb"/>
    <w:basedOn w:val="OPCParaBase"/>
    <w:rsid w:val="0096031D"/>
    <w:pPr>
      <w:spacing w:line="240" w:lineRule="auto"/>
    </w:pPr>
    <w:rPr>
      <w:sz w:val="20"/>
    </w:rPr>
  </w:style>
  <w:style w:type="paragraph" w:customStyle="1" w:styleId="paragraphsub">
    <w:name w:val="paragraph(sub)"/>
    <w:aliases w:val="aa"/>
    <w:basedOn w:val="OPCParaBase"/>
    <w:rsid w:val="0096031D"/>
    <w:pPr>
      <w:tabs>
        <w:tab w:val="right" w:pos="1985"/>
      </w:tabs>
      <w:spacing w:before="40" w:line="240" w:lineRule="auto"/>
      <w:ind w:left="2098" w:hanging="2098"/>
    </w:pPr>
  </w:style>
  <w:style w:type="paragraph" w:customStyle="1" w:styleId="paragraphsub-sub">
    <w:name w:val="paragraph(sub-sub)"/>
    <w:aliases w:val="aaa"/>
    <w:basedOn w:val="OPCParaBase"/>
    <w:rsid w:val="0096031D"/>
    <w:pPr>
      <w:tabs>
        <w:tab w:val="right" w:pos="2722"/>
      </w:tabs>
      <w:spacing w:before="40" w:line="240" w:lineRule="auto"/>
      <w:ind w:left="2835" w:hanging="2835"/>
    </w:pPr>
  </w:style>
  <w:style w:type="paragraph" w:customStyle="1" w:styleId="paragraph">
    <w:name w:val="paragraph"/>
    <w:aliases w:val="a"/>
    <w:basedOn w:val="OPCParaBase"/>
    <w:link w:val="paragraphChar"/>
    <w:rsid w:val="0096031D"/>
    <w:pPr>
      <w:tabs>
        <w:tab w:val="right" w:pos="1531"/>
      </w:tabs>
      <w:spacing w:before="40" w:line="240" w:lineRule="auto"/>
      <w:ind w:left="1644" w:hanging="1644"/>
    </w:pPr>
  </w:style>
  <w:style w:type="paragraph" w:customStyle="1" w:styleId="ParlAmend">
    <w:name w:val="ParlAmend"/>
    <w:aliases w:val="pp"/>
    <w:basedOn w:val="OPCParaBase"/>
    <w:rsid w:val="0096031D"/>
    <w:pPr>
      <w:spacing w:before="240" w:line="240" w:lineRule="atLeast"/>
      <w:ind w:hanging="567"/>
    </w:pPr>
    <w:rPr>
      <w:sz w:val="24"/>
    </w:rPr>
  </w:style>
  <w:style w:type="paragraph" w:customStyle="1" w:styleId="Penalty">
    <w:name w:val="Penalty"/>
    <w:basedOn w:val="OPCParaBase"/>
    <w:rsid w:val="0096031D"/>
    <w:pPr>
      <w:tabs>
        <w:tab w:val="left" w:pos="2977"/>
      </w:tabs>
      <w:spacing w:before="180" w:line="240" w:lineRule="auto"/>
      <w:ind w:left="1985" w:hanging="851"/>
    </w:pPr>
  </w:style>
  <w:style w:type="paragraph" w:customStyle="1" w:styleId="Portfolio">
    <w:name w:val="Portfolio"/>
    <w:basedOn w:val="OPCParaBase"/>
    <w:rsid w:val="0096031D"/>
    <w:pPr>
      <w:spacing w:line="240" w:lineRule="auto"/>
    </w:pPr>
    <w:rPr>
      <w:i/>
      <w:sz w:val="20"/>
    </w:rPr>
  </w:style>
  <w:style w:type="paragraph" w:customStyle="1" w:styleId="Preamble">
    <w:name w:val="Preamble"/>
    <w:basedOn w:val="OPCParaBase"/>
    <w:next w:val="Normal"/>
    <w:rsid w:val="0096031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6031D"/>
    <w:pPr>
      <w:spacing w:line="240" w:lineRule="auto"/>
    </w:pPr>
    <w:rPr>
      <w:i/>
      <w:sz w:val="20"/>
    </w:rPr>
  </w:style>
  <w:style w:type="paragraph" w:customStyle="1" w:styleId="Session">
    <w:name w:val="Session"/>
    <w:basedOn w:val="OPCParaBase"/>
    <w:rsid w:val="0096031D"/>
    <w:pPr>
      <w:spacing w:line="240" w:lineRule="auto"/>
    </w:pPr>
    <w:rPr>
      <w:sz w:val="28"/>
    </w:rPr>
  </w:style>
  <w:style w:type="paragraph" w:customStyle="1" w:styleId="Sponsor">
    <w:name w:val="Sponsor"/>
    <w:basedOn w:val="OPCParaBase"/>
    <w:rsid w:val="0096031D"/>
    <w:pPr>
      <w:spacing w:line="240" w:lineRule="auto"/>
    </w:pPr>
    <w:rPr>
      <w:i/>
    </w:rPr>
  </w:style>
  <w:style w:type="paragraph" w:customStyle="1" w:styleId="Subitem">
    <w:name w:val="Subitem"/>
    <w:aliases w:val="iss"/>
    <w:basedOn w:val="OPCParaBase"/>
    <w:rsid w:val="0096031D"/>
    <w:pPr>
      <w:spacing w:before="180" w:line="240" w:lineRule="auto"/>
      <w:ind w:left="709" w:hanging="709"/>
    </w:pPr>
  </w:style>
  <w:style w:type="paragraph" w:customStyle="1" w:styleId="SubitemHead">
    <w:name w:val="SubitemHead"/>
    <w:aliases w:val="issh"/>
    <w:basedOn w:val="OPCParaBase"/>
    <w:rsid w:val="0096031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6031D"/>
    <w:pPr>
      <w:spacing w:before="40" w:line="240" w:lineRule="auto"/>
      <w:ind w:left="1134"/>
    </w:pPr>
  </w:style>
  <w:style w:type="paragraph" w:customStyle="1" w:styleId="SubsectionHead">
    <w:name w:val="SubsectionHead"/>
    <w:aliases w:val="ssh"/>
    <w:basedOn w:val="OPCParaBase"/>
    <w:next w:val="subsection"/>
    <w:rsid w:val="0096031D"/>
    <w:pPr>
      <w:keepNext/>
      <w:keepLines/>
      <w:spacing w:before="240" w:line="240" w:lineRule="auto"/>
      <w:ind w:left="1134"/>
    </w:pPr>
    <w:rPr>
      <w:i/>
    </w:rPr>
  </w:style>
  <w:style w:type="paragraph" w:customStyle="1" w:styleId="Tablea">
    <w:name w:val="Table(a)"/>
    <w:aliases w:val="ta"/>
    <w:basedOn w:val="OPCParaBase"/>
    <w:rsid w:val="0096031D"/>
    <w:pPr>
      <w:spacing w:before="60" w:line="240" w:lineRule="auto"/>
      <w:ind w:left="284" w:hanging="284"/>
    </w:pPr>
    <w:rPr>
      <w:sz w:val="20"/>
    </w:rPr>
  </w:style>
  <w:style w:type="paragraph" w:customStyle="1" w:styleId="TableAA">
    <w:name w:val="Table(AA)"/>
    <w:aliases w:val="taaa"/>
    <w:basedOn w:val="OPCParaBase"/>
    <w:rsid w:val="0096031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6031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6031D"/>
    <w:pPr>
      <w:spacing w:before="60" w:line="240" w:lineRule="atLeast"/>
    </w:pPr>
    <w:rPr>
      <w:sz w:val="20"/>
    </w:rPr>
  </w:style>
  <w:style w:type="paragraph" w:customStyle="1" w:styleId="TLPBoxTextnote">
    <w:name w:val="TLPBoxText(note"/>
    <w:aliases w:val="right)"/>
    <w:basedOn w:val="OPCParaBase"/>
    <w:rsid w:val="0096031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6031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6031D"/>
    <w:pPr>
      <w:spacing w:before="122" w:line="198" w:lineRule="exact"/>
      <w:ind w:left="1985" w:hanging="851"/>
      <w:jc w:val="right"/>
    </w:pPr>
    <w:rPr>
      <w:sz w:val="18"/>
    </w:rPr>
  </w:style>
  <w:style w:type="paragraph" w:customStyle="1" w:styleId="TLPTableBullet">
    <w:name w:val="TLPTableBullet"/>
    <w:aliases w:val="ttb"/>
    <w:basedOn w:val="OPCParaBase"/>
    <w:rsid w:val="0096031D"/>
    <w:pPr>
      <w:spacing w:line="240" w:lineRule="exact"/>
      <w:ind w:left="284" w:hanging="284"/>
    </w:pPr>
    <w:rPr>
      <w:sz w:val="20"/>
    </w:rPr>
  </w:style>
  <w:style w:type="paragraph" w:styleId="TOC1">
    <w:name w:val="toc 1"/>
    <w:basedOn w:val="OPCParaBase"/>
    <w:next w:val="Normal"/>
    <w:uiPriority w:val="39"/>
    <w:semiHidden/>
    <w:unhideWhenUsed/>
    <w:rsid w:val="0096031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6031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6031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6031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A622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6031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6031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6031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6031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6031D"/>
    <w:pPr>
      <w:keepLines/>
      <w:spacing w:before="240" w:after="120" w:line="240" w:lineRule="auto"/>
      <w:ind w:left="794"/>
    </w:pPr>
    <w:rPr>
      <w:b/>
      <w:kern w:val="28"/>
      <w:sz w:val="20"/>
    </w:rPr>
  </w:style>
  <w:style w:type="paragraph" w:customStyle="1" w:styleId="TofSectsHeading">
    <w:name w:val="TofSects(Heading)"/>
    <w:basedOn w:val="OPCParaBase"/>
    <w:rsid w:val="0096031D"/>
    <w:pPr>
      <w:spacing w:before="240" w:after="120" w:line="240" w:lineRule="auto"/>
    </w:pPr>
    <w:rPr>
      <w:b/>
      <w:sz w:val="24"/>
    </w:rPr>
  </w:style>
  <w:style w:type="paragraph" w:customStyle="1" w:styleId="TofSectsSection">
    <w:name w:val="TofSects(Section)"/>
    <w:basedOn w:val="OPCParaBase"/>
    <w:rsid w:val="0096031D"/>
    <w:pPr>
      <w:keepLines/>
      <w:spacing w:before="40" w:line="240" w:lineRule="auto"/>
      <w:ind w:left="1588" w:hanging="794"/>
    </w:pPr>
    <w:rPr>
      <w:kern w:val="28"/>
      <w:sz w:val="18"/>
    </w:rPr>
  </w:style>
  <w:style w:type="paragraph" w:customStyle="1" w:styleId="TofSectsSubdiv">
    <w:name w:val="TofSects(Subdiv)"/>
    <w:basedOn w:val="OPCParaBase"/>
    <w:rsid w:val="0096031D"/>
    <w:pPr>
      <w:keepLines/>
      <w:spacing w:before="80" w:line="240" w:lineRule="auto"/>
      <w:ind w:left="1588" w:hanging="794"/>
    </w:pPr>
    <w:rPr>
      <w:kern w:val="28"/>
    </w:rPr>
  </w:style>
  <w:style w:type="paragraph" w:customStyle="1" w:styleId="WRStyle">
    <w:name w:val="WR Style"/>
    <w:aliases w:val="WR"/>
    <w:basedOn w:val="OPCParaBase"/>
    <w:rsid w:val="0096031D"/>
    <w:pPr>
      <w:spacing w:before="240" w:line="240" w:lineRule="auto"/>
      <w:ind w:left="284" w:hanging="284"/>
    </w:pPr>
    <w:rPr>
      <w:b/>
      <w:i/>
      <w:kern w:val="28"/>
      <w:sz w:val="24"/>
    </w:rPr>
  </w:style>
  <w:style w:type="paragraph" w:customStyle="1" w:styleId="notepara">
    <w:name w:val="note(para)"/>
    <w:aliases w:val="na"/>
    <w:basedOn w:val="OPCParaBase"/>
    <w:rsid w:val="0096031D"/>
    <w:pPr>
      <w:spacing w:before="40" w:line="198" w:lineRule="exact"/>
      <w:ind w:left="2354" w:hanging="369"/>
    </w:pPr>
    <w:rPr>
      <w:sz w:val="18"/>
    </w:rPr>
  </w:style>
  <w:style w:type="paragraph" w:styleId="Footer">
    <w:name w:val="footer"/>
    <w:link w:val="FooterChar"/>
    <w:rsid w:val="0096031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6031D"/>
    <w:rPr>
      <w:rFonts w:eastAsia="Times New Roman" w:cs="Times New Roman"/>
      <w:sz w:val="22"/>
      <w:szCs w:val="24"/>
      <w:lang w:eastAsia="en-AU"/>
    </w:rPr>
  </w:style>
  <w:style w:type="character" w:styleId="LineNumber">
    <w:name w:val="line number"/>
    <w:basedOn w:val="OPCCharBase"/>
    <w:uiPriority w:val="99"/>
    <w:semiHidden/>
    <w:unhideWhenUsed/>
    <w:rsid w:val="0096031D"/>
    <w:rPr>
      <w:sz w:val="16"/>
    </w:rPr>
  </w:style>
  <w:style w:type="table" w:customStyle="1" w:styleId="CFlag">
    <w:name w:val="CFlag"/>
    <w:basedOn w:val="TableNormal"/>
    <w:uiPriority w:val="99"/>
    <w:rsid w:val="0096031D"/>
    <w:rPr>
      <w:rFonts w:eastAsia="Times New Roman" w:cs="Times New Roman"/>
      <w:lang w:eastAsia="en-AU"/>
    </w:rPr>
    <w:tblPr/>
  </w:style>
  <w:style w:type="paragraph" w:customStyle="1" w:styleId="NotesHeading1">
    <w:name w:val="NotesHeading 1"/>
    <w:basedOn w:val="OPCParaBase"/>
    <w:next w:val="Normal"/>
    <w:rsid w:val="0096031D"/>
    <w:rPr>
      <w:b/>
      <w:sz w:val="28"/>
      <w:szCs w:val="28"/>
    </w:rPr>
  </w:style>
  <w:style w:type="paragraph" w:customStyle="1" w:styleId="NotesHeading2">
    <w:name w:val="NotesHeading 2"/>
    <w:basedOn w:val="OPCParaBase"/>
    <w:next w:val="Normal"/>
    <w:rsid w:val="0096031D"/>
    <w:rPr>
      <w:b/>
      <w:sz w:val="28"/>
      <w:szCs w:val="28"/>
    </w:rPr>
  </w:style>
  <w:style w:type="paragraph" w:customStyle="1" w:styleId="SignCoverPageEnd">
    <w:name w:val="SignCoverPageEnd"/>
    <w:basedOn w:val="OPCParaBase"/>
    <w:next w:val="Normal"/>
    <w:rsid w:val="0096031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6031D"/>
    <w:pPr>
      <w:pBdr>
        <w:top w:val="single" w:sz="4" w:space="1" w:color="auto"/>
      </w:pBdr>
      <w:spacing w:before="360"/>
      <w:ind w:right="397"/>
      <w:jc w:val="both"/>
    </w:pPr>
  </w:style>
  <w:style w:type="paragraph" w:customStyle="1" w:styleId="Paragraphsub-sub-sub">
    <w:name w:val="Paragraph(sub-sub-sub)"/>
    <w:aliases w:val="aaaa"/>
    <w:basedOn w:val="OPCParaBase"/>
    <w:rsid w:val="0096031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6031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6031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6031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6031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6031D"/>
    <w:pPr>
      <w:spacing w:before="120"/>
    </w:pPr>
  </w:style>
  <w:style w:type="paragraph" w:customStyle="1" w:styleId="TableTextEndNotes">
    <w:name w:val="TableTextEndNotes"/>
    <w:aliases w:val="Tten"/>
    <w:basedOn w:val="Normal"/>
    <w:rsid w:val="0096031D"/>
    <w:pPr>
      <w:spacing w:before="60" w:line="240" w:lineRule="auto"/>
    </w:pPr>
    <w:rPr>
      <w:rFonts w:cs="Arial"/>
      <w:sz w:val="20"/>
      <w:szCs w:val="22"/>
    </w:rPr>
  </w:style>
  <w:style w:type="paragraph" w:customStyle="1" w:styleId="TableHeading">
    <w:name w:val="TableHeading"/>
    <w:aliases w:val="th"/>
    <w:basedOn w:val="OPCParaBase"/>
    <w:next w:val="Tabletext"/>
    <w:rsid w:val="0096031D"/>
    <w:pPr>
      <w:keepNext/>
      <w:spacing w:before="60" w:line="240" w:lineRule="atLeast"/>
    </w:pPr>
    <w:rPr>
      <w:b/>
      <w:sz w:val="20"/>
    </w:rPr>
  </w:style>
  <w:style w:type="paragraph" w:customStyle="1" w:styleId="NoteToSubpara">
    <w:name w:val="NoteToSubpara"/>
    <w:aliases w:val="nts"/>
    <w:basedOn w:val="OPCParaBase"/>
    <w:rsid w:val="0096031D"/>
    <w:pPr>
      <w:spacing w:before="40" w:line="198" w:lineRule="exact"/>
      <w:ind w:left="2835" w:hanging="709"/>
    </w:pPr>
    <w:rPr>
      <w:sz w:val="18"/>
    </w:rPr>
  </w:style>
  <w:style w:type="paragraph" w:customStyle="1" w:styleId="ENoteTableHeading">
    <w:name w:val="ENoteTableHeading"/>
    <w:aliases w:val="enth"/>
    <w:basedOn w:val="OPCParaBase"/>
    <w:rsid w:val="0096031D"/>
    <w:pPr>
      <w:keepNext/>
      <w:spacing w:before="60" w:line="240" w:lineRule="atLeast"/>
    </w:pPr>
    <w:rPr>
      <w:rFonts w:ascii="Arial" w:hAnsi="Arial"/>
      <w:b/>
      <w:sz w:val="16"/>
    </w:rPr>
  </w:style>
  <w:style w:type="paragraph" w:customStyle="1" w:styleId="ENoteTTi">
    <w:name w:val="ENoteTTi"/>
    <w:aliases w:val="entti"/>
    <w:basedOn w:val="OPCParaBase"/>
    <w:rsid w:val="0096031D"/>
    <w:pPr>
      <w:keepNext/>
      <w:spacing w:before="60" w:line="240" w:lineRule="atLeast"/>
      <w:ind w:left="170"/>
    </w:pPr>
    <w:rPr>
      <w:sz w:val="16"/>
    </w:rPr>
  </w:style>
  <w:style w:type="paragraph" w:customStyle="1" w:styleId="ENotesHeading1">
    <w:name w:val="ENotesHeading 1"/>
    <w:aliases w:val="Enh1"/>
    <w:basedOn w:val="OPCParaBase"/>
    <w:next w:val="Normal"/>
    <w:rsid w:val="0096031D"/>
    <w:pPr>
      <w:spacing w:before="120"/>
      <w:outlineLvl w:val="1"/>
    </w:pPr>
    <w:rPr>
      <w:b/>
      <w:sz w:val="28"/>
      <w:szCs w:val="28"/>
    </w:rPr>
  </w:style>
  <w:style w:type="paragraph" w:customStyle="1" w:styleId="ENotesHeading2">
    <w:name w:val="ENotesHeading 2"/>
    <w:aliases w:val="Enh2"/>
    <w:basedOn w:val="OPCParaBase"/>
    <w:next w:val="Normal"/>
    <w:rsid w:val="0096031D"/>
    <w:pPr>
      <w:spacing w:before="120" w:after="120"/>
      <w:outlineLvl w:val="2"/>
    </w:pPr>
    <w:rPr>
      <w:b/>
      <w:sz w:val="24"/>
      <w:szCs w:val="28"/>
    </w:rPr>
  </w:style>
  <w:style w:type="paragraph" w:customStyle="1" w:styleId="ENoteTTIndentHeading">
    <w:name w:val="ENoteTTIndentHeading"/>
    <w:aliases w:val="enTTHi"/>
    <w:basedOn w:val="OPCParaBase"/>
    <w:rsid w:val="0096031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6031D"/>
    <w:pPr>
      <w:spacing w:before="60" w:line="240" w:lineRule="atLeast"/>
    </w:pPr>
    <w:rPr>
      <w:sz w:val="16"/>
    </w:rPr>
  </w:style>
  <w:style w:type="paragraph" w:customStyle="1" w:styleId="MadeunderText">
    <w:name w:val="MadeunderText"/>
    <w:basedOn w:val="OPCParaBase"/>
    <w:next w:val="Normal"/>
    <w:rsid w:val="0096031D"/>
    <w:pPr>
      <w:spacing w:before="240"/>
    </w:pPr>
    <w:rPr>
      <w:sz w:val="24"/>
      <w:szCs w:val="24"/>
    </w:rPr>
  </w:style>
  <w:style w:type="paragraph" w:customStyle="1" w:styleId="ENotesHeading3">
    <w:name w:val="ENotesHeading 3"/>
    <w:aliases w:val="Enh3"/>
    <w:basedOn w:val="OPCParaBase"/>
    <w:next w:val="Normal"/>
    <w:rsid w:val="0096031D"/>
    <w:pPr>
      <w:keepNext/>
      <w:spacing w:before="120" w:line="240" w:lineRule="auto"/>
      <w:outlineLvl w:val="4"/>
    </w:pPr>
    <w:rPr>
      <w:b/>
      <w:szCs w:val="24"/>
    </w:rPr>
  </w:style>
  <w:style w:type="paragraph" w:customStyle="1" w:styleId="SubPartCASA">
    <w:name w:val="SubPart(CASA)"/>
    <w:aliases w:val="csp"/>
    <w:basedOn w:val="OPCParaBase"/>
    <w:next w:val="ActHead3"/>
    <w:rsid w:val="0096031D"/>
    <w:pPr>
      <w:keepNext/>
      <w:keepLines/>
      <w:spacing w:before="280"/>
      <w:outlineLvl w:val="1"/>
    </w:pPr>
    <w:rPr>
      <w:b/>
      <w:kern w:val="28"/>
      <w:sz w:val="32"/>
    </w:rPr>
  </w:style>
  <w:style w:type="character" w:customStyle="1" w:styleId="CharSubPartTextCASA">
    <w:name w:val="CharSubPartText(CASA)"/>
    <w:basedOn w:val="OPCCharBase"/>
    <w:uiPriority w:val="1"/>
    <w:rsid w:val="0096031D"/>
  </w:style>
  <w:style w:type="character" w:customStyle="1" w:styleId="CharSubPartNoCASA">
    <w:name w:val="CharSubPartNo(CASA)"/>
    <w:basedOn w:val="OPCCharBase"/>
    <w:uiPriority w:val="1"/>
    <w:rsid w:val="0096031D"/>
  </w:style>
  <w:style w:type="paragraph" w:customStyle="1" w:styleId="ENoteTTIndentHeadingSub">
    <w:name w:val="ENoteTTIndentHeadingSub"/>
    <w:aliases w:val="enTTHis"/>
    <w:basedOn w:val="OPCParaBase"/>
    <w:rsid w:val="0096031D"/>
    <w:pPr>
      <w:keepNext/>
      <w:spacing w:before="60" w:line="240" w:lineRule="atLeast"/>
      <w:ind w:left="340"/>
    </w:pPr>
    <w:rPr>
      <w:b/>
      <w:sz w:val="16"/>
    </w:rPr>
  </w:style>
  <w:style w:type="paragraph" w:customStyle="1" w:styleId="ENoteTTiSub">
    <w:name w:val="ENoteTTiSub"/>
    <w:aliases w:val="enttis"/>
    <w:basedOn w:val="OPCParaBase"/>
    <w:rsid w:val="0096031D"/>
    <w:pPr>
      <w:keepNext/>
      <w:spacing w:before="60" w:line="240" w:lineRule="atLeast"/>
      <w:ind w:left="340"/>
    </w:pPr>
    <w:rPr>
      <w:sz w:val="16"/>
    </w:rPr>
  </w:style>
  <w:style w:type="paragraph" w:customStyle="1" w:styleId="SubDivisionMigration">
    <w:name w:val="SubDivisionMigration"/>
    <w:aliases w:val="sdm"/>
    <w:basedOn w:val="OPCParaBase"/>
    <w:rsid w:val="0096031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6031D"/>
    <w:pPr>
      <w:keepNext/>
      <w:keepLines/>
      <w:spacing w:before="240" w:line="240" w:lineRule="auto"/>
      <w:ind w:left="1134" w:hanging="1134"/>
    </w:pPr>
    <w:rPr>
      <w:b/>
      <w:sz w:val="28"/>
    </w:rPr>
  </w:style>
  <w:style w:type="table" w:styleId="TableGrid">
    <w:name w:val="Table Grid"/>
    <w:basedOn w:val="TableNormal"/>
    <w:uiPriority w:val="59"/>
    <w:rsid w:val="00960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6031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6031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6031D"/>
    <w:rPr>
      <w:sz w:val="22"/>
    </w:rPr>
  </w:style>
  <w:style w:type="paragraph" w:customStyle="1" w:styleId="SOTextNote">
    <w:name w:val="SO TextNote"/>
    <w:aliases w:val="sont"/>
    <w:basedOn w:val="SOText"/>
    <w:qFormat/>
    <w:rsid w:val="0096031D"/>
    <w:pPr>
      <w:spacing w:before="122" w:line="198" w:lineRule="exact"/>
      <w:ind w:left="1843" w:hanging="709"/>
    </w:pPr>
    <w:rPr>
      <w:sz w:val="18"/>
    </w:rPr>
  </w:style>
  <w:style w:type="paragraph" w:customStyle="1" w:styleId="SOPara">
    <w:name w:val="SO Para"/>
    <w:aliases w:val="soa"/>
    <w:basedOn w:val="SOText"/>
    <w:link w:val="SOParaChar"/>
    <w:qFormat/>
    <w:rsid w:val="0096031D"/>
    <w:pPr>
      <w:tabs>
        <w:tab w:val="right" w:pos="1786"/>
      </w:tabs>
      <w:spacing w:before="40"/>
      <w:ind w:left="2070" w:hanging="936"/>
    </w:pPr>
  </w:style>
  <w:style w:type="character" w:customStyle="1" w:styleId="SOParaChar">
    <w:name w:val="SO Para Char"/>
    <w:aliases w:val="soa Char"/>
    <w:basedOn w:val="DefaultParagraphFont"/>
    <w:link w:val="SOPara"/>
    <w:rsid w:val="0096031D"/>
    <w:rPr>
      <w:sz w:val="22"/>
    </w:rPr>
  </w:style>
  <w:style w:type="paragraph" w:customStyle="1" w:styleId="FileName">
    <w:name w:val="FileName"/>
    <w:basedOn w:val="Normal"/>
    <w:rsid w:val="0096031D"/>
  </w:style>
  <w:style w:type="paragraph" w:customStyle="1" w:styleId="SOHeadBold">
    <w:name w:val="SO HeadBold"/>
    <w:aliases w:val="sohb"/>
    <w:basedOn w:val="SOText"/>
    <w:next w:val="SOText"/>
    <w:link w:val="SOHeadBoldChar"/>
    <w:qFormat/>
    <w:rsid w:val="0096031D"/>
    <w:rPr>
      <w:b/>
    </w:rPr>
  </w:style>
  <w:style w:type="character" w:customStyle="1" w:styleId="SOHeadBoldChar">
    <w:name w:val="SO HeadBold Char"/>
    <w:aliases w:val="sohb Char"/>
    <w:basedOn w:val="DefaultParagraphFont"/>
    <w:link w:val="SOHeadBold"/>
    <w:rsid w:val="0096031D"/>
    <w:rPr>
      <w:b/>
      <w:sz w:val="22"/>
    </w:rPr>
  </w:style>
  <w:style w:type="paragraph" w:customStyle="1" w:styleId="SOHeadItalic">
    <w:name w:val="SO HeadItalic"/>
    <w:aliases w:val="sohi"/>
    <w:basedOn w:val="SOText"/>
    <w:next w:val="SOText"/>
    <w:link w:val="SOHeadItalicChar"/>
    <w:qFormat/>
    <w:rsid w:val="0096031D"/>
    <w:rPr>
      <w:i/>
    </w:rPr>
  </w:style>
  <w:style w:type="character" w:customStyle="1" w:styleId="SOHeadItalicChar">
    <w:name w:val="SO HeadItalic Char"/>
    <w:aliases w:val="sohi Char"/>
    <w:basedOn w:val="DefaultParagraphFont"/>
    <w:link w:val="SOHeadItalic"/>
    <w:rsid w:val="0096031D"/>
    <w:rPr>
      <w:i/>
      <w:sz w:val="22"/>
    </w:rPr>
  </w:style>
  <w:style w:type="paragraph" w:customStyle="1" w:styleId="SOBullet">
    <w:name w:val="SO Bullet"/>
    <w:aliases w:val="sotb"/>
    <w:basedOn w:val="SOText"/>
    <w:link w:val="SOBulletChar"/>
    <w:qFormat/>
    <w:rsid w:val="0096031D"/>
    <w:pPr>
      <w:ind w:left="1559" w:hanging="425"/>
    </w:pPr>
  </w:style>
  <w:style w:type="character" w:customStyle="1" w:styleId="SOBulletChar">
    <w:name w:val="SO Bullet Char"/>
    <w:aliases w:val="sotb Char"/>
    <w:basedOn w:val="DefaultParagraphFont"/>
    <w:link w:val="SOBullet"/>
    <w:rsid w:val="0096031D"/>
    <w:rPr>
      <w:sz w:val="22"/>
    </w:rPr>
  </w:style>
  <w:style w:type="paragraph" w:customStyle="1" w:styleId="SOBulletNote">
    <w:name w:val="SO BulletNote"/>
    <w:aliases w:val="sonb"/>
    <w:basedOn w:val="SOTextNote"/>
    <w:link w:val="SOBulletNoteChar"/>
    <w:qFormat/>
    <w:rsid w:val="0096031D"/>
    <w:pPr>
      <w:tabs>
        <w:tab w:val="left" w:pos="1560"/>
      </w:tabs>
      <w:ind w:left="2268" w:hanging="1134"/>
    </w:pPr>
  </w:style>
  <w:style w:type="character" w:customStyle="1" w:styleId="SOBulletNoteChar">
    <w:name w:val="SO BulletNote Char"/>
    <w:aliases w:val="sonb Char"/>
    <w:basedOn w:val="DefaultParagraphFont"/>
    <w:link w:val="SOBulletNote"/>
    <w:rsid w:val="0096031D"/>
    <w:rPr>
      <w:sz w:val="18"/>
    </w:rPr>
  </w:style>
  <w:style w:type="paragraph" w:customStyle="1" w:styleId="SOText2">
    <w:name w:val="SO Text2"/>
    <w:aliases w:val="sot2"/>
    <w:basedOn w:val="Normal"/>
    <w:next w:val="SOText"/>
    <w:link w:val="SOText2Char"/>
    <w:rsid w:val="0096031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6031D"/>
    <w:rPr>
      <w:sz w:val="22"/>
    </w:rPr>
  </w:style>
  <w:style w:type="character" w:customStyle="1" w:styleId="ActHead4Char">
    <w:name w:val="ActHead 4 Char"/>
    <w:aliases w:val="sd Char"/>
    <w:link w:val="ActHead4"/>
    <w:rsid w:val="00612A9D"/>
    <w:rPr>
      <w:rFonts w:eastAsia="Times New Roman" w:cs="Times New Roman"/>
      <w:b/>
      <w:kern w:val="28"/>
      <w:sz w:val="26"/>
      <w:lang w:eastAsia="en-AU"/>
    </w:rPr>
  </w:style>
  <w:style w:type="character" w:customStyle="1" w:styleId="subsectionChar">
    <w:name w:val="subsection Char"/>
    <w:aliases w:val="ss Char"/>
    <w:link w:val="subsection"/>
    <w:rsid w:val="00612A9D"/>
    <w:rPr>
      <w:rFonts w:eastAsia="Times New Roman" w:cs="Times New Roman"/>
      <w:sz w:val="22"/>
      <w:lang w:eastAsia="en-AU"/>
    </w:rPr>
  </w:style>
  <w:style w:type="character" w:customStyle="1" w:styleId="ActHead5Char">
    <w:name w:val="ActHead 5 Char"/>
    <w:aliases w:val="s Char"/>
    <w:link w:val="ActHead5"/>
    <w:rsid w:val="00612A9D"/>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5559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559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5595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5595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5595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5595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5595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5595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5595D"/>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9C72E0"/>
    <w:rPr>
      <w:rFonts w:eastAsia="Times New Roman" w:cs="Times New Roman"/>
      <w:sz w:val="22"/>
      <w:lang w:eastAsia="en-AU"/>
    </w:rPr>
  </w:style>
  <w:style w:type="paragraph" w:customStyle="1" w:styleId="ShortTP1">
    <w:name w:val="ShortTP1"/>
    <w:basedOn w:val="ShortT"/>
    <w:link w:val="ShortTP1Char"/>
    <w:rsid w:val="00434C6C"/>
    <w:pPr>
      <w:spacing w:before="800"/>
    </w:pPr>
  </w:style>
  <w:style w:type="character" w:customStyle="1" w:styleId="OPCParaBaseChar">
    <w:name w:val="OPCParaBase Char"/>
    <w:basedOn w:val="DefaultParagraphFont"/>
    <w:link w:val="OPCParaBase"/>
    <w:rsid w:val="00434C6C"/>
    <w:rPr>
      <w:rFonts w:eastAsia="Times New Roman" w:cs="Times New Roman"/>
      <w:sz w:val="22"/>
      <w:lang w:eastAsia="en-AU"/>
    </w:rPr>
  </w:style>
  <w:style w:type="character" w:customStyle="1" w:styleId="ShortTChar">
    <w:name w:val="ShortT Char"/>
    <w:basedOn w:val="OPCParaBaseChar"/>
    <w:link w:val="ShortT"/>
    <w:rsid w:val="00434C6C"/>
    <w:rPr>
      <w:rFonts w:eastAsia="Times New Roman" w:cs="Times New Roman"/>
      <w:b/>
      <w:sz w:val="40"/>
      <w:lang w:eastAsia="en-AU"/>
    </w:rPr>
  </w:style>
  <w:style w:type="character" w:customStyle="1" w:styleId="ShortTP1Char">
    <w:name w:val="ShortTP1 Char"/>
    <w:basedOn w:val="ShortTChar"/>
    <w:link w:val="ShortTP1"/>
    <w:rsid w:val="00434C6C"/>
    <w:rPr>
      <w:rFonts w:eastAsia="Times New Roman" w:cs="Times New Roman"/>
      <w:b/>
      <w:sz w:val="40"/>
      <w:lang w:eastAsia="en-AU"/>
    </w:rPr>
  </w:style>
  <w:style w:type="paragraph" w:customStyle="1" w:styleId="ActNoP1">
    <w:name w:val="ActNoP1"/>
    <w:basedOn w:val="Actno"/>
    <w:link w:val="ActNoP1Char"/>
    <w:rsid w:val="00434C6C"/>
    <w:pPr>
      <w:spacing w:before="800"/>
    </w:pPr>
    <w:rPr>
      <w:sz w:val="28"/>
    </w:rPr>
  </w:style>
  <w:style w:type="character" w:customStyle="1" w:styleId="ActnoChar">
    <w:name w:val="Actno Char"/>
    <w:basedOn w:val="ShortTChar"/>
    <w:link w:val="Actno"/>
    <w:rsid w:val="00434C6C"/>
    <w:rPr>
      <w:rFonts w:eastAsia="Times New Roman" w:cs="Times New Roman"/>
      <w:b/>
      <w:sz w:val="40"/>
      <w:lang w:eastAsia="en-AU"/>
    </w:rPr>
  </w:style>
  <w:style w:type="character" w:customStyle="1" w:styleId="ActNoP1Char">
    <w:name w:val="ActNoP1 Char"/>
    <w:basedOn w:val="ActnoChar"/>
    <w:link w:val="ActNoP1"/>
    <w:rsid w:val="00434C6C"/>
    <w:rPr>
      <w:rFonts w:eastAsia="Times New Roman" w:cs="Times New Roman"/>
      <w:b/>
      <w:sz w:val="28"/>
      <w:lang w:eastAsia="en-AU"/>
    </w:rPr>
  </w:style>
  <w:style w:type="paragraph" w:customStyle="1" w:styleId="ShortTCP">
    <w:name w:val="ShortTCP"/>
    <w:basedOn w:val="ShortT"/>
    <w:link w:val="ShortTCPChar"/>
    <w:rsid w:val="00434C6C"/>
  </w:style>
  <w:style w:type="character" w:customStyle="1" w:styleId="ShortTCPChar">
    <w:name w:val="ShortTCP Char"/>
    <w:basedOn w:val="ShortTChar"/>
    <w:link w:val="ShortTCP"/>
    <w:rsid w:val="00434C6C"/>
    <w:rPr>
      <w:rFonts w:eastAsia="Times New Roman" w:cs="Times New Roman"/>
      <w:b/>
      <w:sz w:val="40"/>
      <w:lang w:eastAsia="en-AU"/>
    </w:rPr>
  </w:style>
  <w:style w:type="paragraph" w:customStyle="1" w:styleId="ActNoCP">
    <w:name w:val="ActNoCP"/>
    <w:basedOn w:val="Actno"/>
    <w:link w:val="ActNoCPChar"/>
    <w:rsid w:val="00434C6C"/>
    <w:pPr>
      <w:spacing w:before="400"/>
    </w:pPr>
  </w:style>
  <w:style w:type="character" w:customStyle="1" w:styleId="ActNoCPChar">
    <w:name w:val="ActNoCP Char"/>
    <w:basedOn w:val="ActnoChar"/>
    <w:link w:val="ActNoCP"/>
    <w:rsid w:val="00434C6C"/>
    <w:rPr>
      <w:rFonts w:eastAsia="Times New Roman" w:cs="Times New Roman"/>
      <w:b/>
      <w:sz w:val="40"/>
      <w:lang w:eastAsia="en-AU"/>
    </w:rPr>
  </w:style>
  <w:style w:type="paragraph" w:customStyle="1" w:styleId="AssentBk">
    <w:name w:val="AssentBk"/>
    <w:basedOn w:val="Normal"/>
    <w:rsid w:val="00434C6C"/>
    <w:pPr>
      <w:spacing w:line="240" w:lineRule="auto"/>
    </w:pPr>
    <w:rPr>
      <w:rFonts w:eastAsia="Times New Roman" w:cs="Times New Roman"/>
      <w:sz w:val="20"/>
      <w:lang w:eastAsia="en-AU"/>
    </w:rPr>
  </w:style>
  <w:style w:type="paragraph" w:customStyle="1" w:styleId="AssentDt">
    <w:name w:val="AssentDt"/>
    <w:basedOn w:val="Normal"/>
    <w:rsid w:val="00841A7C"/>
    <w:pPr>
      <w:spacing w:line="240" w:lineRule="auto"/>
    </w:pPr>
    <w:rPr>
      <w:rFonts w:eastAsia="Times New Roman" w:cs="Times New Roman"/>
      <w:sz w:val="20"/>
      <w:lang w:eastAsia="en-AU"/>
    </w:rPr>
  </w:style>
  <w:style w:type="paragraph" w:customStyle="1" w:styleId="2ndRd">
    <w:name w:val="2ndRd"/>
    <w:basedOn w:val="Normal"/>
    <w:rsid w:val="00841A7C"/>
    <w:pPr>
      <w:spacing w:line="240" w:lineRule="auto"/>
    </w:pPr>
    <w:rPr>
      <w:rFonts w:eastAsia="Times New Roman" w:cs="Times New Roman"/>
      <w:sz w:val="20"/>
      <w:lang w:eastAsia="en-AU"/>
    </w:rPr>
  </w:style>
  <w:style w:type="paragraph" w:customStyle="1" w:styleId="ScalePlusRef">
    <w:name w:val="ScalePlusRef"/>
    <w:basedOn w:val="Normal"/>
    <w:rsid w:val="00841A7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6146D-3B68-4588-90A3-D211D902B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2939</Words>
  <Characters>14813</Characters>
  <Application>Microsoft Office Word</Application>
  <DocSecurity>0</DocSecurity>
  <PresentationFormat/>
  <Lines>411</Lines>
  <Paragraphs>291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2017-06-26T04:20:00Z</dcterms:created>
  <dcterms:modified xsi:type="dcterms:W3CDTF">2017-06-26T04:44:00Z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(Major Bank Levy) Act 2017</vt:lpwstr>
  </property>
  <property fmtid="{D5CDD505-2E9C-101B-9397-08002B2CF9AE}" pid="3" name="Actno">
    <vt:lpwstr>No. 64, 2017</vt:lpwstr>
  </property>
</Properties>
</file>