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1E" w:rsidRDefault="00B8713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9" o:title=""/>
          </v:shape>
        </w:pict>
      </w:r>
    </w:p>
    <w:p w:rsidR="00C0551E" w:rsidRDefault="00C0551E"/>
    <w:p w:rsidR="00C0551E" w:rsidRDefault="00C0551E" w:rsidP="00C0551E">
      <w:pPr>
        <w:spacing w:line="240" w:lineRule="auto"/>
      </w:pPr>
    </w:p>
    <w:p w:rsidR="00C0551E" w:rsidRDefault="00C0551E" w:rsidP="00C0551E"/>
    <w:p w:rsidR="00C0551E" w:rsidRDefault="00C0551E" w:rsidP="00C0551E"/>
    <w:p w:rsidR="00C0551E" w:rsidRDefault="00C0551E" w:rsidP="00C0551E"/>
    <w:p w:rsidR="00C0551E" w:rsidRDefault="00C0551E" w:rsidP="00C0551E"/>
    <w:p w:rsidR="0048364F" w:rsidRPr="003216A6" w:rsidRDefault="009B5A79" w:rsidP="0048364F">
      <w:pPr>
        <w:pStyle w:val="ShortT"/>
      </w:pPr>
      <w:r w:rsidRPr="003216A6">
        <w:t>Ozone Protection and Synthetic Greenhouse Gas</w:t>
      </w:r>
      <w:r w:rsidR="00643413" w:rsidRPr="003216A6">
        <w:t xml:space="preserve"> Management</w:t>
      </w:r>
      <w:r w:rsidRPr="003216A6">
        <w:t xml:space="preserve"> Legislation Amendment </w:t>
      </w:r>
      <w:r w:rsidR="00C0551E">
        <w:t>Act</w:t>
      </w:r>
      <w:r w:rsidRPr="003216A6">
        <w:t xml:space="preserve"> 2017</w:t>
      </w:r>
    </w:p>
    <w:p w:rsidR="0048364F" w:rsidRPr="003216A6" w:rsidRDefault="0048364F" w:rsidP="0048364F"/>
    <w:p w:rsidR="0048364F" w:rsidRPr="003216A6" w:rsidRDefault="00C164CA" w:rsidP="00C0551E">
      <w:pPr>
        <w:pStyle w:val="Actno"/>
        <w:spacing w:before="400"/>
      </w:pPr>
      <w:r w:rsidRPr="003216A6">
        <w:t>No</w:t>
      </w:r>
      <w:r w:rsidR="002F6749" w:rsidRPr="003216A6">
        <w:t>.</w:t>
      </w:r>
      <w:r w:rsidR="00A42596">
        <w:t xml:space="preserve"> 67</w:t>
      </w:r>
      <w:r w:rsidRPr="003216A6">
        <w:t>, 201</w:t>
      </w:r>
      <w:r w:rsidR="00A048FF" w:rsidRPr="003216A6">
        <w:t>7</w:t>
      </w:r>
    </w:p>
    <w:p w:rsidR="0048364F" w:rsidRPr="003216A6" w:rsidRDefault="0048364F" w:rsidP="0048364F"/>
    <w:p w:rsidR="00C0551E" w:rsidRDefault="00C0551E" w:rsidP="00C0551E"/>
    <w:p w:rsidR="00C0551E" w:rsidRDefault="00C0551E" w:rsidP="00C0551E"/>
    <w:p w:rsidR="00C0551E" w:rsidRDefault="00C0551E" w:rsidP="00C0551E"/>
    <w:p w:rsidR="00C0551E" w:rsidRDefault="00C0551E" w:rsidP="00C0551E"/>
    <w:p w:rsidR="0048364F" w:rsidRPr="003216A6" w:rsidRDefault="00C0551E" w:rsidP="0048364F">
      <w:pPr>
        <w:pStyle w:val="LongT"/>
      </w:pPr>
      <w:r>
        <w:t>An Act</w:t>
      </w:r>
      <w:r w:rsidR="0048364F" w:rsidRPr="003216A6">
        <w:t xml:space="preserve"> to </w:t>
      </w:r>
      <w:r w:rsidR="009B5A79" w:rsidRPr="003216A6">
        <w:t>amend the law relating to ozone protection and synthetic greenhouse gas management</w:t>
      </w:r>
      <w:r w:rsidR="0048364F" w:rsidRPr="003216A6">
        <w:t>, and for related purposes</w:t>
      </w:r>
    </w:p>
    <w:p w:rsidR="0048364F" w:rsidRPr="003216A6" w:rsidRDefault="0048364F" w:rsidP="0048364F">
      <w:pPr>
        <w:pStyle w:val="Header"/>
        <w:tabs>
          <w:tab w:val="clear" w:pos="4150"/>
          <w:tab w:val="clear" w:pos="8307"/>
        </w:tabs>
      </w:pPr>
      <w:r w:rsidRPr="003216A6">
        <w:rPr>
          <w:rStyle w:val="CharAmSchNo"/>
        </w:rPr>
        <w:t xml:space="preserve"> </w:t>
      </w:r>
      <w:r w:rsidRPr="003216A6">
        <w:rPr>
          <w:rStyle w:val="CharAmSchText"/>
        </w:rPr>
        <w:t xml:space="preserve"> </w:t>
      </w:r>
    </w:p>
    <w:p w:rsidR="0048364F" w:rsidRPr="003216A6" w:rsidRDefault="0048364F" w:rsidP="0048364F">
      <w:pPr>
        <w:pStyle w:val="Header"/>
        <w:tabs>
          <w:tab w:val="clear" w:pos="4150"/>
          <w:tab w:val="clear" w:pos="8307"/>
        </w:tabs>
      </w:pPr>
      <w:r w:rsidRPr="003216A6">
        <w:rPr>
          <w:rStyle w:val="CharAmPartNo"/>
        </w:rPr>
        <w:t xml:space="preserve"> </w:t>
      </w:r>
      <w:r w:rsidRPr="003216A6">
        <w:rPr>
          <w:rStyle w:val="CharAmPartText"/>
        </w:rPr>
        <w:t xml:space="preserve"> </w:t>
      </w:r>
    </w:p>
    <w:p w:rsidR="0048364F" w:rsidRPr="003216A6" w:rsidRDefault="0048364F" w:rsidP="0048364F">
      <w:pPr>
        <w:sectPr w:rsidR="0048364F" w:rsidRPr="003216A6" w:rsidSect="00C0551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216A6" w:rsidRDefault="0048364F" w:rsidP="00947E76">
      <w:pPr>
        <w:rPr>
          <w:sz w:val="36"/>
        </w:rPr>
      </w:pPr>
      <w:r w:rsidRPr="003216A6">
        <w:rPr>
          <w:sz w:val="36"/>
        </w:rPr>
        <w:lastRenderedPageBreak/>
        <w:t>Contents</w:t>
      </w:r>
    </w:p>
    <w:bookmarkStart w:id="0" w:name="BKCheck15B_1"/>
    <w:bookmarkEnd w:id="0"/>
    <w:p w:rsidR="00A42596" w:rsidRDefault="00A4259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42596">
        <w:rPr>
          <w:noProof/>
        </w:rPr>
        <w:tab/>
      </w:r>
      <w:r w:rsidRPr="00A42596">
        <w:rPr>
          <w:noProof/>
        </w:rPr>
        <w:fldChar w:fldCharType="begin"/>
      </w:r>
      <w:r w:rsidRPr="00A42596">
        <w:rPr>
          <w:noProof/>
        </w:rPr>
        <w:instrText xml:space="preserve"> PAGEREF _Toc486251844 \h </w:instrText>
      </w:r>
      <w:r w:rsidRPr="00A42596">
        <w:rPr>
          <w:noProof/>
        </w:rPr>
      </w:r>
      <w:r w:rsidRPr="00A42596">
        <w:rPr>
          <w:noProof/>
        </w:rPr>
        <w:fldChar w:fldCharType="separate"/>
      </w:r>
      <w:r w:rsidR="00B87133">
        <w:rPr>
          <w:noProof/>
        </w:rPr>
        <w:t>2</w:t>
      </w:r>
      <w:r w:rsidRPr="00A42596">
        <w:rPr>
          <w:noProof/>
        </w:rPr>
        <w:fldChar w:fldCharType="end"/>
      </w:r>
    </w:p>
    <w:p w:rsidR="00A42596" w:rsidRDefault="00A42596">
      <w:pPr>
        <w:pStyle w:val="TOC5"/>
        <w:rPr>
          <w:rFonts w:asciiTheme="minorHAnsi" w:eastAsiaTheme="minorEastAsia" w:hAnsiTheme="minorHAnsi" w:cstheme="minorBidi"/>
          <w:noProof/>
          <w:kern w:val="0"/>
          <w:sz w:val="22"/>
          <w:szCs w:val="22"/>
        </w:rPr>
      </w:pPr>
      <w:r>
        <w:rPr>
          <w:noProof/>
        </w:rPr>
        <w:t>2</w:t>
      </w:r>
      <w:r>
        <w:rPr>
          <w:noProof/>
        </w:rPr>
        <w:tab/>
        <w:t>Commencement</w:t>
      </w:r>
      <w:r w:rsidRPr="00A42596">
        <w:rPr>
          <w:noProof/>
        </w:rPr>
        <w:tab/>
      </w:r>
      <w:r w:rsidRPr="00A42596">
        <w:rPr>
          <w:noProof/>
        </w:rPr>
        <w:fldChar w:fldCharType="begin"/>
      </w:r>
      <w:r w:rsidRPr="00A42596">
        <w:rPr>
          <w:noProof/>
        </w:rPr>
        <w:instrText xml:space="preserve"> PAGEREF _Toc486251845 \h </w:instrText>
      </w:r>
      <w:r w:rsidRPr="00A42596">
        <w:rPr>
          <w:noProof/>
        </w:rPr>
      </w:r>
      <w:r w:rsidRPr="00A42596">
        <w:rPr>
          <w:noProof/>
        </w:rPr>
        <w:fldChar w:fldCharType="separate"/>
      </w:r>
      <w:r w:rsidR="00B87133">
        <w:rPr>
          <w:noProof/>
        </w:rPr>
        <w:t>2</w:t>
      </w:r>
      <w:r w:rsidRPr="00A42596">
        <w:rPr>
          <w:noProof/>
        </w:rPr>
        <w:fldChar w:fldCharType="end"/>
      </w:r>
    </w:p>
    <w:p w:rsidR="00A42596" w:rsidRDefault="00A42596">
      <w:pPr>
        <w:pStyle w:val="TOC5"/>
        <w:rPr>
          <w:rFonts w:asciiTheme="minorHAnsi" w:eastAsiaTheme="minorEastAsia" w:hAnsiTheme="minorHAnsi" w:cstheme="minorBidi"/>
          <w:noProof/>
          <w:kern w:val="0"/>
          <w:sz w:val="22"/>
          <w:szCs w:val="22"/>
        </w:rPr>
      </w:pPr>
      <w:r>
        <w:rPr>
          <w:noProof/>
        </w:rPr>
        <w:t>3</w:t>
      </w:r>
      <w:r>
        <w:rPr>
          <w:noProof/>
        </w:rPr>
        <w:tab/>
        <w:t>Sched</w:t>
      </w:r>
      <w:bookmarkStart w:id="1" w:name="_GoBack"/>
      <w:bookmarkEnd w:id="1"/>
      <w:r>
        <w:rPr>
          <w:noProof/>
        </w:rPr>
        <w:t>ules</w:t>
      </w:r>
      <w:r w:rsidRPr="00A42596">
        <w:rPr>
          <w:noProof/>
        </w:rPr>
        <w:tab/>
      </w:r>
      <w:r w:rsidRPr="00A42596">
        <w:rPr>
          <w:noProof/>
        </w:rPr>
        <w:fldChar w:fldCharType="begin"/>
      </w:r>
      <w:r w:rsidRPr="00A42596">
        <w:rPr>
          <w:noProof/>
        </w:rPr>
        <w:instrText xml:space="preserve"> PAGEREF _Toc486251846 \h </w:instrText>
      </w:r>
      <w:r w:rsidRPr="00A42596">
        <w:rPr>
          <w:noProof/>
        </w:rPr>
      </w:r>
      <w:r w:rsidRPr="00A42596">
        <w:rPr>
          <w:noProof/>
        </w:rPr>
        <w:fldChar w:fldCharType="separate"/>
      </w:r>
      <w:r w:rsidR="00B87133">
        <w:rPr>
          <w:noProof/>
        </w:rPr>
        <w:t>3</w:t>
      </w:r>
      <w:r w:rsidRPr="00A42596">
        <w:rPr>
          <w:noProof/>
        </w:rPr>
        <w:fldChar w:fldCharType="end"/>
      </w:r>
    </w:p>
    <w:p w:rsidR="00A42596" w:rsidRDefault="00A42596">
      <w:pPr>
        <w:pStyle w:val="TOC6"/>
        <w:rPr>
          <w:rFonts w:asciiTheme="minorHAnsi" w:eastAsiaTheme="minorEastAsia" w:hAnsiTheme="minorHAnsi" w:cstheme="minorBidi"/>
          <w:b w:val="0"/>
          <w:noProof/>
          <w:kern w:val="0"/>
          <w:sz w:val="22"/>
          <w:szCs w:val="22"/>
        </w:rPr>
      </w:pPr>
      <w:r>
        <w:rPr>
          <w:noProof/>
        </w:rPr>
        <w:t>Schedule 1—Amendments commencing day to be proclaimed</w:t>
      </w:r>
      <w:r w:rsidRPr="00A42596">
        <w:rPr>
          <w:b w:val="0"/>
          <w:noProof/>
          <w:sz w:val="18"/>
        </w:rPr>
        <w:tab/>
      </w:r>
      <w:r w:rsidRPr="00A42596">
        <w:rPr>
          <w:b w:val="0"/>
          <w:noProof/>
          <w:sz w:val="18"/>
        </w:rPr>
        <w:fldChar w:fldCharType="begin"/>
      </w:r>
      <w:r w:rsidRPr="00A42596">
        <w:rPr>
          <w:b w:val="0"/>
          <w:noProof/>
          <w:sz w:val="18"/>
        </w:rPr>
        <w:instrText xml:space="preserve"> PAGEREF _Toc486251847 \h </w:instrText>
      </w:r>
      <w:r w:rsidRPr="00A42596">
        <w:rPr>
          <w:b w:val="0"/>
          <w:noProof/>
          <w:sz w:val="18"/>
        </w:rPr>
      </w:r>
      <w:r w:rsidRPr="00A42596">
        <w:rPr>
          <w:b w:val="0"/>
          <w:noProof/>
          <w:sz w:val="18"/>
        </w:rPr>
        <w:fldChar w:fldCharType="separate"/>
      </w:r>
      <w:r w:rsidR="00B87133">
        <w:rPr>
          <w:b w:val="0"/>
          <w:noProof/>
          <w:sz w:val="18"/>
        </w:rPr>
        <w:t>4</w:t>
      </w:r>
      <w:r w:rsidRPr="00A42596">
        <w:rPr>
          <w:b w:val="0"/>
          <w:noProof/>
          <w:sz w:val="18"/>
        </w:rPr>
        <w:fldChar w:fldCharType="end"/>
      </w:r>
    </w:p>
    <w:p w:rsidR="00A42596" w:rsidRDefault="00A42596">
      <w:pPr>
        <w:pStyle w:val="TOC7"/>
        <w:rPr>
          <w:rFonts w:asciiTheme="minorHAnsi" w:eastAsiaTheme="minorEastAsia" w:hAnsiTheme="minorHAnsi" w:cstheme="minorBidi"/>
          <w:noProof/>
          <w:kern w:val="0"/>
          <w:sz w:val="22"/>
          <w:szCs w:val="22"/>
        </w:rPr>
      </w:pPr>
      <w:r>
        <w:rPr>
          <w:noProof/>
        </w:rPr>
        <w:t>Part 1—HFCs</w:t>
      </w:r>
      <w:r w:rsidRPr="00A42596">
        <w:rPr>
          <w:noProof/>
          <w:sz w:val="18"/>
        </w:rPr>
        <w:tab/>
      </w:r>
      <w:r w:rsidRPr="00A42596">
        <w:rPr>
          <w:noProof/>
          <w:sz w:val="18"/>
        </w:rPr>
        <w:fldChar w:fldCharType="begin"/>
      </w:r>
      <w:r w:rsidRPr="00A42596">
        <w:rPr>
          <w:noProof/>
          <w:sz w:val="18"/>
        </w:rPr>
        <w:instrText xml:space="preserve"> PAGEREF _Toc486251848 \h </w:instrText>
      </w:r>
      <w:r w:rsidRPr="00A42596">
        <w:rPr>
          <w:noProof/>
          <w:sz w:val="18"/>
        </w:rPr>
      </w:r>
      <w:r w:rsidRPr="00A42596">
        <w:rPr>
          <w:noProof/>
          <w:sz w:val="18"/>
        </w:rPr>
        <w:fldChar w:fldCharType="separate"/>
      </w:r>
      <w:r w:rsidR="00B87133">
        <w:rPr>
          <w:noProof/>
          <w:sz w:val="18"/>
        </w:rPr>
        <w:t>4</w:t>
      </w:r>
      <w:r w:rsidRPr="00A42596">
        <w:rPr>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(Import Levy) Act 1995</w:t>
      </w:r>
      <w:r w:rsidRPr="00A42596">
        <w:rPr>
          <w:i w:val="0"/>
          <w:noProof/>
          <w:sz w:val="18"/>
        </w:rPr>
        <w:tab/>
      </w:r>
      <w:r w:rsidRPr="00A42596">
        <w:rPr>
          <w:i w:val="0"/>
          <w:noProof/>
          <w:sz w:val="18"/>
        </w:rPr>
        <w:fldChar w:fldCharType="begin"/>
      </w:r>
      <w:r w:rsidRPr="00A42596">
        <w:rPr>
          <w:i w:val="0"/>
          <w:noProof/>
          <w:sz w:val="18"/>
        </w:rPr>
        <w:instrText xml:space="preserve"> PAGEREF _Toc486251849 \h </w:instrText>
      </w:r>
      <w:r w:rsidRPr="00A42596">
        <w:rPr>
          <w:i w:val="0"/>
          <w:noProof/>
          <w:sz w:val="18"/>
        </w:rPr>
      </w:r>
      <w:r w:rsidRPr="00A42596">
        <w:rPr>
          <w:i w:val="0"/>
          <w:noProof/>
          <w:sz w:val="18"/>
        </w:rPr>
        <w:fldChar w:fldCharType="separate"/>
      </w:r>
      <w:r w:rsidR="00B87133">
        <w:rPr>
          <w:i w:val="0"/>
          <w:noProof/>
          <w:sz w:val="18"/>
        </w:rPr>
        <w:t>4</w:t>
      </w:r>
      <w:r w:rsidRPr="00A42596">
        <w:rPr>
          <w:i w:val="0"/>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A42596">
        <w:rPr>
          <w:i w:val="0"/>
          <w:noProof/>
          <w:sz w:val="18"/>
        </w:rPr>
        <w:tab/>
      </w:r>
      <w:r w:rsidRPr="00A42596">
        <w:rPr>
          <w:i w:val="0"/>
          <w:noProof/>
          <w:sz w:val="18"/>
        </w:rPr>
        <w:fldChar w:fldCharType="begin"/>
      </w:r>
      <w:r w:rsidRPr="00A42596">
        <w:rPr>
          <w:i w:val="0"/>
          <w:noProof/>
          <w:sz w:val="18"/>
        </w:rPr>
        <w:instrText xml:space="preserve"> PAGEREF _Toc486251850 \h </w:instrText>
      </w:r>
      <w:r w:rsidRPr="00A42596">
        <w:rPr>
          <w:i w:val="0"/>
          <w:noProof/>
          <w:sz w:val="18"/>
        </w:rPr>
      </w:r>
      <w:r w:rsidRPr="00A42596">
        <w:rPr>
          <w:i w:val="0"/>
          <w:noProof/>
          <w:sz w:val="18"/>
        </w:rPr>
        <w:fldChar w:fldCharType="separate"/>
      </w:r>
      <w:r w:rsidR="00B87133">
        <w:rPr>
          <w:i w:val="0"/>
          <w:noProof/>
          <w:sz w:val="18"/>
        </w:rPr>
        <w:t>4</w:t>
      </w:r>
      <w:r w:rsidRPr="00A42596">
        <w:rPr>
          <w:i w:val="0"/>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(Manufacture Levy) Act 1995</w:t>
      </w:r>
      <w:r w:rsidRPr="00A42596">
        <w:rPr>
          <w:i w:val="0"/>
          <w:noProof/>
          <w:sz w:val="18"/>
        </w:rPr>
        <w:tab/>
      </w:r>
      <w:r w:rsidRPr="00A42596">
        <w:rPr>
          <w:i w:val="0"/>
          <w:noProof/>
          <w:sz w:val="18"/>
        </w:rPr>
        <w:fldChar w:fldCharType="begin"/>
      </w:r>
      <w:r w:rsidRPr="00A42596">
        <w:rPr>
          <w:i w:val="0"/>
          <w:noProof/>
          <w:sz w:val="18"/>
        </w:rPr>
        <w:instrText xml:space="preserve"> PAGEREF _Toc486251876 \h </w:instrText>
      </w:r>
      <w:r w:rsidRPr="00A42596">
        <w:rPr>
          <w:i w:val="0"/>
          <w:noProof/>
          <w:sz w:val="18"/>
        </w:rPr>
      </w:r>
      <w:r w:rsidRPr="00A42596">
        <w:rPr>
          <w:i w:val="0"/>
          <w:noProof/>
          <w:sz w:val="18"/>
        </w:rPr>
        <w:fldChar w:fldCharType="separate"/>
      </w:r>
      <w:r w:rsidR="00B87133">
        <w:rPr>
          <w:i w:val="0"/>
          <w:noProof/>
          <w:sz w:val="18"/>
        </w:rPr>
        <w:t>28</w:t>
      </w:r>
      <w:r w:rsidRPr="00A42596">
        <w:rPr>
          <w:i w:val="0"/>
          <w:noProof/>
          <w:sz w:val="18"/>
        </w:rPr>
        <w:fldChar w:fldCharType="end"/>
      </w:r>
    </w:p>
    <w:p w:rsidR="00A42596" w:rsidRDefault="00A42596">
      <w:pPr>
        <w:pStyle w:val="TOC7"/>
        <w:rPr>
          <w:rFonts w:asciiTheme="minorHAnsi" w:eastAsiaTheme="minorEastAsia" w:hAnsiTheme="minorHAnsi" w:cstheme="minorBidi"/>
          <w:noProof/>
          <w:kern w:val="0"/>
          <w:sz w:val="22"/>
          <w:szCs w:val="22"/>
        </w:rPr>
      </w:pPr>
      <w:r>
        <w:rPr>
          <w:noProof/>
        </w:rPr>
        <w:t>Part 2—References to equipment and products</w:t>
      </w:r>
      <w:r w:rsidRPr="00A42596">
        <w:rPr>
          <w:noProof/>
          <w:sz w:val="18"/>
        </w:rPr>
        <w:tab/>
      </w:r>
      <w:r w:rsidRPr="00A42596">
        <w:rPr>
          <w:noProof/>
          <w:sz w:val="18"/>
        </w:rPr>
        <w:fldChar w:fldCharType="begin"/>
      </w:r>
      <w:r w:rsidRPr="00A42596">
        <w:rPr>
          <w:noProof/>
          <w:sz w:val="18"/>
        </w:rPr>
        <w:instrText xml:space="preserve"> PAGEREF _Toc486251877 \h </w:instrText>
      </w:r>
      <w:r w:rsidRPr="00A42596">
        <w:rPr>
          <w:noProof/>
          <w:sz w:val="18"/>
        </w:rPr>
      </w:r>
      <w:r w:rsidRPr="00A42596">
        <w:rPr>
          <w:noProof/>
          <w:sz w:val="18"/>
        </w:rPr>
        <w:fldChar w:fldCharType="separate"/>
      </w:r>
      <w:r w:rsidR="00B87133">
        <w:rPr>
          <w:noProof/>
          <w:sz w:val="18"/>
        </w:rPr>
        <w:t>29</w:t>
      </w:r>
      <w:r w:rsidRPr="00A42596">
        <w:rPr>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(Import Levy) Act 1995</w:t>
      </w:r>
      <w:r w:rsidRPr="00A42596">
        <w:rPr>
          <w:i w:val="0"/>
          <w:noProof/>
          <w:sz w:val="18"/>
        </w:rPr>
        <w:tab/>
      </w:r>
      <w:r w:rsidRPr="00A42596">
        <w:rPr>
          <w:i w:val="0"/>
          <w:noProof/>
          <w:sz w:val="18"/>
        </w:rPr>
        <w:fldChar w:fldCharType="begin"/>
      </w:r>
      <w:r w:rsidRPr="00A42596">
        <w:rPr>
          <w:i w:val="0"/>
          <w:noProof/>
          <w:sz w:val="18"/>
        </w:rPr>
        <w:instrText xml:space="preserve"> PAGEREF _Toc486251878 \h </w:instrText>
      </w:r>
      <w:r w:rsidRPr="00A42596">
        <w:rPr>
          <w:i w:val="0"/>
          <w:noProof/>
          <w:sz w:val="18"/>
        </w:rPr>
      </w:r>
      <w:r w:rsidRPr="00A42596">
        <w:rPr>
          <w:i w:val="0"/>
          <w:noProof/>
          <w:sz w:val="18"/>
        </w:rPr>
        <w:fldChar w:fldCharType="separate"/>
      </w:r>
      <w:r w:rsidR="00B87133">
        <w:rPr>
          <w:i w:val="0"/>
          <w:noProof/>
          <w:sz w:val="18"/>
        </w:rPr>
        <w:t>29</w:t>
      </w:r>
      <w:r w:rsidRPr="00A42596">
        <w:rPr>
          <w:i w:val="0"/>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A42596">
        <w:rPr>
          <w:i w:val="0"/>
          <w:noProof/>
          <w:sz w:val="18"/>
        </w:rPr>
        <w:tab/>
      </w:r>
      <w:r w:rsidRPr="00A42596">
        <w:rPr>
          <w:i w:val="0"/>
          <w:noProof/>
          <w:sz w:val="18"/>
        </w:rPr>
        <w:fldChar w:fldCharType="begin"/>
      </w:r>
      <w:r w:rsidRPr="00A42596">
        <w:rPr>
          <w:i w:val="0"/>
          <w:noProof/>
          <w:sz w:val="18"/>
        </w:rPr>
        <w:instrText xml:space="preserve"> PAGEREF _Toc486251879 \h </w:instrText>
      </w:r>
      <w:r w:rsidRPr="00A42596">
        <w:rPr>
          <w:i w:val="0"/>
          <w:noProof/>
          <w:sz w:val="18"/>
        </w:rPr>
      </w:r>
      <w:r w:rsidRPr="00A42596">
        <w:rPr>
          <w:i w:val="0"/>
          <w:noProof/>
          <w:sz w:val="18"/>
        </w:rPr>
        <w:fldChar w:fldCharType="separate"/>
      </w:r>
      <w:r w:rsidR="00B87133">
        <w:rPr>
          <w:i w:val="0"/>
          <w:noProof/>
          <w:sz w:val="18"/>
        </w:rPr>
        <w:t>29</w:t>
      </w:r>
      <w:r w:rsidRPr="00A42596">
        <w:rPr>
          <w:i w:val="0"/>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(Manufacture Levy) Act 1995</w:t>
      </w:r>
      <w:r w:rsidRPr="00A42596">
        <w:rPr>
          <w:i w:val="0"/>
          <w:noProof/>
          <w:sz w:val="18"/>
        </w:rPr>
        <w:tab/>
      </w:r>
      <w:r w:rsidRPr="00A42596">
        <w:rPr>
          <w:i w:val="0"/>
          <w:noProof/>
          <w:sz w:val="18"/>
        </w:rPr>
        <w:fldChar w:fldCharType="begin"/>
      </w:r>
      <w:r w:rsidRPr="00A42596">
        <w:rPr>
          <w:i w:val="0"/>
          <w:noProof/>
          <w:sz w:val="18"/>
        </w:rPr>
        <w:instrText xml:space="preserve"> PAGEREF _Toc486251889 \h </w:instrText>
      </w:r>
      <w:r w:rsidRPr="00A42596">
        <w:rPr>
          <w:i w:val="0"/>
          <w:noProof/>
          <w:sz w:val="18"/>
        </w:rPr>
      </w:r>
      <w:r w:rsidRPr="00A42596">
        <w:rPr>
          <w:i w:val="0"/>
          <w:noProof/>
          <w:sz w:val="18"/>
        </w:rPr>
        <w:fldChar w:fldCharType="separate"/>
      </w:r>
      <w:r w:rsidR="00B87133">
        <w:rPr>
          <w:i w:val="0"/>
          <w:noProof/>
          <w:sz w:val="18"/>
        </w:rPr>
        <w:t>36</w:t>
      </w:r>
      <w:r w:rsidRPr="00A42596">
        <w:rPr>
          <w:i w:val="0"/>
          <w:noProof/>
          <w:sz w:val="18"/>
        </w:rPr>
        <w:fldChar w:fldCharType="end"/>
      </w:r>
    </w:p>
    <w:p w:rsidR="00A42596" w:rsidRDefault="00A42596">
      <w:pPr>
        <w:pStyle w:val="TOC7"/>
        <w:rPr>
          <w:rFonts w:asciiTheme="minorHAnsi" w:eastAsiaTheme="minorEastAsia" w:hAnsiTheme="minorHAnsi" w:cstheme="minorBidi"/>
          <w:noProof/>
          <w:kern w:val="0"/>
          <w:sz w:val="22"/>
          <w:szCs w:val="22"/>
        </w:rPr>
      </w:pPr>
      <w:r>
        <w:rPr>
          <w:noProof/>
        </w:rPr>
        <w:t>Part 3—References to conventions</w:t>
      </w:r>
      <w:r w:rsidRPr="00A42596">
        <w:rPr>
          <w:noProof/>
          <w:sz w:val="18"/>
        </w:rPr>
        <w:tab/>
      </w:r>
      <w:r w:rsidRPr="00A42596">
        <w:rPr>
          <w:noProof/>
          <w:sz w:val="18"/>
        </w:rPr>
        <w:fldChar w:fldCharType="begin"/>
      </w:r>
      <w:r w:rsidRPr="00A42596">
        <w:rPr>
          <w:noProof/>
          <w:sz w:val="18"/>
        </w:rPr>
        <w:instrText xml:space="preserve"> PAGEREF _Toc486251890 \h </w:instrText>
      </w:r>
      <w:r w:rsidRPr="00A42596">
        <w:rPr>
          <w:noProof/>
          <w:sz w:val="18"/>
        </w:rPr>
      </w:r>
      <w:r w:rsidRPr="00A42596">
        <w:rPr>
          <w:noProof/>
          <w:sz w:val="18"/>
        </w:rPr>
        <w:fldChar w:fldCharType="separate"/>
      </w:r>
      <w:r w:rsidR="00B87133">
        <w:rPr>
          <w:noProof/>
          <w:sz w:val="18"/>
        </w:rPr>
        <w:t>38</w:t>
      </w:r>
      <w:r w:rsidRPr="00A42596">
        <w:rPr>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A42596">
        <w:rPr>
          <w:i w:val="0"/>
          <w:noProof/>
          <w:sz w:val="18"/>
        </w:rPr>
        <w:tab/>
      </w:r>
      <w:r w:rsidRPr="00A42596">
        <w:rPr>
          <w:i w:val="0"/>
          <w:noProof/>
          <w:sz w:val="18"/>
        </w:rPr>
        <w:fldChar w:fldCharType="begin"/>
      </w:r>
      <w:r w:rsidRPr="00A42596">
        <w:rPr>
          <w:i w:val="0"/>
          <w:noProof/>
          <w:sz w:val="18"/>
        </w:rPr>
        <w:instrText xml:space="preserve"> PAGEREF _Toc486251891 \h </w:instrText>
      </w:r>
      <w:r w:rsidRPr="00A42596">
        <w:rPr>
          <w:i w:val="0"/>
          <w:noProof/>
          <w:sz w:val="18"/>
        </w:rPr>
      </w:r>
      <w:r w:rsidRPr="00A42596">
        <w:rPr>
          <w:i w:val="0"/>
          <w:noProof/>
          <w:sz w:val="18"/>
        </w:rPr>
        <w:fldChar w:fldCharType="separate"/>
      </w:r>
      <w:r w:rsidR="00B87133">
        <w:rPr>
          <w:i w:val="0"/>
          <w:noProof/>
          <w:sz w:val="18"/>
        </w:rPr>
        <w:t>38</w:t>
      </w:r>
      <w:r w:rsidRPr="00A42596">
        <w:rPr>
          <w:i w:val="0"/>
          <w:noProof/>
          <w:sz w:val="18"/>
        </w:rPr>
        <w:fldChar w:fldCharType="end"/>
      </w:r>
    </w:p>
    <w:p w:rsidR="00A42596" w:rsidRDefault="00A42596">
      <w:pPr>
        <w:pStyle w:val="TOC7"/>
        <w:rPr>
          <w:rFonts w:asciiTheme="minorHAnsi" w:eastAsiaTheme="minorEastAsia" w:hAnsiTheme="minorHAnsi" w:cstheme="minorBidi"/>
          <w:noProof/>
          <w:kern w:val="0"/>
          <w:sz w:val="22"/>
          <w:szCs w:val="22"/>
        </w:rPr>
      </w:pPr>
      <w:r>
        <w:rPr>
          <w:noProof/>
        </w:rPr>
        <w:t>Part 4—Delegations</w:t>
      </w:r>
      <w:r w:rsidRPr="00A42596">
        <w:rPr>
          <w:noProof/>
          <w:sz w:val="18"/>
        </w:rPr>
        <w:tab/>
      </w:r>
      <w:r w:rsidRPr="00A42596">
        <w:rPr>
          <w:noProof/>
          <w:sz w:val="18"/>
        </w:rPr>
        <w:fldChar w:fldCharType="begin"/>
      </w:r>
      <w:r w:rsidRPr="00A42596">
        <w:rPr>
          <w:noProof/>
          <w:sz w:val="18"/>
        </w:rPr>
        <w:instrText xml:space="preserve"> PAGEREF _Toc486251892 \h </w:instrText>
      </w:r>
      <w:r w:rsidRPr="00A42596">
        <w:rPr>
          <w:noProof/>
          <w:sz w:val="18"/>
        </w:rPr>
      </w:r>
      <w:r w:rsidRPr="00A42596">
        <w:rPr>
          <w:noProof/>
          <w:sz w:val="18"/>
        </w:rPr>
        <w:fldChar w:fldCharType="separate"/>
      </w:r>
      <w:r w:rsidR="00B87133">
        <w:rPr>
          <w:noProof/>
          <w:sz w:val="18"/>
        </w:rPr>
        <w:t>40</w:t>
      </w:r>
      <w:r w:rsidRPr="00A42596">
        <w:rPr>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A42596">
        <w:rPr>
          <w:i w:val="0"/>
          <w:noProof/>
          <w:sz w:val="18"/>
        </w:rPr>
        <w:tab/>
      </w:r>
      <w:r w:rsidRPr="00A42596">
        <w:rPr>
          <w:i w:val="0"/>
          <w:noProof/>
          <w:sz w:val="18"/>
        </w:rPr>
        <w:fldChar w:fldCharType="begin"/>
      </w:r>
      <w:r w:rsidRPr="00A42596">
        <w:rPr>
          <w:i w:val="0"/>
          <w:noProof/>
          <w:sz w:val="18"/>
        </w:rPr>
        <w:instrText xml:space="preserve"> PAGEREF _Toc486251893 \h </w:instrText>
      </w:r>
      <w:r w:rsidRPr="00A42596">
        <w:rPr>
          <w:i w:val="0"/>
          <w:noProof/>
          <w:sz w:val="18"/>
        </w:rPr>
      </w:r>
      <w:r w:rsidRPr="00A42596">
        <w:rPr>
          <w:i w:val="0"/>
          <w:noProof/>
          <w:sz w:val="18"/>
        </w:rPr>
        <w:fldChar w:fldCharType="separate"/>
      </w:r>
      <w:r w:rsidR="00B87133">
        <w:rPr>
          <w:i w:val="0"/>
          <w:noProof/>
          <w:sz w:val="18"/>
        </w:rPr>
        <w:t>40</w:t>
      </w:r>
      <w:r w:rsidRPr="00A42596">
        <w:rPr>
          <w:i w:val="0"/>
          <w:noProof/>
          <w:sz w:val="18"/>
        </w:rPr>
        <w:fldChar w:fldCharType="end"/>
      </w:r>
    </w:p>
    <w:p w:rsidR="00A42596" w:rsidRDefault="00A42596">
      <w:pPr>
        <w:pStyle w:val="TOC6"/>
        <w:rPr>
          <w:rFonts w:asciiTheme="minorHAnsi" w:eastAsiaTheme="minorEastAsia" w:hAnsiTheme="minorHAnsi" w:cstheme="minorBidi"/>
          <w:b w:val="0"/>
          <w:noProof/>
          <w:kern w:val="0"/>
          <w:sz w:val="22"/>
          <w:szCs w:val="22"/>
        </w:rPr>
      </w:pPr>
      <w:r>
        <w:rPr>
          <w:noProof/>
        </w:rPr>
        <w:t>Schedule 2—Amendments commencing 1 January 2018</w:t>
      </w:r>
      <w:r w:rsidRPr="00A42596">
        <w:rPr>
          <w:b w:val="0"/>
          <w:noProof/>
          <w:sz w:val="18"/>
        </w:rPr>
        <w:tab/>
      </w:r>
      <w:r w:rsidRPr="00A42596">
        <w:rPr>
          <w:b w:val="0"/>
          <w:noProof/>
          <w:sz w:val="18"/>
        </w:rPr>
        <w:fldChar w:fldCharType="begin"/>
      </w:r>
      <w:r w:rsidRPr="00A42596">
        <w:rPr>
          <w:b w:val="0"/>
          <w:noProof/>
          <w:sz w:val="18"/>
        </w:rPr>
        <w:instrText xml:space="preserve"> PAGEREF _Toc486251894 \h </w:instrText>
      </w:r>
      <w:r w:rsidRPr="00A42596">
        <w:rPr>
          <w:b w:val="0"/>
          <w:noProof/>
          <w:sz w:val="18"/>
        </w:rPr>
      </w:r>
      <w:r w:rsidRPr="00A42596">
        <w:rPr>
          <w:b w:val="0"/>
          <w:noProof/>
          <w:sz w:val="18"/>
        </w:rPr>
        <w:fldChar w:fldCharType="separate"/>
      </w:r>
      <w:r w:rsidR="00B87133">
        <w:rPr>
          <w:b w:val="0"/>
          <w:noProof/>
          <w:sz w:val="18"/>
        </w:rPr>
        <w:t>41</w:t>
      </w:r>
      <w:r w:rsidRPr="00A42596">
        <w:rPr>
          <w:b w:val="0"/>
          <w:noProof/>
          <w:sz w:val="18"/>
        </w:rPr>
        <w:fldChar w:fldCharType="end"/>
      </w:r>
    </w:p>
    <w:p w:rsidR="00A42596" w:rsidRDefault="00A42596">
      <w:pPr>
        <w:pStyle w:val="TOC7"/>
        <w:rPr>
          <w:rFonts w:asciiTheme="minorHAnsi" w:eastAsiaTheme="minorEastAsia" w:hAnsiTheme="minorHAnsi" w:cstheme="minorBidi"/>
          <w:noProof/>
          <w:kern w:val="0"/>
          <w:sz w:val="22"/>
          <w:szCs w:val="22"/>
        </w:rPr>
      </w:pPr>
      <w:r>
        <w:rPr>
          <w:noProof/>
        </w:rPr>
        <w:t>Part 1—Licences</w:t>
      </w:r>
      <w:r w:rsidRPr="00A42596">
        <w:rPr>
          <w:noProof/>
          <w:sz w:val="18"/>
        </w:rPr>
        <w:tab/>
      </w:r>
      <w:r w:rsidRPr="00A42596">
        <w:rPr>
          <w:noProof/>
          <w:sz w:val="18"/>
        </w:rPr>
        <w:fldChar w:fldCharType="begin"/>
      </w:r>
      <w:r w:rsidRPr="00A42596">
        <w:rPr>
          <w:noProof/>
          <w:sz w:val="18"/>
        </w:rPr>
        <w:instrText xml:space="preserve"> PAGEREF _Toc486251895 \h </w:instrText>
      </w:r>
      <w:r w:rsidRPr="00A42596">
        <w:rPr>
          <w:noProof/>
          <w:sz w:val="18"/>
        </w:rPr>
      </w:r>
      <w:r w:rsidRPr="00A42596">
        <w:rPr>
          <w:noProof/>
          <w:sz w:val="18"/>
        </w:rPr>
        <w:fldChar w:fldCharType="separate"/>
      </w:r>
      <w:r w:rsidR="00B87133">
        <w:rPr>
          <w:noProof/>
          <w:sz w:val="18"/>
        </w:rPr>
        <w:t>41</w:t>
      </w:r>
      <w:r w:rsidRPr="00A42596">
        <w:rPr>
          <w:noProof/>
          <w:sz w:val="18"/>
        </w:rPr>
        <w:fldChar w:fldCharType="end"/>
      </w:r>
    </w:p>
    <w:p w:rsidR="00A42596" w:rsidRDefault="00A42596">
      <w:pPr>
        <w:pStyle w:val="TOC8"/>
        <w:rPr>
          <w:rFonts w:asciiTheme="minorHAnsi" w:eastAsiaTheme="minorEastAsia" w:hAnsiTheme="minorHAnsi" w:cstheme="minorBidi"/>
          <w:noProof/>
          <w:kern w:val="0"/>
          <w:sz w:val="22"/>
          <w:szCs w:val="22"/>
        </w:rPr>
      </w:pPr>
      <w:r>
        <w:rPr>
          <w:noProof/>
        </w:rPr>
        <w:t>Division 1—Renewing licences</w:t>
      </w:r>
      <w:r w:rsidRPr="00A42596">
        <w:rPr>
          <w:noProof/>
          <w:sz w:val="18"/>
        </w:rPr>
        <w:tab/>
      </w:r>
      <w:r w:rsidRPr="00A42596">
        <w:rPr>
          <w:noProof/>
          <w:sz w:val="18"/>
        </w:rPr>
        <w:fldChar w:fldCharType="begin"/>
      </w:r>
      <w:r w:rsidRPr="00A42596">
        <w:rPr>
          <w:noProof/>
          <w:sz w:val="18"/>
        </w:rPr>
        <w:instrText xml:space="preserve"> PAGEREF _Toc486251896 \h </w:instrText>
      </w:r>
      <w:r w:rsidRPr="00A42596">
        <w:rPr>
          <w:noProof/>
          <w:sz w:val="18"/>
        </w:rPr>
      </w:r>
      <w:r w:rsidRPr="00A42596">
        <w:rPr>
          <w:noProof/>
          <w:sz w:val="18"/>
        </w:rPr>
        <w:fldChar w:fldCharType="separate"/>
      </w:r>
      <w:r w:rsidR="00B87133">
        <w:rPr>
          <w:noProof/>
          <w:sz w:val="18"/>
        </w:rPr>
        <w:t>41</w:t>
      </w:r>
      <w:r w:rsidRPr="00A42596">
        <w:rPr>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A42596">
        <w:rPr>
          <w:i w:val="0"/>
          <w:noProof/>
          <w:sz w:val="18"/>
        </w:rPr>
        <w:tab/>
      </w:r>
      <w:r w:rsidRPr="00A42596">
        <w:rPr>
          <w:i w:val="0"/>
          <w:noProof/>
          <w:sz w:val="18"/>
        </w:rPr>
        <w:fldChar w:fldCharType="begin"/>
      </w:r>
      <w:r w:rsidRPr="00A42596">
        <w:rPr>
          <w:i w:val="0"/>
          <w:noProof/>
          <w:sz w:val="18"/>
        </w:rPr>
        <w:instrText xml:space="preserve"> PAGEREF _Toc486251897 \h </w:instrText>
      </w:r>
      <w:r w:rsidRPr="00A42596">
        <w:rPr>
          <w:i w:val="0"/>
          <w:noProof/>
          <w:sz w:val="18"/>
        </w:rPr>
      </w:r>
      <w:r w:rsidRPr="00A42596">
        <w:rPr>
          <w:i w:val="0"/>
          <w:noProof/>
          <w:sz w:val="18"/>
        </w:rPr>
        <w:fldChar w:fldCharType="separate"/>
      </w:r>
      <w:r w:rsidR="00B87133">
        <w:rPr>
          <w:i w:val="0"/>
          <w:noProof/>
          <w:sz w:val="18"/>
        </w:rPr>
        <w:t>41</w:t>
      </w:r>
      <w:r w:rsidRPr="00A42596">
        <w:rPr>
          <w:i w:val="0"/>
          <w:noProof/>
          <w:sz w:val="18"/>
        </w:rPr>
        <w:fldChar w:fldCharType="end"/>
      </w:r>
    </w:p>
    <w:p w:rsidR="00A42596" w:rsidRDefault="00A42596">
      <w:pPr>
        <w:pStyle w:val="TOC8"/>
        <w:rPr>
          <w:rFonts w:asciiTheme="minorHAnsi" w:eastAsiaTheme="minorEastAsia" w:hAnsiTheme="minorHAnsi" w:cstheme="minorBidi"/>
          <w:noProof/>
          <w:kern w:val="0"/>
          <w:sz w:val="22"/>
          <w:szCs w:val="22"/>
        </w:rPr>
      </w:pPr>
      <w:r>
        <w:rPr>
          <w:noProof/>
        </w:rPr>
        <w:t>Division 2—Equipment licences</w:t>
      </w:r>
      <w:r w:rsidRPr="00A42596">
        <w:rPr>
          <w:noProof/>
          <w:sz w:val="18"/>
        </w:rPr>
        <w:tab/>
      </w:r>
      <w:r w:rsidRPr="00A42596">
        <w:rPr>
          <w:noProof/>
          <w:sz w:val="18"/>
        </w:rPr>
        <w:fldChar w:fldCharType="begin"/>
      </w:r>
      <w:r w:rsidRPr="00A42596">
        <w:rPr>
          <w:noProof/>
          <w:sz w:val="18"/>
        </w:rPr>
        <w:instrText xml:space="preserve"> PAGEREF _Toc486251911 \h </w:instrText>
      </w:r>
      <w:r w:rsidRPr="00A42596">
        <w:rPr>
          <w:noProof/>
          <w:sz w:val="18"/>
        </w:rPr>
      </w:r>
      <w:r w:rsidRPr="00A42596">
        <w:rPr>
          <w:noProof/>
          <w:sz w:val="18"/>
        </w:rPr>
        <w:fldChar w:fldCharType="separate"/>
      </w:r>
      <w:r w:rsidR="00B87133">
        <w:rPr>
          <w:noProof/>
          <w:sz w:val="18"/>
        </w:rPr>
        <w:t>47</w:t>
      </w:r>
      <w:r w:rsidRPr="00A42596">
        <w:rPr>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lastRenderedPageBreak/>
        <w:t>Ozone Protection and Synthetic Greenhouse Gas (Import Levy) Act 1995</w:t>
      </w:r>
      <w:r w:rsidRPr="00A42596">
        <w:rPr>
          <w:i w:val="0"/>
          <w:noProof/>
          <w:sz w:val="18"/>
        </w:rPr>
        <w:tab/>
      </w:r>
      <w:r w:rsidRPr="00A42596">
        <w:rPr>
          <w:i w:val="0"/>
          <w:noProof/>
          <w:sz w:val="18"/>
        </w:rPr>
        <w:fldChar w:fldCharType="begin"/>
      </w:r>
      <w:r w:rsidRPr="00A42596">
        <w:rPr>
          <w:i w:val="0"/>
          <w:noProof/>
          <w:sz w:val="18"/>
        </w:rPr>
        <w:instrText xml:space="preserve"> PAGEREF _Toc486251912 \h </w:instrText>
      </w:r>
      <w:r w:rsidRPr="00A42596">
        <w:rPr>
          <w:i w:val="0"/>
          <w:noProof/>
          <w:sz w:val="18"/>
        </w:rPr>
      </w:r>
      <w:r w:rsidRPr="00A42596">
        <w:rPr>
          <w:i w:val="0"/>
          <w:noProof/>
          <w:sz w:val="18"/>
        </w:rPr>
        <w:fldChar w:fldCharType="separate"/>
      </w:r>
      <w:r w:rsidR="00B87133">
        <w:rPr>
          <w:i w:val="0"/>
          <w:noProof/>
          <w:sz w:val="18"/>
        </w:rPr>
        <w:t>47</w:t>
      </w:r>
      <w:r w:rsidRPr="00A42596">
        <w:rPr>
          <w:i w:val="0"/>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A42596">
        <w:rPr>
          <w:i w:val="0"/>
          <w:noProof/>
          <w:sz w:val="18"/>
        </w:rPr>
        <w:tab/>
      </w:r>
      <w:r w:rsidRPr="00A42596">
        <w:rPr>
          <w:i w:val="0"/>
          <w:noProof/>
          <w:sz w:val="18"/>
        </w:rPr>
        <w:fldChar w:fldCharType="begin"/>
      </w:r>
      <w:r w:rsidRPr="00A42596">
        <w:rPr>
          <w:i w:val="0"/>
          <w:noProof/>
          <w:sz w:val="18"/>
        </w:rPr>
        <w:instrText xml:space="preserve"> PAGEREF _Toc486251913 \h </w:instrText>
      </w:r>
      <w:r w:rsidRPr="00A42596">
        <w:rPr>
          <w:i w:val="0"/>
          <w:noProof/>
          <w:sz w:val="18"/>
        </w:rPr>
      </w:r>
      <w:r w:rsidRPr="00A42596">
        <w:rPr>
          <w:i w:val="0"/>
          <w:noProof/>
          <w:sz w:val="18"/>
        </w:rPr>
        <w:fldChar w:fldCharType="separate"/>
      </w:r>
      <w:r w:rsidR="00B87133">
        <w:rPr>
          <w:i w:val="0"/>
          <w:noProof/>
          <w:sz w:val="18"/>
        </w:rPr>
        <w:t>47</w:t>
      </w:r>
      <w:r w:rsidRPr="00A42596">
        <w:rPr>
          <w:i w:val="0"/>
          <w:noProof/>
          <w:sz w:val="18"/>
        </w:rPr>
        <w:fldChar w:fldCharType="end"/>
      </w:r>
    </w:p>
    <w:p w:rsidR="00A42596" w:rsidRDefault="00A42596">
      <w:pPr>
        <w:pStyle w:val="TOC8"/>
        <w:rPr>
          <w:rFonts w:asciiTheme="minorHAnsi" w:eastAsiaTheme="minorEastAsia" w:hAnsiTheme="minorHAnsi" w:cstheme="minorBidi"/>
          <w:noProof/>
          <w:kern w:val="0"/>
          <w:sz w:val="22"/>
          <w:szCs w:val="22"/>
        </w:rPr>
      </w:pPr>
      <w:r>
        <w:rPr>
          <w:noProof/>
        </w:rPr>
        <w:t>Division 3—Application, saving and transitional provisions</w:t>
      </w:r>
      <w:r w:rsidRPr="00A42596">
        <w:rPr>
          <w:noProof/>
          <w:sz w:val="18"/>
        </w:rPr>
        <w:tab/>
      </w:r>
      <w:r w:rsidRPr="00A42596">
        <w:rPr>
          <w:noProof/>
          <w:sz w:val="18"/>
        </w:rPr>
        <w:fldChar w:fldCharType="begin"/>
      </w:r>
      <w:r w:rsidRPr="00A42596">
        <w:rPr>
          <w:noProof/>
          <w:sz w:val="18"/>
        </w:rPr>
        <w:instrText xml:space="preserve"> PAGEREF _Toc486251915 \h </w:instrText>
      </w:r>
      <w:r w:rsidRPr="00A42596">
        <w:rPr>
          <w:noProof/>
          <w:sz w:val="18"/>
        </w:rPr>
      </w:r>
      <w:r w:rsidRPr="00A42596">
        <w:rPr>
          <w:noProof/>
          <w:sz w:val="18"/>
        </w:rPr>
        <w:fldChar w:fldCharType="separate"/>
      </w:r>
      <w:r w:rsidR="00B87133">
        <w:rPr>
          <w:noProof/>
          <w:sz w:val="18"/>
        </w:rPr>
        <w:t>54</w:t>
      </w:r>
      <w:r w:rsidRPr="00A42596">
        <w:rPr>
          <w:noProof/>
          <w:sz w:val="18"/>
        </w:rPr>
        <w:fldChar w:fldCharType="end"/>
      </w:r>
    </w:p>
    <w:p w:rsidR="00A42596" w:rsidRDefault="00A42596">
      <w:pPr>
        <w:pStyle w:val="TOC7"/>
        <w:rPr>
          <w:rFonts w:asciiTheme="minorHAnsi" w:eastAsiaTheme="minorEastAsia" w:hAnsiTheme="minorHAnsi" w:cstheme="minorBidi"/>
          <w:noProof/>
          <w:kern w:val="0"/>
          <w:sz w:val="22"/>
          <w:szCs w:val="22"/>
        </w:rPr>
      </w:pPr>
      <w:r>
        <w:rPr>
          <w:noProof/>
        </w:rPr>
        <w:t>Part 2—Levy periods, threshold and penalty interest</w:t>
      </w:r>
      <w:r w:rsidRPr="00A42596">
        <w:rPr>
          <w:noProof/>
          <w:sz w:val="18"/>
        </w:rPr>
        <w:tab/>
      </w:r>
      <w:r w:rsidRPr="00A42596">
        <w:rPr>
          <w:noProof/>
          <w:sz w:val="18"/>
        </w:rPr>
        <w:fldChar w:fldCharType="begin"/>
      </w:r>
      <w:r w:rsidRPr="00A42596">
        <w:rPr>
          <w:noProof/>
          <w:sz w:val="18"/>
        </w:rPr>
        <w:instrText xml:space="preserve"> PAGEREF _Toc486251916 \h </w:instrText>
      </w:r>
      <w:r w:rsidRPr="00A42596">
        <w:rPr>
          <w:noProof/>
          <w:sz w:val="18"/>
        </w:rPr>
      </w:r>
      <w:r w:rsidRPr="00A42596">
        <w:rPr>
          <w:noProof/>
          <w:sz w:val="18"/>
        </w:rPr>
        <w:fldChar w:fldCharType="separate"/>
      </w:r>
      <w:r w:rsidR="00B87133">
        <w:rPr>
          <w:noProof/>
          <w:sz w:val="18"/>
        </w:rPr>
        <w:t>57</w:t>
      </w:r>
      <w:r w:rsidRPr="00A42596">
        <w:rPr>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Evidence Act 1995</w:t>
      </w:r>
      <w:r w:rsidRPr="00A42596">
        <w:rPr>
          <w:i w:val="0"/>
          <w:noProof/>
          <w:sz w:val="18"/>
        </w:rPr>
        <w:tab/>
      </w:r>
      <w:r w:rsidRPr="00A42596">
        <w:rPr>
          <w:i w:val="0"/>
          <w:noProof/>
          <w:sz w:val="18"/>
        </w:rPr>
        <w:fldChar w:fldCharType="begin"/>
      </w:r>
      <w:r w:rsidRPr="00A42596">
        <w:rPr>
          <w:i w:val="0"/>
          <w:noProof/>
          <w:sz w:val="18"/>
        </w:rPr>
        <w:instrText xml:space="preserve"> PAGEREF _Toc486251917 \h </w:instrText>
      </w:r>
      <w:r w:rsidRPr="00A42596">
        <w:rPr>
          <w:i w:val="0"/>
          <w:noProof/>
          <w:sz w:val="18"/>
        </w:rPr>
      </w:r>
      <w:r w:rsidRPr="00A42596">
        <w:rPr>
          <w:i w:val="0"/>
          <w:noProof/>
          <w:sz w:val="18"/>
        </w:rPr>
        <w:fldChar w:fldCharType="separate"/>
      </w:r>
      <w:r w:rsidR="00B87133">
        <w:rPr>
          <w:i w:val="0"/>
          <w:noProof/>
          <w:sz w:val="18"/>
        </w:rPr>
        <w:t>57</w:t>
      </w:r>
      <w:r w:rsidRPr="00A42596">
        <w:rPr>
          <w:i w:val="0"/>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(Import Levy) Act 1995</w:t>
      </w:r>
      <w:r w:rsidRPr="00A42596">
        <w:rPr>
          <w:i w:val="0"/>
          <w:noProof/>
          <w:sz w:val="18"/>
        </w:rPr>
        <w:tab/>
      </w:r>
      <w:r w:rsidRPr="00A42596">
        <w:rPr>
          <w:i w:val="0"/>
          <w:noProof/>
          <w:sz w:val="18"/>
        </w:rPr>
        <w:fldChar w:fldCharType="begin"/>
      </w:r>
      <w:r w:rsidRPr="00A42596">
        <w:rPr>
          <w:i w:val="0"/>
          <w:noProof/>
          <w:sz w:val="18"/>
        </w:rPr>
        <w:instrText xml:space="preserve"> PAGEREF _Toc486251918 \h </w:instrText>
      </w:r>
      <w:r w:rsidRPr="00A42596">
        <w:rPr>
          <w:i w:val="0"/>
          <w:noProof/>
          <w:sz w:val="18"/>
        </w:rPr>
      </w:r>
      <w:r w:rsidRPr="00A42596">
        <w:rPr>
          <w:i w:val="0"/>
          <w:noProof/>
          <w:sz w:val="18"/>
        </w:rPr>
        <w:fldChar w:fldCharType="separate"/>
      </w:r>
      <w:r w:rsidR="00B87133">
        <w:rPr>
          <w:i w:val="0"/>
          <w:noProof/>
          <w:sz w:val="18"/>
        </w:rPr>
        <w:t>57</w:t>
      </w:r>
      <w:r w:rsidRPr="00A42596">
        <w:rPr>
          <w:i w:val="0"/>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A42596">
        <w:rPr>
          <w:i w:val="0"/>
          <w:noProof/>
          <w:sz w:val="18"/>
        </w:rPr>
        <w:tab/>
      </w:r>
      <w:r w:rsidRPr="00A42596">
        <w:rPr>
          <w:i w:val="0"/>
          <w:noProof/>
          <w:sz w:val="18"/>
        </w:rPr>
        <w:fldChar w:fldCharType="begin"/>
      </w:r>
      <w:r w:rsidRPr="00A42596">
        <w:rPr>
          <w:i w:val="0"/>
          <w:noProof/>
          <w:sz w:val="18"/>
        </w:rPr>
        <w:instrText xml:space="preserve"> PAGEREF _Toc486251919 \h </w:instrText>
      </w:r>
      <w:r w:rsidRPr="00A42596">
        <w:rPr>
          <w:i w:val="0"/>
          <w:noProof/>
          <w:sz w:val="18"/>
        </w:rPr>
      </w:r>
      <w:r w:rsidRPr="00A42596">
        <w:rPr>
          <w:i w:val="0"/>
          <w:noProof/>
          <w:sz w:val="18"/>
        </w:rPr>
        <w:fldChar w:fldCharType="separate"/>
      </w:r>
      <w:r w:rsidR="00B87133">
        <w:rPr>
          <w:i w:val="0"/>
          <w:noProof/>
          <w:sz w:val="18"/>
        </w:rPr>
        <w:t>58</w:t>
      </w:r>
      <w:r w:rsidRPr="00A42596">
        <w:rPr>
          <w:i w:val="0"/>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(Manufacture Levy) Act 1995</w:t>
      </w:r>
      <w:r w:rsidRPr="00A42596">
        <w:rPr>
          <w:i w:val="0"/>
          <w:noProof/>
          <w:sz w:val="18"/>
        </w:rPr>
        <w:tab/>
      </w:r>
      <w:r w:rsidRPr="00A42596">
        <w:rPr>
          <w:i w:val="0"/>
          <w:noProof/>
          <w:sz w:val="18"/>
        </w:rPr>
        <w:fldChar w:fldCharType="begin"/>
      </w:r>
      <w:r w:rsidRPr="00A42596">
        <w:rPr>
          <w:i w:val="0"/>
          <w:noProof/>
          <w:sz w:val="18"/>
        </w:rPr>
        <w:instrText xml:space="preserve"> PAGEREF _Toc486251921 \h </w:instrText>
      </w:r>
      <w:r w:rsidRPr="00A42596">
        <w:rPr>
          <w:i w:val="0"/>
          <w:noProof/>
          <w:sz w:val="18"/>
        </w:rPr>
      </w:r>
      <w:r w:rsidRPr="00A42596">
        <w:rPr>
          <w:i w:val="0"/>
          <w:noProof/>
          <w:sz w:val="18"/>
        </w:rPr>
        <w:fldChar w:fldCharType="separate"/>
      </w:r>
      <w:r w:rsidR="00B87133">
        <w:rPr>
          <w:i w:val="0"/>
          <w:noProof/>
          <w:sz w:val="18"/>
        </w:rPr>
        <w:t>60</w:t>
      </w:r>
      <w:r w:rsidRPr="00A42596">
        <w:rPr>
          <w:i w:val="0"/>
          <w:noProof/>
          <w:sz w:val="18"/>
        </w:rPr>
        <w:fldChar w:fldCharType="end"/>
      </w:r>
    </w:p>
    <w:p w:rsidR="00A42596" w:rsidRDefault="00A42596">
      <w:pPr>
        <w:pStyle w:val="TOC7"/>
        <w:rPr>
          <w:rFonts w:asciiTheme="minorHAnsi" w:eastAsiaTheme="minorEastAsia" w:hAnsiTheme="minorHAnsi" w:cstheme="minorBidi"/>
          <w:noProof/>
          <w:kern w:val="0"/>
          <w:sz w:val="22"/>
          <w:szCs w:val="22"/>
        </w:rPr>
      </w:pPr>
      <w:r>
        <w:rPr>
          <w:noProof/>
        </w:rPr>
        <w:t>Part 3—Licence quantity limits</w:t>
      </w:r>
      <w:r w:rsidRPr="00A42596">
        <w:rPr>
          <w:noProof/>
          <w:sz w:val="18"/>
        </w:rPr>
        <w:tab/>
      </w:r>
      <w:r w:rsidRPr="00A42596">
        <w:rPr>
          <w:noProof/>
          <w:sz w:val="18"/>
        </w:rPr>
        <w:fldChar w:fldCharType="begin"/>
      </w:r>
      <w:r w:rsidRPr="00A42596">
        <w:rPr>
          <w:noProof/>
          <w:sz w:val="18"/>
        </w:rPr>
        <w:instrText xml:space="preserve"> PAGEREF _Toc486251922 \h </w:instrText>
      </w:r>
      <w:r w:rsidRPr="00A42596">
        <w:rPr>
          <w:noProof/>
          <w:sz w:val="18"/>
        </w:rPr>
      </w:r>
      <w:r w:rsidRPr="00A42596">
        <w:rPr>
          <w:noProof/>
          <w:sz w:val="18"/>
        </w:rPr>
        <w:fldChar w:fldCharType="separate"/>
      </w:r>
      <w:r w:rsidR="00B87133">
        <w:rPr>
          <w:noProof/>
          <w:sz w:val="18"/>
        </w:rPr>
        <w:t>63</w:t>
      </w:r>
      <w:r w:rsidRPr="00A42596">
        <w:rPr>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A42596">
        <w:rPr>
          <w:i w:val="0"/>
          <w:noProof/>
          <w:sz w:val="18"/>
        </w:rPr>
        <w:tab/>
      </w:r>
      <w:r w:rsidRPr="00A42596">
        <w:rPr>
          <w:i w:val="0"/>
          <w:noProof/>
          <w:sz w:val="18"/>
        </w:rPr>
        <w:fldChar w:fldCharType="begin"/>
      </w:r>
      <w:r w:rsidRPr="00A42596">
        <w:rPr>
          <w:i w:val="0"/>
          <w:noProof/>
          <w:sz w:val="18"/>
        </w:rPr>
        <w:instrText xml:space="preserve"> PAGEREF _Toc486251923 \h </w:instrText>
      </w:r>
      <w:r w:rsidRPr="00A42596">
        <w:rPr>
          <w:i w:val="0"/>
          <w:noProof/>
          <w:sz w:val="18"/>
        </w:rPr>
      </w:r>
      <w:r w:rsidRPr="00A42596">
        <w:rPr>
          <w:i w:val="0"/>
          <w:noProof/>
          <w:sz w:val="18"/>
        </w:rPr>
        <w:fldChar w:fldCharType="separate"/>
      </w:r>
      <w:r w:rsidR="00B87133">
        <w:rPr>
          <w:i w:val="0"/>
          <w:noProof/>
          <w:sz w:val="18"/>
        </w:rPr>
        <w:t>63</w:t>
      </w:r>
      <w:r w:rsidRPr="00A42596">
        <w:rPr>
          <w:i w:val="0"/>
          <w:noProof/>
          <w:sz w:val="18"/>
        </w:rPr>
        <w:fldChar w:fldCharType="end"/>
      </w:r>
    </w:p>
    <w:p w:rsidR="00A42596" w:rsidRDefault="00A42596">
      <w:pPr>
        <w:pStyle w:val="TOC7"/>
        <w:rPr>
          <w:rFonts w:asciiTheme="minorHAnsi" w:eastAsiaTheme="minorEastAsia" w:hAnsiTheme="minorHAnsi" w:cstheme="minorBidi"/>
          <w:noProof/>
          <w:kern w:val="0"/>
          <w:sz w:val="22"/>
          <w:szCs w:val="22"/>
        </w:rPr>
      </w:pPr>
      <w:r>
        <w:rPr>
          <w:noProof/>
        </w:rPr>
        <w:t>Part 4—Synthetic greenhouse gases</w:t>
      </w:r>
      <w:r w:rsidRPr="00A42596">
        <w:rPr>
          <w:noProof/>
          <w:sz w:val="18"/>
        </w:rPr>
        <w:tab/>
      </w:r>
      <w:r w:rsidRPr="00A42596">
        <w:rPr>
          <w:noProof/>
          <w:sz w:val="18"/>
        </w:rPr>
        <w:fldChar w:fldCharType="begin"/>
      </w:r>
      <w:r w:rsidRPr="00A42596">
        <w:rPr>
          <w:noProof/>
          <w:sz w:val="18"/>
        </w:rPr>
        <w:instrText xml:space="preserve"> PAGEREF _Toc486251924 \h </w:instrText>
      </w:r>
      <w:r w:rsidRPr="00A42596">
        <w:rPr>
          <w:noProof/>
          <w:sz w:val="18"/>
        </w:rPr>
      </w:r>
      <w:r w:rsidRPr="00A42596">
        <w:rPr>
          <w:noProof/>
          <w:sz w:val="18"/>
        </w:rPr>
        <w:fldChar w:fldCharType="separate"/>
      </w:r>
      <w:r w:rsidR="00B87133">
        <w:rPr>
          <w:noProof/>
          <w:sz w:val="18"/>
        </w:rPr>
        <w:t>64</w:t>
      </w:r>
      <w:r w:rsidRPr="00A42596">
        <w:rPr>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A42596">
        <w:rPr>
          <w:i w:val="0"/>
          <w:noProof/>
          <w:sz w:val="18"/>
        </w:rPr>
        <w:tab/>
      </w:r>
      <w:r w:rsidRPr="00A42596">
        <w:rPr>
          <w:i w:val="0"/>
          <w:noProof/>
          <w:sz w:val="18"/>
        </w:rPr>
        <w:fldChar w:fldCharType="begin"/>
      </w:r>
      <w:r w:rsidRPr="00A42596">
        <w:rPr>
          <w:i w:val="0"/>
          <w:noProof/>
          <w:sz w:val="18"/>
        </w:rPr>
        <w:instrText xml:space="preserve"> PAGEREF _Toc486251925 \h </w:instrText>
      </w:r>
      <w:r w:rsidRPr="00A42596">
        <w:rPr>
          <w:i w:val="0"/>
          <w:noProof/>
          <w:sz w:val="18"/>
        </w:rPr>
      </w:r>
      <w:r w:rsidRPr="00A42596">
        <w:rPr>
          <w:i w:val="0"/>
          <w:noProof/>
          <w:sz w:val="18"/>
        </w:rPr>
        <w:fldChar w:fldCharType="separate"/>
      </w:r>
      <w:r w:rsidR="00B87133">
        <w:rPr>
          <w:i w:val="0"/>
          <w:noProof/>
          <w:sz w:val="18"/>
        </w:rPr>
        <w:t>64</w:t>
      </w:r>
      <w:r w:rsidRPr="00A42596">
        <w:rPr>
          <w:i w:val="0"/>
          <w:noProof/>
          <w:sz w:val="18"/>
        </w:rPr>
        <w:fldChar w:fldCharType="end"/>
      </w:r>
    </w:p>
    <w:p w:rsidR="00A42596" w:rsidRDefault="00A42596">
      <w:pPr>
        <w:pStyle w:val="TOC7"/>
        <w:rPr>
          <w:rFonts w:asciiTheme="minorHAnsi" w:eastAsiaTheme="minorEastAsia" w:hAnsiTheme="minorHAnsi" w:cstheme="minorBidi"/>
          <w:noProof/>
          <w:kern w:val="0"/>
          <w:sz w:val="22"/>
          <w:szCs w:val="22"/>
        </w:rPr>
      </w:pPr>
      <w:r>
        <w:rPr>
          <w:noProof/>
        </w:rPr>
        <w:t>Part 5—Export of HCFCs</w:t>
      </w:r>
      <w:r w:rsidRPr="00A42596">
        <w:rPr>
          <w:noProof/>
          <w:sz w:val="18"/>
        </w:rPr>
        <w:tab/>
      </w:r>
      <w:r w:rsidRPr="00A42596">
        <w:rPr>
          <w:noProof/>
          <w:sz w:val="18"/>
        </w:rPr>
        <w:fldChar w:fldCharType="begin"/>
      </w:r>
      <w:r w:rsidRPr="00A42596">
        <w:rPr>
          <w:noProof/>
          <w:sz w:val="18"/>
        </w:rPr>
        <w:instrText xml:space="preserve"> PAGEREF _Toc486251928 \h </w:instrText>
      </w:r>
      <w:r w:rsidRPr="00A42596">
        <w:rPr>
          <w:noProof/>
          <w:sz w:val="18"/>
        </w:rPr>
      </w:r>
      <w:r w:rsidRPr="00A42596">
        <w:rPr>
          <w:noProof/>
          <w:sz w:val="18"/>
        </w:rPr>
        <w:fldChar w:fldCharType="separate"/>
      </w:r>
      <w:r w:rsidR="00B87133">
        <w:rPr>
          <w:noProof/>
          <w:sz w:val="18"/>
        </w:rPr>
        <w:t>66</w:t>
      </w:r>
      <w:r w:rsidRPr="00A42596">
        <w:rPr>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A42596">
        <w:rPr>
          <w:i w:val="0"/>
          <w:noProof/>
          <w:sz w:val="18"/>
        </w:rPr>
        <w:tab/>
      </w:r>
      <w:r w:rsidRPr="00A42596">
        <w:rPr>
          <w:i w:val="0"/>
          <w:noProof/>
          <w:sz w:val="18"/>
        </w:rPr>
        <w:fldChar w:fldCharType="begin"/>
      </w:r>
      <w:r w:rsidRPr="00A42596">
        <w:rPr>
          <w:i w:val="0"/>
          <w:noProof/>
          <w:sz w:val="18"/>
        </w:rPr>
        <w:instrText xml:space="preserve"> PAGEREF _Toc486251929 \h </w:instrText>
      </w:r>
      <w:r w:rsidRPr="00A42596">
        <w:rPr>
          <w:i w:val="0"/>
          <w:noProof/>
          <w:sz w:val="18"/>
        </w:rPr>
      </w:r>
      <w:r w:rsidRPr="00A42596">
        <w:rPr>
          <w:i w:val="0"/>
          <w:noProof/>
          <w:sz w:val="18"/>
        </w:rPr>
        <w:fldChar w:fldCharType="separate"/>
      </w:r>
      <w:r w:rsidR="00B87133">
        <w:rPr>
          <w:i w:val="0"/>
          <w:noProof/>
          <w:sz w:val="18"/>
        </w:rPr>
        <w:t>66</w:t>
      </w:r>
      <w:r w:rsidRPr="00A42596">
        <w:rPr>
          <w:i w:val="0"/>
          <w:noProof/>
          <w:sz w:val="18"/>
        </w:rPr>
        <w:fldChar w:fldCharType="end"/>
      </w:r>
    </w:p>
    <w:p w:rsidR="00A42596" w:rsidRDefault="00A42596">
      <w:pPr>
        <w:pStyle w:val="TOC6"/>
        <w:rPr>
          <w:rFonts w:asciiTheme="minorHAnsi" w:eastAsiaTheme="minorEastAsia" w:hAnsiTheme="minorHAnsi" w:cstheme="minorBidi"/>
          <w:b w:val="0"/>
          <w:noProof/>
          <w:kern w:val="0"/>
          <w:sz w:val="22"/>
          <w:szCs w:val="22"/>
        </w:rPr>
      </w:pPr>
      <w:r>
        <w:rPr>
          <w:noProof/>
        </w:rPr>
        <w:t>Schedule 3—Amendments commencing 1 January 2020</w:t>
      </w:r>
      <w:r w:rsidRPr="00A42596">
        <w:rPr>
          <w:b w:val="0"/>
          <w:noProof/>
          <w:sz w:val="18"/>
        </w:rPr>
        <w:tab/>
      </w:r>
      <w:r w:rsidRPr="00A42596">
        <w:rPr>
          <w:b w:val="0"/>
          <w:noProof/>
          <w:sz w:val="18"/>
        </w:rPr>
        <w:fldChar w:fldCharType="begin"/>
      </w:r>
      <w:r w:rsidRPr="00A42596">
        <w:rPr>
          <w:b w:val="0"/>
          <w:noProof/>
          <w:sz w:val="18"/>
        </w:rPr>
        <w:instrText xml:space="preserve"> PAGEREF _Toc486251930 \h </w:instrText>
      </w:r>
      <w:r w:rsidRPr="00A42596">
        <w:rPr>
          <w:b w:val="0"/>
          <w:noProof/>
          <w:sz w:val="18"/>
        </w:rPr>
      </w:r>
      <w:r w:rsidRPr="00A42596">
        <w:rPr>
          <w:b w:val="0"/>
          <w:noProof/>
          <w:sz w:val="18"/>
        </w:rPr>
        <w:fldChar w:fldCharType="separate"/>
      </w:r>
      <w:r w:rsidR="00B87133">
        <w:rPr>
          <w:b w:val="0"/>
          <w:noProof/>
          <w:sz w:val="18"/>
        </w:rPr>
        <w:t>67</w:t>
      </w:r>
      <w:r w:rsidRPr="00A42596">
        <w:rPr>
          <w:b w:val="0"/>
          <w:noProof/>
          <w:sz w:val="18"/>
        </w:rPr>
        <w:fldChar w:fldCharType="end"/>
      </w:r>
    </w:p>
    <w:p w:rsidR="00A42596" w:rsidRDefault="00A42596">
      <w:pPr>
        <w:pStyle w:val="TOC7"/>
        <w:rPr>
          <w:rFonts w:asciiTheme="minorHAnsi" w:eastAsiaTheme="minorEastAsia" w:hAnsiTheme="minorHAnsi" w:cstheme="minorBidi"/>
          <w:noProof/>
          <w:kern w:val="0"/>
          <w:sz w:val="22"/>
          <w:szCs w:val="22"/>
        </w:rPr>
      </w:pPr>
      <w:r>
        <w:rPr>
          <w:noProof/>
        </w:rPr>
        <w:t>Part 1—Bulk HCFC use</w:t>
      </w:r>
      <w:r w:rsidRPr="00A42596">
        <w:rPr>
          <w:noProof/>
          <w:sz w:val="18"/>
        </w:rPr>
        <w:tab/>
      </w:r>
      <w:r w:rsidRPr="00A42596">
        <w:rPr>
          <w:noProof/>
          <w:sz w:val="18"/>
        </w:rPr>
        <w:fldChar w:fldCharType="begin"/>
      </w:r>
      <w:r w:rsidRPr="00A42596">
        <w:rPr>
          <w:noProof/>
          <w:sz w:val="18"/>
        </w:rPr>
        <w:instrText xml:space="preserve"> PAGEREF _Toc486251931 \h </w:instrText>
      </w:r>
      <w:r w:rsidRPr="00A42596">
        <w:rPr>
          <w:noProof/>
          <w:sz w:val="18"/>
        </w:rPr>
      </w:r>
      <w:r w:rsidRPr="00A42596">
        <w:rPr>
          <w:noProof/>
          <w:sz w:val="18"/>
        </w:rPr>
        <w:fldChar w:fldCharType="separate"/>
      </w:r>
      <w:r w:rsidR="00B87133">
        <w:rPr>
          <w:noProof/>
          <w:sz w:val="18"/>
        </w:rPr>
        <w:t>67</w:t>
      </w:r>
      <w:r w:rsidRPr="00A42596">
        <w:rPr>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A42596">
        <w:rPr>
          <w:i w:val="0"/>
          <w:noProof/>
          <w:sz w:val="18"/>
        </w:rPr>
        <w:tab/>
      </w:r>
      <w:r w:rsidRPr="00A42596">
        <w:rPr>
          <w:i w:val="0"/>
          <w:noProof/>
          <w:sz w:val="18"/>
        </w:rPr>
        <w:fldChar w:fldCharType="begin"/>
      </w:r>
      <w:r w:rsidRPr="00A42596">
        <w:rPr>
          <w:i w:val="0"/>
          <w:noProof/>
          <w:sz w:val="18"/>
        </w:rPr>
        <w:instrText xml:space="preserve"> PAGEREF _Toc486251932 \h </w:instrText>
      </w:r>
      <w:r w:rsidRPr="00A42596">
        <w:rPr>
          <w:i w:val="0"/>
          <w:noProof/>
          <w:sz w:val="18"/>
        </w:rPr>
      </w:r>
      <w:r w:rsidRPr="00A42596">
        <w:rPr>
          <w:i w:val="0"/>
          <w:noProof/>
          <w:sz w:val="18"/>
        </w:rPr>
        <w:fldChar w:fldCharType="separate"/>
      </w:r>
      <w:r w:rsidR="00B87133">
        <w:rPr>
          <w:i w:val="0"/>
          <w:noProof/>
          <w:sz w:val="18"/>
        </w:rPr>
        <w:t>67</w:t>
      </w:r>
      <w:r w:rsidRPr="00A42596">
        <w:rPr>
          <w:i w:val="0"/>
          <w:noProof/>
          <w:sz w:val="18"/>
        </w:rPr>
        <w:fldChar w:fldCharType="end"/>
      </w:r>
    </w:p>
    <w:p w:rsidR="00A42596" w:rsidRDefault="00A42596">
      <w:pPr>
        <w:pStyle w:val="TOC7"/>
        <w:rPr>
          <w:rFonts w:asciiTheme="minorHAnsi" w:eastAsiaTheme="minorEastAsia" w:hAnsiTheme="minorHAnsi" w:cstheme="minorBidi"/>
          <w:noProof/>
          <w:kern w:val="0"/>
          <w:sz w:val="22"/>
          <w:szCs w:val="22"/>
        </w:rPr>
      </w:pPr>
      <w:r>
        <w:rPr>
          <w:noProof/>
        </w:rPr>
        <w:t>Part 2—HCFC equipment</w:t>
      </w:r>
      <w:r w:rsidRPr="00A42596">
        <w:rPr>
          <w:noProof/>
          <w:sz w:val="18"/>
        </w:rPr>
        <w:tab/>
      </w:r>
      <w:r w:rsidRPr="00A42596">
        <w:rPr>
          <w:noProof/>
          <w:sz w:val="18"/>
        </w:rPr>
        <w:fldChar w:fldCharType="begin"/>
      </w:r>
      <w:r w:rsidRPr="00A42596">
        <w:rPr>
          <w:noProof/>
          <w:sz w:val="18"/>
        </w:rPr>
        <w:instrText xml:space="preserve"> PAGEREF _Toc486251934 \h </w:instrText>
      </w:r>
      <w:r w:rsidRPr="00A42596">
        <w:rPr>
          <w:noProof/>
          <w:sz w:val="18"/>
        </w:rPr>
      </w:r>
      <w:r w:rsidRPr="00A42596">
        <w:rPr>
          <w:noProof/>
          <w:sz w:val="18"/>
        </w:rPr>
        <w:fldChar w:fldCharType="separate"/>
      </w:r>
      <w:r w:rsidR="00B87133">
        <w:rPr>
          <w:noProof/>
          <w:sz w:val="18"/>
        </w:rPr>
        <w:t>68</w:t>
      </w:r>
      <w:r w:rsidRPr="00A42596">
        <w:rPr>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(Import Levy) Act 1995</w:t>
      </w:r>
      <w:r w:rsidRPr="00A42596">
        <w:rPr>
          <w:i w:val="0"/>
          <w:noProof/>
          <w:sz w:val="18"/>
        </w:rPr>
        <w:tab/>
      </w:r>
      <w:r w:rsidRPr="00A42596">
        <w:rPr>
          <w:i w:val="0"/>
          <w:noProof/>
          <w:sz w:val="18"/>
        </w:rPr>
        <w:fldChar w:fldCharType="begin"/>
      </w:r>
      <w:r w:rsidRPr="00A42596">
        <w:rPr>
          <w:i w:val="0"/>
          <w:noProof/>
          <w:sz w:val="18"/>
        </w:rPr>
        <w:instrText xml:space="preserve"> PAGEREF _Toc486251935 \h </w:instrText>
      </w:r>
      <w:r w:rsidRPr="00A42596">
        <w:rPr>
          <w:i w:val="0"/>
          <w:noProof/>
          <w:sz w:val="18"/>
        </w:rPr>
      </w:r>
      <w:r w:rsidRPr="00A42596">
        <w:rPr>
          <w:i w:val="0"/>
          <w:noProof/>
          <w:sz w:val="18"/>
        </w:rPr>
        <w:fldChar w:fldCharType="separate"/>
      </w:r>
      <w:r w:rsidR="00B87133">
        <w:rPr>
          <w:i w:val="0"/>
          <w:noProof/>
          <w:sz w:val="18"/>
        </w:rPr>
        <w:t>68</w:t>
      </w:r>
      <w:r w:rsidRPr="00A42596">
        <w:rPr>
          <w:i w:val="0"/>
          <w:noProof/>
          <w:sz w:val="18"/>
        </w:rPr>
        <w:fldChar w:fldCharType="end"/>
      </w:r>
    </w:p>
    <w:p w:rsidR="00A42596" w:rsidRDefault="00A42596">
      <w:pPr>
        <w:pStyle w:val="TOC9"/>
        <w:rPr>
          <w:rFonts w:asciiTheme="minorHAnsi" w:eastAsiaTheme="minorEastAsia" w:hAnsiTheme="minorHAnsi" w:cstheme="minorBidi"/>
          <w:i w:val="0"/>
          <w:noProof/>
          <w:kern w:val="0"/>
          <w:sz w:val="22"/>
          <w:szCs w:val="22"/>
        </w:rPr>
      </w:pPr>
      <w:r>
        <w:rPr>
          <w:noProof/>
        </w:rPr>
        <w:t>Ozone Protection and Synthetic Greenhouse Gas Management Act 1989</w:t>
      </w:r>
      <w:r w:rsidRPr="00A42596">
        <w:rPr>
          <w:i w:val="0"/>
          <w:noProof/>
          <w:sz w:val="18"/>
        </w:rPr>
        <w:tab/>
      </w:r>
      <w:r w:rsidRPr="00A42596">
        <w:rPr>
          <w:i w:val="0"/>
          <w:noProof/>
          <w:sz w:val="18"/>
        </w:rPr>
        <w:fldChar w:fldCharType="begin"/>
      </w:r>
      <w:r w:rsidRPr="00A42596">
        <w:rPr>
          <w:i w:val="0"/>
          <w:noProof/>
          <w:sz w:val="18"/>
        </w:rPr>
        <w:instrText xml:space="preserve"> PAGEREF _Toc486251936 \h </w:instrText>
      </w:r>
      <w:r w:rsidRPr="00A42596">
        <w:rPr>
          <w:i w:val="0"/>
          <w:noProof/>
          <w:sz w:val="18"/>
        </w:rPr>
      </w:r>
      <w:r w:rsidRPr="00A42596">
        <w:rPr>
          <w:i w:val="0"/>
          <w:noProof/>
          <w:sz w:val="18"/>
        </w:rPr>
        <w:fldChar w:fldCharType="separate"/>
      </w:r>
      <w:r w:rsidR="00B87133">
        <w:rPr>
          <w:i w:val="0"/>
          <w:noProof/>
          <w:sz w:val="18"/>
        </w:rPr>
        <w:t>68</w:t>
      </w:r>
      <w:r w:rsidRPr="00A42596">
        <w:rPr>
          <w:i w:val="0"/>
          <w:noProof/>
          <w:sz w:val="18"/>
        </w:rPr>
        <w:fldChar w:fldCharType="end"/>
      </w:r>
    </w:p>
    <w:p w:rsidR="00FE7F93" w:rsidRPr="003216A6" w:rsidRDefault="00A42596" w:rsidP="0048364F">
      <w:pPr>
        <w:sectPr w:rsidR="00FE7F93" w:rsidRPr="003216A6" w:rsidSect="00C0551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C0551E" w:rsidRDefault="00B87133">
      <w:r>
        <w:lastRenderedPageBreak/>
        <w:pict>
          <v:shape id="_x0000_i1026" type="#_x0000_t75" style="width:110.25pt;height:80.25pt" fillcolor="window">
            <v:imagedata r:id="rId9" o:title=""/>
          </v:shape>
        </w:pict>
      </w:r>
    </w:p>
    <w:p w:rsidR="00C0551E" w:rsidRDefault="00C0551E"/>
    <w:p w:rsidR="00C0551E" w:rsidRDefault="00C0551E" w:rsidP="00C0551E">
      <w:pPr>
        <w:spacing w:line="240" w:lineRule="auto"/>
      </w:pPr>
    </w:p>
    <w:p w:rsidR="00C0551E" w:rsidRDefault="00C41952" w:rsidP="00C0551E">
      <w:pPr>
        <w:pStyle w:val="ShortTP1"/>
      </w:pPr>
      <w:fldSimple w:instr=" STYLEREF ShortT ">
        <w:r w:rsidR="00B87133">
          <w:rPr>
            <w:noProof/>
          </w:rPr>
          <w:t>Ozone Protection and Synthetic Greenhouse Gas Management Legislation Amendment Act 2017</w:t>
        </w:r>
      </w:fldSimple>
    </w:p>
    <w:p w:rsidR="00C0551E" w:rsidRDefault="00C41952" w:rsidP="00C0551E">
      <w:pPr>
        <w:pStyle w:val="ActNoP1"/>
      </w:pPr>
      <w:fldSimple w:instr=" STYLEREF Actno ">
        <w:r w:rsidR="00B87133">
          <w:rPr>
            <w:noProof/>
          </w:rPr>
          <w:t>No. 67, 2017</w:t>
        </w:r>
      </w:fldSimple>
    </w:p>
    <w:p w:rsidR="00C0551E" w:rsidRPr="009A0728" w:rsidRDefault="00C0551E" w:rsidP="009A0728">
      <w:pPr>
        <w:pBdr>
          <w:bottom w:val="single" w:sz="6" w:space="0" w:color="auto"/>
        </w:pBdr>
        <w:spacing w:before="400" w:line="240" w:lineRule="auto"/>
        <w:rPr>
          <w:rFonts w:eastAsia="Times New Roman"/>
          <w:b/>
          <w:sz w:val="28"/>
        </w:rPr>
      </w:pPr>
    </w:p>
    <w:p w:rsidR="00C0551E" w:rsidRPr="009A0728" w:rsidRDefault="00C0551E" w:rsidP="009A0728">
      <w:pPr>
        <w:spacing w:line="40" w:lineRule="exact"/>
        <w:rPr>
          <w:rFonts w:eastAsia="Calibri"/>
          <w:b/>
          <w:sz w:val="28"/>
        </w:rPr>
      </w:pPr>
    </w:p>
    <w:p w:rsidR="00C0551E" w:rsidRPr="009A0728" w:rsidRDefault="00C0551E" w:rsidP="009A0728">
      <w:pPr>
        <w:pBdr>
          <w:top w:val="single" w:sz="12" w:space="0" w:color="auto"/>
        </w:pBdr>
        <w:spacing w:line="240" w:lineRule="auto"/>
        <w:rPr>
          <w:rFonts w:eastAsia="Times New Roman"/>
          <w:b/>
          <w:sz w:val="28"/>
        </w:rPr>
      </w:pPr>
    </w:p>
    <w:p w:rsidR="009B5A79" w:rsidRPr="003216A6" w:rsidRDefault="00C0551E" w:rsidP="003216A6">
      <w:pPr>
        <w:pStyle w:val="Page1"/>
      </w:pPr>
      <w:r>
        <w:t>An Act</w:t>
      </w:r>
      <w:r w:rsidR="003216A6" w:rsidRPr="003216A6">
        <w:t xml:space="preserve"> to amend the law relating to ozone protection and synthetic greenhouse gas management, and for related purposes</w:t>
      </w:r>
    </w:p>
    <w:p w:rsidR="00A42596" w:rsidRDefault="00A42596" w:rsidP="000C5962">
      <w:pPr>
        <w:pStyle w:val="AssentDt"/>
        <w:spacing w:before="240"/>
        <w:rPr>
          <w:sz w:val="24"/>
        </w:rPr>
      </w:pPr>
      <w:r>
        <w:rPr>
          <w:sz w:val="24"/>
        </w:rPr>
        <w:t>[</w:t>
      </w:r>
      <w:r>
        <w:rPr>
          <w:i/>
          <w:sz w:val="24"/>
        </w:rPr>
        <w:t>Assented to 23 June 2017</w:t>
      </w:r>
      <w:r>
        <w:rPr>
          <w:sz w:val="24"/>
        </w:rPr>
        <w:t>]</w:t>
      </w:r>
    </w:p>
    <w:p w:rsidR="0048364F" w:rsidRPr="003216A6" w:rsidRDefault="0048364F" w:rsidP="003216A6">
      <w:pPr>
        <w:spacing w:before="240" w:line="240" w:lineRule="auto"/>
        <w:rPr>
          <w:sz w:val="32"/>
        </w:rPr>
      </w:pPr>
      <w:r w:rsidRPr="003216A6">
        <w:rPr>
          <w:sz w:val="32"/>
        </w:rPr>
        <w:t>The Parliament of Australia enacts:</w:t>
      </w:r>
    </w:p>
    <w:p w:rsidR="0048364F" w:rsidRPr="003216A6" w:rsidRDefault="0048364F" w:rsidP="003216A6">
      <w:pPr>
        <w:pStyle w:val="ActHead5"/>
      </w:pPr>
      <w:bookmarkStart w:id="2" w:name="_Toc486251844"/>
      <w:r w:rsidRPr="003216A6">
        <w:rPr>
          <w:rStyle w:val="CharSectno"/>
        </w:rPr>
        <w:lastRenderedPageBreak/>
        <w:t>1</w:t>
      </w:r>
      <w:r w:rsidRPr="003216A6">
        <w:t xml:space="preserve">  Short title</w:t>
      </w:r>
      <w:bookmarkEnd w:id="2"/>
    </w:p>
    <w:p w:rsidR="0048364F" w:rsidRPr="003216A6" w:rsidRDefault="0048364F" w:rsidP="003216A6">
      <w:pPr>
        <w:pStyle w:val="subsection"/>
      </w:pPr>
      <w:r w:rsidRPr="003216A6">
        <w:tab/>
      </w:r>
      <w:r w:rsidRPr="003216A6">
        <w:tab/>
        <w:t xml:space="preserve">This Act </w:t>
      </w:r>
      <w:r w:rsidR="00275197" w:rsidRPr="003216A6">
        <w:t xml:space="preserve">is </w:t>
      </w:r>
      <w:r w:rsidRPr="003216A6">
        <w:t xml:space="preserve">the </w:t>
      </w:r>
      <w:r w:rsidR="009B5A79" w:rsidRPr="003216A6">
        <w:rPr>
          <w:i/>
        </w:rPr>
        <w:t>Ozone Protection and Syn</w:t>
      </w:r>
      <w:r w:rsidR="00D023C3" w:rsidRPr="003216A6">
        <w:rPr>
          <w:i/>
        </w:rPr>
        <w:t>thetic Greenhouse Gas</w:t>
      </w:r>
      <w:r w:rsidR="009B5A79" w:rsidRPr="003216A6">
        <w:rPr>
          <w:i/>
        </w:rPr>
        <w:t xml:space="preserve"> </w:t>
      </w:r>
      <w:r w:rsidR="00643413" w:rsidRPr="003216A6">
        <w:rPr>
          <w:i/>
        </w:rPr>
        <w:t xml:space="preserve">Management </w:t>
      </w:r>
      <w:r w:rsidR="009B5A79" w:rsidRPr="003216A6">
        <w:rPr>
          <w:i/>
        </w:rPr>
        <w:t>Legislation Amendment</w:t>
      </w:r>
      <w:r w:rsidR="00C164CA" w:rsidRPr="003216A6">
        <w:rPr>
          <w:i/>
        </w:rPr>
        <w:t xml:space="preserve"> Act 201</w:t>
      </w:r>
      <w:r w:rsidR="00A048FF" w:rsidRPr="003216A6">
        <w:rPr>
          <w:i/>
        </w:rPr>
        <w:t>7</w:t>
      </w:r>
      <w:r w:rsidR="002F6749" w:rsidRPr="003216A6">
        <w:t>.</w:t>
      </w:r>
    </w:p>
    <w:p w:rsidR="0048364F" w:rsidRPr="003216A6" w:rsidRDefault="0048364F" w:rsidP="003216A6">
      <w:pPr>
        <w:pStyle w:val="ActHead5"/>
      </w:pPr>
      <w:bookmarkStart w:id="3" w:name="_Toc486251845"/>
      <w:r w:rsidRPr="003216A6">
        <w:rPr>
          <w:rStyle w:val="CharSectno"/>
        </w:rPr>
        <w:t>2</w:t>
      </w:r>
      <w:r w:rsidRPr="003216A6">
        <w:t xml:space="preserve">  Commencement</w:t>
      </w:r>
      <w:bookmarkEnd w:id="3"/>
    </w:p>
    <w:p w:rsidR="0048364F" w:rsidRPr="003216A6" w:rsidRDefault="0048364F" w:rsidP="003216A6">
      <w:pPr>
        <w:pStyle w:val="subsection"/>
      </w:pPr>
      <w:r w:rsidRPr="003216A6">
        <w:tab/>
        <w:t>(1)</w:t>
      </w:r>
      <w:r w:rsidRPr="003216A6">
        <w:tab/>
        <w:t>Each provision of this Act specified in column 1 of the table commences, or is taken to have commenced, in accordance with column 2 of the table</w:t>
      </w:r>
      <w:r w:rsidR="002F6749" w:rsidRPr="003216A6">
        <w:t>.</w:t>
      </w:r>
      <w:r w:rsidRPr="003216A6">
        <w:t xml:space="preserve"> Any other statement in column 2 has effect according to its terms</w:t>
      </w:r>
      <w:r w:rsidR="002F6749" w:rsidRPr="003216A6">
        <w:t>.</w:t>
      </w:r>
    </w:p>
    <w:p w:rsidR="0048364F" w:rsidRPr="003216A6" w:rsidRDefault="0048364F" w:rsidP="003216A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216A6" w:rsidTr="009B5A79">
        <w:trPr>
          <w:tblHeader/>
        </w:trPr>
        <w:tc>
          <w:tcPr>
            <w:tcW w:w="7111" w:type="dxa"/>
            <w:gridSpan w:val="3"/>
            <w:tcBorders>
              <w:top w:val="single" w:sz="12" w:space="0" w:color="auto"/>
              <w:bottom w:val="single" w:sz="6" w:space="0" w:color="auto"/>
            </w:tcBorders>
            <w:shd w:val="clear" w:color="auto" w:fill="auto"/>
          </w:tcPr>
          <w:p w:rsidR="0048364F" w:rsidRPr="003216A6" w:rsidRDefault="0048364F" w:rsidP="003216A6">
            <w:pPr>
              <w:pStyle w:val="TableHeading"/>
            </w:pPr>
            <w:r w:rsidRPr="003216A6">
              <w:t>Commencement information</w:t>
            </w:r>
          </w:p>
        </w:tc>
      </w:tr>
      <w:tr w:rsidR="0048364F" w:rsidRPr="003216A6" w:rsidTr="009B5A79">
        <w:trPr>
          <w:tblHeader/>
        </w:trPr>
        <w:tc>
          <w:tcPr>
            <w:tcW w:w="1701" w:type="dxa"/>
            <w:tcBorders>
              <w:top w:val="single" w:sz="6" w:space="0" w:color="auto"/>
              <w:bottom w:val="single" w:sz="6" w:space="0" w:color="auto"/>
            </w:tcBorders>
            <w:shd w:val="clear" w:color="auto" w:fill="auto"/>
          </w:tcPr>
          <w:p w:rsidR="0048364F" w:rsidRPr="003216A6" w:rsidRDefault="0048364F" w:rsidP="003216A6">
            <w:pPr>
              <w:pStyle w:val="TableHeading"/>
            </w:pPr>
            <w:r w:rsidRPr="003216A6">
              <w:t>Column 1</w:t>
            </w:r>
          </w:p>
        </w:tc>
        <w:tc>
          <w:tcPr>
            <w:tcW w:w="3828" w:type="dxa"/>
            <w:tcBorders>
              <w:top w:val="single" w:sz="6" w:space="0" w:color="auto"/>
              <w:bottom w:val="single" w:sz="6" w:space="0" w:color="auto"/>
            </w:tcBorders>
            <w:shd w:val="clear" w:color="auto" w:fill="auto"/>
          </w:tcPr>
          <w:p w:rsidR="0048364F" w:rsidRPr="003216A6" w:rsidRDefault="0048364F" w:rsidP="003216A6">
            <w:pPr>
              <w:pStyle w:val="TableHeading"/>
            </w:pPr>
            <w:r w:rsidRPr="003216A6">
              <w:t>Column 2</w:t>
            </w:r>
          </w:p>
        </w:tc>
        <w:tc>
          <w:tcPr>
            <w:tcW w:w="1582" w:type="dxa"/>
            <w:tcBorders>
              <w:top w:val="single" w:sz="6" w:space="0" w:color="auto"/>
              <w:bottom w:val="single" w:sz="6" w:space="0" w:color="auto"/>
            </w:tcBorders>
            <w:shd w:val="clear" w:color="auto" w:fill="auto"/>
          </w:tcPr>
          <w:p w:rsidR="0048364F" w:rsidRPr="003216A6" w:rsidRDefault="0048364F" w:rsidP="003216A6">
            <w:pPr>
              <w:pStyle w:val="TableHeading"/>
            </w:pPr>
            <w:r w:rsidRPr="003216A6">
              <w:t>Column 3</w:t>
            </w:r>
          </w:p>
        </w:tc>
      </w:tr>
      <w:tr w:rsidR="0048364F" w:rsidRPr="003216A6" w:rsidTr="009B5A79">
        <w:trPr>
          <w:tblHeader/>
        </w:trPr>
        <w:tc>
          <w:tcPr>
            <w:tcW w:w="1701" w:type="dxa"/>
            <w:tcBorders>
              <w:top w:val="single" w:sz="6" w:space="0" w:color="auto"/>
              <w:bottom w:val="single" w:sz="12" w:space="0" w:color="auto"/>
            </w:tcBorders>
            <w:shd w:val="clear" w:color="auto" w:fill="auto"/>
          </w:tcPr>
          <w:p w:rsidR="0048364F" w:rsidRPr="003216A6" w:rsidRDefault="0048364F" w:rsidP="003216A6">
            <w:pPr>
              <w:pStyle w:val="TableHeading"/>
            </w:pPr>
            <w:r w:rsidRPr="003216A6">
              <w:t>Provisions</w:t>
            </w:r>
          </w:p>
        </w:tc>
        <w:tc>
          <w:tcPr>
            <w:tcW w:w="3828" w:type="dxa"/>
            <w:tcBorders>
              <w:top w:val="single" w:sz="6" w:space="0" w:color="auto"/>
              <w:bottom w:val="single" w:sz="12" w:space="0" w:color="auto"/>
            </w:tcBorders>
            <w:shd w:val="clear" w:color="auto" w:fill="auto"/>
          </w:tcPr>
          <w:p w:rsidR="0048364F" w:rsidRPr="003216A6" w:rsidRDefault="0048364F" w:rsidP="003216A6">
            <w:pPr>
              <w:pStyle w:val="TableHeading"/>
            </w:pPr>
            <w:r w:rsidRPr="003216A6">
              <w:t>Commencement</w:t>
            </w:r>
          </w:p>
        </w:tc>
        <w:tc>
          <w:tcPr>
            <w:tcW w:w="1582" w:type="dxa"/>
            <w:tcBorders>
              <w:top w:val="single" w:sz="6" w:space="0" w:color="auto"/>
              <w:bottom w:val="single" w:sz="12" w:space="0" w:color="auto"/>
            </w:tcBorders>
            <w:shd w:val="clear" w:color="auto" w:fill="auto"/>
          </w:tcPr>
          <w:p w:rsidR="0048364F" w:rsidRPr="003216A6" w:rsidRDefault="0048364F" w:rsidP="003216A6">
            <w:pPr>
              <w:pStyle w:val="TableHeading"/>
            </w:pPr>
            <w:r w:rsidRPr="003216A6">
              <w:t>Date/Details</w:t>
            </w:r>
          </w:p>
        </w:tc>
      </w:tr>
      <w:tr w:rsidR="009B5A79" w:rsidRPr="003216A6" w:rsidTr="009B5A79">
        <w:tblPrEx>
          <w:tblLook w:val="04A0" w:firstRow="1" w:lastRow="0" w:firstColumn="1" w:lastColumn="0" w:noHBand="0" w:noVBand="1"/>
        </w:tblPrEx>
        <w:tc>
          <w:tcPr>
            <w:tcW w:w="1701" w:type="dxa"/>
            <w:tcBorders>
              <w:top w:val="single" w:sz="12" w:space="0" w:color="auto"/>
            </w:tcBorders>
            <w:shd w:val="clear" w:color="auto" w:fill="auto"/>
            <w:hideMark/>
          </w:tcPr>
          <w:p w:rsidR="009B5A79" w:rsidRPr="003216A6" w:rsidRDefault="009B5A79" w:rsidP="003216A6">
            <w:pPr>
              <w:pStyle w:val="Tabletext"/>
            </w:pPr>
            <w:r w:rsidRPr="003216A6">
              <w:t>1</w:t>
            </w:r>
            <w:r w:rsidR="002F6749" w:rsidRPr="003216A6">
              <w:t>.</w:t>
            </w:r>
            <w:r w:rsidRPr="003216A6">
              <w:t xml:space="preserve">  Sections</w:t>
            </w:r>
            <w:r w:rsidR="003216A6" w:rsidRPr="003216A6">
              <w:t> </w:t>
            </w:r>
            <w:r w:rsidRPr="003216A6">
              <w:t>1 to 3 and anything in this Act not elsewhere covered by this table</w:t>
            </w:r>
          </w:p>
        </w:tc>
        <w:tc>
          <w:tcPr>
            <w:tcW w:w="3828" w:type="dxa"/>
            <w:tcBorders>
              <w:top w:val="single" w:sz="12" w:space="0" w:color="auto"/>
            </w:tcBorders>
            <w:shd w:val="clear" w:color="auto" w:fill="auto"/>
            <w:hideMark/>
          </w:tcPr>
          <w:p w:rsidR="009B5A79" w:rsidRPr="003216A6" w:rsidRDefault="009B5A79" w:rsidP="003216A6">
            <w:pPr>
              <w:pStyle w:val="Tabletext"/>
            </w:pPr>
            <w:r w:rsidRPr="003216A6">
              <w:t>The day this Act receives the Royal Assent</w:t>
            </w:r>
            <w:r w:rsidR="002F6749" w:rsidRPr="003216A6">
              <w:t>.</w:t>
            </w:r>
          </w:p>
        </w:tc>
        <w:tc>
          <w:tcPr>
            <w:tcW w:w="1582" w:type="dxa"/>
            <w:tcBorders>
              <w:top w:val="single" w:sz="12" w:space="0" w:color="auto"/>
            </w:tcBorders>
            <w:shd w:val="clear" w:color="auto" w:fill="auto"/>
          </w:tcPr>
          <w:p w:rsidR="009B5A79" w:rsidRPr="003216A6" w:rsidRDefault="00A42596" w:rsidP="003216A6">
            <w:pPr>
              <w:pStyle w:val="Tabletext"/>
            </w:pPr>
            <w:r>
              <w:t>23 June 2017</w:t>
            </w:r>
          </w:p>
        </w:tc>
      </w:tr>
      <w:tr w:rsidR="009B5A79" w:rsidRPr="003216A6" w:rsidTr="009B5A79">
        <w:tblPrEx>
          <w:tblLook w:val="04A0" w:firstRow="1" w:lastRow="0" w:firstColumn="1" w:lastColumn="0" w:noHBand="0" w:noVBand="1"/>
        </w:tblPrEx>
        <w:tc>
          <w:tcPr>
            <w:tcW w:w="1701" w:type="dxa"/>
            <w:shd w:val="clear" w:color="auto" w:fill="auto"/>
            <w:hideMark/>
          </w:tcPr>
          <w:p w:rsidR="009B5A79" w:rsidRPr="003216A6" w:rsidRDefault="009B5A79" w:rsidP="003216A6">
            <w:pPr>
              <w:pStyle w:val="Tabletext"/>
            </w:pPr>
            <w:r w:rsidRPr="003216A6">
              <w:t>2</w:t>
            </w:r>
            <w:r w:rsidR="002F6749" w:rsidRPr="003216A6">
              <w:t>.</w:t>
            </w:r>
            <w:r w:rsidRPr="003216A6">
              <w:t xml:space="preserve">  Schedule</w:t>
            </w:r>
            <w:r w:rsidR="003216A6" w:rsidRPr="003216A6">
              <w:t> </w:t>
            </w:r>
            <w:r w:rsidRPr="003216A6">
              <w:t>1</w:t>
            </w:r>
          </w:p>
        </w:tc>
        <w:tc>
          <w:tcPr>
            <w:tcW w:w="3828" w:type="dxa"/>
            <w:shd w:val="clear" w:color="auto" w:fill="auto"/>
          </w:tcPr>
          <w:p w:rsidR="009B5A79" w:rsidRPr="003216A6" w:rsidRDefault="009B5A79" w:rsidP="003216A6">
            <w:pPr>
              <w:pStyle w:val="Tabletext"/>
            </w:pPr>
            <w:r w:rsidRPr="003216A6">
              <w:t>A single day to be fixed by Proclamation</w:t>
            </w:r>
            <w:r w:rsidR="002F6749" w:rsidRPr="003216A6">
              <w:t>.</w:t>
            </w:r>
          </w:p>
          <w:p w:rsidR="009B5A79" w:rsidRPr="003216A6" w:rsidRDefault="009B5A79" w:rsidP="003216A6">
            <w:pPr>
              <w:pStyle w:val="Tabletext"/>
            </w:pPr>
            <w:r w:rsidRPr="003216A6">
              <w:t>However, if the provisions do not commence within the period of 6 months beginning on the day this Act receives the Royal Assent, they commence on the day after the end of that period</w:t>
            </w:r>
            <w:r w:rsidR="002F6749" w:rsidRPr="003216A6">
              <w:t>.</w:t>
            </w:r>
          </w:p>
        </w:tc>
        <w:tc>
          <w:tcPr>
            <w:tcW w:w="1582" w:type="dxa"/>
            <w:shd w:val="clear" w:color="auto" w:fill="auto"/>
          </w:tcPr>
          <w:p w:rsidR="009B5A79" w:rsidRDefault="00B87133" w:rsidP="003216A6">
            <w:pPr>
              <w:pStyle w:val="Tabletext"/>
            </w:pPr>
            <w:r>
              <w:t>1 August 2017</w:t>
            </w:r>
          </w:p>
          <w:p w:rsidR="00B87133" w:rsidRPr="003216A6" w:rsidRDefault="00B87133" w:rsidP="00B87133">
            <w:pPr>
              <w:pStyle w:val="Tabletext"/>
            </w:pPr>
            <w:r>
              <w:t>(F2017N00057)</w:t>
            </w:r>
          </w:p>
        </w:tc>
      </w:tr>
      <w:tr w:rsidR="009B5A79" w:rsidRPr="003216A6" w:rsidTr="009B5A79">
        <w:tc>
          <w:tcPr>
            <w:tcW w:w="1701" w:type="dxa"/>
            <w:tcBorders>
              <w:bottom w:val="single" w:sz="2" w:space="0" w:color="auto"/>
            </w:tcBorders>
            <w:shd w:val="clear" w:color="auto" w:fill="auto"/>
          </w:tcPr>
          <w:p w:rsidR="009B5A79" w:rsidRPr="003216A6" w:rsidRDefault="009B5A79" w:rsidP="003216A6">
            <w:pPr>
              <w:pStyle w:val="Tabletext"/>
            </w:pPr>
            <w:r w:rsidRPr="003216A6">
              <w:t>3</w:t>
            </w:r>
            <w:r w:rsidR="002F6749" w:rsidRPr="003216A6">
              <w:t>.</w:t>
            </w:r>
            <w:r w:rsidRPr="003216A6">
              <w:t xml:space="preserve">  Schedule</w:t>
            </w:r>
            <w:r w:rsidR="003216A6" w:rsidRPr="003216A6">
              <w:t> </w:t>
            </w:r>
            <w:r w:rsidR="00C0059E" w:rsidRPr="003216A6">
              <w:t>2</w:t>
            </w:r>
          </w:p>
        </w:tc>
        <w:tc>
          <w:tcPr>
            <w:tcW w:w="3828" w:type="dxa"/>
            <w:tcBorders>
              <w:bottom w:val="single" w:sz="2" w:space="0" w:color="auto"/>
            </w:tcBorders>
            <w:shd w:val="clear" w:color="auto" w:fill="auto"/>
          </w:tcPr>
          <w:p w:rsidR="009B5A79" w:rsidRPr="003216A6" w:rsidRDefault="009B5A79" w:rsidP="003216A6">
            <w:pPr>
              <w:pStyle w:val="Tabletext"/>
            </w:pPr>
            <w:r w:rsidRPr="003216A6">
              <w:t>The later of:</w:t>
            </w:r>
          </w:p>
          <w:p w:rsidR="009B5A79" w:rsidRPr="003216A6" w:rsidRDefault="009B5A79" w:rsidP="003216A6">
            <w:pPr>
              <w:pStyle w:val="Tablea"/>
            </w:pPr>
            <w:r w:rsidRPr="003216A6">
              <w:t>(a) immediately after the commencement of the provisions covered by table item</w:t>
            </w:r>
            <w:r w:rsidR="003216A6" w:rsidRPr="003216A6">
              <w:t> </w:t>
            </w:r>
            <w:r w:rsidRPr="003216A6">
              <w:t>2; and</w:t>
            </w:r>
          </w:p>
          <w:p w:rsidR="009B5A79" w:rsidRPr="003216A6" w:rsidRDefault="009B5A79" w:rsidP="003216A6">
            <w:pPr>
              <w:pStyle w:val="Tablea"/>
            </w:pPr>
            <w:r w:rsidRPr="003216A6">
              <w:t>(b) the start of 1</w:t>
            </w:r>
            <w:r w:rsidR="003216A6" w:rsidRPr="003216A6">
              <w:t> </w:t>
            </w:r>
            <w:r w:rsidRPr="003216A6">
              <w:t>January 2018</w:t>
            </w:r>
            <w:r w:rsidR="002F6749" w:rsidRPr="003216A6">
              <w:t>.</w:t>
            </w:r>
          </w:p>
        </w:tc>
        <w:tc>
          <w:tcPr>
            <w:tcW w:w="1582" w:type="dxa"/>
            <w:tcBorders>
              <w:bottom w:val="single" w:sz="2" w:space="0" w:color="auto"/>
            </w:tcBorders>
            <w:shd w:val="clear" w:color="auto" w:fill="auto"/>
          </w:tcPr>
          <w:p w:rsidR="009B5A79" w:rsidRDefault="00B87133" w:rsidP="003216A6">
            <w:pPr>
              <w:pStyle w:val="Tabletext"/>
            </w:pPr>
            <w:r w:rsidRPr="003216A6">
              <w:t>1 January 2018</w:t>
            </w:r>
          </w:p>
          <w:p w:rsidR="00B87133" w:rsidRPr="003216A6" w:rsidRDefault="00B87133" w:rsidP="003216A6">
            <w:pPr>
              <w:pStyle w:val="Tabletext"/>
            </w:pPr>
            <w:r>
              <w:t>(paragraph (b) applies)</w:t>
            </w:r>
          </w:p>
        </w:tc>
      </w:tr>
      <w:tr w:rsidR="009B5A79" w:rsidRPr="003216A6" w:rsidTr="009B5A79">
        <w:tblPrEx>
          <w:tblLook w:val="04A0" w:firstRow="1" w:lastRow="0" w:firstColumn="1" w:lastColumn="0" w:noHBand="0" w:noVBand="1"/>
        </w:tblPrEx>
        <w:tc>
          <w:tcPr>
            <w:tcW w:w="1701" w:type="dxa"/>
            <w:tcBorders>
              <w:top w:val="single" w:sz="2" w:space="0" w:color="auto"/>
              <w:bottom w:val="single" w:sz="12" w:space="0" w:color="auto"/>
            </w:tcBorders>
            <w:shd w:val="clear" w:color="auto" w:fill="auto"/>
            <w:hideMark/>
          </w:tcPr>
          <w:p w:rsidR="009B5A79" w:rsidRPr="003216A6" w:rsidRDefault="009B5A79" w:rsidP="003216A6">
            <w:pPr>
              <w:pStyle w:val="Tabletext"/>
            </w:pPr>
            <w:r w:rsidRPr="003216A6">
              <w:t>4</w:t>
            </w:r>
            <w:r w:rsidR="002F6749" w:rsidRPr="003216A6">
              <w:t>.</w:t>
            </w:r>
            <w:r w:rsidRPr="003216A6">
              <w:t xml:space="preserve">  Schedule</w:t>
            </w:r>
            <w:r w:rsidR="003216A6" w:rsidRPr="003216A6">
              <w:t> </w:t>
            </w:r>
            <w:r w:rsidRPr="003216A6">
              <w:t>3</w:t>
            </w:r>
          </w:p>
        </w:tc>
        <w:tc>
          <w:tcPr>
            <w:tcW w:w="3828" w:type="dxa"/>
            <w:tcBorders>
              <w:top w:val="single" w:sz="2" w:space="0" w:color="auto"/>
              <w:bottom w:val="single" w:sz="12" w:space="0" w:color="auto"/>
            </w:tcBorders>
            <w:shd w:val="clear" w:color="auto" w:fill="auto"/>
          </w:tcPr>
          <w:p w:rsidR="009B5A79" w:rsidRPr="003216A6" w:rsidRDefault="009B5A79" w:rsidP="003216A6">
            <w:pPr>
              <w:pStyle w:val="Tabletext"/>
            </w:pPr>
            <w:r w:rsidRPr="003216A6">
              <w:t>1</w:t>
            </w:r>
            <w:r w:rsidR="003216A6" w:rsidRPr="003216A6">
              <w:t> </w:t>
            </w:r>
            <w:r w:rsidRPr="003216A6">
              <w:t>January 2020</w:t>
            </w:r>
            <w:r w:rsidR="002F6749" w:rsidRPr="003216A6">
              <w:t>.</w:t>
            </w:r>
          </w:p>
        </w:tc>
        <w:tc>
          <w:tcPr>
            <w:tcW w:w="1582" w:type="dxa"/>
            <w:tcBorders>
              <w:top w:val="single" w:sz="2" w:space="0" w:color="auto"/>
              <w:bottom w:val="single" w:sz="12" w:space="0" w:color="auto"/>
            </w:tcBorders>
            <w:shd w:val="clear" w:color="auto" w:fill="auto"/>
          </w:tcPr>
          <w:p w:rsidR="009B5A79" w:rsidRPr="003216A6" w:rsidRDefault="009B5A79" w:rsidP="003216A6">
            <w:pPr>
              <w:pStyle w:val="Tabletext"/>
            </w:pPr>
            <w:r w:rsidRPr="003216A6">
              <w:t>1</w:t>
            </w:r>
            <w:r w:rsidR="003216A6" w:rsidRPr="003216A6">
              <w:t> </w:t>
            </w:r>
            <w:r w:rsidRPr="003216A6">
              <w:t>January 2020</w:t>
            </w:r>
          </w:p>
        </w:tc>
      </w:tr>
    </w:tbl>
    <w:p w:rsidR="0048364F" w:rsidRPr="003216A6" w:rsidRDefault="00201D27" w:rsidP="003216A6">
      <w:pPr>
        <w:pStyle w:val="notetext"/>
      </w:pPr>
      <w:r w:rsidRPr="003216A6">
        <w:t>Note:</w:t>
      </w:r>
      <w:r w:rsidRPr="003216A6">
        <w:tab/>
        <w:t>This table relates only to the provisions of this Act as originally enacted</w:t>
      </w:r>
      <w:r w:rsidR="002F6749" w:rsidRPr="003216A6">
        <w:t>.</w:t>
      </w:r>
      <w:r w:rsidRPr="003216A6">
        <w:t xml:space="preserve"> It will not be amended to deal with any later amendments of this Act</w:t>
      </w:r>
      <w:r w:rsidR="002F6749" w:rsidRPr="003216A6">
        <w:t>.</w:t>
      </w:r>
    </w:p>
    <w:p w:rsidR="0048364F" w:rsidRPr="003216A6" w:rsidRDefault="0048364F" w:rsidP="003216A6">
      <w:pPr>
        <w:pStyle w:val="subsection"/>
      </w:pPr>
      <w:r w:rsidRPr="003216A6">
        <w:tab/>
        <w:t>(2)</w:t>
      </w:r>
      <w:r w:rsidRPr="003216A6">
        <w:tab/>
      </w:r>
      <w:r w:rsidR="00201D27" w:rsidRPr="003216A6">
        <w:t xml:space="preserve">Any information in </w:t>
      </w:r>
      <w:r w:rsidR="00877D48" w:rsidRPr="003216A6">
        <w:t>c</w:t>
      </w:r>
      <w:r w:rsidR="00201D27" w:rsidRPr="003216A6">
        <w:t>olumn 3 of the table is not part of this Act</w:t>
      </w:r>
      <w:r w:rsidR="002F6749" w:rsidRPr="003216A6">
        <w:t>.</w:t>
      </w:r>
      <w:r w:rsidR="00201D27" w:rsidRPr="003216A6">
        <w:t xml:space="preserve"> Information may be inserted in this column, or information in it may be edited, in any published version of this Act</w:t>
      </w:r>
      <w:r w:rsidR="002F6749" w:rsidRPr="003216A6">
        <w:t>.</w:t>
      </w:r>
    </w:p>
    <w:p w:rsidR="0048364F" w:rsidRPr="003216A6" w:rsidRDefault="0048364F" w:rsidP="003216A6">
      <w:pPr>
        <w:pStyle w:val="ActHead5"/>
      </w:pPr>
      <w:bookmarkStart w:id="4" w:name="_Toc486251846"/>
      <w:r w:rsidRPr="003216A6">
        <w:rPr>
          <w:rStyle w:val="CharSectno"/>
        </w:rPr>
        <w:lastRenderedPageBreak/>
        <w:t>3</w:t>
      </w:r>
      <w:r w:rsidRPr="003216A6">
        <w:t xml:space="preserve">  Schedules</w:t>
      </w:r>
      <w:bookmarkEnd w:id="4"/>
    </w:p>
    <w:p w:rsidR="0048364F" w:rsidRPr="003216A6" w:rsidRDefault="0048364F" w:rsidP="003216A6">
      <w:pPr>
        <w:pStyle w:val="subsection"/>
      </w:pPr>
      <w:r w:rsidRPr="003216A6">
        <w:tab/>
      </w:r>
      <w:r w:rsidRPr="003216A6">
        <w:tab/>
      </w:r>
      <w:r w:rsidR="00202618" w:rsidRPr="003216A6">
        <w:t>Legislation that is specified in a Schedule to this Act is amended or repealed as set out in the applicable items in the Schedule concerned, and any other item in a Schedule to this Act has effect according to its terms</w:t>
      </w:r>
      <w:r w:rsidR="002F6749" w:rsidRPr="003216A6">
        <w:t>.</w:t>
      </w:r>
    </w:p>
    <w:p w:rsidR="009B5A79" w:rsidRPr="003216A6" w:rsidRDefault="009B5A79" w:rsidP="003216A6">
      <w:pPr>
        <w:pStyle w:val="ActHead6"/>
        <w:pageBreakBefore/>
      </w:pPr>
      <w:bookmarkStart w:id="5" w:name="_Toc486251847"/>
      <w:bookmarkStart w:id="6" w:name="opcAmSched"/>
      <w:r w:rsidRPr="003216A6">
        <w:rPr>
          <w:rStyle w:val="CharAmSchNo"/>
        </w:rPr>
        <w:lastRenderedPageBreak/>
        <w:t>Schedule</w:t>
      </w:r>
      <w:r w:rsidR="003216A6" w:rsidRPr="003216A6">
        <w:rPr>
          <w:rStyle w:val="CharAmSchNo"/>
        </w:rPr>
        <w:t> </w:t>
      </w:r>
      <w:r w:rsidRPr="003216A6">
        <w:rPr>
          <w:rStyle w:val="CharAmSchNo"/>
        </w:rPr>
        <w:t>1</w:t>
      </w:r>
      <w:r w:rsidRPr="003216A6">
        <w:t>—</w:t>
      </w:r>
      <w:r w:rsidRPr="003216A6">
        <w:rPr>
          <w:rStyle w:val="CharAmSchText"/>
        </w:rPr>
        <w:t>Amendment</w:t>
      </w:r>
      <w:r w:rsidR="00180F7A" w:rsidRPr="003216A6">
        <w:rPr>
          <w:rStyle w:val="CharAmSchText"/>
        </w:rPr>
        <w:t>s</w:t>
      </w:r>
      <w:r w:rsidRPr="003216A6">
        <w:rPr>
          <w:rStyle w:val="CharAmSchText"/>
        </w:rPr>
        <w:t xml:space="preserve"> commencing </w:t>
      </w:r>
      <w:r w:rsidR="00BA31B6" w:rsidRPr="003216A6">
        <w:rPr>
          <w:rStyle w:val="CharAmSchText"/>
        </w:rPr>
        <w:t xml:space="preserve">day to be </w:t>
      </w:r>
      <w:r w:rsidRPr="003216A6">
        <w:rPr>
          <w:rStyle w:val="CharAmSchText"/>
        </w:rPr>
        <w:t>proclaimed</w:t>
      </w:r>
      <w:bookmarkEnd w:id="5"/>
    </w:p>
    <w:p w:rsidR="009B5A79" w:rsidRPr="003216A6" w:rsidRDefault="009B5A79" w:rsidP="003216A6">
      <w:pPr>
        <w:pStyle w:val="ActHead7"/>
      </w:pPr>
      <w:bookmarkStart w:id="7" w:name="_Toc486251848"/>
      <w:bookmarkEnd w:id="6"/>
      <w:r w:rsidRPr="003216A6">
        <w:rPr>
          <w:rStyle w:val="CharAmPartNo"/>
        </w:rPr>
        <w:t>Part</w:t>
      </w:r>
      <w:r w:rsidR="003216A6" w:rsidRPr="003216A6">
        <w:rPr>
          <w:rStyle w:val="CharAmPartNo"/>
        </w:rPr>
        <w:t> </w:t>
      </w:r>
      <w:r w:rsidRPr="003216A6">
        <w:rPr>
          <w:rStyle w:val="CharAmPartNo"/>
        </w:rPr>
        <w:t>1</w:t>
      </w:r>
      <w:r w:rsidRPr="003216A6">
        <w:t>—</w:t>
      </w:r>
      <w:r w:rsidRPr="003216A6">
        <w:rPr>
          <w:rStyle w:val="CharAmPartText"/>
        </w:rPr>
        <w:t>HFC</w:t>
      </w:r>
      <w:r w:rsidR="000B3325" w:rsidRPr="003216A6">
        <w:rPr>
          <w:rStyle w:val="CharAmPartText"/>
        </w:rPr>
        <w:t>s</w:t>
      </w:r>
      <w:bookmarkEnd w:id="7"/>
    </w:p>
    <w:p w:rsidR="009B5A79" w:rsidRPr="003216A6" w:rsidRDefault="009B5A79" w:rsidP="003216A6">
      <w:pPr>
        <w:pStyle w:val="ActHead9"/>
        <w:rPr>
          <w:i w:val="0"/>
        </w:rPr>
      </w:pPr>
      <w:bookmarkStart w:id="8" w:name="_Toc486251849"/>
      <w:r w:rsidRPr="003216A6">
        <w:t>Ozone Protection and Synthetic Greenhouse Gas (Import Levy) Act 1995</w:t>
      </w:r>
      <w:bookmarkEnd w:id="8"/>
    </w:p>
    <w:p w:rsidR="009B5A79" w:rsidRPr="003216A6" w:rsidRDefault="00B13916" w:rsidP="003216A6">
      <w:pPr>
        <w:pStyle w:val="ItemHead"/>
      </w:pPr>
      <w:r w:rsidRPr="003216A6">
        <w:t>1</w:t>
      </w:r>
      <w:r w:rsidR="009B5A79" w:rsidRPr="003216A6">
        <w:t xml:space="preserve">  Subsection</w:t>
      </w:r>
      <w:r w:rsidR="003216A6" w:rsidRPr="003216A6">
        <w:t> </w:t>
      </w:r>
      <w:r w:rsidR="009B5A79" w:rsidRPr="003216A6">
        <w:t>3A(2)</w:t>
      </w:r>
    </w:p>
    <w:p w:rsidR="009B5A79" w:rsidRPr="003216A6" w:rsidRDefault="009B5A79" w:rsidP="003216A6">
      <w:pPr>
        <w:pStyle w:val="Item"/>
      </w:pPr>
      <w:r w:rsidRPr="003216A6">
        <w:t xml:space="preserve">Omit </w:t>
      </w:r>
      <w:r w:rsidR="00BF3C85" w:rsidRPr="003216A6">
        <w:t>“</w:t>
      </w:r>
      <w:r w:rsidRPr="003216A6">
        <w:t>paragraph</w:t>
      </w:r>
      <w:r w:rsidR="003216A6" w:rsidRPr="003216A6">
        <w:t> </w:t>
      </w:r>
      <w:r w:rsidRPr="003216A6">
        <w:t>13(1A)(b)</w:t>
      </w:r>
      <w:r w:rsidR="00BF3C85" w:rsidRPr="003216A6">
        <w:t>”</w:t>
      </w:r>
      <w:r w:rsidRPr="003216A6">
        <w:t xml:space="preserve">, substitute </w:t>
      </w:r>
      <w:r w:rsidR="00BF3C85" w:rsidRPr="003216A6">
        <w:t>“</w:t>
      </w:r>
      <w:r w:rsidRPr="003216A6">
        <w:t>subsection</w:t>
      </w:r>
      <w:r w:rsidR="003216A6" w:rsidRPr="003216A6">
        <w:t> </w:t>
      </w:r>
      <w:r w:rsidRPr="003216A6">
        <w:t>13(3)</w:t>
      </w:r>
      <w:r w:rsidR="00BF3C85" w:rsidRPr="003216A6">
        <w:t>”</w:t>
      </w:r>
      <w:r w:rsidR="002F6749" w:rsidRPr="003216A6">
        <w:t>.</w:t>
      </w:r>
    </w:p>
    <w:p w:rsidR="009B5A79" w:rsidRPr="003216A6" w:rsidRDefault="00B13916" w:rsidP="003216A6">
      <w:pPr>
        <w:pStyle w:val="ItemHead"/>
      </w:pPr>
      <w:r w:rsidRPr="003216A6">
        <w:t>2</w:t>
      </w:r>
      <w:r w:rsidR="009B5A79" w:rsidRPr="003216A6">
        <w:t xml:space="preserve">  Subsections</w:t>
      </w:r>
      <w:r w:rsidR="003216A6" w:rsidRPr="003216A6">
        <w:t> </w:t>
      </w:r>
      <w:r w:rsidR="009B5A79" w:rsidRPr="003216A6">
        <w:t>4A(3) and 4B(2)</w:t>
      </w:r>
    </w:p>
    <w:p w:rsidR="009B5A79" w:rsidRPr="003216A6" w:rsidRDefault="009B5A79" w:rsidP="003216A6">
      <w:pPr>
        <w:pStyle w:val="Item"/>
      </w:pPr>
      <w:r w:rsidRPr="003216A6">
        <w:t xml:space="preserve">Omit </w:t>
      </w:r>
      <w:r w:rsidR="00BF3C85" w:rsidRPr="003216A6">
        <w:t>“</w:t>
      </w:r>
      <w:r w:rsidRPr="003216A6">
        <w:t>paragraph</w:t>
      </w:r>
      <w:r w:rsidR="003216A6" w:rsidRPr="003216A6">
        <w:t> </w:t>
      </w:r>
      <w:r w:rsidRPr="003216A6">
        <w:t>13(6A)(b) or (c)</w:t>
      </w:r>
      <w:r w:rsidR="00BF3C85" w:rsidRPr="003216A6">
        <w:t>”</w:t>
      </w:r>
      <w:r w:rsidRPr="003216A6">
        <w:t xml:space="preserve">, substitute </w:t>
      </w:r>
      <w:r w:rsidR="00BF3C85" w:rsidRPr="003216A6">
        <w:t>“</w:t>
      </w:r>
      <w:r w:rsidRPr="003216A6">
        <w:t>subsection</w:t>
      </w:r>
      <w:r w:rsidR="003216A6" w:rsidRPr="003216A6">
        <w:t> </w:t>
      </w:r>
      <w:r w:rsidRPr="003216A6">
        <w:t>13(</w:t>
      </w:r>
      <w:r w:rsidR="00F55B02" w:rsidRPr="003216A6">
        <w:t>5</w:t>
      </w:r>
      <w:r w:rsidRPr="003216A6">
        <w:t>) or (</w:t>
      </w:r>
      <w:r w:rsidR="00F55B02" w:rsidRPr="003216A6">
        <w:t>6</w:t>
      </w:r>
      <w:r w:rsidRPr="003216A6">
        <w:t>)</w:t>
      </w:r>
      <w:r w:rsidR="00BF3C85" w:rsidRPr="003216A6">
        <w:t>”</w:t>
      </w:r>
      <w:r w:rsidR="002F6749" w:rsidRPr="003216A6">
        <w:t>.</w:t>
      </w:r>
    </w:p>
    <w:p w:rsidR="009B5A79" w:rsidRPr="003216A6" w:rsidRDefault="009B5A79" w:rsidP="003216A6">
      <w:pPr>
        <w:pStyle w:val="ActHead9"/>
        <w:rPr>
          <w:i w:val="0"/>
        </w:rPr>
      </w:pPr>
      <w:bookmarkStart w:id="9" w:name="_Toc486251850"/>
      <w:r w:rsidRPr="003216A6">
        <w:t>Ozone Protection and Synthetic Greenhouse Gas Management Act 1989</w:t>
      </w:r>
      <w:bookmarkEnd w:id="9"/>
    </w:p>
    <w:p w:rsidR="00F15C75" w:rsidRPr="003216A6" w:rsidRDefault="00B13916" w:rsidP="003216A6">
      <w:pPr>
        <w:pStyle w:val="ItemHead"/>
      </w:pPr>
      <w:r w:rsidRPr="003216A6">
        <w:t>3</w:t>
      </w:r>
      <w:r w:rsidR="00F15C75" w:rsidRPr="003216A6">
        <w:t xml:space="preserve">  Paragraph 3(a)</w:t>
      </w:r>
    </w:p>
    <w:p w:rsidR="00F15C75" w:rsidRPr="003216A6" w:rsidRDefault="00F15C75" w:rsidP="003216A6">
      <w:pPr>
        <w:pStyle w:val="Item"/>
      </w:pPr>
      <w:r w:rsidRPr="003216A6">
        <w:t xml:space="preserve">Omit </w:t>
      </w:r>
      <w:r w:rsidR="00BF3C85" w:rsidRPr="003216A6">
        <w:t>“</w:t>
      </w:r>
      <w:r w:rsidRPr="003216A6">
        <w:t>substances that deplete ozone in the atmosphere</w:t>
      </w:r>
      <w:r w:rsidR="00BF3C85" w:rsidRPr="003216A6">
        <w:t>”</w:t>
      </w:r>
      <w:r w:rsidRPr="003216A6">
        <w:t xml:space="preserve">, substitute </w:t>
      </w:r>
      <w:r w:rsidR="00BF3C85" w:rsidRPr="003216A6">
        <w:t>“</w:t>
      </w:r>
      <w:r w:rsidRPr="003216A6">
        <w:t>ozone depleting substances and SGGs</w:t>
      </w:r>
      <w:r w:rsidR="00BF3C85" w:rsidRPr="003216A6">
        <w:t>”</w:t>
      </w:r>
      <w:r w:rsidR="002F6749" w:rsidRPr="003216A6">
        <w:t>.</w:t>
      </w:r>
    </w:p>
    <w:p w:rsidR="00F15C75" w:rsidRPr="003216A6" w:rsidRDefault="00B13916" w:rsidP="003216A6">
      <w:pPr>
        <w:pStyle w:val="ItemHead"/>
      </w:pPr>
      <w:r w:rsidRPr="003216A6">
        <w:t>4</w:t>
      </w:r>
      <w:r w:rsidR="00F15C75" w:rsidRPr="003216A6">
        <w:t xml:space="preserve">  Subparagraphs</w:t>
      </w:r>
      <w:r w:rsidR="003216A6" w:rsidRPr="003216A6">
        <w:t> </w:t>
      </w:r>
      <w:r w:rsidR="00F15C75" w:rsidRPr="003216A6">
        <w:t>3(c)(i) and (ii)</w:t>
      </w:r>
    </w:p>
    <w:p w:rsidR="00F15C75" w:rsidRPr="003216A6" w:rsidRDefault="00F15C75" w:rsidP="003216A6">
      <w:pPr>
        <w:pStyle w:val="Item"/>
      </w:pPr>
      <w:r w:rsidRPr="003216A6">
        <w:t xml:space="preserve">After </w:t>
      </w:r>
      <w:r w:rsidR="00BF3C85" w:rsidRPr="003216A6">
        <w:t>“</w:t>
      </w:r>
      <w:r w:rsidRPr="003216A6">
        <w:t>ozone depleting substances</w:t>
      </w:r>
      <w:r w:rsidR="00BF3C85" w:rsidRPr="003216A6">
        <w:t>”</w:t>
      </w:r>
      <w:r w:rsidRPr="003216A6">
        <w:t xml:space="preserve">, insert </w:t>
      </w:r>
      <w:r w:rsidR="00BF3C85" w:rsidRPr="003216A6">
        <w:t>“</w:t>
      </w:r>
      <w:r w:rsidRPr="003216A6">
        <w:t>and SGGs</w:t>
      </w:r>
      <w:r w:rsidR="00BF3C85" w:rsidRPr="003216A6">
        <w:t>”</w:t>
      </w:r>
      <w:r w:rsidR="002F6749" w:rsidRPr="003216A6">
        <w:t>.</w:t>
      </w:r>
    </w:p>
    <w:p w:rsidR="009B5A79" w:rsidRPr="003216A6" w:rsidRDefault="00B13916" w:rsidP="003216A6">
      <w:pPr>
        <w:pStyle w:val="ItemHead"/>
      </w:pPr>
      <w:r w:rsidRPr="003216A6">
        <w:t>5</w:t>
      </w:r>
      <w:r w:rsidR="009B5A79" w:rsidRPr="003216A6">
        <w:t xml:space="preserve">  Section</w:t>
      </w:r>
      <w:r w:rsidR="003216A6" w:rsidRPr="003216A6">
        <w:t> </w:t>
      </w:r>
      <w:r w:rsidR="009B5A79" w:rsidRPr="003216A6">
        <w:t>7</w:t>
      </w:r>
    </w:p>
    <w:p w:rsidR="009B5A79" w:rsidRPr="003216A6" w:rsidRDefault="009B5A79" w:rsidP="003216A6">
      <w:pPr>
        <w:pStyle w:val="Item"/>
      </w:pPr>
      <w:r w:rsidRPr="003216A6">
        <w:t>Insert:</w:t>
      </w:r>
    </w:p>
    <w:p w:rsidR="009B5A79" w:rsidRPr="003216A6" w:rsidRDefault="009B5A79" w:rsidP="003216A6">
      <w:pPr>
        <w:pStyle w:val="Definition"/>
      </w:pPr>
      <w:r w:rsidRPr="003216A6">
        <w:rPr>
          <w:b/>
          <w:i/>
        </w:rPr>
        <w:t>100</w:t>
      </w:r>
      <w:r w:rsidR="00753724">
        <w:rPr>
          <w:b/>
          <w:i/>
        </w:rPr>
        <w:noBreakHyphen/>
      </w:r>
      <w:r w:rsidRPr="003216A6">
        <w:rPr>
          <w:b/>
          <w:i/>
        </w:rPr>
        <w:t>year global warming potential</w:t>
      </w:r>
      <w:r w:rsidRPr="003216A6">
        <w:t xml:space="preserve"> of a scheduled substance means the 100</w:t>
      </w:r>
      <w:r w:rsidR="00753724">
        <w:noBreakHyphen/>
      </w:r>
      <w:r w:rsidRPr="003216A6">
        <w:t>year global warming potential (if any) specified for that substance by a table in Schedule</w:t>
      </w:r>
      <w:r w:rsidR="003216A6" w:rsidRPr="003216A6">
        <w:t> </w:t>
      </w:r>
      <w:r w:rsidRPr="003216A6">
        <w:t>1</w:t>
      </w:r>
      <w:r w:rsidR="002F6749" w:rsidRPr="003216A6">
        <w:t>.</w:t>
      </w:r>
    </w:p>
    <w:p w:rsidR="009B5A79" w:rsidRPr="003216A6" w:rsidRDefault="009B5A79" w:rsidP="003216A6">
      <w:pPr>
        <w:pStyle w:val="Definition"/>
      </w:pPr>
      <w:r w:rsidRPr="003216A6">
        <w:rPr>
          <w:b/>
          <w:i/>
        </w:rPr>
        <w:t>approved form</w:t>
      </w:r>
      <w:r w:rsidRPr="003216A6">
        <w:t xml:space="preserve"> means a form approved under section</w:t>
      </w:r>
      <w:r w:rsidR="003216A6" w:rsidRPr="003216A6">
        <w:t> </w:t>
      </w:r>
      <w:r w:rsidRPr="003216A6">
        <w:t>66A</w:t>
      </w:r>
      <w:r w:rsidR="002F6749" w:rsidRPr="003216A6">
        <w:t>.</w:t>
      </w:r>
    </w:p>
    <w:p w:rsidR="009B5A79" w:rsidRPr="003216A6" w:rsidRDefault="009B5A79" w:rsidP="003216A6">
      <w:pPr>
        <w:pStyle w:val="Definition"/>
      </w:pPr>
      <w:r w:rsidRPr="003216A6">
        <w:rPr>
          <w:b/>
          <w:i/>
        </w:rPr>
        <w:t>CO</w:t>
      </w:r>
      <w:r w:rsidRPr="003216A6">
        <w:rPr>
          <w:b/>
          <w:i/>
          <w:vertAlign w:val="subscript"/>
        </w:rPr>
        <w:t>2</w:t>
      </w:r>
      <w:r w:rsidRPr="003216A6">
        <w:rPr>
          <w:b/>
          <w:i/>
        </w:rPr>
        <w:t>e megatonnes</w:t>
      </w:r>
      <w:r w:rsidRPr="003216A6">
        <w:t xml:space="preserve"> has the meaning given by section</w:t>
      </w:r>
      <w:r w:rsidR="003216A6" w:rsidRPr="003216A6">
        <w:t> </w:t>
      </w:r>
      <w:r w:rsidRPr="003216A6">
        <w:t>9A</w:t>
      </w:r>
      <w:r w:rsidR="002F6749" w:rsidRPr="003216A6">
        <w:t>.</w:t>
      </w:r>
    </w:p>
    <w:p w:rsidR="009B5A79" w:rsidRPr="003216A6" w:rsidRDefault="00B13916" w:rsidP="003216A6">
      <w:pPr>
        <w:pStyle w:val="ItemHead"/>
      </w:pPr>
      <w:r w:rsidRPr="003216A6">
        <w:t>6</w:t>
      </w:r>
      <w:r w:rsidR="009B5A79" w:rsidRPr="003216A6">
        <w:t xml:space="preserve">  Section</w:t>
      </w:r>
      <w:r w:rsidR="003216A6" w:rsidRPr="003216A6">
        <w:t> </w:t>
      </w:r>
      <w:r w:rsidR="009B5A79" w:rsidRPr="003216A6">
        <w:t xml:space="preserve">7 (definition of </w:t>
      </w:r>
      <w:r w:rsidR="009B5A79" w:rsidRPr="003216A6">
        <w:rPr>
          <w:i/>
        </w:rPr>
        <w:t>HCFC quota</w:t>
      </w:r>
      <w:r w:rsidR="009B5A79" w:rsidRPr="003216A6">
        <w:t>)</w:t>
      </w:r>
    </w:p>
    <w:p w:rsidR="009B5A79" w:rsidRPr="003216A6" w:rsidRDefault="009B5A79" w:rsidP="003216A6">
      <w:pPr>
        <w:pStyle w:val="Item"/>
      </w:pPr>
      <w:r w:rsidRPr="003216A6">
        <w:t>Repeal the definition, substitute:</w:t>
      </w:r>
    </w:p>
    <w:p w:rsidR="009B5A79" w:rsidRPr="003216A6" w:rsidRDefault="009B5A79" w:rsidP="003216A6">
      <w:pPr>
        <w:pStyle w:val="Definition"/>
      </w:pPr>
      <w:r w:rsidRPr="003216A6">
        <w:rPr>
          <w:b/>
          <w:i/>
        </w:rPr>
        <w:lastRenderedPageBreak/>
        <w:t>HCFC quota</w:t>
      </w:r>
      <w:r w:rsidRPr="003216A6">
        <w:t xml:space="preserve"> means an HCFC quota allocated for a quota period under section</w:t>
      </w:r>
      <w:r w:rsidR="003216A6" w:rsidRPr="003216A6">
        <w:t> </w:t>
      </w:r>
      <w:r w:rsidRPr="003216A6">
        <w:t>28</w:t>
      </w:r>
      <w:r w:rsidR="002F6749" w:rsidRPr="003216A6">
        <w:t>.</w:t>
      </w:r>
    </w:p>
    <w:p w:rsidR="009B5A79" w:rsidRPr="003216A6" w:rsidRDefault="009B5A79" w:rsidP="003216A6">
      <w:pPr>
        <w:pStyle w:val="notetext"/>
      </w:pPr>
      <w:r w:rsidRPr="003216A6">
        <w:t>Note:</w:t>
      </w:r>
      <w:r w:rsidRPr="003216A6">
        <w:tab/>
        <w:t xml:space="preserve">A reserve HCFC quota is not an </w:t>
      </w:r>
      <w:r w:rsidRPr="003216A6">
        <w:rPr>
          <w:b/>
          <w:i/>
        </w:rPr>
        <w:t>HCFC quota</w:t>
      </w:r>
      <w:r w:rsidR="002F6749" w:rsidRPr="003216A6">
        <w:t>.</w:t>
      </w:r>
    </w:p>
    <w:p w:rsidR="009B5A79" w:rsidRPr="003216A6" w:rsidRDefault="00B13916" w:rsidP="003216A6">
      <w:pPr>
        <w:pStyle w:val="ItemHead"/>
      </w:pPr>
      <w:r w:rsidRPr="003216A6">
        <w:t>7</w:t>
      </w:r>
      <w:r w:rsidR="009B5A79" w:rsidRPr="003216A6">
        <w:t xml:space="preserve">  Section</w:t>
      </w:r>
      <w:r w:rsidR="003216A6" w:rsidRPr="003216A6">
        <w:t> </w:t>
      </w:r>
      <w:r w:rsidR="009B5A79" w:rsidRPr="003216A6">
        <w:t>7</w:t>
      </w:r>
    </w:p>
    <w:p w:rsidR="009B5A79" w:rsidRPr="003216A6" w:rsidRDefault="009B5A79" w:rsidP="003216A6">
      <w:pPr>
        <w:pStyle w:val="Item"/>
      </w:pPr>
      <w:r w:rsidRPr="003216A6">
        <w:t>Insert:</w:t>
      </w:r>
    </w:p>
    <w:p w:rsidR="009B5A79" w:rsidRPr="003216A6" w:rsidRDefault="009B5A79" w:rsidP="003216A6">
      <w:pPr>
        <w:pStyle w:val="Definition"/>
        <w:rPr>
          <w:b/>
          <w:i/>
        </w:rPr>
      </w:pPr>
      <w:r w:rsidRPr="003216A6">
        <w:rPr>
          <w:b/>
          <w:i/>
        </w:rPr>
        <w:t>HFC industry limit</w:t>
      </w:r>
      <w:r w:rsidRPr="003216A6">
        <w:t xml:space="preserve"> has the meaning given by section</w:t>
      </w:r>
      <w:r w:rsidR="003216A6" w:rsidRPr="003216A6">
        <w:t> </w:t>
      </w:r>
      <w:r w:rsidR="002F6749" w:rsidRPr="003216A6">
        <w:t>36A.</w:t>
      </w:r>
    </w:p>
    <w:p w:rsidR="009B5A79" w:rsidRPr="003216A6" w:rsidRDefault="009B5A79" w:rsidP="003216A6">
      <w:pPr>
        <w:pStyle w:val="Definition"/>
      </w:pPr>
      <w:r w:rsidRPr="003216A6">
        <w:rPr>
          <w:b/>
          <w:i/>
        </w:rPr>
        <w:t>HFC quota</w:t>
      </w:r>
      <w:r w:rsidRPr="003216A6">
        <w:t xml:space="preserve"> means an HFC quota allocated for a calendar year under regulations made for the purposes of section</w:t>
      </w:r>
      <w:r w:rsidR="003216A6" w:rsidRPr="003216A6">
        <w:t> </w:t>
      </w:r>
      <w:r w:rsidR="002F6749" w:rsidRPr="003216A6">
        <w:t>36C.</w:t>
      </w:r>
    </w:p>
    <w:p w:rsidR="009B5A79" w:rsidRPr="003216A6" w:rsidRDefault="009B5A79" w:rsidP="003216A6">
      <w:pPr>
        <w:pStyle w:val="notetext"/>
      </w:pPr>
      <w:r w:rsidRPr="003216A6">
        <w:t>Note:</w:t>
      </w:r>
      <w:r w:rsidRPr="003216A6">
        <w:tab/>
        <w:t xml:space="preserve">A reserve HFC quota is not an </w:t>
      </w:r>
      <w:r w:rsidRPr="003216A6">
        <w:rPr>
          <w:b/>
          <w:i/>
        </w:rPr>
        <w:t>HFC quota</w:t>
      </w:r>
      <w:r w:rsidR="002F6749" w:rsidRPr="003216A6">
        <w:t>.</w:t>
      </w:r>
    </w:p>
    <w:p w:rsidR="007A083A" w:rsidRPr="003216A6" w:rsidRDefault="007A083A" w:rsidP="003216A6">
      <w:pPr>
        <w:pStyle w:val="Definition"/>
      </w:pPr>
      <w:r w:rsidRPr="003216A6">
        <w:rPr>
          <w:b/>
          <w:i/>
        </w:rPr>
        <w:t>Kigali Amendment</w:t>
      </w:r>
      <w:r w:rsidRPr="003216A6">
        <w:t xml:space="preserve"> means the Amendment to the Montreal Protocol adopted by Decision XXVIII/1 of the Twenty</w:t>
      </w:r>
      <w:r w:rsidR="00753724">
        <w:noBreakHyphen/>
      </w:r>
      <w:r w:rsidRPr="003216A6">
        <w:t>Eighth Meeting of the Parties to the Montreal Protocol at Kigali on 15</w:t>
      </w:r>
      <w:r w:rsidR="003216A6" w:rsidRPr="003216A6">
        <w:t> </w:t>
      </w:r>
      <w:r w:rsidRPr="003216A6">
        <w:t>October 2016.</w:t>
      </w:r>
    </w:p>
    <w:p w:rsidR="007A083A" w:rsidRPr="003216A6" w:rsidRDefault="007A083A" w:rsidP="003216A6">
      <w:pPr>
        <w:pStyle w:val="notetext"/>
      </w:pPr>
      <w:r w:rsidRPr="003216A6">
        <w:t>Note:</w:t>
      </w:r>
      <w:r w:rsidRPr="003216A6">
        <w:tab/>
        <w:t>In 2017, the Kigali Amendment could be viewed at the United Nations website (www.un.org).</w:t>
      </w:r>
    </w:p>
    <w:p w:rsidR="009B5A79" w:rsidRPr="003216A6" w:rsidRDefault="009B5A79" w:rsidP="003216A6">
      <w:pPr>
        <w:pStyle w:val="Definition"/>
      </w:pPr>
      <w:r w:rsidRPr="003216A6">
        <w:rPr>
          <w:b/>
          <w:i/>
        </w:rPr>
        <w:t xml:space="preserve">ozone depleting potential </w:t>
      </w:r>
      <w:r w:rsidRPr="003216A6">
        <w:t>of a scheduled substance means the ozone depleting potential (if any) specified for that substance by a table in Schedule</w:t>
      </w:r>
      <w:r w:rsidR="003216A6" w:rsidRPr="003216A6">
        <w:t> </w:t>
      </w:r>
      <w:r w:rsidRPr="003216A6">
        <w:t>1</w:t>
      </w:r>
      <w:r w:rsidR="002F6749" w:rsidRPr="003216A6">
        <w:t>.</w:t>
      </w:r>
    </w:p>
    <w:p w:rsidR="009B5A79" w:rsidRPr="003216A6" w:rsidRDefault="00B13916" w:rsidP="003216A6">
      <w:pPr>
        <w:pStyle w:val="ItemHead"/>
      </w:pPr>
      <w:r w:rsidRPr="003216A6">
        <w:t>8</w:t>
      </w:r>
      <w:r w:rsidR="009B5A79" w:rsidRPr="003216A6">
        <w:t xml:space="preserve">  Subsection</w:t>
      </w:r>
      <w:r w:rsidR="003216A6" w:rsidRPr="003216A6">
        <w:t> </w:t>
      </w:r>
      <w:r w:rsidR="009B5A79" w:rsidRPr="003216A6">
        <w:t xml:space="preserve">7(1) (definition of </w:t>
      </w:r>
      <w:r w:rsidR="009B5A79" w:rsidRPr="003216A6">
        <w:rPr>
          <w:i/>
        </w:rPr>
        <w:t>quota period</w:t>
      </w:r>
      <w:r w:rsidR="009B5A79" w:rsidRPr="003216A6">
        <w:t>)</w:t>
      </w:r>
    </w:p>
    <w:p w:rsidR="009B5A79" w:rsidRPr="003216A6" w:rsidRDefault="009B5A79" w:rsidP="003216A6">
      <w:pPr>
        <w:pStyle w:val="Item"/>
      </w:pPr>
      <w:r w:rsidRPr="003216A6">
        <w:t>Repeal the definition, substitute:</w:t>
      </w:r>
    </w:p>
    <w:p w:rsidR="009B5A79" w:rsidRPr="003216A6" w:rsidRDefault="009B5A79" w:rsidP="003216A6">
      <w:pPr>
        <w:pStyle w:val="Definition"/>
      </w:pPr>
      <w:r w:rsidRPr="003216A6">
        <w:rPr>
          <w:b/>
          <w:i/>
        </w:rPr>
        <w:t>quota period</w:t>
      </w:r>
      <w:r w:rsidRPr="003216A6">
        <w:t xml:space="preserve"> has the meaning given by section</w:t>
      </w:r>
      <w:r w:rsidR="003216A6" w:rsidRPr="003216A6">
        <w:t> </w:t>
      </w:r>
      <w:r w:rsidRPr="003216A6">
        <w:t>23A</w:t>
      </w:r>
      <w:r w:rsidR="002F6749" w:rsidRPr="003216A6">
        <w:t>.</w:t>
      </w:r>
    </w:p>
    <w:p w:rsidR="009B5A79" w:rsidRPr="003216A6" w:rsidRDefault="009B5A79" w:rsidP="003216A6">
      <w:pPr>
        <w:pStyle w:val="notetext"/>
      </w:pPr>
      <w:r w:rsidRPr="003216A6">
        <w:t>Note:</w:t>
      </w:r>
      <w:r w:rsidRPr="003216A6">
        <w:tab/>
        <w:t>Quota periods relate to HCFC quotas</w:t>
      </w:r>
      <w:r w:rsidR="002F6749" w:rsidRPr="003216A6">
        <w:t>.</w:t>
      </w:r>
      <w:r w:rsidRPr="003216A6">
        <w:t xml:space="preserve"> There are also HFC quotas, which are allocated for calendar years</w:t>
      </w:r>
      <w:r w:rsidR="002F6749" w:rsidRPr="003216A6">
        <w:t>.</w:t>
      </w:r>
    </w:p>
    <w:p w:rsidR="009B5A79" w:rsidRPr="003216A6" w:rsidRDefault="00B13916" w:rsidP="003216A6">
      <w:pPr>
        <w:pStyle w:val="ItemHead"/>
      </w:pPr>
      <w:r w:rsidRPr="003216A6">
        <w:t>9</w:t>
      </w:r>
      <w:r w:rsidR="009B5A79" w:rsidRPr="003216A6">
        <w:t xml:space="preserve">  Section</w:t>
      </w:r>
      <w:r w:rsidR="003216A6" w:rsidRPr="003216A6">
        <w:t> </w:t>
      </w:r>
      <w:r w:rsidR="009B5A79" w:rsidRPr="003216A6">
        <w:t>7</w:t>
      </w:r>
    </w:p>
    <w:p w:rsidR="009B5A79" w:rsidRPr="003216A6" w:rsidRDefault="009B5A79" w:rsidP="003216A6">
      <w:pPr>
        <w:pStyle w:val="Item"/>
      </w:pPr>
      <w:r w:rsidRPr="003216A6">
        <w:t>Insert:</w:t>
      </w:r>
    </w:p>
    <w:p w:rsidR="009B5A79" w:rsidRPr="003216A6" w:rsidRDefault="009B5A79" w:rsidP="003216A6">
      <w:pPr>
        <w:pStyle w:val="Definition"/>
      </w:pPr>
      <w:r w:rsidRPr="003216A6">
        <w:rPr>
          <w:b/>
          <w:i/>
        </w:rPr>
        <w:t>recycled or used SGGs</w:t>
      </w:r>
      <w:r w:rsidRPr="003216A6">
        <w:t xml:space="preserve"> means SGGs that are:</w:t>
      </w:r>
    </w:p>
    <w:p w:rsidR="009B5A79" w:rsidRPr="003216A6" w:rsidRDefault="009B5A79" w:rsidP="003216A6">
      <w:pPr>
        <w:pStyle w:val="paragraph"/>
      </w:pPr>
      <w:r w:rsidRPr="003216A6">
        <w:tab/>
        <w:t>(a)</w:t>
      </w:r>
      <w:r w:rsidRPr="003216A6">
        <w:tab/>
        <w:t>collected from machinery, equipment or containers during servicing or before disposal of the machinery, equipment or containers; and</w:t>
      </w:r>
    </w:p>
    <w:p w:rsidR="009B5A79" w:rsidRPr="003216A6" w:rsidRDefault="009B5A79" w:rsidP="003216A6">
      <w:pPr>
        <w:pStyle w:val="paragraph"/>
      </w:pPr>
      <w:r w:rsidRPr="003216A6">
        <w:tab/>
        <w:t>(b)</w:t>
      </w:r>
      <w:r w:rsidRPr="003216A6">
        <w:tab/>
        <w:t>intended to be re</w:t>
      </w:r>
      <w:r w:rsidR="00753724">
        <w:noBreakHyphen/>
      </w:r>
      <w:r w:rsidRPr="003216A6">
        <w:t>used or destroyed</w:t>
      </w:r>
      <w:r w:rsidR="002F6749" w:rsidRPr="003216A6">
        <w:t>.</w:t>
      </w:r>
    </w:p>
    <w:p w:rsidR="009B5A79" w:rsidRPr="003216A6" w:rsidRDefault="009B5A79" w:rsidP="003216A6">
      <w:pPr>
        <w:pStyle w:val="Definition"/>
      </w:pPr>
      <w:r w:rsidRPr="003216A6">
        <w:rPr>
          <w:b/>
          <w:i/>
        </w:rPr>
        <w:lastRenderedPageBreak/>
        <w:t>recycled or used stage</w:t>
      </w:r>
      <w:r w:rsidR="00753724">
        <w:rPr>
          <w:b/>
          <w:i/>
        </w:rPr>
        <w:noBreakHyphen/>
      </w:r>
      <w:r w:rsidRPr="003216A6">
        <w:rPr>
          <w:b/>
          <w:i/>
        </w:rPr>
        <w:t>1 or stage</w:t>
      </w:r>
      <w:r w:rsidR="00753724">
        <w:rPr>
          <w:b/>
          <w:i/>
        </w:rPr>
        <w:noBreakHyphen/>
      </w:r>
      <w:r w:rsidRPr="003216A6">
        <w:rPr>
          <w:b/>
          <w:i/>
        </w:rPr>
        <w:t>2 scheduled substances</w:t>
      </w:r>
      <w:r w:rsidRPr="003216A6">
        <w:t xml:space="preserve"> means stage</w:t>
      </w:r>
      <w:r w:rsidR="00753724">
        <w:noBreakHyphen/>
      </w:r>
      <w:r w:rsidRPr="003216A6">
        <w:t>1 scheduled substances, or stage</w:t>
      </w:r>
      <w:r w:rsidR="00753724">
        <w:noBreakHyphen/>
      </w:r>
      <w:r w:rsidRPr="003216A6">
        <w:t>2 scheduled substances, that are:</w:t>
      </w:r>
    </w:p>
    <w:p w:rsidR="009B5A79" w:rsidRPr="003216A6" w:rsidRDefault="009B5A79" w:rsidP="003216A6">
      <w:pPr>
        <w:pStyle w:val="paragraph"/>
      </w:pPr>
      <w:r w:rsidRPr="003216A6">
        <w:tab/>
        <w:t>(a)</w:t>
      </w:r>
      <w:r w:rsidRPr="003216A6">
        <w:tab/>
        <w:t>collected from machinery, equipment or containers during servicing or before disposal of the machinery, equipment or containers; and</w:t>
      </w:r>
    </w:p>
    <w:p w:rsidR="009B5A79" w:rsidRPr="003216A6" w:rsidRDefault="009B5A79" w:rsidP="003216A6">
      <w:pPr>
        <w:pStyle w:val="paragraph"/>
      </w:pPr>
      <w:r w:rsidRPr="003216A6">
        <w:tab/>
        <w:t>(b)</w:t>
      </w:r>
      <w:r w:rsidRPr="003216A6">
        <w:tab/>
        <w:t>intended to be re</w:t>
      </w:r>
      <w:r w:rsidR="00753724">
        <w:noBreakHyphen/>
      </w:r>
      <w:r w:rsidRPr="003216A6">
        <w:t>used or destroyed</w:t>
      </w:r>
      <w:r w:rsidR="002F6749" w:rsidRPr="003216A6">
        <w:t>.</w:t>
      </w:r>
    </w:p>
    <w:p w:rsidR="009B5A79" w:rsidRPr="003216A6" w:rsidRDefault="00B13916" w:rsidP="003216A6">
      <w:pPr>
        <w:pStyle w:val="ItemHead"/>
      </w:pPr>
      <w:r w:rsidRPr="003216A6">
        <w:t>10</w:t>
      </w:r>
      <w:r w:rsidR="009B5A79" w:rsidRPr="003216A6">
        <w:t xml:space="preserve">  Section</w:t>
      </w:r>
      <w:r w:rsidR="003216A6" w:rsidRPr="003216A6">
        <w:t> </w:t>
      </w:r>
      <w:r w:rsidR="009B5A79" w:rsidRPr="003216A6">
        <w:t xml:space="preserve">7 (definition of </w:t>
      </w:r>
      <w:r w:rsidR="009B5A79" w:rsidRPr="003216A6">
        <w:rPr>
          <w:i/>
        </w:rPr>
        <w:t>recycled stage</w:t>
      </w:r>
      <w:r w:rsidR="00753724">
        <w:rPr>
          <w:i/>
        </w:rPr>
        <w:noBreakHyphen/>
      </w:r>
      <w:r w:rsidR="009B5A79" w:rsidRPr="003216A6">
        <w:rPr>
          <w:i/>
        </w:rPr>
        <w:t>1 or stage</w:t>
      </w:r>
      <w:r w:rsidR="00753724">
        <w:rPr>
          <w:i/>
        </w:rPr>
        <w:noBreakHyphen/>
      </w:r>
      <w:r w:rsidR="009B5A79" w:rsidRPr="003216A6">
        <w:rPr>
          <w:i/>
        </w:rPr>
        <w:t>2 scheduled substances</w:t>
      </w:r>
      <w:r w:rsidR="009B5A79" w:rsidRPr="003216A6">
        <w:t>)</w:t>
      </w:r>
    </w:p>
    <w:p w:rsidR="009B5A79" w:rsidRPr="003216A6" w:rsidRDefault="009B5A79" w:rsidP="003216A6">
      <w:pPr>
        <w:pStyle w:val="Item"/>
      </w:pPr>
      <w:r w:rsidRPr="003216A6">
        <w:t>Repeal the definition</w:t>
      </w:r>
      <w:r w:rsidR="002F6749" w:rsidRPr="003216A6">
        <w:t>.</w:t>
      </w:r>
    </w:p>
    <w:p w:rsidR="008F5C84" w:rsidRPr="003216A6" w:rsidRDefault="00B13916" w:rsidP="003216A6">
      <w:pPr>
        <w:pStyle w:val="ItemHead"/>
      </w:pPr>
      <w:r w:rsidRPr="003216A6">
        <w:t>11</w:t>
      </w:r>
      <w:r w:rsidR="008F5C84" w:rsidRPr="003216A6">
        <w:t xml:space="preserve">  Section</w:t>
      </w:r>
      <w:r w:rsidR="003216A6" w:rsidRPr="003216A6">
        <w:t> </w:t>
      </w:r>
      <w:r w:rsidR="008F5C84" w:rsidRPr="003216A6">
        <w:t xml:space="preserve">7 (definition of </w:t>
      </w:r>
      <w:r w:rsidR="008F5C84" w:rsidRPr="003216A6">
        <w:rPr>
          <w:i/>
        </w:rPr>
        <w:t>reduce</w:t>
      </w:r>
      <w:r w:rsidR="008F5C84" w:rsidRPr="003216A6">
        <w:t>)</w:t>
      </w:r>
    </w:p>
    <w:p w:rsidR="008F5C84" w:rsidRPr="003216A6" w:rsidRDefault="008F5C84" w:rsidP="003216A6">
      <w:pPr>
        <w:pStyle w:val="Item"/>
      </w:pPr>
      <w:r w:rsidRPr="003216A6">
        <w:t>Repeal the definition.</w:t>
      </w:r>
    </w:p>
    <w:p w:rsidR="009B5A79" w:rsidRPr="003216A6" w:rsidRDefault="00B13916" w:rsidP="003216A6">
      <w:pPr>
        <w:pStyle w:val="ItemHead"/>
      </w:pPr>
      <w:r w:rsidRPr="003216A6">
        <w:t>12</w:t>
      </w:r>
      <w:r w:rsidR="009B5A79" w:rsidRPr="003216A6">
        <w:t xml:space="preserve">  Section</w:t>
      </w:r>
      <w:r w:rsidR="003216A6" w:rsidRPr="003216A6">
        <w:t> </w:t>
      </w:r>
      <w:r w:rsidR="009B5A79" w:rsidRPr="003216A6">
        <w:t xml:space="preserve">7 (definition of </w:t>
      </w:r>
      <w:r w:rsidR="009B5A79" w:rsidRPr="003216A6">
        <w:rPr>
          <w:i/>
        </w:rPr>
        <w:t>regulated HCFC activity</w:t>
      </w:r>
      <w:r w:rsidR="009B5A79" w:rsidRPr="003216A6">
        <w:t>)</w:t>
      </w:r>
    </w:p>
    <w:p w:rsidR="00C0059E" w:rsidRPr="003216A6" w:rsidRDefault="009B5A79" w:rsidP="003216A6">
      <w:pPr>
        <w:pStyle w:val="Item"/>
      </w:pPr>
      <w:r w:rsidRPr="003216A6">
        <w:t>Repeal the definition</w:t>
      </w:r>
      <w:r w:rsidR="00C0059E" w:rsidRPr="003216A6">
        <w:t>.</w:t>
      </w:r>
    </w:p>
    <w:p w:rsidR="009B5A79" w:rsidRPr="003216A6" w:rsidRDefault="00B13916" w:rsidP="003216A6">
      <w:pPr>
        <w:pStyle w:val="ItemHead"/>
      </w:pPr>
      <w:r w:rsidRPr="003216A6">
        <w:t>13</w:t>
      </w:r>
      <w:r w:rsidR="009B5A79" w:rsidRPr="003216A6">
        <w:t xml:space="preserve">  Section</w:t>
      </w:r>
      <w:r w:rsidR="003216A6" w:rsidRPr="003216A6">
        <w:t> </w:t>
      </w:r>
      <w:r w:rsidR="009B5A79" w:rsidRPr="003216A6">
        <w:t>7</w:t>
      </w:r>
    </w:p>
    <w:p w:rsidR="009B5A79" w:rsidRPr="003216A6" w:rsidRDefault="009B5A79" w:rsidP="003216A6">
      <w:pPr>
        <w:pStyle w:val="Item"/>
      </w:pPr>
      <w:r w:rsidRPr="003216A6">
        <w:t>Insert:</w:t>
      </w:r>
    </w:p>
    <w:p w:rsidR="00C0059E" w:rsidRPr="003216A6" w:rsidRDefault="00C0059E" w:rsidP="003216A6">
      <w:pPr>
        <w:pStyle w:val="Definition"/>
      </w:pPr>
      <w:r w:rsidRPr="003216A6">
        <w:rPr>
          <w:b/>
          <w:i/>
        </w:rPr>
        <w:t>regulated HCFC activity</w:t>
      </w:r>
      <w:r w:rsidRPr="003216A6">
        <w:t xml:space="preserve"> has the meaning given by section</w:t>
      </w:r>
      <w:r w:rsidR="003216A6" w:rsidRPr="003216A6">
        <w:t> </w:t>
      </w:r>
      <w:r w:rsidRPr="003216A6">
        <w:t>25A.</w:t>
      </w:r>
    </w:p>
    <w:p w:rsidR="009B5A79" w:rsidRPr="003216A6" w:rsidRDefault="009B5A79" w:rsidP="003216A6">
      <w:pPr>
        <w:pStyle w:val="Definition"/>
      </w:pPr>
      <w:r w:rsidRPr="003216A6">
        <w:rPr>
          <w:b/>
          <w:i/>
        </w:rPr>
        <w:t>regulated HFC activity</w:t>
      </w:r>
      <w:r w:rsidRPr="003216A6">
        <w:t xml:space="preserve"> has the meaning given by section</w:t>
      </w:r>
      <w:r w:rsidR="003216A6" w:rsidRPr="003216A6">
        <w:t> </w:t>
      </w:r>
      <w:r w:rsidR="002F6749" w:rsidRPr="003216A6">
        <w:t>36B.</w:t>
      </w:r>
    </w:p>
    <w:p w:rsidR="009B5A79" w:rsidRPr="003216A6" w:rsidRDefault="00B13916" w:rsidP="003216A6">
      <w:pPr>
        <w:pStyle w:val="ItemHead"/>
      </w:pPr>
      <w:r w:rsidRPr="003216A6">
        <w:t>14</w:t>
      </w:r>
      <w:r w:rsidR="009B5A79" w:rsidRPr="003216A6">
        <w:t xml:space="preserve">  Section</w:t>
      </w:r>
      <w:r w:rsidR="003216A6" w:rsidRPr="003216A6">
        <w:t> </w:t>
      </w:r>
      <w:r w:rsidR="009B5A79" w:rsidRPr="003216A6">
        <w:t xml:space="preserve">7 (definition of </w:t>
      </w:r>
      <w:r w:rsidR="009B5A79" w:rsidRPr="003216A6">
        <w:rPr>
          <w:i/>
        </w:rPr>
        <w:t>reserve HCFC quota</w:t>
      </w:r>
      <w:r w:rsidR="009B5A79" w:rsidRPr="003216A6">
        <w:t>)</w:t>
      </w:r>
    </w:p>
    <w:p w:rsidR="009B5A79" w:rsidRPr="003216A6" w:rsidRDefault="009B5A79" w:rsidP="003216A6">
      <w:pPr>
        <w:pStyle w:val="Item"/>
      </w:pPr>
      <w:r w:rsidRPr="003216A6">
        <w:t>Repeal the definition, substitute:</w:t>
      </w:r>
    </w:p>
    <w:p w:rsidR="009B5A79" w:rsidRPr="003216A6" w:rsidRDefault="009B5A79" w:rsidP="003216A6">
      <w:pPr>
        <w:pStyle w:val="Definition"/>
      </w:pPr>
      <w:r w:rsidRPr="003216A6">
        <w:rPr>
          <w:b/>
          <w:i/>
        </w:rPr>
        <w:t>reserve HCFC quota</w:t>
      </w:r>
      <w:r w:rsidRPr="003216A6">
        <w:t xml:space="preserve"> means a reserve HCFC quota allocated under section</w:t>
      </w:r>
      <w:r w:rsidR="003216A6" w:rsidRPr="003216A6">
        <w:t> </w:t>
      </w:r>
      <w:r w:rsidRPr="003216A6">
        <w:t>28</w:t>
      </w:r>
      <w:r w:rsidR="002F6749" w:rsidRPr="003216A6">
        <w:t>.</w:t>
      </w:r>
    </w:p>
    <w:p w:rsidR="009B5A79" w:rsidRPr="003216A6" w:rsidRDefault="009B5A79" w:rsidP="003216A6">
      <w:pPr>
        <w:pStyle w:val="notetext"/>
      </w:pPr>
      <w:r w:rsidRPr="003216A6">
        <w:t>Note:</w:t>
      </w:r>
      <w:r w:rsidRPr="003216A6">
        <w:tab/>
        <w:t xml:space="preserve">A reserve HCFC quota is not an </w:t>
      </w:r>
      <w:r w:rsidRPr="003216A6">
        <w:rPr>
          <w:b/>
          <w:i/>
        </w:rPr>
        <w:t>HCFC quota</w:t>
      </w:r>
      <w:r w:rsidR="002F6749" w:rsidRPr="003216A6">
        <w:t>.</w:t>
      </w:r>
    </w:p>
    <w:p w:rsidR="009B5A79" w:rsidRPr="003216A6" w:rsidRDefault="00B13916" w:rsidP="003216A6">
      <w:pPr>
        <w:pStyle w:val="ItemHead"/>
      </w:pPr>
      <w:r w:rsidRPr="003216A6">
        <w:t>15</w:t>
      </w:r>
      <w:r w:rsidR="009B5A79" w:rsidRPr="003216A6">
        <w:t xml:space="preserve">  Section</w:t>
      </w:r>
      <w:r w:rsidR="003216A6" w:rsidRPr="003216A6">
        <w:t> </w:t>
      </w:r>
      <w:r w:rsidR="009B5A79" w:rsidRPr="003216A6">
        <w:t>7</w:t>
      </w:r>
    </w:p>
    <w:p w:rsidR="009B5A79" w:rsidRPr="003216A6" w:rsidRDefault="009B5A79" w:rsidP="003216A6">
      <w:pPr>
        <w:pStyle w:val="Item"/>
      </w:pPr>
      <w:r w:rsidRPr="003216A6">
        <w:t>Insert:</w:t>
      </w:r>
    </w:p>
    <w:p w:rsidR="009B5A79" w:rsidRPr="003216A6" w:rsidRDefault="009B5A79" w:rsidP="003216A6">
      <w:pPr>
        <w:pStyle w:val="Definition"/>
      </w:pPr>
      <w:r w:rsidRPr="003216A6">
        <w:rPr>
          <w:b/>
          <w:i/>
        </w:rPr>
        <w:t>reserve HFC quota</w:t>
      </w:r>
      <w:r w:rsidRPr="003216A6">
        <w:t xml:space="preserve"> means a reserve HFC quota allocated under regulations made for the purposes of section</w:t>
      </w:r>
      <w:r w:rsidR="003216A6" w:rsidRPr="003216A6">
        <w:t> </w:t>
      </w:r>
      <w:r w:rsidR="002F6749" w:rsidRPr="003216A6">
        <w:t>36G.</w:t>
      </w:r>
    </w:p>
    <w:p w:rsidR="009B5A79" w:rsidRPr="003216A6" w:rsidRDefault="009B5A79" w:rsidP="003216A6">
      <w:pPr>
        <w:pStyle w:val="notetext"/>
      </w:pPr>
      <w:r w:rsidRPr="003216A6">
        <w:t>Note:</w:t>
      </w:r>
      <w:r w:rsidRPr="003216A6">
        <w:tab/>
        <w:t xml:space="preserve">A reserve HFC quota is not an </w:t>
      </w:r>
      <w:r w:rsidRPr="003216A6">
        <w:rPr>
          <w:b/>
          <w:i/>
        </w:rPr>
        <w:t>HFC quota</w:t>
      </w:r>
      <w:r w:rsidR="002F6749" w:rsidRPr="003216A6">
        <w:t>.</w:t>
      </w:r>
    </w:p>
    <w:p w:rsidR="00C0059E" w:rsidRPr="003216A6" w:rsidRDefault="00C0059E" w:rsidP="003216A6">
      <w:pPr>
        <w:pStyle w:val="Definition"/>
      </w:pPr>
      <w:r w:rsidRPr="003216A6">
        <w:rPr>
          <w:b/>
          <w:i/>
        </w:rPr>
        <w:lastRenderedPageBreak/>
        <w:t>reserve HFC quota limit</w:t>
      </w:r>
      <w:r w:rsidRPr="003216A6">
        <w:t xml:space="preserve"> has the meaning given by subsection</w:t>
      </w:r>
      <w:r w:rsidR="003216A6" w:rsidRPr="003216A6">
        <w:t> </w:t>
      </w:r>
      <w:r w:rsidRPr="003216A6">
        <w:t>36G(3).</w:t>
      </w:r>
    </w:p>
    <w:p w:rsidR="009B5A79" w:rsidRPr="003216A6" w:rsidRDefault="009B5A79" w:rsidP="003216A6">
      <w:pPr>
        <w:pStyle w:val="Definition"/>
      </w:pPr>
      <w:r w:rsidRPr="003216A6">
        <w:rPr>
          <w:b/>
          <w:i/>
        </w:rPr>
        <w:t>SGG licensee</w:t>
      </w:r>
      <w:r w:rsidRPr="003216A6">
        <w:rPr>
          <w:i/>
        </w:rPr>
        <w:t xml:space="preserve"> </w:t>
      </w:r>
      <w:r w:rsidRPr="003216A6">
        <w:t>means the holder of an SGG licence</w:t>
      </w:r>
      <w:r w:rsidR="002F6749" w:rsidRPr="003216A6">
        <w:t>.</w:t>
      </w:r>
    </w:p>
    <w:p w:rsidR="009B5A79" w:rsidRPr="003216A6" w:rsidRDefault="00B13916" w:rsidP="003216A6">
      <w:pPr>
        <w:pStyle w:val="ItemHead"/>
      </w:pPr>
      <w:r w:rsidRPr="003216A6">
        <w:t>16</w:t>
      </w:r>
      <w:r w:rsidR="009B5A79" w:rsidRPr="003216A6">
        <w:t xml:space="preserve">  Sections</w:t>
      </w:r>
      <w:r w:rsidR="003216A6" w:rsidRPr="003216A6">
        <w:t> </w:t>
      </w:r>
      <w:r w:rsidR="009B5A79" w:rsidRPr="003216A6">
        <w:t>8 and 8B</w:t>
      </w:r>
    </w:p>
    <w:p w:rsidR="009B5A79" w:rsidRPr="003216A6" w:rsidRDefault="009B5A79" w:rsidP="003216A6">
      <w:pPr>
        <w:pStyle w:val="Item"/>
      </w:pPr>
      <w:r w:rsidRPr="003216A6">
        <w:t>Repeal the sections</w:t>
      </w:r>
      <w:r w:rsidR="002F6749" w:rsidRPr="003216A6">
        <w:t>.</w:t>
      </w:r>
    </w:p>
    <w:p w:rsidR="001520B1" w:rsidRPr="003216A6" w:rsidRDefault="00B13916" w:rsidP="003216A6">
      <w:pPr>
        <w:pStyle w:val="ItemHead"/>
      </w:pPr>
      <w:r w:rsidRPr="003216A6">
        <w:t>17</w:t>
      </w:r>
      <w:r w:rsidR="001520B1" w:rsidRPr="003216A6">
        <w:t xml:space="preserve">  After section</w:t>
      </w:r>
      <w:r w:rsidR="003216A6" w:rsidRPr="003216A6">
        <w:t> </w:t>
      </w:r>
      <w:r w:rsidR="001520B1" w:rsidRPr="003216A6">
        <w:t>9</w:t>
      </w:r>
    </w:p>
    <w:p w:rsidR="001520B1" w:rsidRPr="003216A6" w:rsidRDefault="001520B1" w:rsidP="003216A6">
      <w:pPr>
        <w:pStyle w:val="Item"/>
      </w:pPr>
      <w:r w:rsidRPr="003216A6">
        <w:t>Insert:</w:t>
      </w:r>
    </w:p>
    <w:p w:rsidR="009B5A79" w:rsidRPr="003216A6" w:rsidRDefault="009B5A79" w:rsidP="003216A6">
      <w:pPr>
        <w:pStyle w:val="ActHead5"/>
      </w:pPr>
      <w:bookmarkStart w:id="10" w:name="_Toc486251851"/>
      <w:r w:rsidRPr="003216A6">
        <w:rPr>
          <w:rStyle w:val="CharSectno"/>
        </w:rPr>
        <w:t>9A</w:t>
      </w:r>
      <w:r w:rsidRPr="003216A6">
        <w:t xml:space="preserve">  Quantities expressed in CO</w:t>
      </w:r>
      <w:r w:rsidRPr="003216A6">
        <w:rPr>
          <w:vertAlign w:val="subscript"/>
        </w:rPr>
        <w:t>2</w:t>
      </w:r>
      <w:r w:rsidRPr="003216A6">
        <w:t>e megatonnes</w:t>
      </w:r>
      <w:bookmarkEnd w:id="10"/>
    </w:p>
    <w:p w:rsidR="009B5A79" w:rsidRPr="003216A6" w:rsidRDefault="009B5A79" w:rsidP="003216A6">
      <w:pPr>
        <w:pStyle w:val="subsection"/>
      </w:pPr>
      <w:r w:rsidRPr="003216A6">
        <w:tab/>
        <w:t>(1)</w:t>
      </w:r>
      <w:r w:rsidRPr="003216A6">
        <w:tab/>
        <w:t xml:space="preserve">A reference in this Act to </w:t>
      </w:r>
      <w:r w:rsidRPr="003216A6">
        <w:rPr>
          <w:b/>
          <w:i/>
        </w:rPr>
        <w:t>CO</w:t>
      </w:r>
      <w:r w:rsidRPr="003216A6">
        <w:rPr>
          <w:b/>
          <w:i/>
          <w:vertAlign w:val="subscript"/>
        </w:rPr>
        <w:t>2</w:t>
      </w:r>
      <w:r w:rsidRPr="003216A6">
        <w:rPr>
          <w:b/>
          <w:i/>
        </w:rPr>
        <w:t>e megatonnes</w:t>
      </w:r>
      <w:r w:rsidRPr="003216A6">
        <w:t>, in relation to an HCFC or HFC, is a reference to the quantity of the HCFC or HFC that results from multiplying its mass in megatonnes by its 100</w:t>
      </w:r>
      <w:r w:rsidR="00753724">
        <w:noBreakHyphen/>
      </w:r>
      <w:r w:rsidRPr="003216A6">
        <w:t>year global warming potential</w:t>
      </w:r>
      <w:r w:rsidR="002F6749" w:rsidRPr="003216A6">
        <w:t>.</w:t>
      </w:r>
    </w:p>
    <w:p w:rsidR="009B5A79" w:rsidRPr="003216A6" w:rsidRDefault="009B5A79" w:rsidP="003216A6">
      <w:pPr>
        <w:pStyle w:val="subsection"/>
      </w:pPr>
      <w:r w:rsidRPr="003216A6">
        <w:tab/>
        <w:t>(2)</w:t>
      </w:r>
      <w:r w:rsidRPr="003216A6">
        <w:tab/>
        <w:t>If a substance is or contains a mixture of 2 or more HCFCs or HFCs, the quantity of the substance, expressed in CO</w:t>
      </w:r>
      <w:r w:rsidRPr="003216A6">
        <w:rPr>
          <w:vertAlign w:val="subscript"/>
        </w:rPr>
        <w:t>2</w:t>
      </w:r>
      <w:r w:rsidRPr="003216A6">
        <w:t>e megatonnes, is the quantity that results from adding together the quantities of each of those HCFCs or HFCs, expressed in CO</w:t>
      </w:r>
      <w:r w:rsidRPr="003216A6">
        <w:rPr>
          <w:vertAlign w:val="subscript"/>
        </w:rPr>
        <w:t>2</w:t>
      </w:r>
      <w:r w:rsidRPr="003216A6">
        <w:t>e megatonnes</w:t>
      </w:r>
      <w:r w:rsidR="002F6749" w:rsidRPr="003216A6">
        <w:t>.</w:t>
      </w:r>
    </w:p>
    <w:p w:rsidR="009B5A79" w:rsidRPr="003216A6" w:rsidRDefault="00B13916" w:rsidP="003216A6">
      <w:pPr>
        <w:pStyle w:val="ItemHead"/>
      </w:pPr>
      <w:r w:rsidRPr="003216A6">
        <w:t>18</w:t>
      </w:r>
      <w:r w:rsidR="009B5A79" w:rsidRPr="003216A6">
        <w:t xml:space="preserve">  Section</w:t>
      </w:r>
      <w:r w:rsidR="003216A6" w:rsidRPr="003216A6">
        <w:t> </w:t>
      </w:r>
      <w:r w:rsidR="009B5A79" w:rsidRPr="003216A6">
        <w:t>12B (heading)</w:t>
      </w:r>
    </w:p>
    <w:p w:rsidR="009B5A79" w:rsidRPr="003216A6" w:rsidRDefault="009B5A79" w:rsidP="003216A6">
      <w:pPr>
        <w:pStyle w:val="Item"/>
      </w:pPr>
      <w:r w:rsidRPr="003216A6">
        <w:t>Repeal the heading, substitute:</w:t>
      </w:r>
    </w:p>
    <w:p w:rsidR="009B5A79" w:rsidRPr="003216A6" w:rsidRDefault="009B5A79" w:rsidP="003216A6">
      <w:pPr>
        <w:pStyle w:val="ActHead5"/>
      </w:pPr>
      <w:bookmarkStart w:id="11" w:name="_Toc486251852"/>
      <w:r w:rsidRPr="003216A6">
        <w:rPr>
          <w:rStyle w:val="CharSectno"/>
        </w:rPr>
        <w:t>12B</w:t>
      </w:r>
      <w:r w:rsidRPr="003216A6">
        <w:t xml:space="preserve">  Import or export of CFCs, HCFCs and SGGs for use on board ships or aircraft</w:t>
      </w:r>
      <w:bookmarkEnd w:id="11"/>
    </w:p>
    <w:p w:rsidR="009B5A79" w:rsidRPr="003216A6" w:rsidRDefault="00B13916" w:rsidP="003216A6">
      <w:pPr>
        <w:pStyle w:val="ItemHead"/>
      </w:pPr>
      <w:r w:rsidRPr="003216A6">
        <w:t>19</w:t>
      </w:r>
      <w:r w:rsidR="009B5A79" w:rsidRPr="003216A6">
        <w:t xml:space="preserve">  Section</w:t>
      </w:r>
      <w:r w:rsidR="003216A6" w:rsidRPr="003216A6">
        <w:t> </w:t>
      </w:r>
      <w:r w:rsidR="009B5A79" w:rsidRPr="003216A6">
        <w:t>12B</w:t>
      </w:r>
    </w:p>
    <w:p w:rsidR="009B5A79" w:rsidRPr="003216A6" w:rsidRDefault="009B5A79" w:rsidP="003216A6">
      <w:pPr>
        <w:pStyle w:val="Item"/>
      </w:pPr>
      <w:r w:rsidRPr="003216A6">
        <w:t xml:space="preserve">Omit </w:t>
      </w:r>
      <w:r w:rsidR="00BF3C85" w:rsidRPr="003216A6">
        <w:t>“</w:t>
      </w:r>
      <w:r w:rsidRPr="003216A6">
        <w:t>does</w:t>
      </w:r>
      <w:r w:rsidR="00BF3C85" w:rsidRPr="003216A6">
        <w:t>”</w:t>
      </w:r>
      <w:r w:rsidRPr="003216A6">
        <w:t xml:space="preserve">, substitute </w:t>
      </w:r>
      <w:r w:rsidR="00BF3C85" w:rsidRPr="003216A6">
        <w:t>“</w:t>
      </w:r>
      <w:r w:rsidRPr="003216A6">
        <w:t>and Parts IV and IVA do</w:t>
      </w:r>
      <w:r w:rsidR="00BF3C85" w:rsidRPr="003216A6">
        <w:t>”</w:t>
      </w:r>
      <w:r w:rsidR="002F6749" w:rsidRPr="003216A6">
        <w:t>.</w:t>
      </w:r>
    </w:p>
    <w:p w:rsidR="009B5A79" w:rsidRPr="003216A6" w:rsidRDefault="00B13916" w:rsidP="003216A6">
      <w:pPr>
        <w:pStyle w:val="ItemHead"/>
      </w:pPr>
      <w:r w:rsidRPr="003216A6">
        <w:t>20</w:t>
      </w:r>
      <w:r w:rsidR="009B5A79" w:rsidRPr="003216A6">
        <w:t xml:space="preserve">  Section</w:t>
      </w:r>
      <w:r w:rsidR="003216A6" w:rsidRPr="003216A6">
        <w:t> </w:t>
      </w:r>
      <w:r w:rsidR="009B5A79" w:rsidRPr="003216A6">
        <w:t>13</w:t>
      </w:r>
    </w:p>
    <w:p w:rsidR="009B5A79" w:rsidRPr="003216A6" w:rsidRDefault="009B5A79" w:rsidP="003216A6">
      <w:pPr>
        <w:pStyle w:val="Item"/>
      </w:pPr>
      <w:r w:rsidRPr="003216A6">
        <w:t>Repeal the section, substitute:</w:t>
      </w:r>
    </w:p>
    <w:p w:rsidR="009B5A79" w:rsidRPr="003216A6" w:rsidRDefault="009B5A79" w:rsidP="003216A6">
      <w:pPr>
        <w:pStyle w:val="ActHead5"/>
      </w:pPr>
      <w:bookmarkStart w:id="12" w:name="_Toc486251853"/>
      <w:r w:rsidRPr="003216A6">
        <w:rPr>
          <w:rStyle w:val="CharSectno"/>
        </w:rPr>
        <w:lastRenderedPageBreak/>
        <w:t>13</w:t>
      </w:r>
      <w:r w:rsidRPr="003216A6">
        <w:t xml:space="preserve">  Unlicensed manufacture, import or export</w:t>
      </w:r>
      <w:bookmarkEnd w:id="12"/>
    </w:p>
    <w:p w:rsidR="009B5A79" w:rsidRPr="003216A6" w:rsidRDefault="009B5A79" w:rsidP="003216A6">
      <w:pPr>
        <w:pStyle w:val="SubsectionHead"/>
      </w:pPr>
      <w:r w:rsidRPr="003216A6">
        <w:t>Substances and equipment</w:t>
      </w:r>
    </w:p>
    <w:p w:rsidR="009B5A79" w:rsidRPr="003216A6" w:rsidRDefault="009B5A79" w:rsidP="003216A6">
      <w:pPr>
        <w:pStyle w:val="subsection"/>
      </w:pPr>
      <w:r w:rsidRPr="003216A6">
        <w:tab/>
        <w:t>(1)</w:t>
      </w:r>
      <w:r w:rsidRPr="003216A6">
        <w:tab/>
        <w:t xml:space="preserve">A person must not, subject to </w:t>
      </w:r>
      <w:r w:rsidR="003216A6" w:rsidRPr="003216A6">
        <w:t>subsections (</w:t>
      </w:r>
      <w:r w:rsidRPr="003216A6">
        <w:t>2) to (</w:t>
      </w:r>
      <w:r w:rsidR="00F55B02" w:rsidRPr="003216A6">
        <w:t>6</w:t>
      </w:r>
      <w:r w:rsidRPr="003216A6">
        <w:t>):</w:t>
      </w:r>
    </w:p>
    <w:p w:rsidR="009B5A79" w:rsidRPr="003216A6" w:rsidRDefault="009B5A79" w:rsidP="003216A6">
      <w:pPr>
        <w:pStyle w:val="paragraph"/>
      </w:pPr>
      <w:r w:rsidRPr="003216A6">
        <w:tab/>
        <w:t>(a)</w:t>
      </w:r>
      <w:r w:rsidRPr="003216A6">
        <w:tab/>
        <w:t>manufacture, import or export any of the following:</w:t>
      </w:r>
    </w:p>
    <w:p w:rsidR="009B5A79" w:rsidRPr="003216A6" w:rsidRDefault="009B5A79" w:rsidP="003216A6">
      <w:pPr>
        <w:pStyle w:val="paragraphsub"/>
      </w:pPr>
      <w:r w:rsidRPr="003216A6">
        <w:tab/>
        <w:t>(i)</w:t>
      </w:r>
      <w:r w:rsidRPr="003216A6">
        <w:tab/>
        <w:t>an HCFC;</w:t>
      </w:r>
    </w:p>
    <w:p w:rsidR="009B5A79" w:rsidRPr="003216A6" w:rsidRDefault="009B5A79" w:rsidP="003216A6">
      <w:pPr>
        <w:pStyle w:val="paragraphsub"/>
      </w:pPr>
      <w:r w:rsidRPr="003216A6">
        <w:tab/>
        <w:t>(ii)</w:t>
      </w:r>
      <w:r w:rsidRPr="003216A6">
        <w:tab/>
        <w:t>methyl bromide;</w:t>
      </w:r>
    </w:p>
    <w:p w:rsidR="009B5A79" w:rsidRPr="003216A6" w:rsidRDefault="009B5A79" w:rsidP="003216A6">
      <w:pPr>
        <w:pStyle w:val="paragraphsub"/>
      </w:pPr>
      <w:r w:rsidRPr="003216A6">
        <w:tab/>
        <w:t>(iii)</w:t>
      </w:r>
      <w:r w:rsidRPr="003216A6">
        <w:tab/>
        <w:t>an SGG;</w:t>
      </w:r>
    </w:p>
    <w:p w:rsidR="009B5A79" w:rsidRPr="003216A6" w:rsidRDefault="009B5A79" w:rsidP="003216A6">
      <w:pPr>
        <w:pStyle w:val="paragraphsub"/>
      </w:pPr>
      <w:r w:rsidRPr="003216A6">
        <w:tab/>
        <w:t>(iv)</w:t>
      </w:r>
      <w:r w:rsidRPr="003216A6">
        <w:tab/>
        <w:t>an HBFC;</w:t>
      </w:r>
    </w:p>
    <w:p w:rsidR="009B5A79" w:rsidRPr="003216A6" w:rsidRDefault="009B5A79" w:rsidP="003216A6">
      <w:pPr>
        <w:pStyle w:val="paragraphsub"/>
      </w:pPr>
      <w:r w:rsidRPr="003216A6">
        <w:tab/>
        <w:t>(v)</w:t>
      </w:r>
      <w:r w:rsidRPr="003216A6">
        <w:tab/>
        <w:t>a stage</w:t>
      </w:r>
      <w:r w:rsidR="00753724">
        <w:noBreakHyphen/>
      </w:r>
      <w:r w:rsidRPr="003216A6">
        <w:t>1 or stage</w:t>
      </w:r>
      <w:r w:rsidR="00753724">
        <w:noBreakHyphen/>
      </w:r>
      <w:r w:rsidRPr="003216A6">
        <w:t>2 scheduled substance; or</w:t>
      </w:r>
    </w:p>
    <w:p w:rsidR="009B5A79" w:rsidRPr="003216A6" w:rsidRDefault="009B5A79" w:rsidP="003216A6">
      <w:pPr>
        <w:pStyle w:val="paragraph"/>
      </w:pPr>
      <w:r w:rsidRPr="003216A6">
        <w:tab/>
        <w:t>(b)</w:t>
      </w:r>
      <w:r w:rsidRPr="003216A6">
        <w:tab/>
        <w:t>import ODS equipment or SGG equipment</w:t>
      </w:r>
      <w:r w:rsidR="002F6749" w:rsidRPr="003216A6">
        <w:t>.</w:t>
      </w:r>
    </w:p>
    <w:p w:rsidR="009B5A79" w:rsidRPr="003216A6" w:rsidRDefault="009B5A79" w:rsidP="003216A6">
      <w:pPr>
        <w:pStyle w:val="SubsectionHead"/>
      </w:pPr>
      <w:r w:rsidRPr="003216A6">
        <w:t>Exceptions</w:t>
      </w:r>
    </w:p>
    <w:p w:rsidR="009B5A79" w:rsidRPr="003216A6" w:rsidRDefault="009B5A79" w:rsidP="003216A6">
      <w:pPr>
        <w:pStyle w:val="subsection"/>
      </w:pPr>
      <w:r w:rsidRPr="003216A6">
        <w:tab/>
        <w:t>(2)</w:t>
      </w:r>
      <w:r w:rsidRPr="003216A6">
        <w:tab/>
      </w:r>
      <w:r w:rsidR="003216A6" w:rsidRPr="003216A6">
        <w:t>Subsection (</w:t>
      </w:r>
      <w:r w:rsidRPr="003216A6">
        <w:t>1) does not apply to an activity allowed by a licence the person holds</w:t>
      </w:r>
      <w:r w:rsidR="002F6749" w:rsidRPr="003216A6">
        <w:t>.</w:t>
      </w:r>
    </w:p>
    <w:p w:rsidR="009B5A79" w:rsidRPr="003216A6" w:rsidRDefault="009B5A79" w:rsidP="003216A6">
      <w:pPr>
        <w:pStyle w:val="notetext"/>
      </w:pPr>
      <w:r w:rsidRPr="003216A6">
        <w:t>Note 1:</w:t>
      </w:r>
      <w:r w:rsidRPr="003216A6">
        <w:tab/>
        <w:t>See section</w:t>
      </w:r>
      <w:r w:rsidR="003216A6" w:rsidRPr="003216A6">
        <w:t> </w:t>
      </w:r>
      <w:r w:rsidRPr="003216A6">
        <w:t>13A for the activities allowed by each type of licence</w:t>
      </w:r>
      <w:r w:rsidR="002F6749" w:rsidRPr="003216A6">
        <w:t>.</w:t>
      </w:r>
    </w:p>
    <w:p w:rsidR="009B5A79" w:rsidRPr="003216A6" w:rsidRDefault="009B5A79" w:rsidP="003216A6">
      <w:pPr>
        <w:pStyle w:val="notetext"/>
      </w:pPr>
      <w:r w:rsidRPr="003216A6">
        <w:t>Note 2:</w:t>
      </w:r>
      <w:r w:rsidRPr="003216A6">
        <w:tab/>
        <w:t>No licence allows the manufacture or export of HBFCs</w:t>
      </w:r>
      <w:r w:rsidR="002F6749" w:rsidRPr="003216A6">
        <w:t>.</w:t>
      </w:r>
    </w:p>
    <w:p w:rsidR="009B5A79" w:rsidRPr="003216A6" w:rsidRDefault="009B5A79" w:rsidP="003216A6">
      <w:pPr>
        <w:pStyle w:val="subsection"/>
      </w:pPr>
      <w:r w:rsidRPr="003216A6">
        <w:tab/>
        <w:t>(3)</w:t>
      </w:r>
      <w:r w:rsidRPr="003216A6">
        <w:tab/>
      </w:r>
      <w:r w:rsidR="003216A6" w:rsidRPr="003216A6">
        <w:t>Subparagraph (</w:t>
      </w:r>
      <w:r w:rsidRPr="003216A6">
        <w:t>1)(a)(iii) does not apply to manufacturing, importing or exporting an SGG (other than a recycled or used SGG) in circumstances prescribed by the regulations</w:t>
      </w:r>
      <w:r w:rsidR="002F6749" w:rsidRPr="003216A6">
        <w:t>.</w:t>
      </w:r>
    </w:p>
    <w:p w:rsidR="00F15C75" w:rsidRPr="003216A6" w:rsidRDefault="00F55B02" w:rsidP="003216A6">
      <w:pPr>
        <w:pStyle w:val="subsection"/>
      </w:pPr>
      <w:r w:rsidRPr="003216A6">
        <w:tab/>
        <w:t>(4</w:t>
      </w:r>
      <w:r w:rsidR="00F15C75" w:rsidRPr="003216A6">
        <w:t>)</w:t>
      </w:r>
      <w:r w:rsidR="00F15C75" w:rsidRPr="003216A6">
        <w:tab/>
        <w:t xml:space="preserve">Regulations made for the purposes of </w:t>
      </w:r>
      <w:r w:rsidR="003216A6" w:rsidRPr="003216A6">
        <w:t>subsection (</w:t>
      </w:r>
      <w:r w:rsidR="00F15C75" w:rsidRPr="003216A6">
        <w:t>3) must be consistent with Australia</w:t>
      </w:r>
      <w:r w:rsidR="00BF3C85" w:rsidRPr="003216A6">
        <w:t>’</w:t>
      </w:r>
      <w:r w:rsidR="00F15C75" w:rsidRPr="003216A6">
        <w:t>s</w:t>
      </w:r>
      <w:r w:rsidR="006D5094" w:rsidRPr="003216A6">
        <w:t xml:space="preserve"> international</w:t>
      </w:r>
      <w:r w:rsidR="00F15C75" w:rsidRPr="003216A6">
        <w:t xml:space="preserve"> obligations</w:t>
      </w:r>
      <w:r w:rsidR="002F6749" w:rsidRPr="003216A6">
        <w:t>.</w:t>
      </w:r>
    </w:p>
    <w:p w:rsidR="009B5A79" w:rsidRPr="003216A6" w:rsidRDefault="00F55B02" w:rsidP="003216A6">
      <w:pPr>
        <w:pStyle w:val="subsection"/>
      </w:pPr>
      <w:r w:rsidRPr="003216A6">
        <w:tab/>
        <w:t>(5</w:t>
      </w:r>
      <w:r w:rsidR="009B5A79" w:rsidRPr="003216A6">
        <w:t>)</w:t>
      </w:r>
      <w:r w:rsidR="009B5A79" w:rsidRPr="003216A6">
        <w:tab/>
      </w:r>
      <w:r w:rsidR="003216A6" w:rsidRPr="003216A6">
        <w:t>Paragraph (</w:t>
      </w:r>
      <w:r w:rsidR="009B5A79" w:rsidRPr="003216A6">
        <w:t>1)(b) does not apply to a person carrying out an activity in relation</w:t>
      </w:r>
      <w:r w:rsidR="009B5A79" w:rsidRPr="003216A6">
        <w:rPr>
          <w:lang w:eastAsia="en-US"/>
        </w:rPr>
        <w:t xml:space="preserve"> to equi</w:t>
      </w:r>
      <w:r w:rsidR="009B5A79" w:rsidRPr="003216A6">
        <w:t>pment if:</w:t>
      </w:r>
    </w:p>
    <w:p w:rsidR="009B5A79" w:rsidRPr="003216A6" w:rsidRDefault="009B5A79" w:rsidP="003216A6">
      <w:pPr>
        <w:pStyle w:val="paragraph"/>
      </w:pPr>
      <w:r w:rsidRPr="003216A6">
        <w:tab/>
        <w:t>(a)</w:t>
      </w:r>
      <w:r w:rsidRPr="003216A6">
        <w:tab/>
        <w:t>the equipment is kept by the person, or by a member of the person</w:t>
      </w:r>
      <w:r w:rsidR="00BF3C85" w:rsidRPr="003216A6">
        <w:t>’</w:t>
      </w:r>
      <w:r w:rsidRPr="003216A6">
        <w:t>s household, wholly or principally for private or domestic use; and</w:t>
      </w:r>
    </w:p>
    <w:p w:rsidR="009B5A79" w:rsidRPr="003216A6" w:rsidRDefault="009B5A79" w:rsidP="003216A6">
      <w:pPr>
        <w:pStyle w:val="paragraph"/>
      </w:pPr>
      <w:r w:rsidRPr="003216A6">
        <w:tab/>
        <w:t>(b)</w:t>
      </w:r>
      <w:r w:rsidRPr="003216A6">
        <w:tab/>
        <w:t>the equipment is prescribed by the regulations; and</w:t>
      </w:r>
    </w:p>
    <w:p w:rsidR="009B5A79" w:rsidRPr="003216A6" w:rsidRDefault="009B5A79" w:rsidP="003216A6">
      <w:pPr>
        <w:pStyle w:val="paragraph"/>
      </w:pPr>
      <w:r w:rsidRPr="003216A6">
        <w:tab/>
        <w:t>(c)</w:t>
      </w:r>
      <w:r w:rsidRPr="003216A6">
        <w:tab/>
        <w:t>any conditions prescribed by the regulations are satisfied</w:t>
      </w:r>
      <w:r w:rsidR="002F6749" w:rsidRPr="003216A6">
        <w:t>.</w:t>
      </w:r>
    </w:p>
    <w:p w:rsidR="009B5A79" w:rsidRPr="003216A6" w:rsidRDefault="00F55B02" w:rsidP="003216A6">
      <w:pPr>
        <w:pStyle w:val="subsection"/>
      </w:pPr>
      <w:r w:rsidRPr="003216A6">
        <w:tab/>
        <w:t>(6</w:t>
      </w:r>
      <w:r w:rsidR="009B5A79" w:rsidRPr="003216A6">
        <w:t>)</w:t>
      </w:r>
      <w:r w:rsidR="009B5A79" w:rsidRPr="003216A6">
        <w:tab/>
      </w:r>
      <w:r w:rsidR="003216A6" w:rsidRPr="003216A6">
        <w:t>Paragraph (</w:t>
      </w:r>
      <w:r w:rsidR="009B5A79" w:rsidRPr="003216A6">
        <w:t>1)(b) does not apply to a person importing ODS equipment or SGG equipment if:</w:t>
      </w:r>
    </w:p>
    <w:p w:rsidR="009B5A79" w:rsidRPr="003216A6" w:rsidRDefault="009B5A79" w:rsidP="003216A6">
      <w:pPr>
        <w:pStyle w:val="paragraph"/>
      </w:pPr>
      <w:r w:rsidRPr="003216A6">
        <w:tab/>
        <w:t>(a)</w:t>
      </w:r>
      <w:r w:rsidRPr="003216A6">
        <w:tab/>
        <w:t>in the case of ODS equipment—the total amount of HCFC contained in ODS equipment in the importation is not greater than the amount (if any) prescribed by the regulations; and</w:t>
      </w:r>
    </w:p>
    <w:p w:rsidR="009B5A79" w:rsidRPr="003216A6" w:rsidRDefault="009B5A79" w:rsidP="003216A6">
      <w:pPr>
        <w:pStyle w:val="paragraph"/>
      </w:pPr>
      <w:r w:rsidRPr="003216A6">
        <w:lastRenderedPageBreak/>
        <w:tab/>
        <w:t>(b)</w:t>
      </w:r>
      <w:r w:rsidRPr="003216A6">
        <w:tab/>
        <w:t>in the case of SGG equipment—the total amount of an SGG contained in SGG equipment in the importation is not greater than the amount (if any) prescribed by the regulations in relation to the SGG; and</w:t>
      </w:r>
    </w:p>
    <w:p w:rsidR="009B5A79" w:rsidRPr="003216A6" w:rsidRDefault="009B5A79" w:rsidP="003216A6">
      <w:pPr>
        <w:pStyle w:val="paragraph"/>
      </w:pPr>
      <w:r w:rsidRPr="003216A6">
        <w:tab/>
        <w:t>(c)</w:t>
      </w:r>
      <w:r w:rsidRPr="003216A6">
        <w:tab/>
        <w:t>in any case—any other conditions prescribed by the regulations in relation to the person, the equipment, and the importation are satisfied</w:t>
      </w:r>
      <w:r w:rsidR="002F6749" w:rsidRPr="003216A6">
        <w:t>.</w:t>
      </w:r>
    </w:p>
    <w:p w:rsidR="009B5A79" w:rsidRPr="003216A6" w:rsidRDefault="009B5A79" w:rsidP="003216A6">
      <w:pPr>
        <w:pStyle w:val="notetext"/>
      </w:pPr>
      <w:r w:rsidRPr="003216A6">
        <w:t>Note:</w:t>
      </w:r>
      <w:r w:rsidRPr="003216A6">
        <w:tab/>
        <w:t xml:space="preserve">In a prosecution for an offence against </w:t>
      </w:r>
      <w:r w:rsidR="003216A6" w:rsidRPr="003216A6">
        <w:t>subsection (</w:t>
      </w:r>
      <w:r w:rsidR="00F55B02" w:rsidRPr="003216A6">
        <w:t>7</w:t>
      </w:r>
      <w:r w:rsidRPr="003216A6">
        <w:t xml:space="preserve">), a defendant bears an evidential burden in relation to the matter in </w:t>
      </w:r>
      <w:r w:rsidR="003216A6" w:rsidRPr="003216A6">
        <w:t>subsection (</w:t>
      </w:r>
      <w:r w:rsidR="00F55B02" w:rsidRPr="003216A6">
        <w:t>2), (3), (5</w:t>
      </w:r>
      <w:r w:rsidRPr="003216A6">
        <w:t>) or (</w:t>
      </w:r>
      <w:r w:rsidR="00F55B02" w:rsidRPr="003216A6">
        <w:t>6</w:t>
      </w:r>
      <w:r w:rsidRPr="003216A6">
        <w:t>) (see subsection</w:t>
      </w:r>
      <w:r w:rsidR="003216A6" w:rsidRPr="003216A6">
        <w:t> </w:t>
      </w:r>
      <w:r w:rsidRPr="003216A6">
        <w:t>13</w:t>
      </w:r>
      <w:r w:rsidR="002F6749" w:rsidRPr="003216A6">
        <w:t>.</w:t>
      </w:r>
      <w:r w:rsidRPr="003216A6">
        <w:t xml:space="preserve">3(3) of the </w:t>
      </w:r>
      <w:r w:rsidRPr="003216A6">
        <w:rPr>
          <w:i/>
        </w:rPr>
        <w:t>Criminal Code</w:t>
      </w:r>
      <w:r w:rsidRPr="003216A6">
        <w:t>)</w:t>
      </w:r>
      <w:r w:rsidR="002F6749" w:rsidRPr="003216A6">
        <w:t>.</w:t>
      </w:r>
    </w:p>
    <w:p w:rsidR="009B5A79" w:rsidRPr="003216A6" w:rsidRDefault="009B5A79" w:rsidP="003216A6">
      <w:pPr>
        <w:pStyle w:val="SubsectionHead"/>
      </w:pPr>
      <w:r w:rsidRPr="003216A6">
        <w:t>Penalties</w:t>
      </w:r>
    </w:p>
    <w:p w:rsidR="009B5A79" w:rsidRPr="003216A6" w:rsidRDefault="009B5A79" w:rsidP="003216A6">
      <w:pPr>
        <w:pStyle w:val="subsection"/>
      </w:pPr>
      <w:r w:rsidRPr="003216A6">
        <w:tab/>
        <w:t>(</w:t>
      </w:r>
      <w:r w:rsidR="00F55B02" w:rsidRPr="003216A6">
        <w:t>7</w:t>
      </w:r>
      <w:r w:rsidRPr="003216A6">
        <w:t>)</w:t>
      </w:r>
      <w:r w:rsidRPr="003216A6">
        <w:tab/>
        <w:t xml:space="preserve">A person commits an offence of strict liability if the person contravenes </w:t>
      </w:r>
      <w:r w:rsidR="003216A6" w:rsidRPr="003216A6">
        <w:t>subsection (</w:t>
      </w:r>
      <w:r w:rsidRPr="003216A6">
        <w:t>1)</w:t>
      </w:r>
      <w:r w:rsidR="002F6749" w:rsidRPr="003216A6">
        <w:t>.</w:t>
      </w:r>
    </w:p>
    <w:p w:rsidR="009B5A79" w:rsidRPr="003216A6" w:rsidRDefault="009B5A79" w:rsidP="003216A6">
      <w:pPr>
        <w:pStyle w:val="Penalty"/>
      </w:pPr>
      <w:r w:rsidRPr="003216A6">
        <w:t>Penalty:</w:t>
      </w:r>
      <w:r w:rsidRPr="003216A6">
        <w:tab/>
        <w:t>500 penalty units</w:t>
      </w:r>
      <w:r w:rsidR="002F6749" w:rsidRPr="003216A6">
        <w:t>.</w:t>
      </w:r>
    </w:p>
    <w:p w:rsidR="009B5A79" w:rsidRPr="003216A6" w:rsidRDefault="009B5A79" w:rsidP="003216A6">
      <w:pPr>
        <w:pStyle w:val="subsection"/>
      </w:pPr>
      <w:r w:rsidRPr="003216A6">
        <w:tab/>
        <w:t>(</w:t>
      </w:r>
      <w:r w:rsidR="00F55B02" w:rsidRPr="003216A6">
        <w:t>8</w:t>
      </w:r>
      <w:r w:rsidRPr="003216A6">
        <w:t>)</w:t>
      </w:r>
      <w:r w:rsidRPr="003216A6">
        <w:tab/>
      </w:r>
      <w:r w:rsidR="003216A6" w:rsidRPr="003216A6">
        <w:t>Subsection (</w:t>
      </w:r>
      <w:r w:rsidRPr="003216A6">
        <w:t xml:space="preserve">1) is a </w:t>
      </w:r>
      <w:r w:rsidRPr="003216A6">
        <w:rPr>
          <w:b/>
          <w:i/>
        </w:rPr>
        <w:t>civil penalty provision</w:t>
      </w:r>
      <w:r w:rsidR="002F6749" w:rsidRPr="003216A6">
        <w:t>.</w:t>
      </w:r>
    </w:p>
    <w:p w:rsidR="009B5A79" w:rsidRPr="003216A6" w:rsidRDefault="009B5A79" w:rsidP="003216A6">
      <w:pPr>
        <w:pStyle w:val="notetext"/>
      </w:pPr>
      <w:r w:rsidRPr="003216A6">
        <w:t>Note 1:</w:t>
      </w:r>
      <w:r w:rsidRPr="003216A6">
        <w:tab/>
        <w:t>Division</w:t>
      </w:r>
      <w:r w:rsidR="003216A6" w:rsidRPr="003216A6">
        <w:t> </w:t>
      </w:r>
      <w:r w:rsidRPr="003216A6">
        <w:t>7 of Part</w:t>
      </w:r>
      <w:r w:rsidR="003216A6" w:rsidRPr="003216A6">
        <w:t> </w:t>
      </w:r>
      <w:r w:rsidRPr="003216A6">
        <w:t>VIII provides for pecuniary penalties for breaches of civil penalty provisions</w:t>
      </w:r>
      <w:r w:rsidR="002F6749" w:rsidRPr="003216A6">
        <w:t>.</w:t>
      </w:r>
    </w:p>
    <w:p w:rsidR="009B5A79" w:rsidRPr="003216A6" w:rsidRDefault="009B5A79" w:rsidP="003216A6">
      <w:pPr>
        <w:pStyle w:val="notetext"/>
      </w:pPr>
      <w:r w:rsidRPr="003216A6">
        <w:t>Note 2:</w:t>
      </w:r>
      <w:r w:rsidRPr="003216A6">
        <w:tab/>
        <w:t>For maximum penalty, see subsections</w:t>
      </w:r>
      <w:r w:rsidR="003216A6" w:rsidRPr="003216A6">
        <w:t> </w:t>
      </w:r>
      <w:r w:rsidRPr="003216A6">
        <w:t>65AC(4) and (4A)</w:t>
      </w:r>
      <w:r w:rsidR="002F6749" w:rsidRPr="003216A6">
        <w:t>.</w:t>
      </w:r>
    </w:p>
    <w:p w:rsidR="009B5A79" w:rsidRPr="003216A6" w:rsidRDefault="00B13916" w:rsidP="003216A6">
      <w:pPr>
        <w:pStyle w:val="ItemHead"/>
      </w:pPr>
      <w:r w:rsidRPr="003216A6">
        <w:t>21</w:t>
      </w:r>
      <w:r w:rsidR="009B5A79" w:rsidRPr="003216A6">
        <w:t xml:space="preserve">  Saving—regulations</w:t>
      </w:r>
    </w:p>
    <w:p w:rsidR="009B5A79" w:rsidRPr="003216A6" w:rsidRDefault="009B5A79" w:rsidP="003216A6">
      <w:pPr>
        <w:pStyle w:val="Item"/>
      </w:pPr>
      <w:r w:rsidRPr="003216A6">
        <w:t>Regulations:</w:t>
      </w:r>
    </w:p>
    <w:p w:rsidR="009B5A79" w:rsidRPr="003216A6" w:rsidRDefault="009B5A79" w:rsidP="003216A6">
      <w:pPr>
        <w:pStyle w:val="paragraph"/>
      </w:pPr>
      <w:r w:rsidRPr="003216A6">
        <w:tab/>
        <w:t>(a)</w:t>
      </w:r>
      <w:r w:rsidRPr="003216A6">
        <w:tab/>
        <w:t xml:space="preserve">made for the purposes of a provision of the </w:t>
      </w:r>
      <w:r w:rsidRPr="003216A6">
        <w:rPr>
          <w:i/>
        </w:rPr>
        <w:t>Ozone Protection and Synthetic Greenhouse Gas Management Act 1989</w:t>
      </w:r>
      <w:r w:rsidRPr="003216A6">
        <w:t xml:space="preserve"> mentioned in column 1 of an item of the following table; and</w:t>
      </w:r>
    </w:p>
    <w:p w:rsidR="009B5A79" w:rsidRPr="003216A6" w:rsidRDefault="009B5A79" w:rsidP="003216A6">
      <w:pPr>
        <w:pStyle w:val="paragraph"/>
      </w:pPr>
      <w:r w:rsidRPr="003216A6">
        <w:tab/>
        <w:t>(b)</w:t>
      </w:r>
      <w:r w:rsidRPr="003216A6">
        <w:tab/>
        <w:t>in force immediately before the commencement of this item;</w:t>
      </w:r>
    </w:p>
    <w:p w:rsidR="009B5A79" w:rsidRPr="003216A6" w:rsidRDefault="009B5A79" w:rsidP="003216A6">
      <w:pPr>
        <w:pStyle w:val="Item"/>
      </w:pPr>
      <w:r w:rsidRPr="003216A6">
        <w:t>have effect, from that commencement, as if they had been made for the purposes of the provision of that Act, as amended by this Part, mentioned in column 2 of that item</w:t>
      </w:r>
      <w:r w:rsidR="002F6749" w:rsidRPr="003216A6">
        <w:t>.</w:t>
      </w:r>
    </w:p>
    <w:p w:rsidR="009B5A79" w:rsidRPr="003216A6" w:rsidRDefault="009B5A79" w:rsidP="003216A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9B5A79" w:rsidRPr="003216A6" w:rsidTr="00041003">
        <w:trPr>
          <w:tblHeader/>
        </w:trPr>
        <w:tc>
          <w:tcPr>
            <w:tcW w:w="7086" w:type="dxa"/>
            <w:gridSpan w:val="3"/>
            <w:tcBorders>
              <w:top w:val="single" w:sz="12" w:space="0" w:color="auto"/>
              <w:bottom w:val="single" w:sz="6" w:space="0" w:color="auto"/>
            </w:tcBorders>
            <w:shd w:val="clear" w:color="auto" w:fill="auto"/>
          </w:tcPr>
          <w:p w:rsidR="009B5A79" w:rsidRPr="003216A6" w:rsidRDefault="009B5A79" w:rsidP="003216A6">
            <w:pPr>
              <w:pStyle w:val="TableHeading"/>
            </w:pPr>
            <w:r w:rsidRPr="003216A6">
              <w:t>Regulations</w:t>
            </w:r>
          </w:p>
        </w:tc>
      </w:tr>
      <w:tr w:rsidR="009B5A79" w:rsidRPr="003216A6" w:rsidTr="00041003">
        <w:trPr>
          <w:tblHeader/>
        </w:trPr>
        <w:tc>
          <w:tcPr>
            <w:tcW w:w="714"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Item</w:t>
            </w:r>
          </w:p>
        </w:tc>
        <w:tc>
          <w:tcPr>
            <w:tcW w:w="3186"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Column 1</w:t>
            </w:r>
          </w:p>
          <w:p w:rsidR="009B5A79" w:rsidRPr="003216A6" w:rsidRDefault="009B5A79" w:rsidP="003216A6">
            <w:pPr>
              <w:pStyle w:val="TableHeading"/>
            </w:pPr>
            <w:r w:rsidRPr="003216A6">
              <w:t>Old provision</w:t>
            </w:r>
          </w:p>
        </w:tc>
        <w:tc>
          <w:tcPr>
            <w:tcW w:w="3186"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Column 2</w:t>
            </w:r>
          </w:p>
          <w:p w:rsidR="009B5A79" w:rsidRPr="003216A6" w:rsidRDefault="009B5A79" w:rsidP="003216A6">
            <w:pPr>
              <w:pStyle w:val="TableHeading"/>
            </w:pPr>
            <w:r w:rsidRPr="003216A6">
              <w:t>New provision</w:t>
            </w:r>
          </w:p>
        </w:tc>
      </w:tr>
      <w:tr w:rsidR="009B5A79" w:rsidRPr="003216A6" w:rsidTr="00041003">
        <w:tc>
          <w:tcPr>
            <w:tcW w:w="714" w:type="dxa"/>
            <w:tcBorders>
              <w:top w:val="single" w:sz="12" w:space="0" w:color="auto"/>
            </w:tcBorders>
            <w:shd w:val="clear" w:color="auto" w:fill="auto"/>
          </w:tcPr>
          <w:p w:rsidR="009B5A79" w:rsidRPr="003216A6" w:rsidRDefault="009B5A79" w:rsidP="003216A6">
            <w:pPr>
              <w:pStyle w:val="Tabletext"/>
            </w:pPr>
            <w:r w:rsidRPr="003216A6">
              <w:t>1</w:t>
            </w:r>
          </w:p>
        </w:tc>
        <w:tc>
          <w:tcPr>
            <w:tcW w:w="3186" w:type="dxa"/>
            <w:tcBorders>
              <w:top w:val="single" w:sz="12" w:space="0" w:color="auto"/>
            </w:tcBorders>
            <w:shd w:val="clear" w:color="auto" w:fill="auto"/>
          </w:tcPr>
          <w:p w:rsidR="009B5A79" w:rsidRPr="003216A6" w:rsidRDefault="009B5A79" w:rsidP="003216A6">
            <w:pPr>
              <w:pStyle w:val="Tabletext"/>
            </w:pPr>
            <w:r w:rsidRPr="003216A6">
              <w:t>Paragraph 13(1A)(b)</w:t>
            </w:r>
          </w:p>
        </w:tc>
        <w:tc>
          <w:tcPr>
            <w:tcW w:w="3186" w:type="dxa"/>
            <w:tcBorders>
              <w:top w:val="single" w:sz="12" w:space="0" w:color="auto"/>
            </w:tcBorders>
            <w:shd w:val="clear" w:color="auto" w:fill="auto"/>
          </w:tcPr>
          <w:p w:rsidR="009B5A79" w:rsidRPr="003216A6" w:rsidRDefault="009B5A79" w:rsidP="003216A6">
            <w:pPr>
              <w:pStyle w:val="Tabletext"/>
            </w:pPr>
            <w:r w:rsidRPr="003216A6">
              <w:t>Subsection</w:t>
            </w:r>
            <w:r w:rsidR="003216A6" w:rsidRPr="003216A6">
              <w:t> </w:t>
            </w:r>
            <w:r w:rsidRPr="003216A6">
              <w:t>13(3)</w:t>
            </w:r>
          </w:p>
        </w:tc>
      </w:tr>
      <w:tr w:rsidR="009B5A79" w:rsidRPr="003216A6" w:rsidTr="00041003">
        <w:tc>
          <w:tcPr>
            <w:tcW w:w="714" w:type="dxa"/>
            <w:tcBorders>
              <w:bottom w:val="single" w:sz="2" w:space="0" w:color="auto"/>
            </w:tcBorders>
            <w:shd w:val="clear" w:color="auto" w:fill="auto"/>
          </w:tcPr>
          <w:p w:rsidR="009B5A79" w:rsidRPr="003216A6" w:rsidRDefault="009B5A79" w:rsidP="003216A6">
            <w:pPr>
              <w:pStyle w:val="Tabletext"/>
            </w:pPr>
            <w:r w:rsidRPr="003216A6">
              <w:t>2</w:t>
            </w:r>
          </w:p>
        </w:tc>
        <w:tc>
          <w:tcPr>
            <w:tcW w:w="3186" w:type="dxa"/>
            <w:tcBorders>
              <w:bottom w:val="single" w:sz="2" w:space="0" w:color="auto"/>
            </w:tcBorders>
            <w:shd w:val="clear" w:color="auto" w:fill="auto"/>
          </w:tcPr>
          <w:p w:rsidR="009B5A79" w:rsidRPr="003216A6" w:rsidRDefault="009B5A79" w:rsidP="003216A6">
            <w:pPr>
              <w:pStyle w:val="Tabletext"/>
            </w:pPr>
            <w:r w:rsidRPr="003216A6">
              <w:t>Subparagraph 13(6A)(b)(ii)</w:t>
            </w:r>
          </w:p>
        </w:tc>
        <w:tc>
          <w:tcPr>
            <w:tcW w:w="3186" w:type="dxa"/>
            <w:tcBorders>
              <w:bottom w:val="single" w:sz="2" w:space="0" w:color="auto"/>
            </w:tcBorders>
            <w:shd w:val="clear" w:color="auto" w:fill="auto"/>
          </w:tcPr>
          <w:p w:rsidR="009B5A79" w:rsidRPr="003216A6" w:rsidRDefault="009B5A79" w:rsidP="003216A6">
            <w:pPr>
              <w:pStyle w:val="Tabletext"/>
            </w:pPr>
            <w:r w:rsidRPr="003216A6">
              <w:t>Paragraph 13(</w:t>
            </w:r>
            <w:r w:rsidR="00F55B02" w:rsidRPr="003216A6">
              <w:t>5</w:t>
            </w:r>
            <w:r w:rsidRPr="003216A6">
              <w:t>)(b)</w:t>
            </w:r>
          </w:p>
        </w:tc>
      </w:tr>
      <w:tr w:rsidR="009B5A79" w:rsidRPr="003216A6" w:rsidTr="00041003">
        <w:tc>
          <w:tcPr>
            <w:tcW w:w="714" w:type="dxa"/>
            <w:tcBorders>
              <w:top w:val="single" w:sz="2" w:space="0" w:color="auto"/>
              <w:bottom w:val="single" w:sz="12" w:space="0" w:color="auto"/>
            </w:tcBorders>
            <w:shd w:val="clear" w:color="auto" w:fill="auto"/>
          </w:tcPr>
          <w:p w:rsidR="009B5A79" w:rsidRPr="003216A6" w:rsidRDefault="009B5A79" w:rsidP="003216A6">
            <w:pPr>
              <w:pStyle w:val="Tabletext"/>
            </w:pPr>
            <w:r w:rsidRPr="003216A6">
              <w:lastRenderedPageBreak/>
              <w:t>3</w:t>
            </w:r>
          </w:p>
        </w:tc>
        <w:tc>
          <w:tcPr>
            <w:tcW w:w="3186" w:type="dxa"/>
            <w:tcBorders>
              <w:top w:val="single" w:sz="2" w:space="0" w:color="auto"/>
              <w:bottom w:val="single" w:sz="12" w:space="0" w:color="auto"/>
            </w:tcBorders>
            <w:shd w:val="clear" w:color="auto" w:fill="auto"/>
          </w:tcPr>
          <w:p w:rsidR="009B5A79" w:rsidRPr="003216A6" w:rsidRDefault="009B5A79" w:rsidP="003216A6">
            <w:pPr>
              <w:pStyle w:val="Tabletext"/>
            </w:pPr>
            <w:r w:rsidRPr="003216A6">
              <w:t>Subparagraph 13(6A)(b)(iii)</w:t>
            </w:r>
          </w:p>
        </w:tc>
        <w:tc>
          <w:tcPr>
            <w:tcW w:w="3186" w:type="dxa"/>
            <w:tcBorders>
              <w:top w:val="single" w:sz="2" w:space="0" w:color="auto"/>
              <w:bottom w:val="single" w:sz="12" w:space="0" w:color="auto"/>
            </w:tcBorders>
            <w:shd w:val="clear" w:color="auto" w:fill="auto"/>
          </w:tcPr>
          <w:p w:rsidR="009B5A79" w:rsidRPr="003216A6" w:rsidRDefault="009B5A79" w:rsidP="003216A6">
            <w:pPr>
              <w:pStyle w:val="Tabletext"/>
            </w:pPr>
            <w:r w:rsidRPr="003216A6">
              <w:t>Paragraph 13(</w:t>
            </w:r>
            <w:r w:rsidR="00F55B02" w:rsidRPr="003216A6">
              <w:t>5</w:t>
            </w:r>
            <w:r w:rsidRPr="003216A6">
              <w:t>)(c)</w:t>
            </w:r>
          </w:p>
        </w:tc>
      </w:tr>
    </w:tbl>
    <w:p w:rsidR="009B5A79" w:rsidRPr="003216A6" w:rsidRDefault="00B13916" w:rsidP="003216A6">
      <w:pPr>
        <w:pStyle w:val="ItemHead"/>
      </w:pPr>
      <w:r w:rsidRPr="003216A6">
        <w:t>22</w:t>
      </w:r>
      <w:r w:rsidR="009B5A79" w:rsidRPr="003216A6">
        <w:t xml:space="preserve">  Subsection</w:t>
      </w:r>
      <w:r w:rsidR="003216A6" w:rsidRPr="003216A6">
        <w:t> </w:t>
      </w:r>
      <w:r w:rsidR="009B5A79" w:rsidRPr="003216A6">
        <w:t>13A(2)</w:t>
      </w:r>
    </w:p>
    <w:p w:rsidR="009B5A79" w:rsidRPr="003216A6" w:rsidRDefault="009B5A79" w:rsidP="003216A6">
      <w:pPr>
        <w:pStyle w:val="Item"/>
      </w:pPr>
      <w:r w:rsidRPr="003216A6">
        <w:t xml:space="preserve">After </w:t>
      </w:r>
      <w:r w:rsidR="00BF3C85" w:rsidRPr="003216A6">
        <w:t>“</w:t>
      </w:r>
      <w:r w:rsidRPr="003216A6">
        <w:t>allows</w:t>
      </w:r>
      <w:r w:rsidR="00BF3C85" w:rsidRPr="003216A6">
        <w:t>”</w:t>
      </w:r>
      <w:r w:rsidRPr="003216A6">
        <w:t xml:space="preserve">, insert </w:t>
      </w:r>
      <w:r w:rsidR="00BF3C85" w:rsidRPr="003216A6">
        <w:t>“</w:t>
      </w:r>
      <w:r w:rsidRPr="003216A6">
        <w:t xml:space="preserve">(subject to </w:t>
      </w:r>
      <w:r w:rsidR="003216A6" w:rsidRPr="003216A6">
        <w:t>subsection (</w:t>
      </w:r>
      <w:r w:rsidRPr="003216A6">
        <w:t>2A))</w:t>
      </w:r>
      <w:r w:rsidR="00BF3C85" w:rsidRPr="003216A6">
        <w:t>”</w:t>
      </w:r>
      <w:r w:rsidR="002F6749" w:rsidRPr="003216A6">
        <w:t>.</w:t>
      </w:r>
    </w:p>
    <w:p w:rsidR="009B5A79" w:rsidRPr="003216A6" w:rsidRDefault="00B13916" w:rsidP="003216A6">
      <w:pPr>
        <w:pStyle w:val="ItemHead"/>
      </w:pPr>
      <w:r w:rsidRPr="003216A6">
        <w:t>23</w:t>
      </w:r>
      <w:r w:rsidR="009B5A79" w:rsidRPr="003216A6">
        <w:t xml:space="preserve">  After subsection</w:t>
      </w:r>
      <w:r w:rsidR="003216A6" w:rsidRPr="003216A6">
        <w:t> </w:t>
      </w:r>
      <w:r w:rsidR="009B5A79" w:rsidRPr="003216A6">
        <w:t>13A(2)</w:t>
      </w:r>
    </w:p>
    <w:p w:rsidR="009B5A79" w:rsidRPr="003216A6" w:rsidRDefault="009B5A79" w:rsidP="003216A6">
      <w:pPr>
        <w:pStyle w:val="Item"/>
      </w:pPr>
      <w:r w:rsidRPr="003216A6">
        <w:t>Insert:</w:t>
      </w:r>
    </w:p>
    <w:p w:rsidR="009B5A79" w:rsidRPr="003216A6" w:rsidRDefault="009B5A79" w:rsidP="003216A6">
      <w:pPr>
        <w:pStyle w:val="subsection"/>
      </w:pPr>
      <w:r w:rsidRPr="003216A6">
        <w:tab/>
        <w:t>(2A)</w:t>
      </w:r>
      <w:r w:rsidRPr="003216A6">
        <w:tab/>
        <w:t>A controlled substances licence does not apply to:</w:t>
      </w:r>
    </w:p>
    <w:p w:rsidR="009B5A79" w:rsidRPr="003216A6" w:rsidRDefault="009B5A79" w:rsidP="003216A6">
      <w:pPr>
        <w:pStyle w:val="paragraph"/>
      </w:pPr>
      <w:r w:rsidRPr="003216A6">
        <w:tab/>
        <w:t>(a)</w:t>
      </w:r>
      <w:r w:rsidRPr="003216A6">
        <w:tab/>
        <w:t>recycled or used HCFCs; or</w:t>
      </w:r>
    </w:p>
    <w:p w:rsidR="009B5A79" w:rsidRPr="003216A6" w:rsidRDefault="009B5A79" w:rsidP="003216A6">
      <w:pPr>
        <w:pStyle w:val="paragraph"/>
      </w:pPr>
      <w:r w:rsidRPr="003216A6">
        <w:tab/>
        <w:t>(b)</w:t>
      </w:r>
      <w:r w:rsidRPr="003216A6">
        <w:tab/>
        <w:t>recycled or used methyl bromide; or</w:t>
      </w:r>
    </w:p>
    <w:p w:rsidR="009B5A79" w:rsidRPr="003216A6" w:rsidRDefault="009B5A79" w:rsidP="003216A6">
      <w:pPr>
        <w:pStyle w:val="paragraph"/>
      </w:pPr>
      <w:r w:rsidRPr="003216A6">
        <w:tab/>
        <w:t>(c)</w:t>
      </w:r>
      <w:r w:rsidRPr="003216A6">
        <w:tab/>
        <w:t>recycled or used SGGs</w:t>
      </w:r>
      <w:r w:rsidR="002F6749" w:rsidRPr="003216A6">
        <w:t>.</w:t>
      </w:r>
    </w:p>
    <w:p w:rsidR="009B5A79" w:rsidRPr="003216A6" w:rsidRDefault="009B5A79" w:rsidP="003216A6">
      <w:pPr>
        <w:pStyle w:val="notetext"/>
      </w:pPr>
      <w:r w:rsidRPr="003216A6">
        <w:t>Note:</w:t>
      </w:r>
      <w:r w:rsidRPr="003216A6">
        <w:tab/>
        <w:t xml:space="preserve">See </w:t>
      </w:r>
      <w:r w:rsidR="003216A6" w:rsidRPr="003216A6">
        <w:t>subsection (</w:t>
      </w:r>
      <w:r w:rsidRPr="003216A6">
        <w:t>4) (about used substances licences)</w:t>
      </w:r>
      <w:r w:rsidR="002F6749" w:rsidRPr="003216A6">
        <w:t>.</w:t>
      </w:r>
    </w:p>
    <w:p w:rsidR="009B5A79" w:rsidRPr="003216A6" w:rsidRDefault="00B13916" w:rsidP="003216A6">
      <w:pPr>
        <w:pStyle w:val="ItemHead"/>
      </w:pPr>
      <w:r w:rsidRPr="003216A6">
        <w:t>24</w:t>
      </w:r>
      <w:r w:rsidR="009B5A79" w:rsidRPr="003216A6">
        <w:t xml:space="preserve">  Subsection</w:t>
      </w:r>
      <w:r w:rsidR="003216A6" w:rsidRPr="003216A6">
        <w:t> </w:t>
      </w:r>
      <w:r w:rsidR="009B5A79" w:rsidRPr="003216A6">
        <w:t>13A(3)</w:t>
      </w:r>
    </w:p>
    <w:p w:rsidR="009B5A79" w:rsidRPr="003216A6" w:rsidRDefault="009B5A79" w:rsidP="003216A6">
      <w:pPr>
        <w:pStyle w:val="Item"/>
      </w:pPr>
      <w:r w:rsidRPr="003216A6">
        <w:t xml:space="preserve">After </w:t>
      </w:r>
      <w:r w:rsidR="00BF3C85" w:rsidRPr="003216A6">
        <w:t>“</w:t>
      </w:r>
      <w:r w:rsidRPr="003216A6">
        <w:t>allows</w:t>
      </w:r>
      <w:r w:rsidR="00BF3C85" w:rsidRPr="003216A6">
        <w:t>”</w:t>
      </w:r>
      <w:r w:rsidRPr="003216A6">
        <w:t xml:space="preserve">, insert </w:t>
      </w:r>
      <w:r w:rsidR="00BF3C85" w:rsidRPr="003216A6">
        <w:t>“</w:t>
      </w:r>
      <w:r w:rsidRPr="003216A6">
        <w:t xml:space="preserve">(subject to </w:t>
      </w:r>
      <w:r w:rsidR="003216A6" w:rsidRPr="003216A6">
        <w:t>subsection (</w:t>
      </w:r>
      <w:r w:rsidRPr="003216A6">
        <w:t>3A))</w:t>
      </w:r>
      <w:r w:rsidR="00BF3C85" w:rsidRPr="003216A6">
        <w:t>”</w:t>
      </w:r>
      <w:r w:rsidR="002F6749" w:rsidRPr="003216A6">
        <w:t>.</w:t>
      </w:r>
    </w:p>
    <w:p w:rsidR="009B5A79" w:rsidRPr="003216A6" w:rsidRDefault="00B13916" w:rsidP="003216A6">
      <w:pPr>
        <w:pStyle w:val="ItemHead"/>
      </w:pPr>
      <w:r w:rsidRPr="003216A6">
        <w:t>25</w:t>
      </w:r>
      <w:r w:rsidR="009B5A79" w:rsidRPr="003216A6">
        <w:t xml:space="preserve">  After subsection</w:t>
      </w:r>
      <w:r w:rsidR="003216A6" w:rsidRPr="003216A6">
        <w:t> </w:t>
      </w:r>
      <w:r w:rsidR="009B5A79" w:rsidRPr="003216A6">
        <w:t>13A(3)</w:t>
      </w:r>
    </w:p>
    <w:p w:rsidR="009B5A79" w:rsidRPr="003216A6" w:rsidRDefault="009B5A79" w:rsidP="003216A6">
      <w:pPr>
        <w:pStyle w:val="Item"/>
      </w:pPr>
      <w:r w:rsidRPr="003216A6">
        <w:t>Insert:</w:t>
      </w:r>
    </w:p>
    <w:p w:rsidR="009B5A79" w:rsidRPr="003216A6" w:rsidRDefault="009B5A79" w:rsidP="003216A6">
      <w:pPr>
        <w:pStyle w:val="subsection"/>
      </w:pPr>
      <w:r w:rsidRPr="003216A6">
        <w:tab/>
        <w:t>(3A)</w:t>
      </w:r>
      <w:r w:rsidRPr="003216A6">
        <w:tab/>
        <w:t>An essential uses licence does not apply to recycled or used stage</w:t>
      </w:r>
      <w:r w:rsidR="00753724">
        <w:noBreakHyphen/>
      </w:r>
      <w:r w:rsidRPr="003216A6">
        <w:t>1 or stage</w:t>
      </w:r>
      <w:r w:rsidR="00753724">
        <w:noBreakHyphen/>
      </w:r>
      <w:r w:rsidRPr="003216A6">
        <w:t>2 scheduled substances</w:t>
      </w:r>
      <w:r w:rsidR="002F6749" w:rsidRPr="003216A6">
        <w:t>.</w:t>
      </w:r>
    </w:p>
    <w:p w:rsidR="009B5A79" w:rsidRPr="003216A6" w:rsidRDefault="009B5A79" w:rsidP="003216A6">
      <w:pPr>
        <w:pStyle w:val="notetext"/>
      </w:pPr>
      <w:r w:rsidRPr="003216A6">
        <w:t>Note:</w:t>
      </w:r>
      <w:r w:rsidRPr="003216A6">
        <w:tab/>
        <w:t xml:space="preserve">See </w:t>
      </w:r>
      <w:r w:rsidR="003216A6" w:rsidRPr="003216A6">
        <w:t>subsection (</w:t>
      </w:r>
      <w:r w:rsidRPr="003216A6">
        <w:t>4) (about used substances licences)</w:t>
      </w:r>
      <w:r w:rsidR="002F6749" w:rsidRPr="003216A6">
        <w:t>.</w:t>
      </w:r>
    </w:p>
    <w:p w:rsidR="009B5A79" w:rsidRPr="003216A6" w:rsidRDefault="00B13916" w:rsidP="003216A6">
      <w:pPr>
        <w:pStyle w:val="ItemHead"/>
      </w:pPr>
      <w:r w:rsidRPr="003216A6">
        <w:t>26</w:t>
      </w:r>
      <w:r w:rsidR="009B5A79" w:rsidRPr="003216A6">
        <w:t xml:space="preserve">  At the end of subsection</w:t>
      </w:r>
      <w:r w:rsidR="003216A6" w:rsidRPr="003216A6">
        <w:t> </w:t>
      </w:r>
      <w:r w:rsidR="009B5A79" w:rsidRPr="003216A6">
        <w:t>13A(4)</w:t>
      </w:r>
    </w:p>
    <w:p w:rsidR="009B5A79" w:rsidRPr="003216A6" w:rsidRDefault="009B5A79" w:rsidP="003216A6">
      <w:pPr>
        <w:pStyle w:val="Item"/>
      </w:pPr>
      <w:r w:rsidRPr="003216A6">
        <w:t>Add:</w:t>
      </w:r>
    </w:p>
    <w:p w:rsidR="009B5A79" w:rsidRPr="003216A6" w:rsidRDefault="009B5A79" w:rsidP="003216A6">
      <w:pPr>
        <w:pStyle w:val="paragraph"/>
      </w:pPr>
      <w:r w:rsidRPr="003216A6">
        <w:tab/>
        <w:t>; (e)</w:t>
      </w:r>
      <w:r w:rsidRPr="003216A6">
        <w:tab/>
        <w:t>import specified recycled or used SGGs;</w:t>
      </w:r>
    </w:p>
    <w:p w:rsidR="009B5A79" w:rsidRPr="003216A6" w:rsidRDefault="009B5A79" w:rsidP="003216A6">
      <w:pPr>
        <w:pStyle w:val="paragraph"/>
      </w:pPr>
      <w:r w:rsidRPr="003216A6">
        <w:tab/>
        <w:t>(f)</w:t>
      </w:r>
      <w:r w:rsidRPr="003216A6">
        <w:tab/>
        <w:t>export specified recycled or used SGGs</w:t>
      </w:r>
      <w:r w:rsidR="002F6749" w:rsidRPr="003216A6">
        <w:t>.</w:t>
      </w:r>
    </w:p>
    <w:p w:rsidR="009B5A79" w:rsidRPr="003216A6" w:rsidRDefault="00B13916" w:rsidP="003216A6">
      <w:pPr>
        <w:pStyle w:val="ItemHead"/>
      </w:pPr>
      <w:r w:rsidRPr="003216A6">
        <w:t>27</w:t>
      </w:r>
      <w:r w:rsidR="009B5A79" w:rsidRPr="003216A6">
        <w:t xml:space="preserve">  Subsection</w:t>
      </w:r>
      <w:r w:rsidR="003216A6" w:rsidRPr="003216A6">
        <w:t> </w:t>
      </w:r>
      <w:r w:rsidR="009B5A79" w:rsidRPr="003216A6">
        <w:t>14(1)</w:t>
      </w:r>
    </w:p>
    <w:p w:rsidR="009B5A79" w:rsidRPr="003216A6" w:rsidRDefault="009B5A79" w:rsidP="003216A6">
      <w:pPr>
        <w:pStyle w:val="Item"/>
      </w:pPr>
      <w:r w:rsidRPr="003216A6">
        <w:t xml:space="preserve">Omit </w:t>
      </w:r>
      <w:r w:rsidR="00BF3C85" w:rsidRPr="003216A6">
        <w:t>“</w:t>
      </w:r>
      <w:r w:rsidRPr="003216A6">
        <w:t>(1)</w:t>
      </w:r>
      <w:r w:rsidR="00BF3C85" w:rsidRPr="003216A6">
        <w:t>”</w:t>
      </w:r>
      <w:r w:rsidR="002F6749" w:rsidRPr="003216A6">
        <w:t>.</w:t>
      </w:r>
    </w:p>
    <w:p w:rsidR="009B5A79" w:rsidRPr="003216A6" w:rsidRDefault="00B13916" w:rsidP="003216A6">
      <w:pPr>
        <w:pStyle w:val="ItemHead"/>
      </w:pPr>
      <w:r w:rsidRPr="003216A6">
        <w:t>28</w:t>
      </w:r>
      <w:r w:rsidR="009B5A79" w:rsidRPr="003216A6">
        <w:t xml:space="preserve">  Paragraph 14(1)(a)</w:t>
      </w:r>
    </w:p>
    <w:p w:rsidR="009B5A79" w:rsidRPr="003216A6" w:rsidRDefault="009B5A79" w:rsidP="003216A6">
      <w:pPr>
        <w:pStyle w:val="Item"/>
      </w:pPr>
      <w:r w:rsidRPr="003216A6">
        <w:t>Repeal the paragraph, substitute:</w:t>
      </w:r>
    </w:p>
    <w:p w:rsidR="009B5A79" w:rsidRPr="003216A6" w:rsidRDefault="009B5A79" w:rsidP="003216A6">
      <w:pPr>
        <w:pStyle w:val="paragraph"/>
      </w:pPr>
      <w:r w:rsidRPr="003216A6">
        <w:lastRenderedPageBreak/>
        <w:tab/>
        <w:t>(a)</w:t>
      </w:r>
      <w:r w:rsidRPr="003216A6">
        <w:tab/>
        <w:t>be in the approved form; and</w:t>
      </w:r>
    </w:p>
    <w:p w:rsidR="009B5A79" w:rsidRPr="003216A6" w:rsidRDefault="00B13916" w:rsidP="003216A6">
      <w:pPr>
        <w:pStyle w:val="ItemHead"/>
      </w:pPr>
      <w:r w:rsidRPr="003216A6">
        <w:t>29</w:t>
      </w:r>
      <w:r w:rsidR="009B5A79" w:rsidRPr="003216A6">
        <w:t xml:space="preserve">  Subsection</w:t>
      </w:r>
      <w:r w:rsidR="003216A6" w:rsidRPr="003216A6">
        <w:t> </w:t>
      </w:r>
      <w:r w:rsidR="009B5A79" w:rsidRPr="003216A6">
        <w:t>14(2)</w:t>
      </w:r>
    </w:p>
    <w:p w:rsidR="009B5A79" w:rsidRPr="003216A6" w:rsidRDefault="009B5A79" w:rsidP="003216A6">
      <w:pPr>
        <w:pStyle w:val="Item"/>
      </w:pPr>
      <w:r w:rsidRPr="003216A6">
        <w:t>Repeal the subsection</w:t>
      </w:r>
      <w:r w:rsidR="002F6749" w:rsidRPr="003216A6">
        <w:t>.</w:t>
      </w:r>
    </w:p>
    <w:p w:rsidR="009B5A79" w:rsidRPr="003216A6" w:rsidRDefault="00B13916" w:rsidP="003216A6">
      <w:pPr>
        <w:pStyle w:val="ItemHead"/>
      </w:pPr>
      <w:r w:rsidRPr="003216A6">
        <w:t>30</w:t>
      </w:r>
      <w:r w:rsidR="009B5A79" w:rsidRPr="003216A6">
        <w:t xml:space="preserve">  Subsections</w:t>
      </w:r>
      <w:r w:rsidR="003216A6" w:rsidRPr="003216A6">
        <w:t> </w:t>
      </w:r>
      <w:r w:rsidR="009B5A79" w:rsidRPr="003216A6">
        <w:t xml:space="preserve">18(1) </w:t>
      </w:r>
      <w:r w:rsidR="007A083A" w:rsidRPr="003216A6">
        <w:t>to (3)</w:t>
      </w:r>
    </w:p>
    <w:p w:rsidR="007A083A" w:rsidRPr="003216A6" w:rsidRDefault="007A083A" w:rsidP="003216A6">
      <w:pPr>
        <w:pStyle w:val="Item"/>
      </w:pPr>
      <w:r w:rsidRPr="003216A6">
        <w:t>Repeal the subsections, substitute:</w:t>
      </w:r>
    </w:p>
    <w:p w:rsidR="00D976F9" w:rsidRPr="003216A6" w:rsidRDefault="00D976F9" w:rsidP="003216A6">
      <w:pPr>
        <w:pStyle w:val="subsection"/>
      </w:pPr>
      <w:r w:rsidRPr="003216A6">
        <w:tab/>
        <w:t>(1)</w:t>
      </w:r>
      <w:r w:rsidRPr="003216A6">
        <w:tab/>
        <w:t xml:space="preserve">A licence is subject to the conditions specified in </w:t>
      </w:r>
      <w:r w:rsidR="007A083A" w:rsidRPr="003216A6">
        <w:t xml:space="preserve">the applicable item or items </w:t>
      </w:r>
      <w:r w:rsidR="00D24046" w:rsidRPr="003216A6">
        <w:t xml:space="preserve">(if any) </w:t>
      </w:r>
      <w:r w:rsidR="007A083A" w:rsidRPr="003216A6">
        <w:t>of the following table</w:t>
      </w:r>
      <w:r w:rsidRPr="003216A6">
        <w:t>:</w:t>
      </w:r>
    </w:p>
    <w:p w:rsidR="00D976F9" w:rsidRPr="003216A6" w:rsidRDefault="00D976F9" w:rsidP="003216A6">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4394"/>
      </w:tblGrid>
      <w:tr w:rsidR="007A083A" w:rsidRPr="003216A6" w:rsidTr="007A083A">
        <w:trPr>
          <w:tblHeader/>
        </w:trPr>
        <w:tc>
          <w:tcPr>
            <w:tcW w:w="7083" w:type="dxa"/>
            <w:gridSpan w:val="3"/>
            <w:tcBorders>
              <w:top w:val="single" w:sz="12" w:space="0" w:color="auto"/>
              <w:bottom w:val="single" w:sz="6" w:space="0" w:color="auto"/>
            </w:tcBorders>
            <w:shd w:val="clear" w:color="auto" w:fill="auto"/>
          </w:tcPr>
          <w:p w:rsidR="007A083A" w:rsidRPr="003216A6" w:rsidRDefault="007A083A" w:rsidP="003216A6">
            <w:pPr>
              <w:pStyle w:val="TableHeading"/>
            </w:pPr>
            <w:r w:rsidRPr="003216A6">
              <w:t>Licence conditions</w:t>
            </w:r>
          </w:p>
        </w:tc>
      </w:tr>
      <w:tr w:rsidR="007A083A" w:rsidRPr="003216A6" w:rsidTr="007A083A">
        <w:trPr>
          <w:tblHeader/>
        </w:trPr>
        <w:tc>
          <w:tcPr>
            <w:tcW w:w="714" w:type="dxa"/>
            <w:tcBorders>
              <w:top w:val="single" w:sz="6" w:space="0" w:color="auto"/>
              <w:bottom w:val="single" w:sz="12" w:space="0" w:color="auto"/>
            </w:tcBorders>
            <w:shd w:val="clear" w:color="auto" w:fill="auto"/>
          </w:tcPr>
          <w:p w:rsidR="007A083A" w:rsidRPr="003216A6" w:rsidRDefault="007A083A" w:rsidP="003216A6">
            <w:pPr>
              <w:pStyle w:val="TableHeading"/>
            </w:pPr>
            <w:r w:rsidRPr="003216A6">
              <w:t>Item</w:t>
            </w:r>
          </w:p>
        </w:tc>
        <w:tc>
          <w:tcPr>
            <w:tcW w:w="1975" w:type="dxa"/>
            <w:tcBorders>
              <w:top w:val="single" w:sz="6" w:space="0" w:color="auto"/>
              <w:bottom w:val="single" w:sz="12" w:space="0" w:color="auto"/>
            </w:tcBorders>
            <w:shd w:val="clear" w:color="auto" w:fill="auto"/>
          </w:tcPr>
          <w:p w:rsidR="007A083A" w:rsidRPr="003216A6" w:rsidRDefault="007A083A" w:rsidP="003216A6">
            <w:pPr>
              <w:pStyle w:val="TableHeading"/>
            </w:pPr>
            <w:r w:rsidRPr="003216A6">
              <w:t>Column 1</w:t>
            </w:r>
          </w:p>
          <w:p w:rsidR="007A083A" w:rsidRPr="003216A6" w:rsidRDefault="007A083A" w:rsidP="003216A6">
            <w:pPr>
              <w:pStyle w:val="TableHeading"/>
            </w:pPr>
            <w:r w:rsidRPr="003216A6">
              <w:t>Licence</w:t>
            </w:r>
          </w:p>
        </w:tc>
        <w:tc>
          <w:tcPr>
            <w:tcW w:w="4394" w:type="dxa"/>
            <w:tcBorders>
              <w:top w:val="single" w:sz="6" w:space="0" w:color="auto"/>
              <w:bottom w:val="single" w:sz="12" w:space="0" w:color="auto"/>
            </w:tcBorders>
            <w:shd w:val="clear" w:color="auto" w:fill="auto"/>
          </w:tcPr>
          <w:p w:rsidR="007A083A" w:rsidRPr="003216A6" w:rsidRDefault="007A083A" w:rsidP="003216A6">
            <w:pPr>
              <w:pStyle w:val="TableHeading"/>
            </w:pPr>
            <w:r w:rsidRPr="003216A6">
              <w:t>Column 2</w:t>
            </w:r>
          </w:p>
          <w:p w:rsidR="007A083A" w:rsidRPr="003216A6" w:rsidRDefault="007A083A" w:rsidP="003216A6">
            <w:pPr>
              <w:pStyle w:val="TableHeading"/>
            </w:pPr>
            <w:r w:rsidRPr="003216A6">
              <w:t>Conditions</w:t>
            </w:r>
          </w:p>
        </w:tc>
      </w:tr>
      <w:tr w:rsidR="007A083A" w:rsidRPr="003216A6" w:rsidTr="007A083A">
        <w:tc>
          <w:tcPr>
            <w:tcW w:w="714" w:type="dxa"/>
            <w:tcBorders>
              <w:top w:val="single" w:sz="12" w:space="0" w:color="auto"/>
            </w:tcBorders>
            <w:shd w:val="clear" w:color="auto" w:fill="auto"/>
          </w:tcPr>
          <w:p w:rsidR="007A083A" w:rsidRPr="003216A6" w:rsidRDefault="007A083A" w:rsidP="003216A6">
            <w:pPr>
              <w:pStyle w:val="Tabletext"/>
            </w:pPr>
            <w:r w:rsidRPr="003216A6">
              <w:t>1</w:t>
            </w:r>
          </w:p>
        </w:tc>
        <w:tc>
          <w:tcPr>
            <w:tcW w:w="1975" w:type="dxa"/>
            <w:tcBorders>
              <w:top w:val="single" w:sz="12" w:space="0" w:color="auto"/>
            </w:tcBorders>
            <w:shd w:val="clear" w:color="auto" w:fill="auto"/>
          </w:tcPr>
          <w:p w:rsidR="007A083A" w:rsidRPr="003216A6" w:rsidRDefault="007A083A" w:rsidP="003216A6">
            <w:pPr>
              <w:pStyle w:val="Tabletext"/>
            </w:pPr>
            <w:r w:rsidRPr="003216A6">
              <w:t>A controlled substances licence that allows the licensee to manufacture, import or export HCFCs</w:t>
            </w:r>
          </w:p>
        </w:tc>
        <w:tc>
          <w:tcPr>
            <w:tcW w:w="4394" w:type="dxa"/>
            <w:tcBorders>
              <w:top w:val="single" w:sz="12" w:space="0" w:color="auto"/>
            </w:tcBorders>
            <w:shd w:val="clear" w:color="auto" w:fill="auto"/>
          </w:tcPr>
          <w:p w:rsidR="007A083A" w:rsidRPr="003216A6" w:rsidRDefault="007A083A" w:rsidP="003216A6">
            <w:pPr>
              <w:pStyle w:val="Tablea"/>
            </w:pPr>
            <w:r w:rsidRPr="003216A6">
              <w:t>(a) the licensee must not engage in a regulated HCFC activity in a quota period unless the licensee has been allocated:</w:t>
            </w:r>
          </w:p>
          <w:p w:rsidR="007A083A" w:rsidRPr="003216A6" w:rsidRDefault="007A083A" w:rsidP="003216A6">
            <w:pPr>
              <w:pStyle w:val="Tablei"/>
            </w:pPr>
            <w:r w:rsidRPr="003216A6">
              <w:t>(i) an HCFC quota for that period; or</w:t>
            </w:r>
          </w:p>
          <w:p w:rsidR="007A083A" w:rsidRPr="003216A6" w:rsidRDefault="007A083A" w:rsidP="003216A6">
            <w:pPr>
              <w:pStyle w:val="Tablei"/>
            </w:pPr>
            <w:r w:rsidRPr="003216A6">
              <w:t>(ii) a reserve HCFC quota;</w:t>
            </w:r>
          </w:p>
          <w:p w:rsidR="007A083A" w:rsidRPr="003216A6" w:rsidRDefault="007A083A" w:rsidP="003216A6">
            <w:pPr>
              <w:pStyle w:val="Tablea"/>
            </w:pPr>
            <w:r w:rsidRPr="003216A6">
              <w:tab/>
              <w:t>that is in force when the licensee engages in the activity; and</w:t>
            </w:r>
          </w:p>
          <w:p w:rsidR="007A083A" w:rsidRPr="003216A6" w:rsidRDefault="007A083A" w:rsidP="003216A6">
            <w:pPr>
              <w:pStyle w:val="Tablea"/>
            </w:pPr>
            <w:r w:rsidRPr="003216A6">
              <w:t>(b) if the licensee has been allocated an HCFC quota for a quota period—the licensee must ensure that the total quantity of HCFCs, expressed in ODP tonnes, involved in regulated HCFC activities engaged in by the licensee in the quota period is not more than the total of:</w:t>
            </w:r>
          </w:p>
          <w:p w:rsidR="007A083A" w:rsidRPr="003216A6" w:rsidRDefault="007A083A" w:rsidP="003216A6">
            <w:pPr>
              <w:pStyle w:val="Tablei"/>
            </w:pPr>
            <w:r w:rsidRPr="003216A6">
              <w:t>(i) that quota; and</w:t>
            </w:r>
          </w:p>
          <w:p w:rsidR="007A083A" w:rsidRPr="003216A6" w:rsidRDefault="007A083A" w:rsidP="003216A6">
            <w:pPr>
              <w:pStyle w:val="Tablei"/>
            </w:pPr>
            <w:r w:rsidRPr="003216A6">
              <w:t>(ii) any reserve HCFC quotas allocated to the licensee that are in force at any time in the quota period; and</w:t>
            </w:r>
          </w:p>
          <w:p w:rsidR="007A083A" w:rsidRPr="003216A6" w:rsidRDefault="007A083A" w:rsidP="003216A6">
            <w:pPr>
              <w:pStyle w:val="Tablea"/>
            </w:pPr>
            <w:r w:rsidRPr="003216A6">
              <w:t xml:space="preserve">(c) if the licensee has been allocated a reserve HCFC quota that is in force for a period (the </w:t>
            </w:r>
            <w:r w:rsidRPr="003216A6">
              <w:rPr>
                <w:b/>
                <w:i/>
              </w:rPr>
              <w:t>reserve period</w:t>
            </w:r>
            <w:r w:rsidRPr="003216A6">
              <w:t>) in a quota period, but has not been allocated an HCFC quota for that quota period—the licensee must ensure that the total quantity of HCFCs, expressed in ODP tonnes, involved in regulated HCFC activities engaged in by the licensee in the reserve period is not more than that reserve HCFC quota; and</w:t>
            </w:r>
          </w:p>
          <w:p w:rsidR="007A083A" w:rsidRPr="003216A6" w:rsidRDefault="007A083A" w:rsidP="003216A6">
            <w:pPr>
              <w:pStyle w:val="Tablea"/>
            </w:pPr>
            <w:r w:rsidRPr="003216A6">
              <w:lastRenderedPageBreak/>
              <w:t>(d) the licensee must comply with any directions the Minister gives to the licensee under section</w:t>
            </w:r>
            <w:r w:rsidR="003216A6" w:rsidRPr="003216A6">
              <w:t> </w:t>
            </w:r>
            <w:r w:rsidRPr="003216A6">
              <w:t xml:space="preserve">35A (directions to </w:t>
            </w:r>
            <w:r w:rsidR="00A54846" w:rsidRPr="003216A6">
              <w:t>export HCFCs if quota exceeded)</w:t>
            </w:r>
            <w:r w:rsidR="00926126" w:rsidRPr="003216A6">
              <w:t>.</w:t>
            </w:r>
          </w:p>
        </w:tc>
      </w:tr>
      <w:tr w:rsidR="007A083A" w:rsidRPr="003216A6" w:rsidTr="007A083A">
        <w:tc>
          <w:tcPr>
            <w:tcW w:w="714" w:type="dxa"/>
            <w:shd w:val="clear" w:color="auto" w:fill="auto"/>
          </w:tcPr>
          <w:p w:rsidR="007A083A" w:rsidRPr="003216A6" w:rsidRDefault="007A083A" w:rsidP="003216A6">
            <w:pPr>
              <w:pStyle w:val="Tabletext"/>
            </w:pPr>
            <w:r w:rsidRPr="003216A6">
              <w:lastRenderedPageBreak/>
              <w:t>2</w:t>
            </w:r>
          </w:p>
        </w:tc>
        <w:tc>
          <w:tcPr>
            <w:tcW w:w="1975" w:type="dxa"/>
            <w:shd w:val="clear" w:color="auto" w:fill="auto"/>
          </w:tcPr>
          <w:p w:rsidR="007A083A" w:rsidRPr="003216A6" w:rsidRDefault="007A083A" w:rsidP="003216A6">
            <w:pPr>
              <w:pStyle w:val="Tabletext"/>
            </w:pPr>
            <w:r w:rsidRPr="003216A6">
              <w:t>A licence (other than an SGG licence) that allows the licensee to import a scheduled substance</w:t>
            </w:r>
          </w:p>
        </w:tc>
        <w:tc>
          <w:tcPr>
            <w:tcW w:w="4394" w:type="dxa"/>
            <w:shd w:val="clear" w:color="auto" w:fill="auto"/>
          </w:tcPr>
          <w:p w:rsidR="007A083A" w:rsidRPr="003216A6" w:rsidRDefault="00A54846" w:rsidP="003216A6">
            <w:pPr>
              <w:pStyle w:val="Tabletext"/>
            </w:pPr>
            <w:r w:rsidRPr="003216A6">
              <w:t>T</w:t>
            </w:r>
            <w:r w:rsidR="007A083A" w:rsidRPr="003216A6">
              <w:t>he licensee must only import the substance from a country that is</w:t>
            </w:r>
            <w:r w:rsidRPr="003216A6">
              <w:t xml:space="preserve"> </w:t>
            </w:r>
            <w:r w:rsidR="007A083A" w:rsidRPr="003216A6">
              <w:t xml:space="preserve">a Montreal Protocol </w:t>
            </w:r>
            <w:r w:rsidRPr="003216A6">
              <w:t xml:space="preserve">country </w:t>
            </w:r>
            <w:r w:rsidR="007A083A" w:rsidRPr="003216A6">
              <w:t>for the purposes of Part</w:t>
            </w:r>
            <w:r w:rsidR="003216A6" w:rsidRPr="003216A6">
              <w:t> </w:t>
            </w:r>
            <w:r w:rsidR="007A083A" w:rsidRPr="003216A6">
              <w:t>VI</w:t>
            </w:r>
            <w:r w:rsidRPr="003216A6">
              <w:t xml:space="preserve"> for the substance</w:t>
            </w:r>
            <w:r w:rsidR="00926126" w:rsidRPr="003216A6">
              <w:t>.</w:t>
            </w:r>
          </w:p>
        </w:tc>
      </w:tr>
      <w:tr w:rsidR="007A083A" w:rsidRPr="003216A6" w:rsidTr="007A083A">
        <w:tc>
          <w:tcPr>
            <w:tcW w:w="714" w:type="dxa"/>
            <w:tcBorders>
              <w:bottom w:val="single" w:sz="2" w:space="0" w:color="auto"/>
            </w:tcBorders>
            <w:shd w:val="clear" w:color="auto" w:fill="auto"/>
          </w:tcPr>
          <w:p w:rsidR="007A083A" w:rsidRPr="003216A6" w:rsidRDefault="007A083A" w:rsidP="003216A6">
            <w:pPr>
              <w:pStyle w:val="Tabletext"/>
            </w:pPr>
            <w:r w:rsidRPr="003216A6">
              <w:t>3</w:t>
            </w:r>
          </w:p>
        </w:tc>
        <w:tc>
          <w:tcPr>
            <w:tcW w:w="1975" w:type="dxa"/>
            <w:tcBorders>
              <w:bottom w:val="single" w:sz="2" w:space="0" w:color="auto"/>
            </w:tcBorders>
            <w:shd w:val="clear" w:color="auto" w:fill="auto"/>
          </w:tcPr>
          <w:p w:rsidR="007A083A" w:rsidRPr="003216A6" w:rsidRDefault="007A083A" w:rsidP="003216A6">
            <w:pPr>
              <w:pStyle w:val="Tabletext"/>
            </w:pPr>
            <w:r w:rsidRPr="003216A6">
              <w:t>A licence (other than an SGG licence) that allows the licensee to export a scheduled substance</w:t>
            </w:r>
          </w:p>
        </w:tc>
        <w:tc>
          <w:tcPr>
            <w:tcW w:w="4394" w:type="dxa"/>
            <w:tcBorders>
              <w:bottom w:val="single" w:sz="2" w:space="0" w:color="auto"/>
            </w:tcBorders>
            <w:shd w:val="clear" w:color="auto" w:fill="auto"/>
          </w:tcPr>
          <w:p w:rsidR="007A083A" w:rsidRPr="003216A6" w:rsidRDefault="00A54846" w:rsidP="003216A6">
            <w:pPr>
              <w:pStyle w:val="Tabletext"/>
            </w:pPr>
            <w:r w:rsidRPr="003216A6">
              <w:t>T</w:t>
            </w:r>
            <w:r w:rsidR="007A083A" w:rsidRPr="003216A6">
              <w:t xml:space="preserve">he licensee must only export the substance to a country that is </w:t>
            </w:r>
            <w:r w:rsidRPr="003216A6">
              <w:t xml:space="preserve">a Montreal Protocol country for the purposes of </w:t>
            </w:r>
            <w:r w:rsidR="007A083A" w:rsidRPr="003216A6">
              <w:t>Part</w:t>
            </w:r>
            <w:r w:rsidR="003216A6" w:rsidRPr="003216A6">
              <w:t> </w:t>
            </w:r>
            <w:r w:rsidR="007A083A" w:rsidRPr="003216A6">
              <w:t>VI</w:t>
            </w:r>
            <w:r w:rsidRPr="003216A6">
              <w:t xml:space="preserve"> for the substance</w:t>
            </w:r>
            <w:r w:rsidR="00926126" w:rsidRPr="003216A6">
              <w:t>.</w:t>
            </w:r>
          </w:p>
        </w:tc>
      </w:tr>
      <w:tr w:rsidR="007A083A" w:rsidRPr="003216A6" w:rsidTr="007A083A">
        <w:tc>
          <w:tcPr>
            <w:tcW w:w="714" w:type="dxa"/>
            <w:shd w:val="clear" w:color="auto" w:fill="auto"/>
          </w:tcPr>
          <w:p w:rsidR="007A083A" w:rsidRPr="003216A6" w:rsidRDefault="007A083A" w:rsidP="003216A6">
            <w:pPr>
              <w:pStyle w:val="Tabletext"/>
            </w:pPr>
            <w:r w:rsidRPr="003216A6">
              <w:t>4</w:t>
            </w:r>
          </w:p>
        </w:tc>
        <w:tc>
          <w:tcPr>
            <w:tcW w:w="1975" w:type="dxa"/>
            <w:shd w:val="clear" w:color="auto" w:fill="auto"/>
          </w:tcPr>
          <w:p w:rsidR="007A083A" w:rsidRPr="003216A6" w:rsidRDefault="007A083A" w:rsidP="003216A6">
            <w:pPr>
              <w:pStyle w:val="Tabletext"/>
            </w:pPr>
            <w:r w:rsidRPr="003216A6">
              <w:t>An SGG licence</w:t>
            </w:r>
          </w:p>
        </w:tc>
        <w:tc>
          <w:tcPr>
            <w:tcW w:w="4394" w:type="dxa"/>
            <w:shd w:val="clear" w:color="auto" w:fill="auto"/>
          </w:tcPr>
          <w:p w:rsidR="008F5C84" w:rsidRPr="003216A6" w:rsidRDefault="008F5C84" w:rsidP="003216A6">
            <w:pPr>
              <w:pStyle w:val="Tablea"/>
            </w:pPr>
            <w:r w:rsidRPr="003216A6">
              <w:t>(a) the SGG licensee must not engage in a regulated HFC activity in a calendar year unless the licensee has been allocated:</w:t>
            </w:r>
          </w:p>
          <w:p w:rsidR="008F5C84" w:rsidRPr="003216A6" w:rsidRDefault="008F5C84" w:rsidP="003216A6">
            <w:pPr>
              <w:pStyle w:val="Tablei"/>
            </w:pPr>
            <w:r w:rsidRPr="003216A6">
              <w:t>(i) an HFC quota for the year; or</w:t>
            </w:r>
          </w:p>
          <w:p w:rsidR="008F5C84" w:rsidRPr="003216A6" w:rsidRDefault="008F5C84" w:rsidP="003216A6">
            <w:pPr>
              <w:pStyle w:val="Tablei"/>
            </w:pPr>
            <w:r w:rsidRPr="003216A6">
              <w:t>(ii) a reserve HFC quota;</w:t>
            </w:r>
          </w:p>
          <w:p w:rsidR="008F5C84" w:rsidRPr="003216A6" w:rsidRDefault="008F5C84" w:rsidP="003216A6">
            <w:pPr>
              <w:pStyle w:val="Tablea"/>
            </w:pPr>
            <w:r w:rsidRPr="003216A6">
              <w:tab/>
              <w:t>that is in force when the licensee engages in the activity; and</w:t>
            </w:r>
          </w:p>
          <w:p w:rsidR="008F5C84" w:rsidRPr="003216A6" w:rsidRDefault="008F5C84" w:rsidP="003216A6">
            <w:pPr>
              <w:pStyle w:val="Tablea"/>
            </w:pPr>
            <w:r w:rsidRPr="003216A6">
              <w:t>(b) if the SGG licensee has been allocated an HFC quota for a calendar year—the licensee must ensure that the total quantity of HFCs, expressed in CO</w:t>
            </w:r>
            <w:r w:rsidRPr="003216A6">
              <w:rPr>
                <w:vertAlign w:val="subscript"/>
              </w:rPr>
              <w:t>2</w:t>
            </w:r>
            <w:r w:rsidRPr="003216A6">
              <w:t>e megatonnes, involved in regulated HFC activities engaged in by the licensee in the year is not more than the total of:</w:t>
            </w:r>
          </w:p>
          <w:p w:rsidR="008F5C84" w:rsidRPr="003216A6" w:rsidRDefault="008F5C84" w:rsidP="003216A6">
            <w:pPr>
              <w:pStyle w:val="Tablei"/>
            </w:pPr>
            <w:r w:rsidRPr="003216A6">
              <w:t>(i) that quota; and</w:t>
            </w:r>
          </w:p>
          <w:p w:rsidR="008F5C84" w:rsidRPr="003216A6" w:rsidRDefault="008F5C84" w:rsidP="003216A6">
            <w:pPr>
              <w:pStyle w:val="Tablei"/>
            </w:pPr>
            <w:r w:rsidRPr="003216A6">
              <w:t>(ii) any reserve HFC quotas allocated to the licensee that are in force at any time in the year; and</w:t>
            </w:r>
          </w:p>
          <w:p w:rsidR="008F5C84" w:rsidRPr="003216A6" w:rsidRDefault="008F5C84" w:rsidP="003216A6">
            <w:pPr>
              <w:pStyle w:val="Tablea"/>
            </w:pPr>
            <w:r w:rsidRPr="003216A6">
              <w:t>(c) if the SGG licensee has been allocated a reserve HFC quota that is in force for a period (the reserve period) in a calendar year, but has not been allocated an HFC quota for the year—the licensee must ensure that the total quantity of HFCs, expressed in CO</w:t>
            </w:r>
            <w:r w:rsidRPr="003216A6">
              <w:rPr>
                <w:vertAlign w:val="subscript"/>
              </w:rPr>
              <w:t>2</w:t>
            </w:r>
            <w:r w:rsidRPr="003216A6">
              <w:t xml:space="preserve">e megatonnes, involved in regulated HFC activities engaged in by the </w:t>
            </w:r>
            <w:r w:rsidRPr="003216A6">
              <w:lastRenderedPageBreak/>
              <w:t>licensee in the reserve period is not more than that reserve HFC quota; and</w:t>
            </w:r>
          </w:p>
          <w:p w:rsidR="007A083A" w:rsidRPr="003216A6" w:rsidRDefault="008F5C84" w:rsidP="003216A6">
            <w:pPr>
              <w:pStyle w:val="Tablea"/>
            </w:pPr>
            <w:r w:rsidRPr="003216A6">
              <w:t>(d) the SGG licensee must comply with any directions the Minister gives to the licensee under section</w:t>
            </w:r>
            <w:r w:rsidR="003216A6" w:rsidRPr="003216A6">
              <w:t> </w:t>
            </w:r>
            <w:r w:rsidRPr="003216A6">
              <w:t>36H (directions to export HFCs if quota exceeded).</w:t>
            </w:r>
          </w:p>
        </w:tc>
      </w:tr>
      <w:tr w:rsidR="007A083A" w:rsidRPr="003216A6" w:rsidTr="007A083A">
        <w:tc>
          <w:tcPr>
            <w:tcW w:w="714" w:type="dxa"/>
            <w:tcBorders>
              <w:top w:val="single" w:sz="2" w:space="0" w:color="auto"/>
              <w:bottom w:val="single" w:sz="2" w:space="0" w:color="auto"/>
            </w:tcBorders>
            <w:shd w:val="clear" w:color="auto" w:fill="auto"/>
          </w:tcPr>
          <w:p w:rsidR="007A083A" w:rsidRPr="003216A6" w:rsidRDefault="007A083A" w:rsidP="003216A6">
            <w:pPr>
              <w:pStyle w:val="Tabletext"/>
            </w:pPr>
            <w:r w:rsidRPr="003216A6">
              <w:lastRenderedPageBreak/>
              <w:t>5</w:t>
            </w:r>
          </w:p>
        </w:tc>
        <w:tc>
          <w:tcPr>
            <w:tcW w:w="1975" w:type="dxa"/>
            <w:tcBorders>
              <w:top w:val="single" w:sz="2" w:space="0" w:color="auto"/>
              <w:bottom w:val="single" w:sz="2" w:space="0" w:color="auto"/>
            </w:tcBorders>
            <w:shd w:val="clear" w:color="auto" w:fill="auto"/>
          </w:tcPr>
          <w:p w:rsidR="007A083A" w:rsidRPr="003216A6" w:rsidRDefault="007A083A" w:rsidP="003216A6">
            <w:pPr>
              <w:pStyle w:val="Tabletext"/>
            </w:pPr>
            <w:r w:rsidRPr="003216A6">
              <w:t xml:space="preserve">An SGG licence that allows the </w:t>
            </w:r>
            <w:r w:rsidR="009A3B7D" w:rsidRPr="003216A6">
              <w:t xml:space="preserve">SGG </w:t>
            </w:r>
            <w:r w:rsidRPr="003216A6">
              <w:t xml:space="preserve">licensee to import </w:t>
            </w:r>
            <w:r w:rsidR="00D24046" w:rsidRPr="003216A6">
              <w:t>HFCs</w:t>
            </w:r>
          </w:p>
        </w:tc>
        <w:tc>
          <w:tcPr>
            <w:tcW w:w="4394" w:type="dxa"/>
            <w:tcBorders>
              <w:top w:val="single" w:sz="2" w:space="0" w:color="auto"/>
              <w:bottom w:val="single" w:sz="2" w:space="0" w:color="auto"/>
            </w:tcBorders>
            <w:shd w:val="clear" w:color="auto" w:fill="auto"/>
          </w:tcPr>
          <w:p w:rsidR="007A083A" w:rsidRPr="003216A6" w:rsidRDefault="00A54846" w:rsidP="003216A6">
            <w:pPr>
              <w:pStyle w:val="Tabletext"/>
            </w:pPr>
            <w:r w:rsidRPr="003216A6">
              <w:t>T</w:t>
            </w:r>
            <w:r w:rsidR="007A083A" w:rsidRPr="003216A6">
              <w:t>he</w:t>
            </w:r>
            <w:r w:rsidR="009A3B7D" w:rsidRPr="003216A6">
              <w:t xml:space="preserve"> SGG</w:t>
            </w:r>
            <w:r w:rsidR="007A083A" w:rsidRPr="003216A6">
              <w:t xml:space="preserve"> licensee must only import HFCs from a country that is a Montreal Protocol </w:t>
            </w:r>
            <w:r w:rsidRPr="003216A6">
              <w:t xml:space="preserve">country </w:t>
            </w:r>
            <w:r w:rsidR="007A083A" w:rsidRPr="003216A6">
              <w:t>for the purposes of Part</w:t>
            </w:r>
            <w:r w:rsidR="003216A6" w:rsidRPr="003216A6">
              <w:t> </w:t>
            </w:r>
            <w:r w:rsidR="007A083A" w:rsidRPr="003216A6">
              <w:t>VI</w:t>
            </w:r>
            <w:r w:rsidRPr="003216A6">
              <w:t xml:space="preserve"> for HFCs</w:t>
            </w:r>
            <w:r w:rsidR="00926126" w:rsidRPr="003216A6">
              <w:t>.</w:t>
            </w:r>
          </w:p>
        </w:tc>
      </w:tr>
      <w:tr w:rsidR="007A083A" w:rsidRPr="003216A6" w:rsidTr="007A083A">
        <w:tc>
          <w:tcPr>
            <w:tcW w:w="714" w:type="dxa"/>
            <w:tcBorders>
              <w:top w:val="single" w:sz="2" w:space="0" w:color="auto"/>
              <w:bottom w:val="single" w:sz="12" w:space="0" w:color="auto"/>
            </w:tcBorders>
            <w:shd w:val="clear" w:color="auto" w:fill="auto"/>
          </w:tcPr>
          <w:p w:rsidR="007A083A" w:rsidRPr="003216A6" w:rsidRDefault="007A083A" w:rsidP="003216A6">
            <w:pPr>
              <w:pStyle w:val="Tabletext"/>
            </w:pPr>
            <w:r w:rsidRPr="003216A6">
              <w:t>6</w:t>
            </w:r>
          </w:p>
        </w:tc>
        <w:tc>
          <w:tcPr>
            <w:tcW w:w="1975" w:type="dxa"/>
            <w:tcBorders>
              <w:top w:val="single" w:sz="2" w:space="0" w:color="auto"/>
              <w:bottom w:val="single" w:sz="12" w:space="0" w:color="auto"/>
            </w:tcBorders>
            <w:shd w:val="clear" w:color="auto" w:fill="auto"/>
          </w:tcPr>
          <w:p w:rsidR="007A083A" w:rsidRPr="003216A6" w:rsidRDefault="007A083A" w:rsidP="003216A6">
            <w:pPr>
              <w:pStyle w:val="Tabletext"/>
            </w:pPr>
            <w:r w:rsidRPr="003216A6">
              <w:t xml:space="preserve">An SGG licence that allows the </w:t>
            </w:r>
            <w:r w:rsidR="009A3B7D" w:rsidRPr="003216A6">
              <w:t xml:space="preserve">SGG </w:t>
            </w:r>
            <w:r w:rsidRPr="003216A6">
              <w:t xml:space="preserve">licensee to export </w:t>
            </w:r>
            <w:r w:rsidR="00D24046" w:rsidRPr="003216A6">
              <w:t>HFCs</w:t>
            </w:r>
          </w:p>
        </w:tc>
        <w:tc>
          <w:tcPr>
            <w:tcW w:w="4394" w:type="dxa"/>
            <w:tcBorders>
              <w:top w:val="single" w:sz="2" w:space="0" w:color="auto"/>
              <w:bottom w:val="single" w:sz="12" w:space="0" w:color="auto"/>
            </w:tcBorders>
            <w:shd w:val="clear" w:color="auto" w:fill="auto"/>
          </w:tcPr>
          <w:p w:rsidR="007A083A" w:rsidRPr="003216A6" w:rsidRDefault="00A54846" w:rsidP="003216A6">
            <w:pPr>
              <w:pStyle w:val="Tabletext"/>
            </w:pPr>
            <w:r w:rsidRPr="003216A6">
              <w:t>T</w:t>
            </w:r>
            <w:r w:rsidR="007A083A" w:rsidRPr="003216A6">
              <w:t xml:space="preserve">he </w:t>
            </w:r>
            <w:r w:rsidR="009A3B7D" w:rsidRPr="003216A6">
              <w:t xml:space="preserve">SGG </w:t>
            </w:r>
            <w:r w:rsidR="007A083A" w:rsidRPr="003216A6">
              <w:t xml:space="preserve">licensee must only export HFCs to a country that is a Montreal Protocol </w:t>
            </w:r>
            <w:r w:rsidRPr="003216A6">
              <w:t xml:space="preserve">country </w:t>
            </w:r>
            <w:r w:rsidR="007A083A" w:rsidRPr="003216A6">
              <w:t>for the purposes of Part</w:t>
            </w:r>
            <w:r w:rsidR="003216A6" w:rsidRPr="003216A6">
              <w:t> </w:t>
            </w:r>
            <w:r w:rsidR="007A083A" w:rsidRPr="003216A6">
              <w:t>V</w:t>
            </w:r>
            <w:r w:rsidRPr="003216A6">
              <w:t>I for HFCs</w:t>
            </w:r>
            <w:r w:rsidR="00926126" w:rsidRPr="003216A6">
              <w:t>.</w:t>
            </w:r>
          </w:p>
        </w:tc>
      </w:tr>
    </w:tbl>
    <w:p w:rsidR="007A083A" w:rsidRPr="003216A6" w:rsidRDefault="007A083A" w:rsidP="003216A6">
      <w:pPr>
        <w:pStyle w:val="notetext"/>
      </w:pPr>
      <w:r w:rsidRPr="003216A6">
        <w:t>Note 1:</w:t>
      </w:r>
      <w:r w:rsidRPr="003216A6">
        <w:tab/>
        <w:t>For the quantity of HCFCs that is taken to be involved in regulated HCFC activities, see subsection</w:t>
      </w:r>
      <w:r w:rsidR="003216A6" w:rsidRPr="003216A6">
        <w:t> </w:t>
      </w:r>
      <w:r w:rsidRPr="003216A6">
        <w:t>25A(2).</w:t>
      </w:r>
    </w:p>
    <w:p w:rsidR="009B5A79" w:rsidRPr="003216A6" w:rsidRDefault="009B5A79" w:rsidP="003216A6">
      <w:pPr>
        <w:pStyle w:val="notetext"/>
      </w:pPr>
      <w:r w:rsidRPr="003216A6">
        <w:t>Note</w:t>
      </w:r>
      <w:r w:rsidR="007A083A" w:rsidRPr="003216A6">
        <w:t xml:space="preserve"> 2</w:t>
      </w:r>
      <w:r w:rsidRPr="003216A6">
        <w:t>:</w:t>
      </w:r>
      <w:r w:rsidRPr="003216A6">
        <w:tab/>
        <w:t>For the quantity of HFCs that is taken to be involved in regulated HFC activities, see subsection</w:t>
      </w:r>
      <w:r w:rsidR="003216A6" w:rsidRPr="003216A6">
        <w:t> </w:t>
      </w:r>
      <w:r w:rsidR="002F6749" w:rsidRPr="003216A6">
        <w:t>36B</w:t>
      </w:r>
      <w:r w:rsidRPr="003216A6">
        <w:t>(2)</w:t>
      </w:r>
      <w:r w:rsidR="002F6749" w:rsidRPr="003216A6">
        <w:t>.</w:t>
      </w:r>
    </w:p>
    <w:p w:rsidR="00926126" w:rsidRPr="003216A6" w:rsidRDefault="007A083A" w:rsidP="003216A6">
      <w:pPr>
        <w:pStyle w:val="subsection"/>
      </w:pPr>
      <w:r w:rsidRPr="003216A6">
        <w:tab/>
        <w:t>(2)</w:t>
      </w:r>
      <w:r w:rsidRPr="003216A6">
        <w:tab/>
      </w:r>
      <w:r w:rsidR="00926126" w:rsidRPr="003216A6">
        <w:t>The conditions mentioned in i</w:t>
      </w:r>
      <w:r w:rsidRPr="003216A6">
        <w:t>tems</w:t>
      </w:r>
      <w:r w:rsidR="003216A6" w:rsidRPr="003216A6">
        <w:t> </w:t>
      </w:r>
      <w:r w:rsidRPr="003216A6">
        <w:t xml:space="preserve">5 and 6 of the table in </w:t>
      </w:r>
      <w:r w:rsidR="003216A6" w:rsidRPr="003216A6">
        <w:t>subsection (</w:t>
      </w:r>
      <w:r w:rsidRPr="003216A6">
        <w:t xml:space="preserve">1) </w:t>
      </w:r>
      <w:r w:rsidR="00926126" w:rsidRPr="003216A6">
        <w:t xml:space="preserve">do not apply to importing or exporting SGGs before </w:t>
      </w:r>
      <w:r w:rsidRPr="003216A6">
        <w:t>the day the changes to Article 4 of the Montreal Protocol set out in Article I of the Kigali Amendment enter into force for Australia.</w:t>
      </w:r>
    </w:p>
    <w:p w:rsidR="007A083A" w:rsidRPr="003216A6" w:rsidRDefault="00926126" w:rsidP="003216A6">
      <w:pPr>
        <w:pStyle w:val="subsection"/>
      </w:pPr>
      <w:r w:rsidRPr="003216A6">
        <w:tab/>
        <w:t>(3)</w:t>
      </w:r>
      <w:r w:rsidRPr="003216A6">
        <w:tab/>
      </w:r>
      <w:r w:rsidR="007A083A" w:rsidRPr="003216A6">
        <w:t>The Minister must announce, by notifiable instrument, the day the changes come into force for Australia.</w:t>
      </w:r>
    </w:p>
    <w:p w:rsidR="007A083A" w:rsidRPr="003216A6" w:rsidRDefault="007A083A" w:rsidP="003216A6">
      <w:pPr>
        <w:pStyle w:val="notetext"/>
      </w:pPr>
      <w:r w:rsidRPr="003216A6">
        <w:t>Note:</w:t>
      </w:r>
      <w:r w:rsidRPr="003216A6">
        <w:tab/>
        <w:t>The changes cannot come into force before 1</w:t>
      </w:r>
      <w:r w:rsidR="003216A6" w:rsidRPr="003216A6">
        <w:t> </w:t>
      </w:r>
      <w:r w:rsidRPr="003216A6">
        <w:t>January 2033.</w:t>
      </w:r>
    </w:p>
    <w:p w:rsidR="002359B8" w:rsidRPr="003216A6" w:rsidRDefault="002359B8" w:rsidP="003216A6">
      <w:pPr>
        <w:pStyle w:val="SubsectionHead"/>
      </w:pPr>
      <w:r w:rsidRPr="003216A6">
        <w:t>Other conditions</w:t>
      </w:r>
    </w:p>
    <w:p w:rsidR="009B5A79" w:rsidRPr="003216A6" w:rsidRDefault="00B13916" w:rsidP="003216A6">
      <w:pPr>
        <w:pStyle w:val="ItemHead"/>
      </w:pPr>
      <w:r w:rsidRPr="003216A6">
        <w:t>31</w:t>
      </w:r>
      <w:r w:rsidR="009B5A79" w:rsidRPr="003216A6">
        <w:t xml:space="preserve">  Application of amendments</w:t>
      </w:r>
    </w:p>
    <w:p w:rsidR="009B5A79" w:rsidRPr="003216A6" w:rsidRDefault="009B5A79" w:rsidP="003216A6">
      <w:pPr>
        <w:pStyle w:val="SubitemHead"/>
      </w:pPr>
      <w:r w:rsidRPr="003216A6">
        <w:t>HCFCs</w:t>
      </w:r>
    </w:p>
    <w:p w:rsidR="009B5A79" w:rsidRPr="003216A6" w:rsidRDefault="009B5A79" w:rsidP="003216A6">
      <w:pPr>
        <w:pStyle w:val="Subitem"/>
      </w:pPr>
      <w:r w:rsidRPr="003216A6">
        <w:t>(1)</w:t>
      </w:r>
      <w:r w:rsidRPr="003216A6">
        <w:tab/>
        <w:t>The amendment of subsection</w:t>
      </w:r>
      <w:r w:rsidR="003216A6" w:rsidRPr="003216A6">
        <w:t> </w:t>
      </w:r>
      <w:r w:rsidRPr="003216A6">
        <w:t xml:space="preserve">18(1) of the </w:t>
      </w:r>
      <w:r w:rsidRPr="003216A6">
        <w:rPr>
          <w:i/>
        </w:rPr>
        <w:t>Ozone Protection and Synthetic Greenhouse Gas Management Act 1989</w:t>
      </w:r>
      <w:r w:rsidRPr="003216A6">
        <w:t xml:space="preserve"> made by this Part</w:t>
      </w:r>
      <w:r w:rsidR="002359B8" w:rsidRPr="003216A6">
        <w:t>, to the extent the amendment relates to controlled substances licences,</w:t>
      </w:r>
      <w:r w:rsidRPr="003216A6">
        <w:t xml:space="preserve"> </w:t>
      </w:r>
      <w:r w:rsidRPr="003216A6">
        <w:lastRenderedPageBreak/>
        <w:t>applies to a controlled substances licence that is in force on or after the commencement of this item, whether the licence was granted before, on or after that commencement</w:t>
      </w:r>
      <w:r w:rsidR="002F6749" w:rsidRPr="003216A6">
        <w:t>.</w:t>
      </w:r>
    </w:p>
    <w:p w:rsidR="009B5A79" w:rsidRPr="003216A6" w:rsidRDefault="009B5A79" w:rsidP="003216A6">
      <w:pPr>
        <w:pStyle w:val="SubitemHead"/>
      </w:pPr>
      <w:r w:rsidRPr="003216A6">
        <w:t>HFCs</w:t>
      </w:r>
    </w:p>
    <w:p w:rsidR="009B5A79" w:rsidRPr="003216A6" w:rsidRDefault="009B5A79" w:rsidP="003216A6">
      <w:pPr>
        <w:pStyle w:val="Subitem"/>
      </w:pPr>
      <w:r w:rsidRPr="003216A6">
        <w:t>(</w:t>
      </w:r>
      <w:r w:rsidR="00E47FEA" w:rsidRPr="003216A6">
        <w:t>2</w:t>
      </w:r>
      <w:r w:rsidRPr="003216A6">
        <w:t>)</w:t>
      </w:r>
      <w:r w:rsidRPr="003216A6">
        <w:tab/>
      </w:r>
      <w:r w:rsidR="002359B8" w:rsidRPr="003216A6">
        <w:t>Item</w:t>
      </w:r>
      <w:r w:rsidR="003216A6" w:rsidRPr="003216A6">
        <w:t> </w:t>
      </w:r>
      <w:r w:rsidR="002359B8" w:rsidRPr="003216A6">
        <w:t>4 of the table in subsection</w:t>
      </w:r>
      <w:r w:rsidR="003216A6" w:rsidRPr="003216A6">
        <w:t> </w:t>
      </w:r>
      <w:r w:rsidR="002359B8" w:rsidRPr="003216A6">
        <w:t xml:space="preserve">18(1) of </w:t>
      </w:r>
      <w:r w:rsidRPr="003216A6">
        <w:t xml:space="preserve">the </w:t>
      </w:r>
      <w:r w:rsidRPr="003216A6">
        <w:rPr>
          <w:i/>
        </w:rPr>
        <w:t>Ozone Protection and Synthetic Greenhouse Gas Management Act 1989</w:t>
      </w:r>
      <w:r w:rsidRPr="003216A6">
        <w:t xml:space="preserve">, as </w:t>
      </w:r>
      <w:r w:rsidR="002359B8" w:rsidRPr="003216A6">
        <w:t xml:space="preserve">amended </w:t>
      </w:r>
      <w:r w:rsidRPr="003216A6">
        <w:t>by this Part, applies to an SGG licence that is in force on or after the commencement of this item, whether the licence was granted before, on or after that commencement</w:t>
      </w:r>
      <w:r w:rsidR="002F6749" w:rsidRPr="003216A6">
        <w:t>.</w:t>
      </w:r>
    </w:p>
    <w:p w:rsidR="009B5A79" w:rsidRPr="003216A6" w:rsidRDefault="00E47FEA" w:rsidP="003216A6">
      <w:pPr>
        <w:pStyle w:val="Subitem"/>
      </w:pPr>
      <w:r w:rsidRPr="003216A6">
        <w:t>(3</w:t>
      </w:r>
      <w:r w:rsidR="009B5A79" w:rsidRPr="003216A6">
        <w:t>)</w:t>
      </w:r>
      <w:r w:rsidR="009B5A79" w:rsidRPr="003216A6">
        <w:tab/>
      </w:r>
      <w:r w:rsidR="003216A6" w:rsidRPr="003216A6">
        <w:t>Paragraphs (</w:t>
      </w:r>
      <w:r w:rsidR="009B5A79" w:rsidRPr="003216A6">
        <w:t xml:space="preserve">a), (b) and (c) of </w:t>
      </w:r>
      <w:r w:rsidR="002359B8" w:rsidRPr="003216A6">
        <w:t xml:space="preserve">column 2 of </w:t>
      </w:r>
      <w:r w:rsidR="009B5A79" w:rsidRPr="003216A6">
        <w:t xml:space="preserve">that </w:t>
      </w:r>
      <w:r w:rsidR="002359B8" w:rsidRPr="003216A6">
        <w:t>item</w:t>
      </w:r>
      <w:r w:rsidR="009B5A79" w:rsidRPr="003216A6">
        <w:t xml:space="preserve"> do not apply to a regulated HFC activity engaged in before 1</w:t>
      </w:r>
      <w:r w:rsidR="003216A6" w:rsidRPr="003216A6">
        <w:t> </w:t>
      </w:r>
      <w:r w:rsidR="009B5A79" w:rsidRPr="003216A6">
        <w:t>January 2018</w:t>
      </w:r>
      <w:r w:rsidR="002F6749" w:rsidRPr="003216A6">
        <w:t>.</w:t>
      </w:r>
    </w:p>
    <w:p w:rsidR="009B5A79" w:rsidRPr="003216A6" w:rsidRDefault="00B13916" w:rsidP="003216A6">
      <w:pPr>
        <w:pStyle w:val="ItemHead"/>
      </w:pPr>
      <w:r w:rsidRPr="003216A6">
        <w:t>32</w:t>
      </w:r>
      <w:r w:rsidR="009B5A79" w:rsidRPr="003216A6">
        <w:t xml:space="preserve">  Before subsection</w:t>
      </w:r>
      <w:r w:rsidR="003216A6" w:rsidRPr="003216A6">
        <w:t> </w:t>
      </w:r>
      <w:r w:rsidR="009B5A79" w:rsidRPr="003216A6">
        <w:t>18(7)</w:t>
      </w:r>
    </w:p>
    <w:p w:rsidR="009B5A79" w:rsidRPr="003216A6" w:rsidRDefault="009B5A79" w:rsidP="003216A6">
      <w:pPr>
        <w:pStyle w:val="Item"/>
      </w:pPr>
      <w:r w:rsidRPr="003216A6">
        <w:t>Insert:</w:t>
      </w:r>
    </w:p>
    <w:p w:rsidR="009B5A79" w:rsidRPr="003216A6" w:rsidRDefault="009B5A79" w:rsidP="003216A6">
      <w:pPr>
        <w:pStyle w:val="SubsectionHead"/>
      </w:pPr>
      <w:r w:rsidRPr="003216A6">
        <w:t>Penalties</w:t>
      </w:r>
    </w:p>
    <w:p w:rsidR="009B5A79" w:rsidRPr="003216A6" w:rsidRDefault="00B13916" w:rsidP="003216A6">
      <w:pPr>
        <w:pStyle w:val="ItemHead"/>
      </w:pPr>
      <w:r w:rsidRPr="003216A6">
        <w:t>33</w:t>
      </w:r>
      <w:r w:rsidR="009B5A79" w:rsidRPr="003216A6">
        <w:t xml:space="preserve">  Before subsection</w:t>
      </w:r>
      <w:r w:rsidR="003216A6" w:rsidRPr="003216A6">
        <w:t> </w:t>
      </w:r>
      <w:r w:rsidR="009B5A79" w:rsidRPr="003216A6">
        <w:t>18(8)</w:t>
      </w:r>
    </w:p>
    <w:p w:rsidR="009B5A79" w:rsidRPr="003216A6" w:rsidRDefault="009B5A79" w:rsidP="003216A6">
      <w:pPr>
        <w:pStyle w:val="Item"/>
      </w:pPr>
      <w:r w:rsidRPr="003216A6">
        <w:t>Insert:</w:t>
      </w:r>
    </w:p>
    <w:p w:rsidR="009B5A79" w:rsidRPr="003216A6" w:rsidRDefault="009B5A79" w:rsidP="003216A6">
      <w:pPr>
        <w:pStyle w:val="SubsectionHead"/>
      </w:pPr>
      <w:r w:rsidRPr="003216A6">
        <w:t>Varying or revoking conditions</w:t>
      </w:r>
    </w:p>
    <w:p w:rsidR="009B5A79" w:rsidRPr="003216A6" w:rsidRDefault="00B13916" w:rsidP="003216A6">
      <w:pPr>
        <w:pStyle w:val="ItemHead"/>
      </w:pPr>
      <w:r w:rsidRPr="003216A6">
        <w:t>34</w:t>
      </w:r>
      <w:r w:rsidR="009B5A79" w:rsidRPr="003216A6">
        <w:t xml:space="preserve">  Paragraph 19B(2)(a)</w:t>
      </w:r>
    </w:p>
    <w:p w:rsidR="009B5A79" w:rsidRPr="003216A6" w:rsidRDefault="009B5A79" w:rsidP="003216A6">
      <w:pPr>
        <w:pStyle w:val="Item"/>
      </w:pPr>
      <w:r w:rsidRPr="003216A6">
        <w:t>Repeal the paragraph, substitute:</w:t>
      </w:r>
    </w:p>
    <w:p w:rsidR="009B5A79" w:rsidRPr="003216A6" w:rsidRDefault="009B5A79" w:rsidP="003216A6">
      <w:pPr>
        <w:pStyle w:val="paragraph"/>
      </w:pPr>
      <w:r w:rsidRPr="003216A6">
        <w:tab/>
        <w:t>(a)</w:t>
      </w:r>
      <w:r w:rsidRPr="003216A6">
        <w:tab/>
        <w:t>be in the approved form; and</w:t>
      </w:r>
    </w:p>
    <w:p w:rsidR="009B5A79" w:rsidRPr="003216A6" w:rsidRDefault="00B13916" w:rsidP="003216A6">
      <w:pPr>
        <w:pStyle w:val="ItemHead"/>
      </w:pPr>
      <w:r w:rsidRPr="003216A6">
        <w:t>35</w:t>
      </w:r>
      <w:r w:rsidR="009B5A79" w:rsidRPr="003216A6">
        <w:t xml:space="preserve">  Subsection</w:t>
      </w:r>
      <w:r w:rsidR="003216A6" w:rsidRPr="003216A6">
        <w:t> </w:t>
      </w:r>
      <w:r w:rsidR="009B5A79" w:rsidRPr="003216A6">
        <w:t>19B(3)</w:t>
      </w:r>
    </w:p>
    <w:p w:rsidR="009B5A79" w:rsidRPr="003216A6" w:rsidRDefault="009B5A79" w:rsidP="003216A6">
      <w:pPr>
        <w:pStyle w:val="Item"/>
      </w:pPr>
      <w:r w:rsidRPr="003216A6">
        <w:t>Repeal the subsection</w:t>
      </w:r>
      <w:r w:rsidR="002F6749" w:rsidRPr="003216A6">
        <w:t>.</w:t>
      </w:r>
    </w:p>
    <w:p w:rsidR="009B5A79" w:rsidRPr="003216A6" w:rsidRDefault="00B13916" w:rsidP="003216A6">
      <w:pPr>
        <w:pStyle w:val="ItemHead"/>
      </w:pPr>
      <w:r w:rsidRPr="003216A6">
        <w:t>36</w:t>
      </w:r>
      <w:r w:rsidR="009B5A79" w:rsidRPr="003216A6">
        <w:t xml:space="preserve">  Before section</w:t>
      </w:r>
      <w:r w:rsidR="003216A6" w:rsidRPr="003216A6">
        <w:t> </w:t>
      </w:r>
      <w:r w:rsidR="009B5A79" w:rsidRPr="003216A6">
        <w:t>23</w:t>
      </w:r>
    </w:p>
    <w:p w:rsidR="009B5A79" w:rsidRPr="003216A6" w:rsidRDefault="009B5A79" w:rsidP="003216A6">
      <w:pPr>
        <w:pStyle w:val="Item"/>
      </w:pPr>
      <w:r w:rsidRPr="003216A6">
        <w:t>Insert:</w:t>
      </w:r>
    </w:p>
    <w:p w:rsidR="009B5A79" w:rsidRPr="003216A6" w:rsidRDefault="009B5A79" w:rsidP="003216A6">
      <w:pPr>
        <w:pStyle w:val="ActHead5"/>
      </w:pPr>
      <w:bookmarkStart w:id="13" w:name="_Toc486251854"/>
      <w:r w:rsidRPr="003216A6">
        <w:rPr>
          <w:rStyle w:val="CharSectno"/>
        </w:rPr>
        <w:t>22A</w:t>
      </w:r>
      <w:r w:rsidRPr="003216A6">
        <w:t xml:space="preserve">  Simplified outline of this Part</w:t>
      </w:r>
      <w:bookmarkEnd w:id="13"/>
    </w:p>
    <w:p w:rsidR="009B5A79" w:rsidRPr="003216A6" w:rsidRDefault="009B5A79" w:rsidP="003216A6">
      <w:pPr>
        <w:pStyle w:val="SOText"/>
      </w:pPr>
      <w:r w:rsidRPr="003216A6">
        <w:t>The Minister may allocate to a licensee:</w:t>
      </w:r>
    </w:p>
    <w:p w:rsidR="009B5A79" w:rsidRPr="003216A6" w:rsidRDefault="009B5A79" w:rsidP="003216A6">
      <w:pPr>
        <w:pStyle w:val="SOPara"/>
      </w:pPr>
      <w:r w:rsidRPr="003216A6">
        <w:tab/>
        <w:t>(a)</w:t>
      </w:r>
      <w:r w:rsidRPr="003216A6">
        <w:tab/>
        <w:t>an HCFC quota for a quota period; or</w:t>
      </w:r>
    </w:p>
    <w:p w:rsidR="009B5A79" w:rsidRPr="003216A6" w:rsidRDefault="009B5A79" w:rsidP="003216A6">
      <w:pPr>
        <w:pStyle w:val="SOPara"/>
      </w:pPr>
      <w:r w:rsidRPr="003216A6">
        <w:lastRenderedPageBreak/>
        <w:tab/>
        <w:t>(b)</w:t>
      </w:r>
      <w:r w:rsidRPr="003216A6">
        <w:tab/>
        <w:t>in exceptional circumstances, a reserve HCFC quota for a specified period (which need not be a quota period)</w:t>
      </w:r>
      <w:r w:rsidR="002F6749" w:rsidRPr="003216A6">
        <w:t>.</w:t>
      </w:r>
    </w:p>
    <w:p w:rsidR="009B5A79" w:rsidRPr="003216A6" w:rsidRDefault="009B5A79" w:rsidP="003216A6">
      <w:pPr>
        <w:pStyle w:val="SOText"/>
      </w:pPr>
      <w:r w:rsidRPr="003216A6">
        <w:t>Under section</w:t>
      </w:r>
      <w:r w:rsidR="003216A6" w:rsidRPr="003216A6">
        <w:t> </w:t>
      </w:r>
      <w:r w:rsidRPr="003216A6">
        <w:t>18, it is a condition of a controlled substances licence that:</w:t>
      </w:r>
    </w:p>
    <w:p w:rsidR="009B5A79" w:rsidRPr="003216A6" w:rsidRDefault="009B5A79" w:rsidP="003216A6">
      <w:pPr>
        <w:pStyle w:val="SOPara"/>
      </w:pPr>
      <w:r w:rsidRPr="003216A6">
        <w:tab/>
        <w:t>(a)</w:t>
      </w:r>
      <w:r w:rsidRPr="003216A6">
        <w:tab/>
        <w:t>the licensee must not engage in a regulated HCFC activity unless the licensee has been allocated a quota; and</w:t>
      </w:r>
    </w:p>
    <w:p w:rsidR="009B5A79" w:rsidRPr="003216A6" w:rsidRDefault="009B5A79" w:rsidP="003216A6">
      <w:pPr>
        <w:pStyle w:val="SOPara"/>
      </w:pPr>
      <w:r w:rsidRPr="003216A6">
        <w:tab/>
        <w:t>(b)</w:t>
      </w:r>
      <w:r w:rsidRPr="003216A6">
        <w:tab/>
        <w:t>the total quantity of HCFCs involved in regulated HCFC activities engaged in by the licensee is not more than the licensee</w:t>
      </w:r>
      <w:r w:rsidR="00BF3C85" w:rsidRPr="003216A6">
        <w:t>’</w:t>
      </w:r>
      <w:r w:rsidRPr="003216A6">
        <w:t>s quotas</w:t>
      </w:r>
      <w:r w:rsidR="002F6749" w:rsidRPr="003216A6">
        <w:t>.</w:t>
      </w:r>
    </w:p>
    <w:p w:rsidR="009B5A79" w:rsidRPr="003216A6" w:rsidRDefault="009B5A79" w:rsidP="003216A6">
      <w:pPr>
        <w:pStyle w:val="SOText"/>
      </w:pPr>
      <w:r w:rsidRPr="003216A6">
        <w:t>Sections</w:t>
      </w:r>
      <w:r w:rsidR="003216A6" w:rsidRPr="003216A6">
        <w:t> </w:t>
      </w:r>
      <w:r w:rsidRPr="003216A6">
        <w:t>24 and 25 limit how much quota the Minister may allocate</w:t>
      </w:r>
      <w:r w:rsidR="002F6749" w:rsidRPr="003216A6">
        <w:t>.</w:t>
      </w:r>
    </w:p>
    <w:p w:rsidR="009B5A79" w:rsidRPr="003216A6" w:rsidRDefault="00B13916" w:rsidP="003216A6">
      <w:pPr>
        <w:pStyle w:val="ItemHead"/>
      </w:pPr>
      <w:r w:rsidRPr="003216A6">
        <w:t>37</w:t>
      </w:r>
      <w:r w:rsidR="009B5A79" w:rsidRPr="003216A6">
        <w:t xml:space="preserve">  After section</w:t>
      </w:r>
      <w:r w:rsidR="003216A6" w:rsidRPr="003216A6">
        <w:t> </w:t>
      </w:r>
      <w:r w:rsidR="009B5A79" w:rsidRPr="003216A6">
        <w:t>23</w:t>
      </w:r>
    </w:p>
    <w:p w:rsidR="009B5A79" w:rsidRPr="003216A6" w:rsidRDefault="009B5A79" w:rsidP="003216A6">
      <w:pPr>
        <w:pStyle w:val="Item"/>
      </w:pPr>
      <w:r w:rsidRPr="003216A6">
        <w:t>Insert:</w:t>
      </w:r>
    </w:p>
    <w:p w:rsidR="009B5A79" w:rsidRPr="003216A6" w:rsidRDefault="009B5A79" w:rsidP="003216A6">
      <w:pPr>
        <w:pStyle w:val="ActHead5"/>
      </w:pPr>
      <w:bookmarkStart w:id="14" w:name="_Toc486251855"/>
      <w:r w:rsidRPr="003216A6">
        <w:rPr>
          <w:rStyle w:val="CharSectno"/>
        </w:rPr>
        <w:t>23A</w:t>
      </w:r>
      <w:r w:rsidRPr="003216A6">
        <w:t xml:space="preserve">  HCFC quota periods</w:t>
      </w:r>
      <w:bookmarkEnd w:id="14"/>
    </w:p>
    <w:p w:rsidR="009B5A79" w:rsidRPr="003216A6" w:rsidRDefault="009B5A79" w:rsidP="003216A6">
      <w:pPr>
        <w:pStyle w:val="subsection"/>
      </w:pPr>
      <w:r w:rsidRPr="003216A6">
        <w:tab/>
        <w:t>(1)</w:t>
      </w:r>
      <w:r w:rsidRPr="003216A6">
        <w:tab/>
        <w:t xml:space="preserve">A </w:t>
      </w:r>
      <w:r w:rsidRPr="003216A6">
        <w:rPr>
          <w:b/>
          <w:i/>
        </w:rPr>
        <w:t>quota period</w:t>
      </w:r>
      <w:r w:rsidRPr="003216A6">
        <w:t xml:space="preserve"> is 2 years, or such longer or shorter period (if any) as is determined under </w:t>
      </w:r>
      <w:r w:rsidR="003216A6" w:rsidRPr="003216A6">
        <w:t>subsection (</w:t>
      </w:r>
      <w:r w:rsidRPr="003216A6">
        <w:t>2)</w:t>
      </w:r>
      <w:r w:rsidR="002F6749" w:rsidRPr="003216A6">
        <w:t>.</w:t>
      </w:r>
    </w:p>
    <w:p w:rsidR="009B5A79" w:rsidRPr="003216A6" w:rsidRDefault="009B5A79" w:rsidP="003216A6">
      <w:pPr>
        <w:pStyle w:val="subsection"/>
      </w:pPr>
      <w:r w:rsidRPr="003216A6">
        <w:tab/>
        <w:t>(2)</w:t>
      </w:r>
      <w:r w:rsidRPr="003216A6">
        <w:tab/>
        <w:t xml:space="preserve">The Minister may, by legislative instrument, determine a period for the purposes of </w:t>
      </w:r>
      <w:r w:rsidR="003216A6" w:rsidRPr="003216A6">
        <w:t>subsection (</w:t>
      </w:r>
      <w:r w:rsidRPr="003216A6">
        <w:t>1)</w:t>
      </w:r>
      <w:r w:rsidR="002F6749" w:rsidRPr="003216A6">
        <w:t>.</w:t>
      </w:r>
    </w:p>
    <w:p w:rsidR="009B5A79" w:rsidRPr="003216A6" w:rsidRDefault="009B5A79" w:rsidP="003216A6">
      <w:pPr>
        <w:pStyle w:val="subsection"/>
      </w:pPr>
      <w:r w:rsidRPr="003216A6">
        <w:tab/>
        <w:t>(3)</w:t>
      </w:r>
      <w:r w:rsidRPr="003216A6">
        <w:tab/>
        <w:t>The first quota period starts on the 1</w:t>
      </w:r>
      <w:r w:rsidR="003216A6" w:rsidRPr="003216A6">
        <w:t> </w:t>
      </w:r>
      <w:r w:rsidRPr="003216A6">
        <w:t>January specified by the Minister under section</w:t>
      </w:r>
      <w:r w:rsidR="003216A6" w:rsidRPr="003216A6">
        <w:t> </w:t>
      </w:r>
      <w:r w:rsidRPr="003216A6">
        <w:t>26</w:t>
      </w:r>
      <w:r w:rsidR="002F6749" w:rsidRPr="003216A6">
        <w:t>.</w:t>
      </w:r>
    </w:p>
    <w:p w:rsidR="009B5A79" w:rsidRPr="003216A6" w:rsidRDefault="009B5A79" w:rsidP="003216A6">
      <w:pPr>
        <w:pStyle w:val="subsection"/>
      </w:pPr>
      <w:r w:rsidRPr="003216A6">
        <w:tab/>
        <w:t>(4)</w:t>
      </w:r>
      <w:r w:rsidRPr="003216A6">
        <w:tab/>
        <w:t>Each quota period, except the first, starts immediately after the end of the last preceding one</w:t>
      </w:r>
      <w:r w:rsidR="002F6749" w:rsidRPr="003216A6">
        <w:t>.</w:t>
      </w:r>
    </w:p>
    <w:p w:rsidR="009B5A79" w:rsidRPr="003216A6" w:rsidRDefault="00B13916" w:rsidP="003216A6">
      <w:pPr>
        <w:pStyle w:val="ItemHead"/>
      </w:pPr>
      <w:r w:rsidRPr="003216A6">
        <w:t>38</w:t>
      </w:r>
      <w:r w:rsidR="009B5A79" w:rsidRPr="003216A6">
        <w:t xml:space="preserve">  After section</w:t>
      </w:r>
      <w:r w:rsidR="003216A6" w:rsidRPr="003216A6">
        <w:t> </w:t>
      </w:r>
      <w:r w:rsidR="009B5A79" w:rsidRPr="003216A6">
        <w:t>25</w:t>
      </w:r>
    </w:p>
    <w:p w:rsidR="009B5A79" w:rsidRPr="003216A6" w:rsidRDefault="009B5A79" w:rsidP="003216A6">
      <w:pPr>
        <w:pStyle w:val="Item"/>
      </w:pPr>
      <w:r w:rsidRPr="003216A6">
        <w:t>Insert:</w:t>
      </w:r>
    </w:p>
    <w:p w:rsidR="009B5A79" w:rsidRPr="003216A6" w:rsidRDefault="009B5A79" w:rsidP="003216A6">
      <w:pPr>
        <w:pStyle w:val="ActHead5"/>
      </w:pPr>
      <w:bookmarkStart w:id="15" w:name="_Toc486251856"/>
      <w:r w:rsidRPr="003216A6">
        <w:rPr>
          <w:rStyle w:val="CharSectno"/>
        </w:rPr>
        <w:t>25A</w:t>
      </w:r>
      <w:r w:rsidRPr="003216A6">
        <w:t xml:space="preserve">  Regulated HCFC activities</w:t>
      </w:r>
      <w:bookmarkEnd w:id="15"/>
    </w:p>
    <w:p w:rsidR="009B5A79" w:rsidRPr="003216A6" w:rsidRDefault="009B5A79" w:rsidP="003216A6">
      <w:pPr>
        <w:pStyle w:val="subsection"/>
      </w:pPr>
      <w:r w:rsidRPr="003216A6">
        <w:tab/>
        <w:t>(1)</w:t>
      </w:r>
      <w:r w:rsidRPr="003216A6">
        <w:tab/>
        <w:t xml:space="preserve">A </w:t>
      </w:r>
      <w:r w:rsidRPr="003216A6">
        <w:rPr>
          <w:b/>
          <w:i/>
        </w:rPr>
        <w:t>regulated HCFC activity</w:t>
      </w:r>
      <w:r w:rsidRPr="003216A6">
        <w:t xml:space="preserve"> is the manufacture or import of HCFCs</w:t>
      </w:r>
      <w:r w:rsidR="002F6749" w:rsidRPr="003216A6">
        <w:t>.</w:t>
      </w:r>
    </w:p>
    <w:p w:rsidR="009B5A79" w:rsidRPr="003216A6" w:rsidRDefault="009B5A79" w:rsidP="003216A6">
      <w:pPr>
        <w:pStyle w:val="notetext"/>
      </w:pPr>
      <w:r w:rsidRPr="003216A6">
        <w:lastRenderedPageBreak/>
        <w:t>Note:</w:t>
      </w:r>
      <w:r w:rsidRPr="003216A6">
        <w:tab/>
        <w:t>This Part does not apply to the import of HCFCs for use on board ships or aircraft in certain circumstances: see section</w:t>
      </w:r>
      <w:r w:rsidR="003216A6" w:rsidRPr="003216A6">
        <w:t> </w:t>
      </w:r>
      <w:r w:rsidRPr="003216A6">
        <w:t>12B</w:t>
      </w:r>
      <w:r w:rsidR="002F6749" w:rsidRPr="003216A6">
        <w:t>.</w:t>
      </w:r>
    </w:p>
    <w:p w:rsidR="00E47FEA" w:rsidRPr="003216A6" w:rsidRDefault="009B5A79" w:rsidP="003216A6">
      <w:pPr>
        <w:pStyle w:val="subsection"/>
      </w:pPr>
      <w:r w:rsidRPr="003216A6">
        <w:tab/>
        <w:t>(2)</w:t>
      </w:r>
      <w:r w:rsidRPr="003216A6">
        <w:tab/>
        <w:t>For the purposes of this Act, the quantity of HCFCs that is taken to be involved in regulated HCFC activities engaged in by a licensee in a period is</w:t>
      </w:r>
      <w:r w:rsidR="00E47FEA" w:rsidRPr="003216A6">
        <w:t xml:space="preserve"> the quantity of HCFCs that is actually involved in regulated HCFC activities engaged in by the licensee in the period reduced by the heel allowance percentage for HCFCs</w:t>
      </w:r>
      <w:r w:rsidR="002F6749" w:rsidRPr="003216A6">
        <w:t>.</w:t>
      </w:r>
    </w:p>
    <w:p w:rsidR="00D4355D" w:rsidRPr="003216A6" w:rsidRDefault="00B13916" w:rsidP="003216A6">
      <w:pPr>
        <w:pStyle w:val="ItemHead"/>
      </w:pPr>
      <w:r w:rsidRPr="003216A6">
        <w:t>39</w:t>
      </w:r>
      <w:r w:rsidR="00D4355D" w:rsidRPr="003216A6">
        <w:t xml:space="preserve">  Paragraph 26(2)(b)</w:t>
      </w:r>
    </w:p>
    <w:p w:rsidR="00D4355D" w:rsidRPr="003216A6" w:rsidRDefault="00D4355D" w:rsidP="003216A6">
      <w:pPr>
        <w:pStyle w:val="Item"/>
      </w:pPr>
      <w:r w:rsidRPr="003216A6">
        <w:t>Repeal the paragraph.</w:t>
      </w:r>
    </w:p>
    <w:p w:rsidR="009B5A79" w:rsidRPr="003216A6" w:rsidRDefault="00B13916" w:rsidP="003216A6">
      <w:pPr>
        <w:pStyle w:val="ItemHead"/>
      </w:pPr>
      <w:r w:rsidRPr="003216A6">
        <w:t>40</w:t>
      </w:r>
      <w:r w:rsidR="009B5A79" w:rsidRPr="003216A6">
        <w:t xml:space="preserve">  Paragraph 27(1)(a)</w:t>
      </w:r>
    </w:p>
    <w:p w:rsidR="009B5A79" w:rsidRPr="003216A6" w:rsidRDefault="009B5A79" w:rsidP="003216A6">
      <w:pPr>
        <w:pStyle w:val="Item"/>
      </w:pPr>
      <w:r w:rsidRPr="003216A6">
        <w:t>Repeal the paragraph, substitute:</w:t>
      </w:r>
    </w:p>
    <w:p w:rsidR="009B5A79" w:rsidRPr="003216A6" w:rsidRDefault="009B5A79" w:rsidP="003216A6">
      <w:pPr>
        <w:pStyle w:val="paragraph"/>
      </w:pPr>
      <w:r w:rsidRPr="003216A6">
        <w:tab/>
        <w:t>(a)</w:t>
      </w:r>
      <w:r w:rsidRPr="003216A6">
        <w:tab/>
        <w:t>be in the approved form; and</w:t>
      </w:r>
    </w:p>
    <w:p w:rsidR="009B5A79" w:rsidRPr="003216A6" w:rsidRDefault="00B13916" w:rsidP="003216A6">
      <w:pPr>
        <w:pStyle w:val="ItemHead"/>
      </w:pPr>
      <w:r w:rsidRPr="003216A6">
        <w:t>41</w:t>
      </w:r>
      <w:r w:rsidR="009B5A79" w:rsidRPr="003216A6">
        <w:t xml:space="preserve">  Subsection</w:t>
      </w:r>
      <w:r w:rsidR="003216A6" w:rsidRPr="003216A6">
        <w:t> </w:t>
      </w:r>
      <w:r w:rsidR="009B5A79" w:rsidRPr="003216A6">
        <w:t>27(2)</w:t>
      </w:r>
    </w:p>
    <w:p w:rsidR="009B5A79" w:rsidRPr="003216A6" w:rsidRDefault="009B5A79" w:rsidP="003216A6">
      <w:pPr>
        <w:pStyle w:val="Item"/>
      </w:pPr>
      <w:r w:rsidRPr="003216A6">
        <w:t>Repeal the subsection</w:t>
      </w:r>
      <w:r w:rsidR="002F6749" w:rsidRPr="003216A6">
        <w:t>.</w:t>
      </w:r>
    </w:p>
    <w:p w:rsidR="009B5A79" w:rsidRPr="003216A6" w:rsidRDefault="00B13916" w:rsidP="003216A6">
      <w:pPr>
        <w:pStyle w:val="ItemHead"/>
      </w:pPr>
      <w:r w:rsidRPr="003216A6">
        <w:t>42</w:t>
      </w:r>
      <w:r w:rsidR="009B5A79" w:rsidRPr="003216A6">
        <w:t xml:space="preserve">  Paragraph 35(1)(a)</w:t>
      </w:r>
    </w:p>
    <w:p w:rsidR="009B5A79" w:rsidRPr="003216A6" w:rsidRDefault="009B5A79" w:rsidP="003216A6">
      <w:pPr>
        <w:pStyle w:val="Item"/>
      </w:pPr>
      <w:r w:rsidRPr="003216A6">
        <w:t xml:space="preserve">Omit </w:t>
      </w:r>
      <w:r w:rsidR="00BF3C85" w:rsidRPr="003216A6">
        <w:t>“</w:t>
      </w:r>
      <w:r w:rsidRPr="003216A6">
        <w:t>a quota</w:t>
      </w:r>
      <w:r w:rsidR="00BF3C85" w:rsidRPr="003216A6">
        <w:t>”</w:t>
      </w:r>
      <w:r w:rsidRPr="003216A6">
        <w:t xml:space="preserve">, substitute </w:t>
      </w:r>
      <w:r w:rsidR="00BF3C85" w:rsidRPr="003216A6">
        <w:t>“</w:t>
      </w:r>
      <w:r w:rsidRPr="003216A6">
        <w:t>an HCFC quota</w:t>
      </w:r>
      <w:r w:rsidR="00BF3C85" w:rsidRPr="003216A6">
        <w:t>”</w:t>
      </w:r>
      <w:r w:rsidR="002F6749" w:rsidRPr="003216A6">
        <w:t>.</w:t>
      </w:r>
    </w:p>
    <w:p w:rsidR="009B5A79" w:rsidRPr="003216A6" w:rsidRDefault="00B13916" w:rsidP="003216A6">
      <w:pPr>
        <w:pStyle w:val="ItemHead"/>
      </w:pPr>
      <w:r w:rsidRPr="003216A6">
        <w:t>43</w:t>
      </w:r>
      <w:r w:rsidR="009B5A79" w:rsidRPr="003216A6">
        <w:t xml:space="preserve">  Subsection</w:t>
      </w:r>
      <w:r w:rsidR="003216A6" w:rsidRPr="003216A6">
        <w:t> </w:t>
      </w:r>
      <w:r w:rsidR="009B5A79" w:rsidRPr="003216A6">
        <w:t>35(2)</w:t>
      </w:r>
    </w:p>
    <w:p w:rsidR="009B5A79" w:rsidRPr="003216A6" w:rsidRDefault="009B5A79" w:rsidP="003216A6">
      <w:pPr>
        <w:pStyle w:val="Item"/>
      </w:pPr>
      <w:r w:rsidRPr="003216A6">
        <w:t>Repeal the subsection, substitute:</w:t>
      </w:r>
    </w:p>
    <w:p w:rsidR="009B5A79" w:rsidRPr="003216A6" w:rsidRDefault="009B5A79" w:rsidP="003216A6">
      <w:pPr>
        <w:pStyle w:val="subsection"/>
      </w:pPr>
      <w:r w:rsidRPr="003216A6">
        <w:tab/>
        <w:t>(2)</w:t>
      </w:r>
      <w:r w:rsidRPr="003216A6">
        <w:tab/>
        <w:t>A licensee may, without transferring the licensee</w:t>
      </w:r>
      <w:r w:rsidR="00BF3C85" w:rsidRPr="003216A6">
        <w:t>’</w:t>
      </w:r>
      <w:r w:rsidRPr="003216A6">
        <w:t>s licence, transfer to another licensee the unused part of:</w:t>
      </w:r>
    </w:p>
    <w:p w:rsidR="009B5A79" w:rsidRPr="003216A6" w:rsidRDefault="009B5A79" w:rsidP="003216A6">
      <w:pPr>
        <w:pStyle w:val="paragraph"/>
      </w:pPr>
      <w:r w:rsidRPr="003216A6">
        <w:tab/>
        <w:t>(a)</w:t>
      </w:r>
      <w:r w:rsidRPr="003216A6">
        <w:tab/>
        <w:t>an HCFC quota allocated to the first licensee for a quota period; and</w:t>
      </w:r>
    </w:p>
    <w:p w:rsidR="009B5A79" w:rsidRPr="003216A6" w:rsidRDefault="009B5A79" w:rsidP="003216A6">
      <w:pPr>
        <w:pStyle w:val="paragraph"/>
      </w:pPr>
      <w:r w:rsidRPr="003216A6">
        <w:tab/>
        <w:t>(b)</w:t>
      </w:r>
      <w:r w:rsidRPr="003216A6">
        <w:tab/>
        <w:t>each HCFC quota (if any) allocated to the first licensee for later quota periods</w:t>
      </w:r>
      <w:r w:rsidR="002F6749" w:rsidRPr="003216A6">
        <w:t>.</w:t>
      </w:r>
    </w:p>
    <w:p w:rsidR="009B5A79" w:rsidRPr="003216A6" w:rsidRDefault="009B5A79" w:rsidP="003216A6">
      <w:pPr>
        <w:pStyle w:val="subsection"/>
      </w:pPr>
      <w:r w:rsidRPr="003216A6">
        <w:tab/>
        <w:t>(2A)</w:t>
      </w:r>
      <w:r w:rsidRPr="003216A6">
        <w:tab/>
        <w:t xml:space="preserve">A licensee may, instead of transferring the whole of the unused parts of the quotas mentioned in </w:t>
      </w:r>
      <w:r w:rsidR="003216A6" w:rsidRPr="003216A6">
        <w:t>subsection (</w:t>
      </w:r>
      <w:r w:rsidRPr="003216A6">
        <w:t>2):</w:t>
      </w:r>
    </w:p>
    <w:p w:rsidR="009B5A79" w:rsidRPr="003216A6" w:rsidRDefault="009B5A79" w:rsidP="003216A6">
      <w:pPr>
        <w:pStyle w:val="paragraph"/>
      </w:pPr>
      <w:r w:rsidRPr="003216A6">
        <w:tab/>
        <w:t>(a)</w:t>
      </w:r>
      <w:r w:rsidRPr="003216A6">
        <w:tab/>
        <w:t>choose a particular percentage; and</w:t>
      </w:r>
    </w:p>
    <w:p w:rsidR="009B5A79" w:rsidRPr="003216A6" w:rsidRDefault="009B5A79" w:rsidP="003216A6">
      <w:pPr>
        <w:pStyle w:val="paragraph"/>
      </w:pPr>
      <w:r w:rsidRPr="003216A6">
        <w:tab/>
        <w:t>(b)</w:t>
      </w:r>
      <w:r w:rsidRPr="003216A6">
        <w:tab/>
        <w:t>without transferring the licensee</w:t>
      </w:r>
      <w:r w:rsidR="00BF3C85" w:rsidRPr="003216A6">
        <w:t>’</w:t>
      </w:r>
      <w:r w:rsidRPr="003216A6">
        <w:t>s licence, transfer to another licensee the lesser of the following percentages of each of those quotas:</w:t>
      </w:r>
    </w:p>
    <w:p w:rsidR="009B5A79" w:rsidRPr="003216A6" w:rsidRDefault="009B5A79" w:rsidP="003216A6">
      <w:pPr>
        <w:pStyle w:val="paragraphsub"/>
      </w:pPr>
      <w:r w:rsidRPr="003216A6">
        <w:tab/>
        <w:t>(i)</w:t>
      </w:r>
      <w:r w:rsidRPr="003216A6">
        <w:tab/>
        <w:t>the chosen percentage;</w:t>
      </w:r>
    </w:p>
    <w:p w:rsidR="009B5A79" w:rsidRPr="003216A6" w:rsidRDefault="009B5A79" w:rsidP="003216A6">
      <w:pPr>
        <w:pStyle w:val="paragraphsub"/>
      </w:pPr>
      <w:r w:rsidRPr="003216A6">
        <w:lastRenderedPageBreak/>
        <w:tab/>
        <w:t>(ii)</w:t>
      </w:r>
      <w:r w:rsidRPr="003216A6">
        <w:tab/>
        <w:t>the percentage of the quota that is unused</w:t>
      </w:r>
      <w:r w:rsidR="002F6749" w:rsidRPr="003216A6">
        <w:t>.</w:t>
      </w:r>
    </w:p>
    <w:p w:rsidR="009B5A79" w:rsidRPr="003216A6" w:rsidRDefault="00B13916" w:rsidP="003216A6">
      <w:pPr>
        <w:pStyle w:val="ItemHead"/>
      </w:pPr>
      <w:r w:rsidRPr="003216A6">
        <w:t>44</w:t>
      </w:r>
      <w:r w:rsidR="009B5A79" w:rsidRPr="003216A6">
        <w:t xml:space="preserve">  Subsections</w:t>
      </w:r>
      <w:r w:rsidR="003216A6" w:rsidRPr="003216A6">
        <w:t> </w:t>
      </w:r>
      <w:r w:rsidR="009B5A79" w:rsidRPr="003216A6">
        <w:t>35(6) and (7)</w:t>
      </w:r>
    </w:p>
    <w:p w:rsidR="009B5A79" w:rsidRPr="003216A6" w:rsidRDefault="009B5A79" w:rsidP="003216A6">
      <w:pPr>
        <w:pStyle w:val="Item"/>
      </w:pPr>
      <w:r w:rsidRPr="003216A6">
        <w:t>Repeal the subsections</w:t>
      </w:r>
      <w:r w:rsidR="002F6749" w:rsidRPr="003216A6">
        <w:t>.</w:t>
      </w:r>
    </w:p>
    <w:p w:rsidR="009B5A79" w:rsidRPr="003216A6" w:rsidRDefault="00B13916" w:rsidP="003216A6">
      <w:pPr>
        <w:pStyle w:val="ItemHead"/>
      </w:pPr>
      <w:r w:rsidRPr="003216A6">
        <w:t>45</w:t>
      </w:r>
      <w:r w:rsidR="009B5A79" w:rsidRPr="003216A6">
        <w:t xml:space="preserve">  At the end of Part</w:t>
      </w:r>
      <w:r w:rsidR="003216A6" w:rsidRPr="003216A6">
        <w:t> </w:t>
      </w:r>
      <w:r w:rsidR="009B5A79" w:rsidRPr="003216A6">
        <w:t>IV</w:t>
      </w:r>
    </w:p>
    <w:p w:rsidR="009B5A79" w:rsidRPr="003216A6" w:rsidRDefault="009B5A79" w:rsidP="003216A6">
      <w:pPr>
        <w:pStyle w:val="Item"/>
      </w:pPr>
      <w:r w:rsidRPr="003216A6">
        <w:t>Add:</w:t>
      </w:r>
    </w:p>
    <w:p w:rsidR="009B5A79" w:rsidRPr="003216A6" w:rsidRDefault="009B5A79" w:rsidP="003216A6">
      <w:pPr>
        <w:pStyle w:val="ActHead5"/>
      </w:pPr>
      <w:bookmarkStart w:id="16" w:name="_Toc486251857"/>
      <w:r w:rsidRPr="003216A6">
        <w:rPr>
          <w:rStyle w:val="CharSectno"/>
        </w:rPr>
        <w:t>35A</w:t>
      </w:r>
      <w:r w:rsidRPr="003216A6">
        <w:t xml:space="preserve">  Direction to export HCFCs if quota exceeded</w:t>
      </w:r>
      <w:bookmarkEnd w:id="16"/>
    </w:p>
    <w:p w:rsidR="009B5A79" w:rsidRPr="003216A6" w:rsidRDefault="009B5A79" w:rsidP="003216A6">
      <w:pPr>
        <w:pStyle w:val="subsection"/>
      </w:pPr>
      <w:r w:rsidRPr="003216A6">
        <w:tab/>
        <w:t>(1)</w:t>
      </w:r>
      <w:r w:rsidRPr="003216A6">
        <w:tab/>
        <w:t>The Minister may, by written notice given to a licensee, direct the licensee to export a specified quantity of HCFCs by a specified time if:</w:t>
      </w:r>
    </w:p>
    <w:p w:rsidR="009B5A79" w:rsidRPr="003216A6" w:rsidRDefault="009B5A79" w:rsidP="003216A6">
      <w:pPr>
        <w:pStyle w:val="paragraph"/>
      </w:pPr>
      <w:r w:rsidRPr="003216A6">
        <w:tab/>
        <w:t>(a)</w:t>
      </w:r>
      <w:r w:rsidRPr="003216A6">
        <w:tab/>
        <w:t>both:</w:t>
      </w:r>
    </w:p>
    <w:p w:rsidR="009B5A79" w:rsidRPr="003216A6" w:rsidRDefault="009B5A79" w:rsidP="003216A6">
      <w:pPr>
        <w:pStyle w:val="paragraphsub"/>
      </w:pPr>
      <w:r w:rsidRPr="003216A6">
        <w:tab/>
        <w:t>(i)</w:t>
      </w:r>
      <w:r w:rsidRPr="003216A6">
        <w:tab/>
        <w:t>the licensee has been allocated an HCFC quota for a quota period; and</w:t>
      </w:r>
    </w:p>
    <w:p w:rsidR="009B5A79" w:rsidRPr="003216A6" w:rsidRDefault="009B5A79" w:rsidP="003216A6">
      <w:pPr>
        <w:pStyle w:val="paragraphsub"/>
      </w:pPr>
      <w:r w:rsidRPr="003216A6">
        <w:tab/>
        <w:t>(ii)</w:t>
      </w:r>
      <w:r w:rsidRPr="003216A6">
        <w:tab/>
        <w:t>the total quantity of HCFCs, expressed in ODP tonnes, involved in regulated HCFC activities engaged in by the licensee in the year exceeds the total of that quota and any reserve HCFC quotas allocated to the licensee that are in force at any time in the period; or</w:t>
      </w:r>
    </w:p>
    <w:p w:rsidR="009B5A79" w:rsidRPr="003216A6" w:rsidRDefault="009B5A79" w:rsidP="003216A6">
      <w:pPr>
        <w:pStyle w:val="paragraph"/>
      </w:pPr>
      <w:r w:rsidRPr="003216A6">
        <w:tab/>
        <w:t>(b)</w:t>
      </w:r>
      <w:r w:rsidRPr="003216A6">
        <w:tab/>
        <w:t>both:</w:t>
      </w:r>
    </w:p>
    <w:p w:rsidR="009B5A79" w:rsidRPr="003216A6" w:rsidRDefault="009B5A79" w:rsidP="003216A6">
      <w:pPr>
        <w:pStyle w:val="paragraphsub"/>
      </w:pPr>
      <w:r w:rsidRPr="003216A6">
        <w:tab/>
        <w:t>(i)</w:t>
      </w:r>
      <w:r w:rsidRPr="003216A6">
        <w:tab/>
        <w:t xml:space="preserve">the licensee has been allocated a reserve HCFC quota that is in force for a period (the </w:t>
      </w:r>
      <w:r w:rsidRPr="003216A6">
        <w:rPr>
          <w:b/>
          <w:i/>
        </w:rPr>
        <w:t>reserve period</w:t>
      </w:r>
      <w:r w:rsidRPr="003216A6">
        <w:t>) in a quota period, but has not been allocated an HCFC quota for the quota period; and</w:t>
      </w:r>
    </w:p>
    <w:p w:rsidR="009B5A79" w:rsidRPr="003216A6" w:rsidRDefault="009B5A79" w:rsidP="003216A6">
      <w:pPr>
        <w:pStyle w:val="paragraphsub"/>
      </w:pPr>
      <w:r w:rsidRPr="003216A6">
        <w:tab/>
        <w:t>(ii)</w:t>
      </w:r>
      <w:r w:rsidRPr="003216A6">
        <w:tab/>
        <w:t>the total quantity of HCFCs, expressed in ODP tonnes, involved in regulated HCFC activities engaged in by the licensee in the reserve period exceeds the reserve HCFC quota</w:t>
      </w:r>
      <w:r w:rsidR="002F6749" w:rsidRPr="003216A6">
        <w:t>.</w:t>
      </w:r>
    </w:p>
    <w:p w:rsidR="009B5A79" w:rsidRPr="003216A6" w:rsidRDefault="009B5A79" w:rsidP="003216A6">
      <w:pPr>
        <w:pStyle w:val="notetext"/>
      </w:pPr>
      <w:r w:rsidRPr="003216A6">
        <w:t>Note:</w:t>
      </w:r>
      <w:r w:rsidRPr="003216A6">
        <w:tab/>
        <w:t xml:space="preserve">It is a condition of the licence that the licensee comply with the direction: see </w:t>
      </w:r>
      <w:r w:rsidR="0060212E" w:rsidRPr="003216A6">
        <w:t>subsection</w:t>
      </w:r>
      <w:r w:rsidR="003216A6" w:rsidRPr="003216A6">
        <w:t> </w:t>
      </w:r>
      <w:r w:rsidR="0060212E" w:rsidRPr="003216A6">
        <w:t>18(1)</w:t>
      </w:r>
      <w:r w:rsidR="002F6749" w:rsidRPr="003216A6">
        <w:t>.</w:t>
      </w:r>
    </w:p>
    <w:p w:rsidR="009B5A79" w:rsidRPr="003216A6" w:rsidRDefault="009B5A79" w:rsidP="003216A6">
      <w:pPr>
        <w:pStyle w:val="subsection"/>
      </w:pPr>
      <w:r w:rsidRPr="003216A6">
        <w:tab/>
        <w:t>(2)</w:t>
      </w:r>
      <w:r w:rsidRPr="003216A6">
        <w:tab/>
        <w:t>The amount specified in the direction must not be greater than the amount of the excess</w:t>
      </w:r>
      <w:r w:rsidR="002F6749" w:rsidRPr="003216A6">
        <w:t>.</w:t>
      </w:r>
    </w:p>
    <w:p w:rsidR="009B5A79" w:rsidRPr="003216A6" w:rsidRDefault="00B13916" w:rsidP="003216A6">
      <w:pPr>
        <w:pStyle w:val="ItemHead"/>
      </w:pPr>
      <w:r w:rsidRPr="003216A6">
        <w:lastRenderedPageBreak/>
        <w:t>46</w:t>
      </w:r>
      <w:r w:rsidR="009B5A79" w:rsidRPr="003216A6">
        <w:t xml:space="preserve">  Application of amendments</w:t>
      </w:r>
    </w:p>
    <w:p w:rsidR="009B5A79" w:rsidRPr="003216A6" w:rsidRDefault="009B5A79" w:rsidP="003216A6">
      <w:pPr>
        <w:pStyle w:val="Item"/>
      </w:pPr>
      <w:r w:rsidRPr="003216A6">
        <w:t>Section</w:t>
      </w:r>
      <w:r w:rsidR="003216A6" w:rsidRPr="003216A6">
        <w:t> </w:t>
      </w:r>
      <w:r w:rsidRPr="003216A6">
        <w:t xml:space="preserve">35A of the </w:t>
      </w:r>
      <w:r w:rsidRPr="003216A6">
        <w:rPr>
          <w:i/>
        </w:rPr>
        <w:t>Ozone Protection and Synthetic Greenhouse Gas Management Act 1989</w:t>
      </w:r>
      <w:r w:rsidRPr="003216A6">
        <w:t>, as added by this Part, applies in relation to quota periods or reserve periods that start on or after the commencement of this item</w:t>
      </w:r>
      <w:r w:rsidR="002F6749" w:rsidRPr="003216A6">
        <w:t>.</w:t>
      </w:r>
    </w:p>
    <w:p w:rsidR="009B5A79" w:rsidRPr="003216A6" w:rsidRDefault="00B13916" w:rsidP="003216A6">
      <w:pPr>
        <w:pStyle w:val="ItemHead"/>
      </w:pPr>
      <w:r w:rsidRPr="003216A6">
        <w:t>47</w:t>
      </w:r>
      <w:r w:rsidR="009B5A79" w:rsidRPr="003216A6">
        <w:t xml:space="preserve">  After Part</w:t>
      </w:r>
      <w:r w:rsidR="003216A6" w:rsidRPr="003216A6">
        <w:t> </w:t>
      </w:r>
      <w:r w:rsidR="009B5A79" w:rsidRPr="003216A6">
        <w:t>IV</w:t>
      </w:r>
    </w:p>
    <w:p w:rsidR="009B5A79" w:rsidRPr="003216A6" w:rsidRDefault="009B5A79" w:rsidP="003216A6">
      <w:pPr>
        <w:pStyle w:val="Item"/>
      </w:pPr>
      <w:r w:rsidRPr="003216A6">
        <w:t>Insert:</w:t>
      </w:r>
    </w:p>
    <w:p w:rsidR="009B5A79" w:rsidRPr="003216A6" w:rsidRDefault="009B5A79" w:rsidP="003216A6">
      <w:pPr>
        <w:pStyle w:val="ActHead2"/>
      </w:pPr>
      <w:bookmarkStart w:id="17" w:name="_Toc486251858"/>
      <w:r w:rsidRPr="003216A6">
        <w:rPr>
          <w:rStyle w:val="CharPartNo"/>
        </w:rPr>
        <w:t>Part</w:t>
      </w:r>
      <w:r w:rsidR="003216A6" w:rsidRPr="003216A6">
        <w:rPr>
          <w:rStyle w:val="CharPartNo"/>
        </w:rPr>
        <w:t> </w:t>
      </w:r>
      <w:r w:rsidRPr="003216A6">
        <w:rPr>
          <w:rStyle w:val="CharPartNo"/>
        </w:rPr>
        <w:t>IVA</w:t>
      </w:r>
      <w:r w:rsidRPr="003216A6">
        <w:t>—</w:t>
      </w:r>
      <w:r w:rsidRPr="003216A6">
        <w:rPr>
          <w:rStyle w:val="CharPartText"/>
        </w:rPr>
        <w:t>HFC quotas</w:t>
      </w:r>
      <w:bookmarkEnd w:id="17"/>
    </w:p>
    <w:p w:rsidR="009B5A79" w:rsidRPr="003216A6" w:rsidRDefault="009B5A79" w:rsidP="003216A6">
      <w:pPr>
        <w:pStyle w:val="ActHead3"/>
      </w:pPr>
      <w:bookmarkStart w:id="18" w:name="_Toc486251859"/>
      <w:r w:rsidRPr="003216A6">
        <w:rPr>
          <w:rStyle w:val="CharDivNo"/>
        </w:rPr>
        <w:t>Division</w:t>
      </w:r>
      <w:r w:rsidR="003216A6" w:rsidRPr="003216A6">
        <w:rPr>
          <w:rStyle w:val="CharDivNo"/>
        </w:rPr>
        <w:t> </w:t>
      </w:r>
      <w:r w:rsidRPr="003216A6">
        <w:rPr>
          <w:rStyle w:val="CharDivNo"/>
        </w:rPr>
        <w:t>1</w:t>
      </w:r>
      <w:r w:rsidRPr="003216A6">
        <w:t>—</w:t>
      </w:r>
      <w:r w:rsidRPr="003216A6">
        <w:rPr>
          <w:rStyle w:val="CharDivText"/>
        </w:rPr>
        <w:t>Outline of this Part</w:t>
      </w:r>
      <w:bookmarkEnd w:id="18"/>
    </w:p>
    <w:p w:rsidR="009B5A79" w:rsidRPr="003216A6" w:rsidRDefault="002F6749" w:rsidP="003216A6">
      <w:pPr>
        <w:pStyle w:val="ActHead5"/>
      </w:pPr>
      <w:bookmarkStart w:id="19" w:name="_Toc486251860"/>
      <w:r w:rsidRPr="003216A6">
        <w:rPr>
          <w:rStyle w:val="CharSectno"/>
        </w:rPr>
        <w:t>36</w:t>
      </w:r>
      <w:r w:rsidR="009B5A79" w:rsidRPr="003216A6">
        <w:t xml:space="preserve">  Simplified outline of this Part</w:t>
      </w:r>
      <w:bookmarkEnd w:id="19"/>
    </w:p>
    <w:p w:rsidR="009B5A79" w:rsidRPr="003216A6" w:rsidRDefault="009B5A79" w:rsidP="003216A6">
      <w:pPr>
        <w:pStyle w:val="SOText"/>
      </w:pPr>
      <w:r w:rsidRPr="003216A6">
        <w:t>The Minister may allocate to an SGG licensee:</w:t>
      </w:r>
    </w:p>
    <w:p w:rsidR="009B5A79" w:rsidRPr="003216A6" w:rsidRDefault="009B5A79" w:rsidP="003216A6">
      <w:pPr>
        <w:pStyle w:val="SOPara"/>
      </w:pPr>
      <w:r w:rsidRPr="003216A6">
        <w:tab/>
        <w:t>(a)</w:t>
      </w:r>
      <w:r w:rsidRPr="003216A6">
        <w:tab/>
        <w:t>an HFC quota for a calendar year; or</w:t>
      </w:r>
    </w:p>
    <w:p w:rsidR="009B5A79" w:rsidRPr="003216A6" w:rsidRDefault="009B5A79" w:rsidP="003216A6">
      <w:pPr>
        <w:pStyle w:val="SOPara"/>
      </w:pPr>
      <w:r w:rsidRPr="003216A6">
        <w:tab/>
        <w:t>(b)</w:t>
      </w:r>
      <w:r w:rsidRPr="003216A6">
        <w:tab/>
        <w:t>in prescribed circumstances, a reserve HFC quota for a specified period (which need not be a calendar year)</w:t>
      </w:r>
      <w:r w:rsidR="002F6749" w:rsidRPr="003216A6">
        <w:t>.</w:t>
      </w:r>
    </w:p>
    <w:p w:rsidR="009B5A79" w:rsidRPr="003216A6" w:rsidRDefault="009B5A79" w:rsidP="003216A6">
      <w:pPr>
        <w:pStyle w:val="SOText"/>
      </w:pPr>
      <w:r w:rsidRPr="003216A6">
        <w:t>Under section</w:t>
      </w:r>
      <w:r w:rsidR="003216A6" w:rsidRPr="003216A6">
        <w:t> </w:t>
      </w:r>
      <w:r w:rsidRPr="003216A6">
        <w:t>18, it is a condition of an SGG licence that:</w:t>
      </w:r>
    </w:p>
    <w:p w:rsidR="009B5A79" w:rsidRPr="003216A6" w:rsidRDefault="009B5A79" w:rsidP="003216A6">
      <w:pPr>
        <w:pStyle w:val="SOPara"/>
      </w:pPr>
      <w:r w:rsidRPr="003216A6">
        <w:tab/>
        <w:t>(a)</w:t>
      </w:r>
      <w:r w:rsidRPr="003216A6">
        <w:tab/>
        <w:t>the licensee must not engage in a regulated HFC activity unless the licensee has been allocated a quota; and</w:t>
      </w:r>
    </w:p>
    <w:p w:rsidR="009B5A79" w:rsidRPr="003216A6" w:rsidRDefault="009B5A79" w:rsidP="003216A6">
      <w:pPr>
        <w:pStyle w:val="SOPara"/>
      </w:pPr>
      <w:r w:rsidRPr="003216A6">
        <w:tab/>
        <w:t>(b)</w:t>
      </w:r>
      <w:r w:rsidRPr="003216A6">
        <w:tab/>
        <w:t>the total quantity of HFCs involved in regulated HFC activities engaged in by the licensee is not more than the licensee</w:t>
      </w:r>
      <w:r w:rsidR="00BF3C85" w:rsidRPr="003216A6">
        <w:t>’</w:t>
      </w:r>
      <w:r w:rsidRPr="003216A6">
        <w:t>s quotas</w:t>
      </w:r>
      <w:r w:rsidR="002F6749" w:rsidRPr="003216A6">
        <w:t>.</w:t>
      </w:r>
    </w:p>
    <w:p w:rsidR="009B5A79" w:rsidRPr="003216A6" w:rsidRDefault="009B5A79" w:rsidP="003216A6">
      <w:pPr>
        <w:pStyle w:val="SOText"/>
      </w:pPr>
      <w:r w:rsidRPr="003216A6">
        <w:t>Sections</w:t>
      </w:r>
      <w:r w:rsidR="003216A6" w:rsidRPr="003216A6">
        <w:t> </w:t>
      </w:r>
      <w:r w:rsidR="002F6749" w:rsidRPr="003216A6">
        <w:t>36A</w:t>
      </w:r>
      <w:r w:rsidRPr="003216A6">
        <w:t xml:space="preserve"> and </w:t>
      </w:r>
      <w:r w:rsidR="002F6749" w:rsidRPr="003216A6">
        <w:t>36G</w:t>
      </w:r>
      <w:r w:rsidRPr="003216A6">
        <w:t xml:space="preserve"> limit how much quota the Minister may allocate</w:t>
      </w:r>
      <w:r w:rsidR="002F6749" w:rsidRPr="003216A6">
        <w:t>.</w:t>
      </w:r>
    </w:p>
    <w:p w:rsidR="009B5A79" w:rsidRPr="003216A6" w:rsidRDefault="009B5A79" w:rsidP="003216A6">
      <w:pPr>
        <w:pStyle w:val="ActHead3"/>
      </w:pPr>
      <w:bookmarkStart w:id="20" w:name="_Toc486251861"/>
      <w:r w:rsidRPr="003216A6">
        <w:rPr>
          <w:rStyle w:val="CharDivNo"/>
        </w:rPr>
        <w:t>Division</w:t>
      </w:r>
      <w:r w:rsidR="003216A6" w:rsidRPr="003216A6">
        <w:rPr>
          <w:rStyle w:val="CharDivNo"/>
        </w:rPr>
        <w:t> </w:t>
      </w:r>
      <w:r w:rsidRPr="003216A6">
        <w:rPr>
          <w:rStyle w:val="CharDivNo"/>
        </w:rPr>
        <w:t>2</w:t>
      </w:r>
      <w:r w:rsidRPr="003216A6">
        <w:t>—</w:t>
      </w:r>
      <w:r w:rsidRPr="003216A6">
        <w:rPr>
          <w:rStyle w:val="CharDivText"/>
        </w:rPr>
        <w:t>HFC quotas</w:t>
      </w:r>
      <w:bookmarkEnd w:id="20"/>
    </w:p>
    <w:p w:rsidR="009B5A79" w:rsidRPr="003216A6" w:rsidRDefault="002F6749" w:rsidP="003216A6">
      <w:pPr>
        <w:pStyle w:val="ActHead5"/>
      </w:pPr>
      <w:bookmarkStart w:id="21" w:name="_Toc486251862"/>
      <w:r w:rsidRPr="003216A6">
        <w:rPr>
          <w:rStyle w:val="CharSectno"/>
        </w:rPr>
        <w:t>36A</w:t>
      </w:r>
      <w:r w:rsidR="009B5A79" w:rsidRPr="003216A6">
        <w:t xml:space="preserve">  HFC industry limit</w:t>
      </w:r>
      <w:bookmarkEnd w:id="21"/>
    </w:p>
    <w:p w:rsidR="009B5A79" w:rsidRPr="003216A6" w:rsidRDefault="009B5A79" w:rsidP="003216A6">
      <w:pPr>
        <w:pStyle w:val="subsection"/>
      </w:pPr>
      <w:r w:rsidRPr="003216A6">
        <w:tab/>
        <w:t>(1)</w:t>
      </w:r>
      <w:r w:rsidRPr="003216A6">
        <w:tab/>
        <w:t xml:space="preserve">The </w:t>
      </w:r>
      <w:r w:rsidRPr="003216A6">
        <w:rPr>
          <w:b/>
          <w:i/>
        </w:rPr>
        <w:t>HFC industry limit</w:t>
      </w:r>
      <w:r w:rsidRPr="003216A6">
        <w:t xml:space="preserve"> for a calendar year is the quantity of HFCs, expressed in CO</w:t>
      </w:r>
      <w:r w:rsidRPr="003216A6">
        <w:rPr>
          <w:vertAlign w:val="subscript"/>
        </w:rPr>
        <w:t>2</w:t>
      </w:r>
      <w:r w:rsidRPr="003216A6">
        <w:t>e megatonnes:</w:t>
      </w:r>
    </w:p>
    <w:p w:rsidR="009B5A79" w:rsidRPr="003216A6" w:rsidRDefault="009B5A79" w:rsidP="003216A6">
      <w:pPr>
        <w:pStyle w:val="paragraph"/>
      </w:pPr>
      <w:r w:rsidRPr="003216A6">
        <w:lastRenderedPageBreak/>
        <w:tab/>
        <w:t>(a)</w:t>
      </w:r>
      <w:r w:rsidRPr="003216A6">
        <w:tab/>
        <w:t>prescribed by the regulations in relation to the year for the purposes of this subsection; or</w:t>
      </w:r>
    </w:p>
    <w:p w:rsidR="009B5A79" w:rsidRPr="003216A6" w:rsidRDefault="009B5A79" w:rsidP="003216A6">
      <w:pPr>
        <w:pStyle w:val="paragraph"/>
      </w:pPr>
      <w:r w:rsidRPr="003216A6">
        <w:tab/>
        <w:t>(b)</w:t>
      </w:r>
      <w:r w:rsidRPr="003216A6">
        <w:tab/>
        <w:t>worked out in accordance with a method prescribed by the regulations in relation to the year for the purposes of this subsection</w:t>
      </w:r>
      <w:r w:rsidR="002F6749" w:rsidRPr="003216A6">
        <w:t>.</w:t>
      </w:r>
    </w:p>
    <w:p w:rsidR="009B5A79" w:rsidRPr="003216A6" w:rsidRDefault="009B5A79" w:rsidP="003216A6">
      <w:pPr>
        <w:pStyle w:val="subsection"/>
      </w:pPr>
      <w:r w:rsidRPr="003216A6">
        <w:tab/>
        <w:t>(2)</w:t>
      </w:r>
      <w:r w:rsidRPr="003216A6">
        <w:tab/>
        <w:t>The sum of the amounts of all HFC quotas allocated for a calendar year must not exceed the HFC industry limit for the year</w:t>
      </w:r>
      <w:r w:rsidR="002F6749" w:rsidRPr="003216A6">
        <w:t>.</w:t>
      </w:r>
    </w:p>
    <w:p w:rsidR="00123D13" w:rsidRPr="003216A6" w:rsidRDefault="00123D13" w:rsidP="003216A6">
      <w:pPr>
        <w:pStyle w:val="subsection"/>
      </w:pPr>
      <w:r w:rsidRPr="003216A6">
        <w:tab/>
        <w:t>(3)</w:t>
      </w:r>
      <w:r w:rsidRPr="003216A6">
        <w:tab/>
        <w:t xml:space="preserve">Regulations made for the purposes of </w:t>
      </w:r>
      <w:r w:rsidR="003216A6" w:rsidRPr="003216A6">
        <w:t>subsection (</w:t>
      </w:r>
      <w:r w:rsidRPr="003216A6">
        <w:t>1) must be consistent with Australia</w:t>
      </w:r>
      <w:r w:rsidR="00BF3C85" w:rsidRPr="003216A6">
        <w:t>’</w:t>
      </w:r>
      <w:r w:rsidRPr="003216A6">
        <w:t xml:space="preserve">s </w:t>
      </w:r>
      <w:r w:rsidR="006D5094" w:rsidRPr="003216A6">
        <w:t xml:space="preserve">international </w:t>
      </w:r>
      <w:r w:rsidRPr="003216A6">
        <w:t>obligations</w:t>
      </w:r>
      <w:r w:rsidR="002F6749" w:rsidRPr="003216A6">
        <w:t>.</w:t>
      </w:r>
    </w:p>
    <w:p w:rsidR="009B5A79" w:rsidRPr="003216A6" w:rsidRDefault="002F6749" w:rsidP="003216A6">
      <w:pPr>
        <w:pStyle w:val="ActHead5"/>
      </w:pPr>
      <w:bookmarkStart w:id="22" w:name="_Toc486251863"/>
      <w:r w:rsidRPr="003216A6">
        <w:rPr>
          <w:rStyle w:val="CharSectno"/>
        </w:rPr>
        <w:t>36B</w:t>
      </w:r>
      <w:r w:rsidR="009B5A79" w:rsidRPr="003216A6">
        <w:t xml:space="preserve">  Regulated HFC activities</w:t>
      </w:r>
      <w:bookmarkEnd w:id="22"/>
    </w:p>
    <w:p w:rsidR="009B5A79" w:rsidRPr="003216A6" w:rsidRDefault="009B5A79" w:rsidP="003216A6">
      <w:pPr>
        <w:pStyle w:val="subsection"/>
      </w:pPr>
      <w:r w:rsidRPr="003216A6">
        <w:tab/>
        <w:t>(1)</w:t>
      </w:r>
      <w:r w:rsidRPr="003216A6">
        <w:tab/>
        <w:t xml:space="preserve">A </w:t>
      </w:r>
      <w:r w:rsidRPr="003216A6">
        <w:rPr>
          <w:b/>
          <w:i/>
        </w:rPr>
        <w:t>regulated HFC activity</w:t>
      </w:r>
      <w:r w:rsidRPr="003216A6">
        <w:t xml:space="preserve"> is the manufacture or import of HFCs other than:</w:t>
      </w:r>
    </w:p>
    <w:p w:rsidR="009B5A79" w:rsidRPr="003216A6" w:rsidRDefault="009B5A79" w:rsidP="003216A6">
      <w:pPr>
        <w:pStyle w:val="paragraph"/>
      </w:pPr>
      <w:r w:rsidRPr="003216A6">
        <w:tab/>
        <w:t>(a)</w:t>
      </w:r>
      <w:r w:rsidRPr="003216A6">
        <w:tab/>
        <w:t>the import of HFCs that are recycled or used SGGs; or</w:t>
      </w:r>
    </w:p>
    <w:p w:rsidR="009B5A79" w:rsidRPr="003216A6" w:rsidRDefault="009B5A79" w:rsidP="003216A6">
      <w:pPr>
        <w:pStyle w:val="paragraph"/>
      </w:pPr>
      <w:r w:rsidRPr="003216A6">
        <w:tab/>
        <w:t>(b)</w:t>
      </w:r>
      <w:r w:rsidRPr="003216A6">
        <w:tab/>
        <w:t>the import of HFCs in SGG equipment; or</w:t>
      </w:r>
    </w:p>
    <w:p w:rsidR="009B5A79" w:rsidRPr="003216A6" w:rsidRDefault="009B5A79" w:rsidP="003216A6">
      <w:pPr>
        <w:pStyle w:val="paragraph"/>
      </w:pPr>
      <w:r w:rsidRPr="003216A6">
        <w:tab/>
        <w:t>(c)</w:t>
      </w:r>
      <w:r w:rsidRPr="003216A6">
        <w:tab/>
        <w:t>the manufacture or import of HFCs in circumstances prescribed for the purposes of subsection</w:t>
      </w:r>
      <w:r w:rsidR="003216A6" w:rsidRPr="003216A6">
        <w:t> </w:t>
      </w:r>
      <w:r w:rsidRPr="003216A6">
        <w:t>13(3)</w:t>
      </w:r>
      <w:r w:rsidR="002F6749" w:rsidRPr="003216A6">
        <w:t>.</w:t>
      </w:r>
    </w:p>
    <w:p w:rsidR="009B5A79" w:rsidRPr="003216A6" w:rsidRDefault="009B5A79" w:rsidP="003216A6">
      <w:pPr>
        <w:pStyle w:val="notetext"/>
      </w:pPr>
      <w:r w:rsidRPr="003216A6">
        <w:t>Note 1:</w:t>
      </w:r>
      <w:r w:rsidRPr="003216A6">
        <w:tab/>
        <w:t>Subsection</w:t>
      </w:r>
      <w:r w:rsidR="003216A6" w:rsidRPr="003216A6">
        <w:t> </w:t>
      </w:r>
      <w:r w:rsidRPr="003216A6">
        <w:t>13(3) allows the regulations to prescribe circumstances in which a licence is not required for the manufacture or import of HFCs and other SGGs</w:t>
      </w:r>
      <w:r w:rsidR="002F6749" w:rsidRPr="003216A6">
        <w:t>.</w:t>
      </w:r>
    </w:p>
    <w:p w:rsidR="009B5A79" w:rsidRPr="003216A6" w:rsidRDefault="009B5A79" w:rsidP="003216A6">
      <w:pPr>
        <w:pStyle w:val="notetext"/>
      </w:pPr>
      <w:r w:rsidRPr="003216A6">
        <w:t>Note 2:</w:t>
      </w:r>
      <w:r w:rsidRPr="003216A6">
        <w:tab/>
        <w:t>This Part does not apply to the import or export of HFCs for use on board ships or aircraft in certain circumstances: see section</w:t>
      </w:r>
      <w:r w:rsidR="003216A6" w:rsidRPr="003216A6">
        <w:t> </w:t>
      </w:r>
      <w:r w:rsidRPr="003216A6">
        <w:t>12B</w:t>
      </w:r>
      <w:r w:rsidR="002F6749" w:rsidRPr="003216A6">
        <w:t>.</w:t>
      </w:r>
    </w:p>
    <w:p w:rsidR="009B5A79" w:rsidRPr="003216A6" w:rsidRDefault="009B5A79" w:rsidP="003216A6">
      <w:pPr>
        <w:pStyle w:val="subsection"/>
      </w:pPr>
      <w:r w:rsidRPr="003216A6">
        <w:tab/>
        <w:t>(2)</w:t>
      </w:r>
      <w:r w:rsidRPr="003216A6">
        <w:tab/>
        <w:t>For the purposes of this Act, the quantity of HFCs that is taken to be involved in regulated HFC activities engaged in by an SGG licensee in a period is the greater of the amount worked out using the following formula and nil:</w:t>
      </w:r>
    </w:p>
    <w:p w:rsidR="009B5A79" w:rsidRPr="003216A6" w:rsidRDefault="00B87133" w:rsidP="003216A6">
      <w:pPr>
        <w:pStyle w:val="subsection2"/>
      </w:pPr>
      <w:bookmarkStart w:id="23" w:name="BKCheck15B_2"/>
      <w:bookmarkEnd w:id="23"/>
      <w:r>
        <w:rPr>
          <w:position w:val="-94"/>
        </w:rPr>
        <w:pict>
          <v:shape id="_x0000_i1027" type="#_x0000_t75" style="width:294pt;height:98.25pt">
            <v:imagedata r:id="rId21" o:title=""/>
          </v:shape>
        </w:pict>
      </w:r>
    </w:p>
    <w:p w:rsidR="009B5A79" w:rsidRPr="003216A6" w:rsidRDefault="009B5A79" w:rsidP="003216A6">
      <w:pPr>
        <w:pStyle w:val="subsection"/>
      </w:pPr>
      <w:r w:rsidRPr="003216A6">
        <w:tab/>
        <w:t>(3)</w:t>
      </w:r>
      <w:r w:rsidRPr="003216A6">
        <w:tab/>
        <w:t xml:space="preserve">For the purposes of </w:t>
      </w:r>
      <w:r w:rsidR="003216A6" w:rsidRPr="003216A6">
        <w:t>subsection (</w:t>
      </w:r>
      <w:r w:rsidRPr="003216A6">
        <w:t xml:space="preserve">2), the quantity of HFCs exported by an SGG licensee in a period is taken not to include any quantity </w:t>
      </w:r>
      <w:r w:rsidRPr="003216A6">
        <w:lastRenderedPageBreak/>
        <w:t>exported under a direction given to the licensee under section</w:t>
      </w:r>
      <w:r w:rsidR="003216A6" w:rsidRPr="003216A6">
        <w:t> </w:t>
      </w:r>
      <w:r w:rsidR="002F6749" w:rsidRPr="003216A6">
        <w:t>36H</w:t>
      </w:r>
      <w:r w:rsidRPr="003216A6">
        <w:t xml:space="preserve"> (direction to export HFCs if quota exceeded)</w:t>
      </w:r>
      <w:r w:rsidR="002F6749" w:rsidRPr="003216A6">
        <w:t>.</w:t>
      </w:r>
    </w:p>
    <w:p w:rsidR="009B5A79" w:rsidRPr="003216A6" w:rsidRDefault="002F6749" w:rsidP="003216A6">
      <w:pPr>
        <w:pStyle w:val="ActHead5"/>
      </w:pPr>
      <w:bookmarkStart w:id="24" w:name="_Toc486251864"/>
      <w:r w:rsidRPr="003216A6">
        <w:rPr>
          <w:rStyle w:val="CharSectno"/>
        </w:rPr>
        <w:t>36C</w:t>
      </w:r>
      <w:r w:rsidR="009B5A79" w:rsidRPr="003216A6">
        <w:t xml:space="preserve">  Applications, allocation and size of HFC quotas</w:t>
      </w:r>
      <w:bookmarkEnd w:id="24"/>
    </w:p>
    <w:p w:rsidR="009B5A79" w:rsidRPr="003216A6" w:rsidRDefault="009B5A79" w:rsidP="003216A6">
      <w:pPr>
        <w:pStyle w:val="subsection"/>
      </w:pPr>
      <w:r w:rsidRPr="003216A6">
        <w:tab/>
        <w:t>(1)</w:t>
      </w:r>
      <w:r w:rsidRPr="003216A6">
        <w:tab/>
        <w:t>The regulations may provide in relation to any of the following:</w:t>
      </w:r>
    </w:p>
    <w:p w:rsidR="009B5A79" w:rsidRPr="003216A6" w:rsidRDefault="009B5A79" w:rsidP="003216A6">
      <w:pPr>
        <w:pStyle w:val="paragraph"/>
      </w:pPr>
      <w:r w:rsidRPr="003216A6">
        <w:tab/>
        <w:t>(a)</w:t>
      </w:r>
      <w:r w:rsidRPr="003216A6">
        <w:tab/>
        <w:t>processes for applying for HFC quotas, including who may apply;</w:t>
      </w:r>
    </w:p>
    <w:p w:rsidR="009B5A79" w:rsidRPr="003216A6" w:rsidRDefault="009B5A79" w:rsidP="003216A6">
      <w:pPr>
        <w:pStyle w:val="paragraph"/>
      </w:pPr>
      <w:r w:rsidRPr="003216A6">
        <w:tab/>
        <w:t>(b)</w:t>
      </w:r>
      <w:r w:rsidRPr="003216A6">
        <w:tab/>
        <w:t>processes for the Minister to:</w:t>
      </w:r>
    </w:p>
    <w:p w:rsidR="009B5A79" w:rsidRPr="003216A6" w:rsidRDefault="009B5A79" w:rsidP="003216A6">
      <w:pPr>
        <w:pStyle w:val="paragraphsub"/>
      </w:pPr>
      <w:r w:rsidRPr="003216A6">
        <w:tab/>
        <w:t>(i)</w:t>
      </w:r>
      <w:r w:rsidRPr="003216A6">
        <w:tab/>
        <w:t>allocate HFC quotas for calendar years to SGG licensees; or</w:t>
      </w:r>
    </w:p>
    <w:p w:rsidR="009B5A79" w:rsidRPr="003216A6" w:rsidRDefault="009B5A79" w:rsidP="003216A6">
      <w:pPr>
        <w:pStyle w:val="paragraphsub"/>
      </w:pPr>
      <w:r w:rsidRPr="003216A6">
        <w:tab/>
        <w:t>(ii)</w:t>
      </w:r>
      <w:r w:rsidRPr="003216A6">
        <w:tab/>
        <w:t>vary the size of HFC quotas; or</w:t>
      </w:r>
    </w:p>
    <w:p w:rsidR="009B5A79" w:rsidRPr="003216A6" w:rsidRDefault="009B5A79" w:rsidP="003216A6">
      <w:pPr>
        <w:pStyle w:val="paragraphsub"/>
      </w:pPr>
      <w:r w:rsidRPr="003216A6">
        <w:tab/>
        <w:t>(iii)</w:t>
      </w:r>
      <w:r w:rsidRPr="003216A6">
        <w:tab/>
        <w:t>stop allocated HFC quotas being in force;</w:t>
      </w:r>
      <w:r w:rsidR="004C0225" w:rsidRPr="003216A6">
        <w:t xml:space="preserve"> or</w:t>
      </w:r>
    </w:p>
    <w:p w:rsidR="004C0225" w:rsidRPr="003216A6" w:rsidRDefault="004C0225" w:rsidP="003216A6">
      <w:pPr>
        <w:pStyle w:val="paragraphsub"/>
      </w:pPr>
      <w:r w:rsidRPr="003216A6">
        <w:tab/>
        <w:t>(iv)</w:t>
      </w:r>
      <w:r w:rsidRPr="003216A6">
        <w:tab/>
        <w:t xml:space="preserve">cancel allocated HFC quotas, with the effect that the quotas </w:t>
      </w:r>
      <w:r w:rsidR="00775DF0" w:rsidRPr="003216A6">
        <w:t xml:space="preserve">are taken never to have been </w:t>
      </w:r>
      <w:r w:rsidRPr="003216A6">
        <w:t>in force;</w:t>
      </w:r>
    </w:p>
    <w:p w:rsidR="009B5A79" w:rsidRPr="003216A6" w:rsidRDefault="009B5A79" w:rsidP="003216A6">
      <w:pPr>
        <w:pStyle w:val="paragraph"/>
      </w:pPr>
      <w:r w:rsidRPr="003216A6">
        <w:tab/>
        <w:t>(c)</w:t>
      </w:r>
      <w:r w:rsidRPr="003216A6">
        <w:tab/>
        <w:t xml:space="preserve">the effect on HFC industry limits of the processes mentioned in </w:t>
      </w:r>
      <w:r w:rsidR="003216A6" w:rsidRPr="003216A6">
        <w:t>paragraph (</w:t>
      </w:r>
      <w:r w:rsidRPr="003216A6">
        <w:t>b);</w:t>
      </w:r>
    </w:p>
    <w:p w:rsidR="009B5A79" w:rsidRPr="003216A6" w:rsidRDefault="009B5A79" w:rsidP="003216A6">
      <w:pPr>
        <w:pStyle w:val="paragraph"/>
      </w:pPr>
      <w:r w:rsidRPr="003216A6">
        <w:tab/>
        <w:t>(d)</w:t>
      </w:r>
      <w:r w:rsidRPr="003216A6">
        <w:tab/>
        <w:t>the size of HFC quotas, or the method for working out the size of HFC quotas;</w:t>
      </w:r>
    </w:p>
    <w:p w:rsidR="009B5A79" w:rsidRPr="003216A6" w:rsidRDefault="009B5A79" w:rsidP="003216A6">
      <w:pPr>
        <w:pStyle w:val="paragraph"/>
      </w:pPr>
      <w:r w:rsidRPr="003216A6">
        <w:tab/>
        <w:t>(e)</w:t>
      </w:r>
      <w:r w:rsidRPr="003216A6">
        <w:tab/>
        <w:t>review of decisions made under regulations made for the purposes of this section</w:t>
      </w:r>
      <w:r w:rsidR="002F6749" w:rsidRPr="003216A6">
        <w:t>.</w:t>
      </w:r>
    </w:p>
    <w:p w:rsidR="009B5A79" w:rsidRPr="003216A6" w:rsidRDefault="009B5A79" w:rsidP="003216A6">
      <w:pPr>
        <w:pStyle w:val="subsection"/>
      </w:pPr>
      <w:r w:rsidRPr="003216A6">
        <w:tab/>
        <w:t>(2)</w:t>
      </w:r>
      <w:r w:rsidRPr="003216A6">
        <w:tab/>
        <w:t xml:space="preserve">Regulations made for the purposes of </w:t>
      </w:r>
      <w:r w:rsidR="003216A6" w:rsidRPr="003216A6">
        <w:t>subsection (</w:t>
      </w:r>
      <w:r w:rsidRPr="003216A6">
        <w:t>1) may provide in relation to a matter mentioned in that subsection by providing for the matter, or for anything relating to it, to be determined by the Minister, including by legislative instrument</w:t>
      </w:r>
      <w:r w:rsidR="002F6749" w:rsidRPr="003216A6">
        <w:t>.</w:t>
      </w:r>
    </w:p>
    <w:p w:rsidR="009B5A79" w:rsidRPr="003216A6" w:rsidRDefault="002F6749" w:rsidP="003216A6">
      <w:pPr>
        <w:pStyle w:val="ActHead5"/>
      </w:pPr>
      <w:bookmarkStart w:id="25" w:name="_Toc486251865"/>
      <w:r w:rsidRPr="003216A6">
        <w:rPr>
          <w:rStyle w:val="CharSectno"/>
        </w:rPr>
        <w:t>36D</w:t>
      </w:r>
      <w:r w:rsidR="009B5A79" w:rsidRPr="003216A6">
        <w:t xml:space="preserve">  Duration of HFC quotas</w:t>
      </w:r>
      <w:bookmarkEnd w:id="25"/>
    </w:p>
    <w:p w:rsidR="009B5A79" w:rsidRPr="003216A6" w:rsidRDefault="009B5A79" w:rsidP="003216A6">
      <w:pPr>
        <w:pStyle w:val="subsection"/>
      </w:pPr>
      <w:r w:rsidRPr="003216A6">
        <w:tab/>
      </w:r>
      <w:r w:rsidRPr="003216A6">
        <w:tab/>
        <w:t>An HFC quota stays in force until the end of the calendar year for which it is allocated, unless it stops being in force for any other reason before then</w:t>
      </w:r>
      <w:r w:rsidR="002F6749" w:rsidRPr="003216A6">
        <w:t>.</w:t>
      </w:r>
    </w:p>
    <w:p w:rsidR="009B5A79" w:rsidRPr="003216A6" w:rsidRDefault="002F6749" w:rsidP="003216A6">
      <w:pPr>
        <w:pStyle w:val="ActHead5"/>
      </w:pPr>
      <w:bookmarkStart w:id="26" w:name="_Toc486251866"/>
      <w:r w:rsidRPr="003216A6">
        <w:rPr>
          <w:rStyle w:val="CharSectno"/>
        </w:rPr>
        <w:t>36E</w:t>
      </w:r>
      <w:r w:rsidR="009B5A79" w:rsidRPr="003216A6">
        <w:t xml:space="preserve">  Quotas cease when licences cease</w:t>
      </w:r>
      <w:bookmarkEnd w:id="26"/>
    </w:p>
    <w:p w:rsidR="009B5A79" w:rsidRPr="003216A6" w:rsidRDefault="009B5A79" w:rsidP="003216A6">
      <w:pPr>
        <w:pStyle w:val="subsection"/>
      </w:pPr>
      <w:r w:rsidRPr="003216A6">
        <w:tab/>
      </w:r>
      <w:r w:rsidRPr="003216A6">
        <w:tab/>
        <w:t>An HFC quota allocated to an SGG licensee stops being in force when the licensee</w:t>
      </w:r>
      <w:r w:rsidR="00BF3C85" w:rsidRPr="003216A6">
        <w:t>’</w:t>
      </w:r>
      <w:r w:rsidRPr="003216A6">
        <w:t>s SGG licence is cancelled, or stops being in force for any other reason</w:t>
      </w:r>
      <w:r w:rsidR="002F6749" w:rsidRPr="003216A6">
        <w:t>.</w:t>
      </w:r>
    </w:p>
    <w:p w:rsidR="009B5A79" w:rsidRPr="003216A6" w:rsidRDefault="002F6749" w:rsidP="003216A6">
      <w:pPr>
        <w:pStyle w:val="ActHead5"/>
      </w:pPr>
      <w:bookmarkStart w:id="27" w:name="_Toc486251867"/>
      <w:r w:rsidRPr="003216A6">
        <w:rPr>
          <w:rStyle w:val="CharSectno"/>
        </w:rPr>
        <w:lastRenderedPageBreak/>
        <w:t>36F</w:t>
      </w:r>
      <w:r w:rsidR="009B5A79" w:rsidRPr="003216A6">
        <w:t xml:space="preserve">  Transfer of quotas</w:t>
      </w:r>
      <w:bookmarkEnd w:id="27"/>
    </w:p>
    <w:p w:rsidR="009B5A79" w:rsidRPr="003216A6" w:rsidRDefault="009B5A79" w:rsidP="003216A6">
      <w:pPr>
        <w:pStyle w:val="SubsectionHead"/>
      </w:pPr>
      <w:r w:rsidRPr="003216A6">
        <w:t>Transfer of HFC quota if SGG licence transferred</w:t>
      </w:r>
    </w:p>
    <w:p w:rsidR="009B5A79" w:rsidRPr="003216A6" w:rsidRDefault="009B5A79" w:rsidP="003216A6">
      <w:pPr>
        <w:pStyle w:val="subsection"/>
      </w:pPr>
      <w:r w:rsidRPr="003216A6">
        <w:tab/>
        <w:t>(1)</w:t>
      </w:r>
      <w:r w:rsidRPr="003216A6">
        <w:tab/>
        <w:t>If the Minister transfers an SGG licensee</w:t>
      </w:r>
      <w:r w:rsidR="00BF3C85" w:rsidRPr="003216A6">
        <w:t>’</w:t>
      </w:r>
      <w:r w:rsidRPr="003216A6">
        <w:t>s SGG licence under section</w:t>
      </w:r>
      <w:r w:rsidR="003216A6" w:rsidRPr="003216A6">
        <w:t> </w:t>
      </w:r>
      <w:r w:rsidRPr="003216A6">
        <w:t>19B, the unused part of each HFC quota (if any) allocated to the first licensee for calendar years ending on or after the date of the transfer is taken to have been allocated to the transferee on that date</w:t>
      </w:r>
      <w:r w:rsidR="002F6749" w:rsidRPr="003216A6">
        <w:t>.</w:t>
      </w:r>
    </w:p>
    <w:p w:rsidR="009B5A79" w:rsidRPr="003216A6" w:rsidRDefault="009B5A79" w:rsidP="003216A6">
      <w:pPr>
        <w:pStyle w:val="SubsectionHead"/>
      </w:pPr>
      <w:r w:rsidRPr="003216A6">
        <w:t>Transfer of HFC quota without transferring SGG licence</w:t>
      </w:r>
    </w:p>
    <w:p w:rsidR="009B5A79" w:rsidRPr="003216A6" w:rsidRDefault="009B5A79" w:rsidP="003216A6">
      <w:pPr>
        <w:pStyle w:val="subsection"/>
      </w:pPr>
      <w:r w:rsidRPr="003216A6">
        <w:tab/>
        <w:t>(2)</w:t>
      </w:r>
      <w:r w:rsidRPr="003216A6">
        <w:tab/>
        <w:t>An SGG licensee may, without transferring the licensee</w:t>
      </w:r>
      <w:r w:rsidR="00BF3C85" w:rsidRPr="003216A6">
        <w:t>’</w:t>
      </w:r>
      <w:r w:rsidRPr="003216A6">
        <w:t>s SGG licence, transfer to another SGG licensee the unused part of:</w:t>
      </w:r>
    </w:p>
    <w:p w:rsidR="009B5A79" w:rsidRPr="003216A6" w:rsidRDefault="009B5A79" w:rsidP="003216A6">
      <w:pPr>
        <w:pStyle w:val="paragraph"/>
      </w:pPr>
      <w:r w:rsidRPr="003216A6">
        <w:tab/>
        <w:t>(a)</w:t>
      </w:r>
      <w:r w:rsidRPr="003216A6">
        <w:tab/>
        <w:t>an HFC quota allocated to the first licensee for a calendar year; and</w:t>
      </w:r>
    </w:p>
    <w:p w:rsidR="009B5A79" w:rsidRPr="003216A6" w:rsidRDefault="009B5A79" w:rsidP="003216A6">
      <w:pPr>
        <w:pStyle w:val="paragraph"/>
      </w:pPr>
      <w:r w:rsidRPr="003216A6">
        <w:tab/>
        <w:t>(b)</w:t>
      </w:r>
      <w:r w:rsidRPr="003216A6">
        <w:tab/>
        <w:t>each HFC quota (if any) allocated to the first licensee for later calendar years</w:t>
      </w:r>
      <w:r w:rsidR="002F6749" w:rsidRPr="003216A6">
        <w:t>.</w:t>
      </w:r>
    </w:p>
    <w:p w:rsidR="009B5A79" w:rsidRPr="003216A6" w:rsidRDefault="009B5A79" w:rsidP="003216A6">
      <w:pPr>
        <w:pStyle w:val="subsection"/>
      </w:pPr>
      <w:r w:rsidRPr="003216A6">
        <w:tab/>
        <w:t>(3)</w:t>
      </w:r>
      <w:r w:rsidRPr="003216A6">
        <w:tab/>
        <w:t xml:space="preserve">An SGG licensee may, instead of transferring the whole of the unused parts of the HFC quotas mentioned in </w:t>
      </w:r>
      <w:r w:rsidR="003216A6" w:rsidRPr="003216A6">
        <w:t>subsection (</w:t>
      </w:r>
      <w:r w:rsidRPr="003216A6">
        <w:t>2):</w:t>
      </w:r>
    </w:p>
    <w:p w:rsidR="009B5A79" w:rsidRPr="003216A6" w:rsidRDefault="009B5A79" w:rsidP="003216A6">
      <w:pPr>
        <w:pStyle w:val="paragraph"/>
      </w:pPr>
      <w:r w:rsidRPr="003216A6">
        <w:tab/>
        <w:t>(a)</w:t>
      </w:r>
      <w:r w:rsidRPr="003216A6">
        <w:tab/>
        <w:t>choose a particular percentage; and</w:t>
      </w:r>
    </w:p>
    <w:p w:rsidR="009B5A79" w:rsidRPr="003216A6" w:rsidRDefault="009B5A79" w:rsidP="003216A6">
      <w:pPr>
        <w:pStyle w:val="paragraph"/>
      </w:pPr>
      <w:r w:rsidRPr="003216A6">
        <w:tab/>
        <w:t>(b)</w:t>
      </w:r>
      <w:r w:rsidRPr="003216A6">
        <w:tab/>
        <w:t>without transferring the licensee</w:t>
      </w:r>
      <w:r w:rsidR="00BF3C85" w:rsidRPr="003216A6">
        <w:t>’</w:t>
      </w:r>
      <w:r w:rsidRPr="003216A6">
        <w:t>s SGG licence, transfer to another SGG licensee the lesser of the following percentages of each of those quotas:</w:t>
      </w:r>
    </w:p>
    <w:p w:rsidR="009B5A79" w:rsidRPr="003216A6" w:rsidRDefault="009B5A79" w:rsidP="003216A6">
      <w:pPr>
        <w:pStyle w:val="paragraphsub"/>
      </w:pPr>
      <w:r w:rsidRPr="003216A6">
        <w:tab/>
        <w:t>(i)</w:t>
      </w:r>
      <w:r w:rsidRPr="003216A6">
        <w:tab/>
        <w:t>the chosen percentage;</w:t>
      </w:r>
    </w:p>
    <w:p w:rsidR="009B5A79" w:rsidRPr="003216A6" w:rsidRDefault="009B5A79" w:rsidP="003216A6">
      <w:pPr>
        <w:pStyle w:val="paragraphsub"/>
      </w:pPr>
      <w:r w:rsidRPr="003216A6">
        <w:tab/>
        <w:t>(ii)</w:t>
      </w:r>
      <w:r w:rsidRPr="003216A6">
        <w:tab/>
        <w:t>the percentage of the quota that is unused</w:t>
      </w:r>
      <w:r w:rsidR="002F6749" w:rsidRPr="003216A6">
        <w:t>.</w:t>
      </w:r>
    </w:p>
    <w:p w:rsidR="009B5A79" w:rsidRPr="003216A6" w:rsidRDefault="009B5A79" w:rsidP="003216A6">
      <w:pPr>
        <w:pStyle w:val="subsection"/>
      </w:pPr>
      <w:r w:rsidRPr="003216A6">
        <w:tab/>
        <w:t>(4)</w:t>
      </w:r>
      <w:r w:rsidRPr="003216A6">
        <w:tab/>
        <w:t xml:space="preserve">A transfer under </w:t>
      </w:r>
      <w:r w:rsidR="003216A6" w:rsidRPr="003216A6">
        <w:t>subsection (</w:t>
      </w:r>
      <w:r w:rsidRPr="003216A6">
        <w:t>2) or (3) has no effect until the transferor notifies the Minister of the transfer</w:t>
      </w:r>
      <w:r w:rsidR="002F6749" w:rsidRPr="003216A6">
        <w:t>.</w:t>
      </w:r>
    </w:p>
    <w:p w:rsidR="009B5A79" w:rsidRPr="003216A6" w:rsidRDefault="009B5A79" w:rsidP="003216A6">
      <w:pPr>
        <w:pStyle w:val="subsection"/>
      </w:pPr>
      <w:r w:rsidRPr="003216A6">
        <w:tab/>
        <w:t>(5)</w:t>
      </w:r>
      <w:r w:rsidRPr="003216A6">
        <w:tab/>
        <w:t>A notice must:</w:t>
      </w:r>
    </w:p>
    <w:p w:rsidR="009B5A79" w:rsidRPr="003216A6" w:rsidRDefault="009B5A79" w:rsidP="003216A6">
      <w:pPr>
        <w:pStyle w:val="paragraph"/>
      </w:pPr>
      <w:r w:rsidRPr="003216A6">
        <w:tab/>
        <w:t>(a)</w:t>
      </w:r>
      <w:r w:rsidRPr="003216A6">
        <w:tab/>
        <w:t>state the transferee</w:t>
      </w:r>
      <w:r w:rsidR="00BF3C85" w:rsidRPr="003216A6">
        <w:t>’</w:t>
      </w:r>
      <w:r w:rsidRPr="003216A6">
        <w:t>s name, address and licence number; and</w:t>
      </w:r>
    </w:p>
    <w:p w:rsidR="009B5A79" w:rsidRPr="003216A6" w:rsidRDefault="009B5A79" w:rsidP="003216A6">
      <w:pPr>
        <w:pStyle w:val="paragraph"/>
      </w:pPr>
      <w:r w:rsidRPr="003216A6">
        <w:tab/>
        <w:t>(b)</w:t>
      </w:r>
      <w:r w:rsidRPr="003216A6">
        <w:tab/>
        <w:t>specify the amount of each HFC quota transferred</w:t>
      </w:r>
      <w:r w:rsidR="002F6749" w:rsidRPr="003216A6">
        <w:t>.</w:t>
      </w:r>
    </w:p>
    <w:p w:rsidR="009B5A79" w:rsidRPr="003216A6" w:rsidRDefault="009B5A79" w:rsidP="003216A6">
      <w:pPr>
        <w:pStyle w:val="subsection"/>
      </w:pPr>
      <w:r w:rsidRPr="003216A6">
        <w:tab/>
        <w:t>(6)</w:t>
      </w:r>
      <w:r w:rsidRPr="003216A6">
        <w:tab/>
        <w:t xml:space="preserve">After a transfer under </w:t>
      </w:r>
      <w:r w:rsidR="003216A6" w:rsidRPr="003216A6">
        <w:t>subsection (</w:t>
      </w:r>
      <w:r w:rsidRPr="003216A6">
        <w:t>2) or (3) takes effect:</w:t>
      </w:r>
    </w:p>
    <w:p w:rsidR="009B5A79" w:rsidRPr="003216A6" w:rsidRDefault="009B5A79" w:rsidP="003216A6">
      <w:pPr>
        <w:pStyle w:val="paragraph"/>
      </w:pPr>
      <w:r w:rsidRPr="003216A6">
        <w:tab/>
        <w:t>(a)</w:t>
      </w:r>
      <w:r w:rsidRPr="003216A6">
        <w:tab/>
        <w:t>each transferred HFC quota, or each transferred part of an HFC quota, is taken to have been allocated to the transferee; and</w:t>
      </w:r>
    </w:p>
    <w:p w:rsidR="009B5A79" w:rsidRPr="003216A6" w:rsidRDefault="009B5A79" w:rsidP="003216A6">
      <w:pPr>
        <w:pStyle w:val="paragraph"/>
      </w:pPr>
      <w:r w:rsidRPr="003216A6">
        <w:lastRenderedPageBreak/>
        <w:tab/>
        <w:t>(b)</w:t>
      </w:r>
      <w:r w:rsidRPr="003216A6">
        <w:tab/>
        <w:t>if only part of an HFC quota is transferred—the transferor is taken to have been allocated the untransferred part of the quota</w:t>
      </w:r>
      <w:r w:rsidR="002F6749" w:rsidRPr="003216A6">
        <w:t>.</w:t>
      </w:r>
    </w:p>
    <w:p w:rsidR="009B5A79" w:rsidRPr="003216A6" w:rsidRDefault="009B5A79" w:rsidP="003216A6">
      <w:pPr>
        <w:pStyle w:val="ActHead3"/>
      </w:pPr>
      <w:bookmarkStart w:id="28" w:name="_Toc486251868"/>
      <w:r w:rsidRPr="003216A6">
        <w:rPr>
          <w:rStyle w:val="CharDivNo"/>
        </w:rPr>
        <w:t>Division</w:t>
      </w:r>
      <w:r w:rsidR="003216A6" w:rsidRPr="003216A6">
        <w:rPr>
          <w:rStyle w:val="CharDivNo"/>
        </w:rPr>
        <w:t> </w:t>
      </w:r>
      <w:r w:rsidRPr="003216A6">
        <w:rPr>
          <w:rStyle w:val="CharDivNo"/>
        </w:rPr>
        <w:t>3</w:t>
      </w:r>
      <w:r w:rsidRPr="003216A6">
        <w:t>—</w:t>
      </w:r>
      <w:r w:rsidRPr="003216A6">
        <w:rPr>
          <w:rStyle w:val="CharDivText"/>
        </w:rPr>
        <w:t>Reserve HFC quotas</w:t>
      </w:r>
      <w:bookmarkEnd w:id="28"/>
    </w:p>
    <w:p w:rsidR="009B5A79" w:rsidRPr="003216A6" w:rsidRDefault="002F6749" w:rsidP="003216A6">
      <w:pPr>
        <w:pStyle w:val="ActHead5"/>
      </w:pPr>
      <w:bookmarkStart w:id="29" w:name="_Toc486251869"/>
      <w:r w:rsidRPr="003216A6">
        <w:rPr>
          <w:rStyle w:val="CharSectno"/>
        </w:rPr>
        <w:t>36G</w:t>
      </w:r>
      <w:r w:rsidR="009B5A79" w:rsidRPr="003216A6">
        <w:t xml:space="preserve">  Reserve HFC quotas</w:t>
      </w:r>
      <w:bookmarkEnd w:id="29"/>
    </w:p>
    <w:p w:rsidR="009B5A79" w:rsidRPr="003216A6" w:rsidRDefault="009B5A79" w:rsidP="003216A6">
      <w:pPr>
        <w:pStyle w:val="SubsectionHead"/>
      </w:pPr>
      <w:r w:rsidRPr="003216A6">
        <w:t>Reserve HFC quotas</w:t>
      </w:r>
    </w:p>
    <w:p w:rsidR="009B5A79" w:rsidRPr="003216A6" w:rsidRDefault="009B5A79" w:rsidP="003216A6">
      <w:pPr>
        <w:pStyle w:val="subsection"/>
      </w:pPr>
      <w:r w:rsidRPr="003216A6">
        <w:tab/>
        <w:t>(1)</w:t>
      </w:r>
      <w:r w:rsidRPr="003216A6">
        <w:tab/>
        <w:t>The Minister must not allocate a reserve HFC quota unless satisfied that circumstances prescribed by the regulations for the purposes of this subsection exist</w:t>
      </w:r>
      <w:r w:rsidR="002F6749" w:rsidRPr="003216A6">
        <w:t>.</w:t>
      </w:r>
    </w:p>
    <w:p w:rsidR="009B5A79" w:rsidRPr="003216A6" w:rsidRDefault="009B5A79" w:rsidP="003216A6">
      <w:pPr>
        <w:pStyle w:val="subsection"/>
      </w:pPr>
      <w:r w:rsidRPr="003216A6">
        <w:tab/>
        <w:t>(2)</w:t>
      </w:r>
      <w:r w:rsidRPr="003216A6">
        <w:tab/>
        <w:t>The regulations may provide in relation to any of the following:</w:t>
      </w:r>
    </w:p>
    <w:p w:rsidR="009B5A79" w:rsidRPr="003216A6" w:rsidRDefault="009B5A79" w:rsidP="003216A6">
      <w:pPr>
        <w:pStyle w:val="paragraph"/>
      </w:pPr>
      <w:r w:rsidRPr="003216A6">
        <w:tab/>
        <w:t>(a)</w:t>
      </w:r>
      <w:r w:rsidRPr="003216A6">
        <w:tab/>
        <w:t>processes for applying for reserve HFC quotas, including who may apply;</w:t>
      </w:r>
    </w:p>
    <w:p w:rsidR="009B5A79" w:rsidRPr="003216A6" w:rsidRDefault="009B5A79" w:rsidP="003216A6">
      <w:pPr>
        <w:pStyle w:val="paragraph"/>
      </w:pPr>
      <w:r w:rsidRPr="003216A6">
        <w:tab/>
        <w:t>(b)</w:t>
      </w:r>
      <w:r w:rsidRPr="003216A6">
        <w:tab/>
        <w:t>processes for the Minister to:</w:t>
      </w:r>
    </w:p>
    <w:p w:rsidR="009B5A79" w:rsidRPr="003216A6" w:rsidRDefault="009B5A79" w:rsidP="003216A6">
      <w:pPr>
        <w:pStyle w:val="paragraphsub"/>
      </w:pPr>
      <w:r w:rsidRPr="003216A6">
        <w:tab/>
        <w:t>(i)</w:t>
      </w:r>
      <w:r w:rsidRPr="003216A6">
        <w:tab/>
        <w:t>allocate reserve HFC quotas; or</w:t>
      </w:r>
    </w:p>
    <w:p w:rsidR="009B5A79" w:rsidRPr="003216A6" w:rsidRDefault="009B5A79" w:rsidP="003216A6">
      <w:pPr>
        <w:pStyle w:val="paragraphsub"/>
      </w:pPr>
      <w:r w:rsidRPr="003216A6">
        <w:tab/>
        <w:t>(ii)</w:t>
      </w:r>
      <w:r w:rsidRPr="003216A6">
        <w:tab/>
        <w:t>vary the size or period of reserve HFC quotas; or</w:t>
      </w:r>
    </w:p>
    <w:p w:rsidR="009B5A79" w:rsidRPr="003216A6" w:rsidRDefault="009B5A79" w:rsidP="003216A6">
      <w:pPr>
        <w:pStyle w:val="paragraphsub"/>
      </w:pPr>
      <w:r w:rsidRPr="003216A6">
        <w:tab/>
        <w:t>(iii)</w:t>
      </w:r>
      <w:r w:rsidRPr="003216A6">
        <w:tab/>
        <w:t>stop allocated reserve HFC quotas being in force;</w:t>
      </w:r>
      <w:r w:rsidR="00E87E5E" w:rsidRPr="003216A6">
        <w:t xml:space="preserve"> or</w:t>
      </w:r>
    </w:p>
    <w:p w:rsidR="00E87E5E" w:rsidRPr="003216A6" w:rsidRDefault="00E87E5E" w:rsidP="003216A6">
      <w:pPr>
        <w:pStyle w:val="paragraphsub"/>
      </w:pPr>
      <w:r w:rsidRPr="003216A6">
        <w:tab/>
        <w:t>(iv)</w:t>
      </w:r>
      <w:r w:rsidRPr="003216A6">
        <w:tab/>
        <w:t>cancel allocated reserve HFC quotas, with the effect that the quotas are taken never to have been in force;</w:t>
      </w:r>
    </w:p>
    <w:p w:rsidR="009B5A79" w:rsidRPr="003216A6" w:rsidRDefault="009B5A79" w:rsidP="003216A6">
      <w:pPr>
        <w:pStyle w:val="paragraph"/>
      </w:pPr>
      <w:r w:rsidRPr="003216A6">
        <w:tab/>
        <w:t>(c)</w:t>
      </w:r>
      <w:r w:rsidRPr="003216A6">
        <w:tab/>
        <w:t>processes for transferring reserve HFC quotas between SGG licensees;</w:t>
      </w:r>
    </w:p>
    <w:p w:rsidR="009B5A79" w:rsidRPr="003216A6" w:rsidRDefault="009B5A79" w:rsidP="003216A6">
      <w:pPr>
        <w:pStyle w:val="paragraph"/>
      </w:pPr>
      <w:r w:rsidRPr="003216A6">
        <w:tab/>
        <w:t>(d)</w:t>
      </w:r>
      <w:r w:rsidRPr="003216A6">
        <w:tab/>
        <w:t>the size of reserve HFC quotas, or the method for working out the size of reserve HFC quotas;</w:t>
      </w:r>
    </w:p>
    <w:p w:rsidR="009B5A79" w:rsidRPr="003216A6" w:rsidRDefault="009B5A79" w:rsidP="003216A6">
      <w:pPr>
        <w:pStyle w:val="paragraph"/>
      </w:pPr>
      <w:r w:rsidRPr="003216A6">
        <w:tab/>
        <w:t>(e)</w:t>
      </w:r>
      <w:r w:rsidRPr="003216A6">
        <w:tab/>
        <w:t>the period (not longer than 12 months) during which each reserve HFC quota is in force;</w:t>
      </w:r>
    </w:p>
    <w:p w:rsidR="009B5A79" w:rsidRPr="003216A6" w:rsidRDefault="009B5A79" w:rsidP="003216A6">
      <w:pPr>
        <w:pStyle w:val="paragraph"/>
      </w:pPr>
      <w:r w:rsidRPr="003216A6">
        <w:tab/>
        <w:t>(f)</w:t>
      </w:r>
      <w:r w:rsidRPr="003216A6">
        <w:tab/>
        <w:t>review of decisions made under regulations made for the purposes of this subsection</w:t>
      </w:r>
      <w:r w:rsidR="002F6749" w:rsidRPr="003216A6">
        <w:t>.</w:t>
      </w:r>
    </w:p>
    <w:p w:rsidR="009B5A79" w:rsidRPr="003216A6" w:rsidRDefault="009B5A79" w:rsidP="003216A6">
      <w:pPr>
        <w:pStyle w:val="SubsectionHead"/>
      </w:pPr>
      <w:r w:rsidRPr="003216A6">
        <w:t>Reserve HFC quota limit</w:t>
      </w:r>
    </w:p>
    <w:p w:rsidR="009B5A79" w:rsidRPr="003216A6" w:rsidRDefault="009B5A79" w:rsidP="003216A6">
      <w:pPr>
        <w:pStyle w:val="subsection"/>
      </w:pPr>
      <w:r w:rsidRPr="003216A6">
        <w:tab/>
        <w:t>(3)</w:t>
      </w:r>
      <w:r w:rsidRPr="003216A6">
        <w:tab/>
        <w:t xml:space="preserve">The </w:t>
      </w:r>
      <w:r w:rsidRPr="003216A6">
        <w:rPr>
          <w:b/>
          <w:i/>
        </w:rPr>
        <w:t>reserve HFC quota limit</w:t>
      </w:r>
      <w:r w:rsidRPr="003216A6">
        <w:t xml:space="preserve"> for a calendar year is the quantity of HFCs, expressed in CO</w:t>
      </w:r>
      <w:r w:rsidRPr="003216A6">
        <w:rPr>
          <w:vertAlign w:val="subscript"/>
        </w:rPr>
        <w:t>2</w:t>
      </w:r>
      <w:r w:rsidRPr="003216A6">
        <w:t>e megatonnes:</w:t>
      </w:r>
    </w:p>
    <w:p w:rsidR="009B5A79" w:rsidRPr="003216A6" w:rsidRDefault="009B5A79" w:rsidP="003216A6">
      <w:pPr>
        <w:pStyle w:val="paragraph"/>
      </w:pPr>
      <w:r w:rsidRPr="003216A6">
        <w:tab/>
        <w:t>(a)</w:t>
      </w:r>
      <w:r w:rsidRPr="003216A6">
        <w:tab/>
        <w:t>prescribed by the regulations in relation to the year for the purposes of this subsection; or</w:t>
      </w:r>
    </w:p>
    <w:p w:rsidR="009B5A79" w:rsidRPr="003216A6" w:rsidRDefault="009B5A79" w:rsidP="003216A6">
      <w:pPr>
        <w:pStyle w:val="paragraph"/>
      </w:pPr>
      <w:r w:rsidRPr="003216A6">
        <w:lastRenderedPageBreak/>
        <w:tab/>
        <w:t>(b)</w:t>
      </w:r>
      <w:r w:rsidRPr="003216A6">
        <w:tab/>
        <w:t>worked out in accordance with a method prescribed by the regulations in relation to the year for the purposes of this subsection</w:t>
      </w:r>
      <w:r w:rsidR="002F6749" w:rsidRPr="003216A6">
        <w:t>.</w:t>
      </w:r>
    </w:p>
    <w:p w:rsidR="009B5A79" w:rsidRPr="003216A6" w:rsidRDefault="009B5A79" w:rsidP="003216A6">
      <w:pPr>
        <w:pStyle w:val="subsection"/>
      </w:pPr>
      <w:r w:rsidRPr="003216A6">
        <w:tab/>
        <w:t>(4)</w:t>
      </w:r>
      <w:r w:rsidRPr="003216A6">
        <w:tab/>
        <w:t>The sum of the amounts of all reserve HFC quotas allocated for a calendar year (including any part of that year) must not be more than the reserve HFC quota limit for that year</w:t>
      </w:r>
      <w:r w:rsidR="002F6749" w:rsidRPr="003216A6">
        <w:t>.</w:t>
      </w:r>
    </w:p>
    <w:p w:rsidR="00123D13" w:rsidRPr="003216A6" w:rsidRDefault="00123D13" w:rsidP="003216A6">
      <w:pPr>
        <w:pStyle w:val="subsection"/>
      </w:pPr>
      <w:r w:rsidRPr="003216A6">
        <w:tab/>
        <w:t>(5)</w:t>
      </w:r>
      <w:r w:rsidRPr="003216A6">
        <w:tab/>
        <w:t xml:space="preserve">Regulations made for the purposes of </w:t>
      </w:r>
      <w:r w:rsidR="003216A6" w:rsidRPr="003216A6">
        <w:t>subsection (</w:t>
      </w:r>
      <w:r w:rsidRPr="003216A6">
        <w:t>3) must be consistent with Australia</w:t>
      </w:r>
      <w:r w:rsidR="00BF3C85" w:rsidRPr="003216A6">
        <w:t>’</w:t>
      </w:r>
      <w:r w:rsidRPr="003216A6">
        <w:t>s</w:t>
      </w:r>
      <w:r w:rsidR="006D5094" w:rsidRPr="003216A6">
        <w:t xml:space="preserve"> international</w:t>
      </w:r>
      <w:r w:rsidRPr="003216A6">
        <w:t xml:space="preserve"> obligations</w:t>
      </w:r>
      <w:r w:rsidR="002F6749" w:rsidRPr="003216A6">
        <w:t>.</w:t>
      </w:r>
    </w:p>
    <w:p w:rsidR="009B5A79" w:rsidRPr="003216A6" w:rsidRDefault="009B5A79" w:rsidP="003216A6">
      <w:pPr>
        <w:pStyle w:val="ActHead3"/>
      </w:pPr>
      <w:bookmarkStart w:id="30" w:name="_Toc486251870"/>
      <w:r w:rsidRPr="003216A6">
        <w:rPr>
          <w:rStyle w:val="CharDivNo"/>
        </w:rPr>
        <w:t>Division</w:t>
      </w:r>
      <w:r w:rsidR="003216A6" w:rsidRPr="003216A6">
        <w:rPr>
          <w:rStyle w:val="CharDivNo"/>
        </w:rPr>
        <w:t> </w:t>
      </w:r>
      <w:r w:rsidRPr="003216A6">
        <w:rPr>
          <w:rStyle w:val="CharDivNo"/>
        </w:rPr>
        <w:t>4</w:t>
      </w:r>
      <w:r w:rsidRPr="003216A6">
        <w:t>—</w:t>
      </w:r>
      <w:r w:rsidRPr="003216A6">
        <w:rPr>
          <w:rStyle w:val="CharDivText"/>
        </w:rPr>
        <w:t>Other provisions</w:t>
      </w:r>
      <w:bookmarkEnd w:id="30"/>
    </w:p>
    <w:p w:rsidR="009B5A79" w:rsidRPr="003216A6" w:rsidRDefault="002F6749" w:rsidP="003216A6">
      <w:pPr>
        <w:pStyle w:val="ActHead5"/>
      </w:pPr>
      <w:bookmarkStart w:id="31" w:name="_Toc486251871"/>
      <w:r w:rsidRPr="003216A6">
        <w:rPr>
          <w:rStyle w:val="CharSectno"/>
        </w:rPr>
        <w:t>36H</w:t>
      </w:r>
      <w:r w:rsidR="009B5A79" w:rsidRPr="003216A6">
        <w:t xml:space="preserve">  Direction to export HFCs if quota exceeded</w:t>
      </w:r>
      <w:bookmarkEnd w:id="31"/>
    </w:p>
    <w:p w:rsidR="009B5A79" w:rsidRPr="003216A6" w:rsidRDefault="009B5A79" w:rsidP="003216A6">
      <w:pPr>
        <w:pStyle w:val="subsection"/>
      </w:pPr>
      <w:r w:rsidRPr="003216A6">
        <w:tab/>
        <w:t>(1)</w:t>
      </w:r>
      <w:r w:rsidRPr="003216A6">
        <w:tab/>
        <w:t>The Minister may, by written notice given to an SGG licensee, direct the licensee to export a specified quantity of HFCs by a specified time if:</w:t>
      </w:r>
    </w:p>
    <w:p w:rsidR="009B5A79" w:rsidRPr="003216A6" w:rsidRDefault="009B5A79" w:rsidP="003216A6">
      <w:pPr>
        <w:pStyle w:val="paragraph"/>
      </w:pPr>
      <w:r w:rsidRPr="003216A6">
        <w:tab/>
        <w:t>(a)</w:t>
      </w:r>
      <w:r w:rsidRPr="003216A6">
        <w:tab/>
        <w:t>both:</w:t>
      </w:r>
    </w:p>
    <w:p w:rsidR="009B5A79" w:rsidRPr="003216A6" w:rsidRDefault="009B5A79" w:rsidP="003216A6">
      <w:pPr>
        <w:pStyle w:val="paragraphsub"/>
      </w:pPr>
      <w:r w:rsidRPr="003216A6">
        <w:tab/>
        <w:t>(i)</w:t>
      </w:r>
      <w:r w:rsidRPr="003216A6">
        <w:tab/>
        <w:t>the SGG licensee has been allocated an HFC quota for a calendar year; and</w:t>
      </w:r>
    </w:p>
    <w:p w:rsidR="009B5A79" w:rsidRPr="003216A6" w:rsidRDefault="009B5A79" w:rsidP="003216A6">
      <w:pPr>
        <w:pStyle w:val="paragraphsub"/>
      </w:pPr>
      <w:r w:rsidRPr="003216A6">
        <w:tab/>
        <w:t>(ii)</w:t>
      </w:r>
      <w:r w:rsidRPr="003216A6">
        <w:tab/>
        <w:t>the total quantity of HFCs, expressed in CO</w:t>
      </w:r>
      <w:r w:rsidRPr="003216A6">
        <w:rPr>
          <w:vertAlign w:val="subscript"/>
        </w:rPr>
        <w:t>2</w:t>
      </w:r>
      <w:r w:rsidRPr="003216A6">
        <w:t>e megatonnes, involved in regulated HFC activities engaged in by the licensee in the year exceeds the total of that quota and any reserve HFC quotas allocated to the licensee that are in force at any time in the year; or</w:t>
      </w:r>
    </w:p>
    <w:p w:rsidR="009B5A79" w:rsidRPr="003216A6" w:rsidRDefault="009B5A79" w:rsidP="003216A6">
      <w:pPr>
        <w:pStyle w:val="paragraph"/>
      </w:pPr>
      <w:r w:rsidRPr="003216A6">
        <w:tab/>
        <w:t>(b)</w:t>
      </w:r>
      <w:r w:rsidRPr="003216A6">
        <w:tab/>
        <w:t>both:</w:t>
      </w:r>
    </w:p>
    <w:p w:rsidR="009B5A79" w:rsidRPr="003216A6" w:rsidRDefault="009B5A79" w:rsidP="003216A6">
      <w:pPr>
        <w:pStyle w:val="paragraphsub"/>
      </w:pPr>
      <w:r w:rsidRPr="003216A6">
        <w:tab/>
        <w:t>(i)</w:t>
      </w:r>
      <w:r w:rsidRPr="003216A6">
        <w:tab/>
        <w:t xml:space="preserve">the SGG licensee has been allocated a reserve HFC quota that is in force for a period (the </w:t>
      </w:r>
      <w:r w:rsidRPr="003216A6">
        <w:rPr>
          <w:b/>
          <w:i/>
        </w:rPr>
        <w:t>reserve period</w:t>
      </w:r>
      <w:r w:rsidRPr="003216A6">
        <w:t>) in a calendar year, but has not been allocated an HFC quota for the year; and</w:t>
      </w:r>
    </w:p>
    <w:p w:rsidR="009B5A79" w:rsidRPr="003216A6" w:rsidRDefault="009B5A79" w:rsidP="003216A6">
      <w:pPr>
        <w:pStyle w:val="paragraphsub"/>
      </w:pPr>
      <w:r w:rsidRPr="003216A6">
        <w:tab/>
        <w:t>(ii)</w:t>
      </w:r>
      <w:r w:rsidRPr="003216A6">
        <w:tab/>
        <w:t>the total quantity of HFCs, expressed in CO</w:t>
      </w:r>
      <w:r w:rsidRPr="003216A6">
        <w:rPr>
          <w:vertAlign w:val="subscript"/>
        </w:rPr>
        <w:t>2</w:t>
      </w:r>
      <w:r w:rsidRPr="003216A6">
        <w:t>e megatonnes, involved in regulated HFC activities engaged in by the licensee in the reserve period exceeds the reserve HFC quota</w:t>
      </w:r>
      <w:r w:rsidR="002F6749" w:rsidRPr="003216A6">
        <w:t>.</w:t>
      </w:r>
    </w:p>
    <w:p w:rsidR="009B5A79" w:rsidRPr="003216A6" w:rsidRDefault="009B5A79" w:rsidP="003216A6">
      <w:pPr>
        <w:pStyle w:val="notetext"/>
      </w:pPr>
      <w:r w:rsidRPr="003216A6">
        <w:t>Note</w:t>
      </w:r>
      <w:r w:rsidR="00253F20" w:rsidRPr="003216A6">
        <w:t xml:space="preserve"> 1</w:t>
      </w:r>
      <w:r w:rsidRPr="003216A6">
        <w:t>:</w:t>
      </w:r>
      <w:r w:rsidRPr="003216A6">
        <w:tab/>
        <w:t xml:space="preserve">It is a condition of the SGG licence that the licensee comply with the direction: see </w:t>
      </w:r>
      <w:r w:rsidR="0060212E" w:rsidRPr="003216A6">
        <w:t>subsection</w:t>
      </w:r>
      <w:r w:rsidR="003216A6" w:rsidRPr="003216A6">
        <w:t> </w:t>
      </w:r>
      <w:r w:rsidR="0060212E" w:rsidRPr="003216A6">
        <w:t>18(1)</w:t>
      </w:r>
      <w:r w:rsidR="002F6749" w:rsidRPr="003216A6">
        <w:t>.</w:t>
      </w:r>
    </w:p>
    <w:p w:rsidR="00253F20" w:rsidRPr="003216A6" w:rsidRDefault="00253F20" w:rsidP="003216A6">
      <w:pPr>
        <w:pStyle w:val="notetext"/>
      </w:pPr>
      <w:r w:rsidRPr="003216A6">
        <w:t>Note: 2:</w:t>
      </w:r>
      <w:r w:rsidRPr="003216A6">
        <w:tab/>
        <w:t>A person requires an SGG licence to export an HFC</w:t>
      </w:r>
      <w:r w:rsidR="00FB51AE" w:rsidRPr="003216A6">
        <w:t xml:space="preserve"> in most circumstances</w:t>
      </w:r>
      <w:r w:rsidRPr="003216A6">
        <w:t>: see section</w:t>
      </w:r>
      <w:r w:rsidR="003216A6" w:rsidRPr="003216A6">
        <w:t> </w:t>
      </w:r>
      <w:r w:rsidRPr="003216A6">
        <w:t>13</w:t>
      </w:r>
      <w:r w:rsidR="002F6749" w:rsidRPr="003216A6">
        <w:t>.</w:t>
      </w:r>
    </w:p>
    <w:p w:rsidR="009B5A79" w:rsidRPr="003216A6" w:rsidRDefault="009B5A79" w:rsidP="003216A6">
      <w:pPr>
        <w:pStyle w:val="subsection"/>
      </w:pPr>
      <w:r w:rsidRPr="003216A6">
        <w:lastRenderedPageBreak/>
        <w:tab/>
        <w:t>(2)</w:t>
      </w:r>
      <w:r w:rsidRPr="003216A6">
        <w:tab/>
        <w:t>The amount specified in the direction must not be greater than the amount of the excess</w:t>
      </w:r>
      <w:r w:rsidR="002F6749" w:rsidRPr="003216A6">
        <w:t>.</w:t>
      </w:r>
    </w:p>
    <w:p w:rsidR="009B5A79" w:rsidRPr="003216A6" w:rsidRDefault="002F6749" w:rsidP="003216A6">
      <w:pPr>
        <w:pStyle w:val="ActHead5"/>
      </w:pPr>
      <w:bookmarkStart w:id="32" w:name="_Toc486251872"/>
      <w:r w:rsidRPr="003216A6">
        <w:rPr>
          <w:rStyle w:val="CharSectno"/>
        </w:rPr>
        <w:t>36J</w:t>
      </w:r>
      <w:r w:rsidR="009B5A79" w:rsidRPr="003216A6">
        <w:t xml:space="preserve">  Basis on which quotas are allocated</w:t>
      </w:r>
      <w:bookmarkEnd w:id="32"/>
    </w:p>
    <w:p w:rsidR="009B5A79" w:rsidRPr="003216A6" w:rsidRDefault="009B5A79" w:rsidP="003216A6">
      <w:pPr>
        <w:pStyle w:val="subsection"/>
      </w:pPr>
      <w:r w:rsidRPr="003216A6">
        <w:tab/>
      </w:r>
      <w:r w:rsidRPr="003216A6">
        <w:tab/>
        <w:t>An HFC quota or reserve HFC quota is allocated on the basis that:</w:t>
      </w:r>
    </w:p>
    <w:p w:rsidR="00762F86" w:rsidRPr="003216A6" w:rsidRDefault="00762F86" w:rsidP="003216A6">
      <w:pPr>
        <w:pStyle w:val="paragraph"/>
      </w:pPr>
      <w:r w:rsidRPr="003216A6">
        <w:tab/>
        <w:t>(a)</w:t>
      </w:r>
      <w:r w:rsidRPr="003216A6">
        <w:tab/>
        <w:t>the quota may be varied under regulations made for the purposes of subsection</w:t>
      </w:r>
      <w:r w:rsidR="003216A6" w:rsidRPr="003216A6">
        <w:t> </w:t>
      </w:r>
      <w:r w:rsidR="002F6749" w:rsidRPr="003216A6">
        <w:t>36C</w:t>
      </w:r>
      <w:r w:rsidRPr="003216A6">
        <w:t xml:space="preserve">(1) or </w:t>
      </w:r>
      <w:r w:rsidR="002F6749" w:rsidRPr="003216A6">
        <w:t>36G</w:t>
      </w:r>
      <w:r w:rsidRPr="003216A6">
        <w:t>(2); and</w:t>
      </w:r>
    </w:p>
    <w:p w:rsidR="009B5A79" w:rsidRPr="003216A6" w:rsidRDefault="00762F86" w:rsidP="003216A6">
      <w:pPr>
        <w:pStyle w:val="paragraph"/>
      </w:pPr>
      <w:r w:rsidRPr="003216A6">
        <w:tab/>
        <w:t>(b</w:t>
      </w:r>
      <w:r w:rsidR="009B5A79" w:rsidRPr="003216A6">
        <w:t>)</w:t>
      </w:r>
      <w:r w:rsidR="009B5A79" w:rsidRPr="003216A6">
        <w:tab/>
        <w:t>the quota may stop being in force under section</w:t>
      </w:r>
      <w:r w:rsidR="003216A6" w:rsidRPr="003216A6">
        <w:t> </w:t>
      </w:r>
      <w:r w:rsidR="009B5A79" w:rsidRPr="003216A6">
        <w:t>36F or under regulations made for the purposes of subsection</w:t>
      </w:r>
      <w:r w:rsidR="003216A6" w:rsidRPr="003216A6">
        <w:t> </w:t>
      </w:r>
      <w:r w:rsidR="002F6749" w:rsidRPr="003216A6">
        <w:t>36C</w:t>
      </w:r>
      <w:r w:rsidR="009B5A79" w:rsidRPr="003216A6">
        <w:t xml:space="preserve">(1) or </w:t>
      </w:r>
      <w:r w:rsidR="002F6749" w:rsidRPr="003216A6">
        <w:t>36G</w:t>
      </w:r>
      <w:r w:rsidR="009B5A79" w:rsidRPr="003216A6">
        <w:t>(2); and</w:t>
      </w:r>
    </w:p>
    <w:p w:rsidR="00762F86" w:rsidRPr="003216A6" w:rsidRDefault="00762F86" w:rsidP="003216A6">
      <w:pPr>
        <w:pStyle w:val="paragraph"/>
      </w:pPr>
      <w:r w:rsidRPr="003216A6">
        <w:tab/>
        <w:t>(c)</w:t>
      </w:r>
      <w:r w:rsidRPr="003216A6">
        <w:tab/>
        <w:t>the quota may be cancelled under regulations made for the purposes of subsection</w:t>
      </w:r>
      <w:r w:rsidR="003216A6" w:rsidRPr="003216A6">
        <w:t> </w:t>
      </w:r>
      <w:r w:rsidR="002F6749" w:rsidRPr="003216A6">
        <w:t>36C</w:t>
      </w:r>
      <w:r w:rsidRPr="003216A6">
        <w:t xml:space="preserve">(1) or </w:t>
      </w:r>
      <w:r w:rsidR="002F6749" w:rsidRPr="003216A6">
        <w:t>36G</w:t>
      </w:r>
      <w:r w:rsidRPr="003216A6">
        <w:t>(2); and</w:t>
      </w:r>
    </w:p>
    <w:p w:rsidR="009B5A79" w:rsidRPr="003216A6" w:rsidRDefault="00762F86" w:rsidP="003216A6">
      <w:pPr>
        <w:pStyle w:val="paragraph"/>
      </w:pPr>
      <w:r w:rsidRPr="003216A6">
        <w:tab/>
        <w:t>(d</w:t>
      </w:r>
      <w:r w:rsidR="009B5A79" w:rsidRPr="003216A6">
        <w:t>)</w:t>
      </w:r>
      <w:r w:rsidR="009B5A79" w:rsidRPr="003216A6">
        <w:tab/>
        <w:t xml:space="preserve">the quota may </w:t>
      </w:r>
      <w:r w:rsidRPr="003216A6">
        <w:t xml:space="preserve">be varied, </w:t>
      </w:r>
      <w:r w:rsidR="009B5A79" w:rsidRPr="003216A6">
        <w:t xml:space="preserve">stop being in force or be </w:t>
      </w:r>
      <w:r w:rsidRPr="003216A6">
        <w:t>cancelled</w:t>
      </w:r>
      <w:r w:rsidR="009B5A79" w:rsidRPr="003216A6">
        <w:t xml:space="preserve"> by or under later legislation; and</w:t>
      </w:r>
    </w:p>
    <w:p w:rsidR="009B5A79" w:rsidRPr="003216A6" w:rsidRDefault="00762F86" w:rsidP="003216A6">
      <w:pPr>
        <w:pStyle w:val="paragraph"/>
      </w:pPr>
      <w:r w:rsidRPr="003216A6">
        <w:tab/>
        <w:t>(e</w:t>
      </w:r>
      <w:r w:rsidR="009B5A79" w:rsidRPr="003216A6">
        <w:t>)</w:t>
      </w:r>
      <w:r w:rsidR="009B5A79" w:rsidRPr="003216A6">
        <w:tab/>
        <w:t xml:space="preserve">no compensation is payable if the quota </w:t>
      </w:r>
      <w:r w:rsidRPr="003216A6">
        <w:t xml:space="preserve">is varied, </w:t>
      </w:r>
      <w:r w:rsidR="009B5A79" w:rsidRPr="003216A6">
        <w:t xml:space="preserve">stops being in force or is </w:t>
      </w:r>
      <w:r w:rsidRPr="003216A6">
        <w:t>cancelled</w:t>
      </w:r>
      <w:r w:rsidR="009B5A79" w:rsidRPr="003216A6">
        <w:t xml:space="preserve"> as mentioned in any of the above paragraphs</w:t>
      </w:r>
      <w:r w:rsidR="002F6749" w:rsidRPr="003216A6">
        <w:t>.</w:t>
      </w:r>
    </w:p>
    <w:p w:rsidR="009B5A79" w:rsidRPr="003216A6" w:rsidRDefault="00B13916" w:rsidP="003216A6">
      <w:pPr>
        <w:pStyle w:val="ItemHead"/>
      </w:pPr>
      <w:r w:rsidRPr="003216A6">
        <w:t>48</w:t>
      </w:r>
      <w:r w:rsidR="009B5A79" w:rsidRPr="003216A6">
        <w:t xml:space="preserve">  Application of amendments—HFC quotas and reserve HFC quotas</w:t>
      </w:r>
    </w:p>
    <w:p w:rsidR="009B5A79" w:rsidRPr="003216A6" w:rsidRDefault="009B5A79" w:rsidP="003216A6">
      <w:pPr>
        <w:pStyle w:val="Subitem"/>
      </w:pPr>
      <w:r w:rsidRPr="003216A6">
        <w:t>(1)</w:t>
      </w:r>
      <w:r w:rsidRPr="003216A6">
        <w:tab/>
        <w:t>Division</w:t>
      </w:r>
      <w:r w:rsidR="003216A6" w:rsidRPr="003216A6">
        <w:t> </w:t>
      </w:r>
      <w:r w:rsidRPr="003216A6">
        <w:t>2 of Part</w:t>
      </w:r>
      <w:r w:rsidR="003216A6" w:rsidRPr="003216A6">
        <w:t> </w:t>
      </w:r>
      <w:r w:rsidRPr="003216A6">
        <w:t xml:space="preserve">IVA of the </w:t>
      </w:r>
      <w:r w:rsidRPr="003216A6">
        <w:rPr>
          <w:i/>
        </w:rPr>
        <w:t>Ozone Protection and Synthetic Greenhouse Gas Management Act 1989</w:t>
      </w:r>
      <w:r w:rsidRPr="003216A6">
        <w:t>, as inserted by this Part, applies in relation to 2018 and later calendar years</w:t>
      </w:r>
      <w:r w:rsidR="002F6749" w:rsidRPr="003216A6">
        <w:t>.</w:t>
      </w:r>
    </w:p>
    <w:p w:rsidR="009B5A79" w:rsidRPr="003216A6" w:rsidRDefault="009B5A79" w:rsidP="003216A6">
      <w:pPr>
        <w:pStyle w:val="Subitem"/>
      </w:pPr>
      <w:r w:rsidRPr="003216A6">
        <w:t>(2)</w:t>
      </w:r>
      <w:r w:rsidRPr="003216A6">
        <w:tab/>
        <w:t>A reserve HFC quota must not come into force before 1</w:t>
      </w:r>
      <w:r w:rsidR="003216A6" w:rsidRPr="003216A6">
        <w:t> </w:t>
      </w:r>
      <w:r w:rsidRPr="003216A6">
        <w:t>January 2018</w:t>
      </w:r>
      <w:r w:rsidR="002F6749" w:rsidRPr="003216A6">
        <w:t>.</w:t>
      </w:r>
    </w:p>
    <w:p w:rsidR="009B5A79" w:rsidRPr="003216A6" w:rsidRDefault="00B13916" w:rsidP="003216A6">
      <w:pPr>
        <w:pStyle w:val="ItemHead"/>
      </w:pPr>
      <w:r w:rsidRPr="003216A6">
        <w:t>49</w:t>
      </w:r>
      <w:r w:rsidR="009B5A79" w:rsidRPr="003216A6">
        <w:t xml:space="preserve">  Subsection</w:t>
      </w:r>
      <w:r w:rsidR="003216A6" w:rsidRPr="003216A6">
        <w:t> </w:t>
      </w:r>
      <w:r w:rsidR="009B5A79" w:rsidRPr="003216A6">
        <w:t>50(1A)</w:t>
      </w:r>
    </w:p>
    <w:p w:rsidR="009B5A79" w:rsidRPr="003216A6" w:rsidRDefault="009B5A79" w:rsidP="003216A6">
      <w:pPr>
        <w:pStyle w:val="Item"/>
      </w:pPr>
      <w:r w:rsidRPr="003216A6">
        <w:t>Repeal the subsection, substitute:</w:t>
      </w:r>
    </w:p>
    <w:p w:rsidR="009B5A79" w:rsidRPr="003216A6" w:rsidRDefault="009B5A79" w:rsidP="003216A6">
      <w:pPr>
        <w:pStyle w:val="subsection"/>
      </w:pPr>
      <w:r w:rsidRPr="003216A6">
        <w:tab/>
        <w:t>(1A)</w:t>
      </w:r>
      <w:r w:rsidRPr="003216A6">
        <w:tab/>
        <w:t>An identity card must:</w:t>
      </w:r>
    </w:p>
    <w:p w:rsidR="009B5A79" w:rsidRPr="003216A6" w:rsidRDefault="009B5A79" w:rsidP="003216A6">
      <w:pPr>
        <w:pStyle w:val="paragraph"/>
      </w:pPr>
      <w:r w:rsidRPr="003216A6">
        <w:tab/>
        <w:t>(a)</w:t>
      </w:r>
      <w:r w:rsidRPr="003216A6">
        <w:tab/>
        <w:t>be in the approved form; and</w:t>
      </w:r>
    </w:p>
    <w:p w:rsidR="009B5A79" w:rsidRPr="003216A6" w:rsidRDefault="009B5A79" w:rsidP="003216A6">
      <w:pPr>
        <w:pStyle w:val="paragraph"/>
      </w:pPr>
      <w:r w:rsidRPr="003216A6">
        <w:tab/>
        <w:t>(b)</w:t>
      </w:r>
      <w:r w:rsidRPr="003216A6">
        <w:tab/>
        <w:t>have on it a recent photograph of the person to whom it is issued</w:t>
      </w:r>
      <w:r w:rsidR="002F6749" w:rsidRPr="003216A6">
        <w:t>.</w:t>
      </w:r>
    </w:p>
    <w:p w:rsidR="009B5A79" w:rsidRPr="003216A6" w:rsidRDefault="00B13916" w:rsidP="003216A6">
      <w:pPr>
        <w:pStyle w:val="ItemHead"/>
      </w:pPr>
      <w:r w:rsidRPr="003216A6">
        <w:t>50</w:t>
      </w:r>
      <w:r w:rsidR="009B5A79" w:rsidRPr="003216A6">
        <w:t xml:space="preserve">  Subsection</w:t>
      </w:r>
      <w:r w:rsidR="003216A6" w:rsidRPr="003216A6">
        <w:t> </w:t>
      </w:r>
      <w:r w:rsidR="009B5A79" w:rsidRPr="003216A6">
        <w:t>65AC(4)</w:t>
      </w:r>
    </w:p>
    <w:p w:rsidR="009B5A79" w:rsidRPr="003216A6" w:rsidRDefault="009B5A79" w:rsidP="003216A6">
      <w:pPr>
        <w:pStyle w:val="Item"/>
      </w:pPr>
      <w:r w:rsidRPr="003216A6">
        <w:t xml:space="preserve">Omit </w:t>
      </w:r>
      <w:r w:rsidR="00BF3C85" w:rsidRPr="003216A6">
        <w:t>“</w:t>
      </w:r>
      <w:r w:rsidRPr="003216A6">
        <w:t>subsection</w:t>
      </w:r>
      <w:r w:rsidR="003216A6" w:rsidRPr="003216A6">
        <w:t> </w:t>
      </w:r>
      <w:r w:rsidRPr="003216A6">
        <w:t>13(1A) or (6A) or</w:t>
      </w:r>
      <w:r w:rsidR="00BF3C85" w:rsidRPr="003216A6">
        <w:t>”</w:t>
      </w:r>
      <w:r w:rsidRPr="003216A6">
        <w:t xml:space="preserve">, substitute </w:t>
      </w:r>
      <w:r w:rsidR="00BF3C85" w:rsidRPr="003216A6">
        <w:t>“</w:t>
      </w:r>
      <w:r w:rsidRPr="003216A6">
        <w:t>subparagraph</w:t>
      </w:r>
      <w:r w:rsidR="003216A6" w:rsidRPr="003216A6">
        <w:t> </w:t>
      </w:r>
      <w:r w:rsidR="002F41FD" w:rsidRPr="003216A6">
        <w:t>13(1)(a)(iii),</w:t>
      </w:r>
      <w:r w:rsidRPr="003216A6">
        <w:t xml:space="preserve"> paragraph</w:t>
      </w:r>
      <w:r w:rsidR="003216A6" w:rsidRPr="003216A6">
        <w:t> </w:t>
      </w:r>
      <w:r w:rsidRPr="003216A6">
        <w:t>13(1)(b) or subsection</w:t>
      </w:r>
      <w:r w:rsidR="00BF3C85" w:rsidRPr="003216A6">
        <w:t>”</w:t>
      </w:r>
      <w:r w:rsidR="002F6749" w:rsidRPr="003216A6">
        <w:t>.</w:t>
      </w:r>
    </w:p>
    <w:p w:rsidR="009B5A79" w:rsidRPr="003216A6" w:rsidRDefault="00B13916" w:rsidP="003216A6">
      <w:pPr>
        <w:pStyle w:val="ItemHead"/>
      </w:pPr>
      <w:r w:rsidRPr="003216A6">
        <w:lastRenderedPageBreak/>
        <w:t>51</w:t>
      </w:r>
      <w:r w:rsidR="009B5A79" w:rsidRPr="003216A6">
        <w:t xml:space="preserve">  Subsection</w:t>
      </w:r>
      <w:r w:rsidR="003216A6" w:rsidRPr="003216A6">
        <w:t> </w:t>
      </w:r>
      <w:r w:rsidR="009B5A79" w:rsidRPr="003216A6">
        <w:t>65AC(4A)</w:t>
      </w:r>
    </w:p>
    <w:p w:rsidR="009B5A79" w:rsidRPr="003216A6" w:rsidRDefault="009B5A79" w:rsidP="003216A6">
      <w:pPr>
        <w:pStyle w:val="Item"/>
      </w:pPr>
      <w:r w:rsidRPr="003216A6">
        <w:t xml:space="preserve">Omit </w:t>
      </w:r>
      <w:r w:rsidR="00BF3C85" w:rsidRPr="003216A6">
        <w:t>“</w:t>
      </w:r>
      <w:r w:rsidRPr="003216A6">
        <w:t>subsection</w:t>
      </w:r>
      <w:r w:rsidR="003216A6" w:rsidRPr="003216A6">
        <w:t> </w:t>
      </w:r>
      <w:r w:rsidRPr="003216A6">
        <w:t>13(1A) or (6A)</w:t>
      </w:r>
      <w:r w:rsidR="00BF3C85" w:rsidRPr="003216A6">
        <w:t>”</w:t>
      </w:r>
      <w:r w:rsidRPr="003216A6">
        <w:t xml:space="preserve">, substitute </w:t>
      </w:r>
      <w:r w:rsidR="00BF3C85" w:rsidRPr="003216A6">
        <w:t>“</w:t>
      </w:r>
      <w:r w:rsidRPr="003216A6">
        <w:t>subparagraph</w:t>
      </w:r>
      <w:r w:rsidR="003216A6" w:rsidRPr="003216A6">
        <w:t> </w:t>
      </w:r>
      <w:r w:rsidRPr="003216A6">
        <w:t>13(1)(a)(iii) or paragraph</w:t>
      </w:r>
      <w:r w:rsidR="003216A6" w:rsidRPr="003216A6">
        <w:t> </w:t>
      </w:r>
      <w:r w:rsidRPr="003216A6">
        <w:t>13(1)(b)</w:t>
      </w:r>
      <w:r w:rsidR="00BF3C85" w:rsidRPr="003216A6">
        <w:t>”</w:t>
      </w:r>
      <w:r w:rsidR="002F6749" w:rsidRPr="003216A6">
        <w:t>.</w:t>
      </w:r>
    </w:p>
    <w:p w:rsidR="009B5A79" w:rsidRPr="003216A6" w:rsidRDefault="00B13916" w:rsidP="003216A6">
      <w:pPr>
        <w:pStyle w:val="ItemHead"/>
      </w:pPr>
      <w:r w:rsidRPr="003216A6">
        <w:t>52</w:t>
      </w:r>
      <w:r w:rsidR="009B5A79" w:rsidRPr="003216A6">
        <w:t xml:space="preserve">  After paragraph</w:t>
      </w:r>
      <w:r w:rsidR="003216A6" w:rsidRPr="003216A6">
        <w:t> </w:t>
      </w:r>
      <w:r w:rsidR="009B5A79" w:rsidRPr="003216A6">
        <w:t>66(e)</w:t>
      </w:r>
    </w:p>
    <w:p w:rsidR="009B5A79" w:rsidRPr="003216A6" w:rsidRDefault="009B5A79" w:rsidP="003216A6">
      <w:pPr>
        <w:pStyle w:val="Item"/>
      </w:pPr>
      <w:r w:rsidRPr="003216A6">
        <w:t>Insert:</w:t>
      </w:r>
    </w:p>
    <w:p w:rsidR="009B5A79" w:rsidRPr="003216A6" w:rsidRDefault="009B5A79" w:rsidP="003216A6">
      <w:pPr>
        <w:pStyle w:val="paragraph"/>
      </w:pPr>
      <w:r w:rsidRPr="003216A6">
        <w:tab/>
        <w:t>(ea)</w:t>
      </w:r>
      <w:r w:rsidRPr="003216A6">
        <w:tab/>
        <w:t>a decision to direct a licensee to export a quantity of HCFCs under section</w:t>
      </w:r>
      <w:r w:rsidR="003216A6" w:rsidRPr="003216A6">
        <w:t> </w:t>
      </w:r>
      <w:r w:rsidRPr="003216A6">
        <w:t>35A;</w:t>
      </w:r>
    </w:p>
    <w:p w:rsidR="009B5A79" w:rsidRPr="003216A6" w:rsidRDefault="009B5A79" w:rsidP="003216A6">
      <w:pPr>
        <w:pStyle w:val="paragraph"/>
      </w:pPr>
      <w:r w:rsidRPr="003216A6">
        <w:tab/>
        <w:t>(eb)</w:t>
      </w:r>
      <w:r w:rsidRPr="003216A6">
        <w:tab/>
        <w:t>a decision to direct an SGG licensee to export a quantity of HFCs under section</w:t>
      </w:r>
      <w:r w:rsidR="003216A6" w:rsidRPr="003216A6">
        <w:t> </w:t>
      </w:r>
      <w:r w:rsidR="002F6749" w:rsidRPr="003216A6">
        <w:t>36H</w:t>
      </w:r>
      <w:r w:rsidRPr="003216A6">
        <w:t>;</w:t>
      </w:r>
    </w:p>
    <w:p w:rsidR="009B5A79" w:rsidRPr="003216A6" w:rsidRDefault="00B13916" w:rsidP="003216A6">
      <w:pPr>
        <w:pStyle w:val="ItemHead"/>
      </w:pPr>
      <w:r w:rsidRPr="003216A6">
        <w:t>53</w:t>
      </w:r>
      <w:r w:rsidR="009B5A79" w:rsidRPr="003216A6">
        <w:t xml:space="preserve">  After section</w:t>
      </w:r>
      <w:r w:rsidR="003216A6" w:rsidRPr="003216A6">
        <w:t> </w:t>
      </w:r>
      <w:r w:rsidR="009B5A79" w:rsidRPr="003216A6">
        <w:t>66</w:t>
      </w:r>
    </w:p>
    <w:p w:rsidR="009B5A79" w:rsidRPr="003216A6" w:rsidRDefault="009B5A79" w:rsidP="003216A6">
      <w:pPr>
        <w:pStyle w:val="Item"/>
      </w:pPr>
      <w:r w:rsidRPr="003216A6">
        <w:t>Insert:</w:t>
      </w:r>
    </w:p>
    <w:p w:rsidR="009B5A79" w:rsidRPr="003216A6" w:rsidRDefault="009B5A79" w:rsidP="003216A6">
      <w:pPr>
        <w:pStyle w:val="ActHead5"/>
      </w:pPr>
      <w:bookmarkStart w:id="33" w:name="_Toc486251873"/>
      <w:r w:rsidRPr="003216A6">
        <w:rPr>
          <w:rStyle w:val="CharSectno"/>
        </w:rPr>
        <w:t>66A</w:t>
      </w:r>
      <w:r w:rsidRPr="003216A6">
        <w:t xml:space="preserve">  Approved forms</w:t>
      </w:r>
      <w:bookmarkEnd w:id="33"/>
    </w:p>
    <w:p w:rsidR="009B5A79" w:rsidRPr="003216A6" w:rsidRDefault="009B5A79" w:rsidP="003216A6">
      <w:pPr>
        <w:pStyle w:val="subsection"/>
      </w:pPr>
      <w:r w:rsidRPr="003216A6">
        <w:tab/>
        <w:t>(1)</w:t>
      </w:r>
      <w:r w:rsidRPr="003216A6">
        <w:tab/>
        <w:t>The Minister may, in writing, approve a form for the purposes of a provision of this Act</w:t>
      </w:r>
      <w:r w:rsidR="002F6749" w:rsidRPr="003216A6">
        <w:t>.</w:t>
      </w:r>
    </w:p>
    <w:p w:rsidR="009B5A79" w:rsidRPr="003216A6" w:rsidRDefault="009B5A79" w:rsidP="003216A6">
      <w:pPr>
        <w:pStyle w:val="subsection"/>
      </w:pPr>
      <w:r w:rsidRPr="003216A6">
        <w:tab/>
        <w:t>(2)</w:t>
      </w:r>
      <w:r w:rsidRPr="003216A6">
        <w:tab/>
        <w:t>An approved form of an application may provide for verification by statutory declaration of statements made in the application</w:t>
      </w:r>
      <w:r w:rsidR="002F6749" w:rsidRPr="003216A6">
        <w:t>.</w:t>
      </w:r>
    </w:p>
    <w:p w:rsidR="009B5A79" w:rsidRPr="003216A6" w:rsidRDefault="00B13916" w:rsidP="003216A6">
      <w:pPr>
        <w:pStyle w:val="ItemHead"/>
      </w:pPr>
      <w:r w:rsidRPr="003216A6">
        <w:t>54</w:t>
      </w:r>
      <w:r w:rsidR="009B5A79" w:rsidRPr="003216A6">
        <w:t xml:space="preserve">  Transitional provision—approved forms</w:t>
      </w:r>
    </w:p>
    <w:p w:rsidR="009B5A79" w:rsidRPr="003216A6" w:rsidRDefault="009B5A79" w:rsidP="003216A6">
      <w:pPr>
        <w:pStyle w:val="Item"/>
      </w:pPr>
      <w:r w:rsidRPr="003216A6">
        <w:t>If:</w:t>
      </w:r>
    </w:p>
    <w:p w:rsidR="009B5A79" w:rsidRPr="003216A6" w:rsidRDefault="009B5A79" w:rsidP="003216A6">
      <w:pPr>
        <w:pStyle w:val="paragraph"/>
      </w:pPr>
      <w:r w:rsidRPr="003216A6">
        <w:tab/>
        <w:t>(a)</w:t>
      </w:r>
      <w:r w:rsidRPr="003216A6">
        <w:tab/>
        <w:t xml:space="preserve">the Minister approved a form under a provision of the </w:t>
      </w:r>
      <w:r w:rsidRPr="003216A6">
        <w:rPr>
          <w:i/>
        </w:rPr>
        <w:t>Ozone Protection and Synthetic Greenhouse Gas Management Act 1989</w:t>
      </w:r>
      <w:r w:rsidRPr="003216A6">
        <w:t>; and</w:t>
      </w:r>
    </w:p>
    <w:p w:rsidR="009B5A79" w:rsidRPr="003216A6" w:rsidRDefault="009B5A79" w:rsidP="003216A6">
      <w:pPr>
        <w:pStyle w:val="paragraph"/>
      </w:pPr>
      <w:r w:rsidRPr="003216A6">
        <w:tab/>
        <w:t>(b)</w:t>
      </w:r>
      <w:r w:rsidRPr="003216A6">
        <w:tab/>
        <w:t>the approval was in force immediately before the commencement of this item;</w:t>
      </w:r>
    </w:p>
    <w:p w:rsidR="009B5A79" w:rsidRPr="003216A6" w:rsidRDefault="009B5A79" w:rsidP="003216A6">
      <w:pPr>
        <w:pStyle w:val="subsection2"/>
      </w:pPr>
      <w:r w:rsidRPr="003216A6">
        <w:t>the approval has effect from that commencement as if it had been made under section</w:t>
      </w:r>
      <w:r w:rsidR="003216A6" w:rsidRPr="003216A6">
        <w:t> </w:t>
      </w:r>
      <w:r w:rsidRPr="003216A6">
        <w:t xml:space="preserve">66A of that Act, as amended by this Part, for the purposes of the provision mentioned in </w:t>
      </w:r>
      <w:r w:rsidR="003216A6" w:rsidRPr="003216A6">
        <w:t>paragraph (</w:t>
      </w:r>
      <w:r w:rsidRPr="003216A6">
        <w:t>a) of this item</w:t>
      </w:r>
      <w:r w:rsidR="002F6749" w:rsidRPr="003216A6">
        <w:t>.</w:t>
      </w:r>
    </w:p>
    <w:p w:rsidR="009B5A79" w:rsidRPr="003216A6" w:rsidRDefault="00B13916" w:rsidP="003216A6">
      <w:pPr>
        <w:pStyle w:val="ItemHead"/>
      </w:pPr>
      <w:r w:rsidRPr="003216A6">
        <w:t>55</w:t>
      </w:r>
      <w:r w:rsidR="009B5A79" w:rsidRPr="003216A6">
        <w:t xml:space="preserve">  Part</w:t>
      </w:r>
      <w:r w:rsidR="003216A6" w:rsidRPr="003216A6">
        <w:t> </w:t>
      </w:r>
      <w:r w:rsidR="009B5A79" w:rsidRPr="003216A6">
        <w:t>V of Schedule</w:t>
      </w:r>
      <w:r w:rsidR="003216A6" w:rsidRPr="003216A6">
        <w:t> </w:t>
      </w:r>
      <w:r w:rsidR="009B5A79" w:rsidRPr="003216A6">
        <w:t>1</w:t>
      </w:r>
    </w:p>
    <w:p w:rsidR="009B5A79" w:rsidRPr="003216A6" w:rsidRDefault="009B5A79" w:rsidP="003216A6">
      <w:pPr>
        <w:pStyle w:val="Item"/>
      </w:pPr>
      <w:r w:rsidRPr="003216A6">
        <w:t>Repeal the Part, substitute:</w:t>
      </w:r>
    </w:p>
    <w:p w:rsidR="009B5A79" w:rsidRPr="003216A6" w:rsidRDefault="009B5A79" w:rsidP="003216A6">
      <w:pPr>
        <w:pStyle w:val="ActHead2"/>
      </w:pPr>
      <w:bookmarkStart w:id="34" w:name="_Toc486251874"/>
      <w:r w:rsidRPr="003216A6">
        <w:rPr>
          <w:rStyle w:val="CharPartNo"/>
        </w:rPr>
        <w:lastRenderedPageBreak/>
        <w:t>Part</w:t>
      </w:r>
      <w:r w:rsidR="003216A6" w:rsidRPr="003216A6">
        <w:rPr>
          <w:rStyle w:val="CharPartNo"/>
        </w:rPr>
        <w:t> </w:t>
      </w:r>
      <w:r w:rsidRPr="003216A6">
        <w:rPr>
          <w:rStyle w:val="CharPartNo"/>
        </w:rPr>
        <w:t>V</w:t>
      </w:r>
      <w:r w:rsidRPr="003216A6">
        <w:t>—</w:t>
      </w:r>
      <w:r w:rsidRPr="003216A6">
        <w:rPr>
          <w:rStyle w:val="CharPartText"/>
        </w:rPr>
        <w:t>HCFCs</w:t>
      </w:r>
      <w:bookmarkEnd w:id="34"/>
    </w:p>
    <w:p w:rsidR="00A15871" w:rsidRPr="003216A6" w:rsidRDefault="00A15871" w:rsidP="003216A6">
      <w:pPr>
        <w:pStyle w:val="Header"/>
      </w:pPr>
      <w:r w:rsidRPr="003216A6">
        <w:rPr>
          <w:rStyle w:val="CharDivNo"/>
        </w:rPr>
        <w:t xml:space="preserve"> </w:t>
      </w:r>
      <w:r w:rsidRPr="003216A6">
        <w:rPr>
          <w:rStyle w:val="CharDivText"/>
        </w:rPr>
        <w:t xml:space="preserve"> </w:t>
      </w:r>
    </w:p>
    <w:tbl>
      <w:tblPr>
        <w:tblW w:w="694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09"/>
        <w:gridCol w:w="1559"/>
        <w:gridCol w:w="1559"/>
      </w:tblGrid>
      <w:tr w:rsidR="009B5A79" w:rsidRPr="003216A6" w:rsidTr="001615B0">
        <w:trPr>
          <w:tblHeader/>
        </w:trPr>
        <w:tc>
          <w:tcPr>
            <w:tcW w:w="6941" w:type="dxa"/>
            <w:gridSpan w:val="4"/>
            <w:tcBorders>
              <w:top w:val="single" w:sz="12" w:space="0" w:color="auto"/>
              <w:bottom w:val="single" w:sz="6" w:space="0" w:color="auto"/>
            </w:tcBorders>
            <w:shd w:val="clear" w:color="auto" w:fill="auto"/>
          </w:tcPr>
          <w:p w:rsidR="009B5A79" w:rsidRPr="003216A6" w:rsidRDefault="009B5A79" w:rsidP="003216A6">
            <w:pPr>
              <w:pStyle w:val="TableHeading"/>
            </w:pPr>
            <w:r w:rsidRPr="003216A6">
              <w:t>HCFCs</w:t>
            </w:r>
          </w:p>
        </w:tc>
      </w:tr>
      <w:tr w:rsidR="009B5A79" w:rsidRPr="003216A6" w:rsidTr="001615B0">
        <w:trPr>
          <w:tblHeader/>
        </w:trPr>
        <w:tc>
          <w:tcPr>
            <w:tcW w:w="714"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Item</w:t>
            </w:r>
          </w:p>
        </w:tc>
        <w:tc>
          <w:tcPr>
            <w:tcW w:w="3109"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Column 1</w:t>
            </w:r>
          </w:p>
          <w:p w:rsidR="009B5A79" w:rsidRPr="003216A6" w:rsidRDefault="009B5A79" w:rsidP="003216A6">
            <w:pPr>
              <w:pStyle w:val="TableHeading"/>
            </w:pPr>
            <w:r w:rsidRPr="003216A6">
              <w:t>Substance</w:t>
            </w:r>
          </w:p>
        </w:tc>
        <w:tc>
          <w:tcPr>
            <w:tcW w:w="1559"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Column 2</w:t>
            </w:r>
          </w:p>
          <w:p w:rsidR="009B5A79" w:rsidRPr="003216A6" w:rsidRDefault="009B5A79" w:rsidP="003216A6">
            <w:pPr>
              <w:pStyle w:val="TableHeading"/>
            </w:pPr>
            <w:r w:rsidRPr="003216A6">
              <w:t>Ozone depleting potential</w:t>
            </w:r>
          </w:p>
        </w:tc>
        <w:tc>
          <w:tcPr>
            <w:tcW w:w="1559"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Column 3</w:t>
            </w:r>
          </w:p>
          <w:p w:rsidR="009B5A79" w:rsidRPr="003216A6" w:rsidRDefault="009B5A79" w:rsidP="003216A6">
            <w:pPr>
              <w:pStyle w:val="TableHeading"/>
            </w:pPr>
            <w:r w:rsidRPr="003216A6">
              <w:t>100</w:t>
            </w:r>
            <w:r w:rsidR="00753724">
              <w:noBreakHyphen/>
            </w:r>
            <w:r w:rsidRPr="003216A6">
              <w:t>year global warming potential</w:t>
            </w:r>
          </w:p>
        </w:tc>
      </w:tr>
      <w:tr w:rsidR="009B5A79" w:rsidRPr="003216A6" w:rsidTr="001615B0">
        <w:tc>
          <w:tcPr>
            <w:tcW w:w="714" w:type="dxa"/>
            <w:tcBorders>
              <w:top w:val="single" w:sz="12" w:space="0" w:color="auto"/>
            </w:tcBorders>
            <w:shd w:val="clear" w:color="auto" w:fill="auto"/>
          </w:tcPr>
          <w:p w:rsidR="009B5A79" w:rsidRPr="003216A6" w:rsidRDefault="009B5A79" w:rsidP="003216A6">
            <w:pPr>
              <w:pStyle w:val="Tabletext"/>
            </w:pPr>
            <w:r w:rsidRPr="003216A6">
              <w:t>1</w:t>
            </w:r>
          </w:p>
        </w:tc>
        <w:tc>
          <w:tcPr>
            <w:tcW w:w="3109" w:type="dxa"/>
            <w:tcBorders>
              <w:top w:val="single" w:sz="12" w:space="0" w:color="auto"/>
            </w:tcBorders>
            <w:shd w:val="clear" w:color="auto" w:fill="auto"/>
          </w:tcPr>
          <w:p w:rsidR="009B5A79" w:rsidRPr="003216A6" w:rsidRDefault="009B5A79" w:rsidP="003216A6">
            <w:pPr>
              <w:pStyle w:val="Tabletext"/>
            </w:pPr>
            <w:r w:rsidRPr="003216A6">
              <w:t>CHFCl</w:t>
            </w:r>
            <w:r w:rsidRPr="003216A6">
              <w:rPr>
                <w:sz w:val="16"/>
              </w:rPr>
              <w:t xml:space="preserve">2 </w:t>
            </w:r>
            <w:r w:rsidRPr="003216A6">
              <w:t>(HCFC</w:t>
            </w:r>
            <w:r w:rsidR="00753724">
              <w:noBreakHyphen/>
            </w:r>
            <w:r w:rsidRPr="003216A6">
              <w:t>21)</w:t>
            </w:r>
          </w:p>
        </w:tc>
        <w:tc>
          <w:tcPr>
            <w:tcW w:w="1559" w:type="dxa"/>
            <w:tcBorders>
              <w:top w:val="single" w:sz="12" w:space="0" w:color="auto"/>
            </w:tcBorders>
            <w:shd w:val="clear" w:color="auto" w:fill="auto"/>
          </w:tcPr>
          <w:p w:rsidR="009B5A79" w:rsidRPr="003216A6" w:rsidRDefault="009B5A79" w:rsidP="003216A6">
            <w:pPr>
              <w:pStyle w:val="Tabletext"/>
              <w:jc w:val="right"/>
            </w:pPr>
            <w:r w:rsidRPr="003216A6">
              <w:t>0</w:t>
            </w:r>
            <w:r w:rsidR="002F6749" w:rsidRPr="003216A6">
              <w:t>.</w:t>
            </w:r>
            <w:r w:rsidRPr="003216A6">
              <w:t>04</w:t>
            </w:r>
          </w:p>
        </w:tc>
        <w:tc>
          <w:tcPr>
            <w:tcW w:w="1559" w:type="dxa"/>
            <w:tcBorders>
              <w:top w:val="single" w:sz="12" w:space="0" w:color="auto"/>
            </w:tcBorders>
            <w:shd w:val="clear" w:color="auto" w:fill="auto"/>
          </w:tcPr>
          <w:p w:rsidR="009B5A79" w:rsidRPr="003216A6" w:rsidRDefault="009B5A79" w:rsidP="003216A6">
            <w:pPr>
              <w:pStyle w:val="Tabletext"/>
              <w:jc w:val="right"/>
            </w:pPr>
            <w:r w:rsidRPr="003216A6">
              <w:t>151</w:t>
            </w:r>
          </w:p>
        </w:tc>
      </w:tr>
      <w:tr w:rsidR="009B5A79" w:rsidRPr="003216A6" w:rsidTr="001615B0">
        <w:tc>
          <w:tcPr>
            <w:tcW w:w="714" w:type="dxa"/>
            <w:shd w:val="clear" w:color="auto" w:fill="auto"/>
          </w:tcPr>
          <w:p w:rsidR="009B5A79" w:rsidRPr="003216A6" w:rsidRDefault="009B5A79" w:rsidP="003216A6">
            <w:pPr>
              <w:pStyle w:val="Tabletext"/>
            </w:pPr>
            <w:r w:rsidRPr="003216A6">
              <w:t>2</w:t>
            </w:r>
          </w:p>
        </w:tc>
        <w:tc>
          <w:tcPr>
            <w:tcW w:w="3109" w:type="dxa"/>
            <w:shd w:val="clear" w:color="auto" w:fill="auto"/>
          </w:tcPr>
          <w:p w:rsidR="009B5A79" w:rsidRPr="003216A6" w:rsidRDefault="009B5A79" w:rsidP="003216A6">
            <w:pPr>
              <w:pStyle w:val="Tabletext"/>
            </w:pPr>
            <w:r w:rsidRPr="003216A6">
              <w:t>CHF</w:t>
            </w:r>
            <w:r w:rsidRPr="003216A6">
              <w:rPr>
                <w:sz w:val="16"/>
              </w:rPr>
              <w:t>2</w:t>
            </w:r>
            <w:r w:rsidRPr="003216A6">
              <w:t>Cl (HCFC</w:t>
            </w:r>
            <w:r w:rsidR="00753724">
              <w:noBreakHyphen/>
            </w:r>
            <w:r w:rsidR="00A15871" w:rsidRPr="003216A6">
              <w:t>22)</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055</w:t>
            </w:r>
          </w:p>
        </w:tc>
        <w:tc>
          <w:tcPr>
            <w:tcW w:w="1559" w:type="dxa"/>
            <w:shd w:val="clear" w:color="auto" w:fill="auto"/>
          </w:tcPr>
          <w:p w:rsidR="009B5A79" w:rsidRPr="003216A6" w:rsidRDefault="009B5A79" w:rsidP="003216A6">
            <w:pPr>
              <w:pStyle w:val="Tabletext"/>
              <w:jc w:val="right"/>
            </w:pPr>
            <w:r w:rsidRPr="003216A6">
              <w:t>1,810</w:t>
            </w:r>
          </w:p>
        </w:tc>
      </w:tr>
      <w:tr w:rsidR="009B5A79" w:rsidRPr="003216A6" w:rsidTr="001615B0">
        <w:tc>
          <w:tcPr>
            <w:tcW w:w="714" w:type="dxa"/>
            <w:shd w:val="clear" w:color="auto" w:fill="auto"/>
          </w:tcPr>
          <w:p w:rsidR="009B5A79" w:rsidRPr="003216A6" w:rsidRDefault="009B5A79" w:rsidP="003216A6">
            <w:pPr>
              <w:pStyle w:val="Tabletext"/>
            </w:pPr>
            <w:r w:rsidRPr="003216A6">
              <w:t>3</w:t>
            </w:r>
          </w:p>
        </w:tc>
        <w:tc>
          <w:tcPr>
            <w:tcW w:w="3109" w:type="dxa"/>
            <w:shd w:val="clear" w:color="auto" w:fill="auto"/>
          </w:tcPr>
          <w:p w:rsidR="009B5A79" w:rsidRPr="003216A6" w:rsidRDefault="009B5A79" w:rsidP="003216A6">
            <w:pPr>
              <w:pStyle w:val="Tabletext"/>
            </w:pPr>
            <w:r w:rsidRPr="003216A6">
              <w:t>CH</w:t>
            </w:r>
            <w:r w:rsidRPr="003216A6">
              <w:rPr>
                <w:sz w:val="16"/>
              </w:rPr>
              <w:t>2</w:t>
            </w:r>
            <w:r w:rsidRPr="003216A6">
              <w:t>FCl (HCFC</w:t>
            </w:r>
            <w:r w:rsidR="00753724">
              <w:noBreakHyphen/>
            </w:r>
            <w:r w:rsidRPr="003216A6">
              <w:t>31)</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02</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4</w:t>
            </w:r>
          </w:p>
        </w:tc>
        <w:tc>
          <w:tcPr>
            <w:tcW w:w="3109" w:type="dxa"/>
            <w:shd w:val="clear" w:color="auto" w:fill="auto"/>
          </w:tcPr>
          <w:p w:rsidR="009B5A79" w:rsidRPr="003216A6" w:rsidRDefault="009B5A79" w:rsidP="003216A6">
            <w:pPr>
              <w:pStyle w:val="Tabletext"/>
            </w:pPr>
            <w:r w:rsidRPr="003216A6">
              <w:t>C</w:t>
            </w:r>
            <w:r w:rsidRPr="003216A6">
              <w:rPr>
                <w:sz w:val="16"/>
              </w:rPr>
              <w:t>2</w:t>
            </w:r>
            <w:r w:rsidRPr="003216A6">
              <w:t>HFCl</w:t>
            </w:r>
            <w:r w:rsidRPr="003216A6">
              <w:rPr>
                <w:sz w:val="16"/>
              </w:rPr>
              <w:t>4</w:t>
            </w:r>
            <w:r w:rsidRPr="003216A6">
              <w:t xml:space="preserve"> (HCFC</w:t>
            </w:r>
            <w:r w:rsidR="00753724">
              <w:noBreakHyphen/>
            </w:r>
            <w:r w:rsidRPr="003216A6">
              <w:t>121)</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04</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5</w:t>
            </w:r>
          </w:p>
        </w:tc>
        <w:tc>
          <w:tcPr>
            <w:tcW w:w="3109" w:type="dxa"/>
            <w:shd w:val="clear" w:color="auto" w:fill="auto"/>
          </w:tcPr>
          <w:p w:rsidR="009B5A79" w:rsidRPr="003216A6" w:rsidRDefault="009B5A79" w:rsidP="003216A6">
            <w:pPr>
              <w:pStyle w:val="Tabletext"/>
            </w:pPr>
            <w:r w:rsidRPr="003216A6">
              <w:t>C</w:t>
            </w:r>
            <w:r w:rsidRPr="003216A6">
              <w:rPr>
                <w:sz w:val="16"/>
              </w:rPr>
              <w:t>2</w:t>
            </w:r>
            <w:r w:rsidRPr="003216A6">
              <w:t>HF</w:t>
            </w:r>
            <w:r w:rsidRPr="003216A6">
              <w:rPr>
                <w:sz w:val="16"/>
              </w:rPr>
              <w:t>2</w:t>
            </w:r>
            <w:r w:rsidRPr="003216A6">
              <w:t>Cl</w:t>
            </w:r>
            <w:r w:rsidRPr="003216A6">
              <w:rPr>
                <w:sz w:val="16"/>
              </w:rPr>
              <w:t xml:space="preserve">3 </w:t>
            </w:r>
            <w:r w:rsidRPr="003216A6">
              <w:t>(HCFC</w:t>
            </w:r>
            <w:r w:rsidR="00753724">
              <w:noBreakHyphen/>
            </w:r>
            <w:r w:rsidRPr="003216A6">
              <w:t>122)</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08</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6</w:t>
            </w:r>
          </w:p>
        </w:tc>
        <w:tc>
          <w:tcPr>
            <w:tcW w:w="3109" w:type="dxa"/>
            <w:shd w:val="clear" w:color="auto" w:fill="auto"/>
          </w:tcPr>
          <w:p w:rsidR="009B5A79" w:rsidRPr="003216A6" w:rsidRDefault="009B5A79" w:rsidP="003216A6">
            <w:pPr>
              <w:pStyle w:val="Tabletext"/>
            </w:pPr>
            <w:r w:rsidRPr="003216A6">
              <w:t>C</w:t>
            </w:r>
            <w:r w:rsidRPr="003216A6">
              <w:rPr>
                <w:sz w:val="16"/>
              </w:rPr>
              <w:t>2</w:t>
            </w:r>
            <w:r w:rsidRPr="003216A6">
              <w:t>HF</w:t>
            </w:r>
            <w:r w:rsidRPr="003216A6">
              <w:rPr>
                <w:sz w:val="16"/>
              </w:rPr>
              <w:t>3</w:t>
            </w:r>
            <w:r w:rsidRPr="003216A6">
              <w:t>Cl</w:t>
            </w:r>
            <w:r w:rsidRPr="003216A6">
              <w:rPr>
                <w:sz w:val="16"/>
              </w:rPr>
              <w:t xml:space="preserve">2 </w:t>
            </w:r>
            <w:r w:rsidRPr="003216A6">
              <w:t>(HCFC</w:t>
            </w:r>
            <w:r w:rsidR="00753724">
              <w:noBreakHyphen/>
            </w:r>
            <w:r w:rsidRPr="003216A6">
              <w:t>123)</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06</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7</w:t>
            </w:r>
          </w:p>
        </w:tc>
        <w:tc>
          <w:tcPr>
            <w:tcW w:w="3109" w:type="dxa"/>
            <w:shd w:val="clear" w:color="auto" w:fill="auto"/>
          </w:tcPr>
          <w:p w:rsidR="009B5A79" w:rsidRPr="003216A6" w:rsidRDefault="009B5A79" w:rsidP="003216A6">
            <w:pPr>
              <w:pStyle w:val="Tabletext"/>
            </w:pPr>
            <w:r w:rsidRPr="003216A6">
              <w:t>CHCl</w:t>
            </w:r>
            <w:r w:rsidRPr="003216A6">
              <w:rPr>
                <w:sz w:val="16"/>
              </w:rPr>
              <w:t>2</w:t>
            </w:r>
            <w:r w:rsidRPr="003216A6">
              <w:t>CF</w:t>
            </w:r>
            <w:r w:rsidRPr="003216A6">
              <w:rPr>
                <w:sz w:val="16"/>
              </w:rPr>
              <w:t xml:space="preserve">3 </w:t>
            </w:r>
            <w:r w:rsidRPr="003216A6">
              <w:t>(HCFC</w:t>
            </w:r>
            <w:r w:rsidR="00753724">
              <w:noBreakHyphen/>
            </w:r>
            <w:r w:rsidRPr="003216A6">
              <w:t>123)</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02</w:t>
            </w:r>
          </w:p>
        </w:tc>
        <w:tc>
          <w:tcPr>
            <w:tcW w:w="1559" w:type="dxa"/>
            <w:shd w:val="clear" w:color="auto" w:fill="auto"/>
          </w:tcPr>
          <w:p w:rsidR="009B5A79" w:rsidRPr="003216A6" w:rsidRDefault="009B5A79" w:rsidP="003216A6">
            <w:pPr>
              <w:pStyle w:val="Tabletext"/>
              <w:jc w:val="right"/>
            </w:pPr>
            <w:r w:rsidRPr="003216A6">
              <w:t>77</w:t>
            </w:r>
          </w:p>
        </w:tc>
      </w:tr>
      <w:tr w:rsidR="009B5A79" w:rsidRPr="003216A6" w:rsidTr="001615B0">
        <w:tc>
          <w:tcPr>
            <w:tcW w:w="714" w:type="dxa"/>
            <w:shd w:val="clear" w:color="auto" w:fill="auto"/>
          </w:tcPr>
          <w:p w:rsidR="009B5A79" w:rsidRPr="003216A6" w:rsidRDefault="009B5A79" w:rsidP="003216A6">
            <w:pPr>
              <w:pStyle w:val="Tabletext"/>
            </w:pPr>
            <w:r w:rsidRPr="003216A6">
              <w:t>8</w:t>
            </w:r>
          </w:p>
        </w:tc>
        <w:tc>
          <w:tcPr>
            <w:tcW w:w="3109" w:type="dxa"/>
            <w:shd w:val="clear" w:color="auto" w:fill="auto"/>
          </w:tcPr>
          <w:p w:rsidR="009B5A79" w:rsidRPr="003216A6" w:rsidRDefault="009B5A79" w:rsidP="003216A6">
            <w:pPr>
              <w:pStyle w:val="Tabletext"/>
            </w:pPr>
            <w:r w:rsidRPr="003216A6">
              <w:t>C</w:t>
            </w:r>
            <w:r w:rsidRPr="003216A6">
              <w:rPr>
                <w:sz w:val="16"/>
              </w:rPr>
              <w:t>2</w:t>
            </w:r>
            <w:r w:rsidRPr="003216A6">
              <w:t>HF</w:t>
            </w:r>
            <w:r w:rsidRPr="003216A6">
              <w:rPr>
                <w:sz w:val="16"/>
              </w:rPr>
              <w:t>4</w:t>
            </w:r>
            <w:r w:rsidRPr="003216A6">
              <w:t>Cl (HCFC</w:t>
            </w:r>
            <w:r w:rsidR="00753724">
              <w:noBreakHyphen/>
            </w:r>
            <w:r w:rsidRPr="003216A6">
              <w:t>124)</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04</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9</w:t>
            </w:r>
          </w:p>
        </w:tc>
        <w:tc>
          <w:tcPr>
            <w:tcW w:w="3109" w:type="dxa"/>
            <w:shd w:val="clear" w:color="auto" w:fill="auto"/>
          </w:tcPr>
          <w:p w:rsidR="009B5A79" w:rsidRPr="003216A6" w:rsidRDefault="009B5A79" w:rsidP="003216A6">
            <w:pPr>
              <w:pStyle w:val="Tabletext"/>
            </w:pPr>
            <w:r w:rsidRPr="003216A6">
              <w:t>CHFClCF</w:t>
            </w:r>
            <w:r w:rsidRPr="003216A6">
              <w:rPr>
                <w:sz w:val="16"/>
              </w:rPr>
              <w:t xml:space="preserve">3 </w:t>
            </w:r>
            <w:r w:rsidRPr="003216A6">
              <w:t>(HCFC</w:t>
            </w:r>
            <w:r w:rsidR="00753724">
              <w:noBreakHyphen/>
            </w:r>
            <w:r w:rsidRPr="003216A6">
              <w:t>124)</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022</w:t>
            </w:r>
          </w:p>
        </w:tc>
        <w:tc>
          <w:tcPr>
            <w:tcW w:w="1559" w:type="dxa"/>
            <w:shd w:val="clear" w:color="auto" w:fill="auto"/>
          </w:tcPr>
          <w:p w:rsidR="009B5A79" w:rsidRPr="003216A6" w:rsidRDefault="009B5A79" w:rsidP="003216A6">
            <w:pPr>
              <w:pStyle w:val="Tabletext"/>
              <w:jc w:val="right"/>
            </w:pPr>
            <w:r w:rsidRPr="003216A6">
              <w:t>609</w:t>
            </w:r>
          </w:p>
        </w:tc>
      </w:tr>
      <w:tr w:rsidR="009B5A79" w:rsidRPr="003216A6" w:rsidTr="001615B0">
        <w:tc>
          <w:tcPr>
            <w:tcW w:w="714" w:type="dxa"/>
            <w:shd w:val="clear" w:color="auto" w:fill="auto"/>
          </w:tcPr>
          <w:p w:rsidR="009B5A79" w:rsidRPr="003216A6" w:rsidRDefault="009B5A79" w:rsidP="003216A6">
            <w:pPr>
              <w:pStyle w:val="Tabletext"/>
            </w:pPr>
            <w:r w:rsidRPr="003216A6">
              <w:t>10</w:t>
            </w:r>
          </w:p>
        </w:tc>
        <w:tc>
          <w:tcPr>
            <w:tcW w:w="3109" w:type="dxa"/>
            <w:shd w:val="clear" w:color="auto" w:fill="auto"/>
          </w:tcPr>
          <w:p w:rsidR="009B5A79" w:rsidRPr="003216A6" w:rsidRDefault="009B5A79" w:rsidP="003216A6">
            <w:pPr>
              <w:pStyle w:val="Tabletext"/>
            </w:pPr>
            <w:r w:rsidRPr="003216A6">
              <w:t>C</w:t>
            </w:r>
            <w:r w:rsidRPr="003216A6">
              <w:rPr>
                <w:sz w:val="16"/>
              </w:rPr>
              <w:t>2</w:t>
            </w:r>
            <w:r w:rsidRPr="003216A6">
              <w:t>H</w:t>
            </w:r>
            <w:r w:rsidRPr="003216A6">
              <w:rPr>
                <w:sz w:val="16"/>
              </w:rPr>
              <w:t>2</w:t>
            </w:r>
            <w:r w:rsidRPr="003216A6">
              <w:t>FCl</w:t>
            </w:r>
            <w:r w:rsidRPr="003216A6">
              <w:rPr>
                <w:sz w:val="16"/>
              </w:rPr>
              <w:t xml:space="preserve">3 </w:t>
            </w:r>
            <w:r w:rsidRPr="003216A6">
              <w:t>(HCFC</w:t>
            </w:r>
            <w:r w:rsidR="00753724">
              <w:noBreakHyphen/>
            </w:r>
            <w:r w:rsidRPr="003216A6">
              <w:t>131)</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05</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11</w:t>
            </w:r>
          </w:p>
        </w:tc>
        <w:tc>
          <w:tcPr>
            <w:tcW w:w="3109" w:type="dxa"/>
            <w:shd w:val="clear" w:color="auto" w:fill="auto"/>
          </w:tcPr>
          <w:p w:rsidR="009B5A79" w:rsidRPr="003216A6" w:rsidRDefault="009B5A79" w:rsidP="003216A6">
            <w:pPr>
              <w:pStyle w:val="Tabletext"/>
            </w:pPr>
            <w:r w:rsidRPr="003216A6">
              <w:t>C</w:t>
            </w:r>
            <w:r w:rsidRPr="003216A6">
              <w:rPr>
                <w:sz w:val="16"/>
              </w:rPr>
              <w:t>2</w:t>
            </w:r>
            <w:r w:rsidRPr="003216A6">
              <w:t>H</w:t>
            </w:r>
            <w:r w:rsidRPr="003216A6">
              <w:rPr>
                <w:sz w:val="16"/>
              </w:rPr>
              <w:t>2</w:t>
            </w:r>
            <w:r w:rsidRPr="003216A6">
              <w:t>F</w:t>
            </w:r>
            <w:r w:rsidRPr="003216A6">
              <w:rPr>
                <w:sz w:val="16"/>
              </w:rPr>
              <w:t>2</w:t>
            </w:r>
            <w:r w:rsidRPr="003216A6">
              <w:t>Cl</w:t>
            </w:r>
            <w:r w:rsidRPr="003216A6">
              <w:rPr>
                <w:sz w:val="16"/>
              </w:rPr>
              <w:t xml:space="preserve">2 </w:t>
            </w:r>
            <w:r w:rsidRPr="003216A6">
              <w:t>(HCFC</w:t>
            </w:r>
            <w:r w:rsidR="00753724">
              <w:noBreakHyphen/>
            </w:r>
            <w:r w:rsidRPr="003216A6">
              <w:t>132)</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05</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12</w:t>
            </w:r>
          </w:p>
        </w:tc>
        <w:tc>
          <w:tcPr>
            <w:tcW w:w="3109" w:type="dxa"/>
            <w:shd w:val="clear" w:color="auto" w:fill="auto"/>
          </w:tcPr>
          <w:p w:rsidR="009B5A79" w:rsidRPr="003216A6" w:rsidRDefault="009B5A79" w:rsidP="003216A6">
            <w:pPr>
              <w:pStyle w:val="Tabletext"/>
            </w:pPr>
            <w:r w:rsidRPr="003216A6">
              <w:t>C</w:t>
            </w:r>
            <w:r w:rsidRPr="003216A6">
              <w:rPr>
                <w:sz w:val="16"/>
              </w:rPr>
              <w:t>2</w:t>
            </w:r>
            <w:r w:rsidRPr="003216A6">
              <w:t>H</w:t>
            </w:r>
            <w:r w:rsidRPr="003216A6">
              <w:rPr>
                <w:sz w:val="16"/>
              </w:rPr>
              <w:t>2</w:t>
            </w:r>
            <w:r w:rsidRPr="003216A6">
              <w:t>F</w:t>
            </w:r>
            <w:r w:rsidRPr="003216A6">
              <w:rPr>
                <w:sz w:val="16"/>
              </w:rPr>
              <w:t>3</w:t>
            </w:r>
            <w:r w:rsidRPr="003216A6">
              <w:t>Cl (HCFC</w:t>
            </w:r>
            <w:r w:rsidR="00753724">
              <w:noBreakHyphen/>
            </w:r>
            <w:r w:rsidRPr="003216A6">
              <w:t>133)</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06</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13</w:t>
            </w:r>
          </w:p>
        </w:tc>
        <w:tc>
          <w:tcPr>
            <w:tcW w:w="3109" w:type="dxa"/>
            <w:shd w:val="clear" w:color="auto" w:fill="auto"/>
          </w:tcPr>
          <w:p w:rsidR="009B5A79" w:rsidRPr="003216A6" w:rsidRDefault="009B5A79" w:rsidP="003216A6">
            <w:pPr>
              <w:pStyle w:val="Tabletext"/>
            </w:pPr>
            <w:r w:rsidRPr="003216A6">
              <w:t>C</w:t>
            </w:r>
            <w:r w:rsidRPr="003216A6">
              <w:rPr>
                <w:sz w:val="16"/>
              </w:rPr>
              <w:t>2</w:t>
            </w:r>
            <w:r w:rsidRPr="003216A6">
              <w:t>H</w:t>
            </w:r>
            <w:r w:rsidRPr="003216A6">
              <w:rPr>
                <w:sz w:val="16"/>
              </w:rPr>
              <w:t>3</w:t>
            </w:r>
            <w:r w:rsidRPr="003216A6">
              <w:t>FCl</w:t>
            </w:r>
            <w:r w:rsidRPr="003216A6">
              <w:rPr>
                <w:sz w:val="16"/>
              </w:rPr>
              <w:t>2</w:t>
            </w:r>
            <w:r w:rsidRPr="003216A6">
              <w:t xml:space="preserve"> (HCFC</w:t>
            </w:r>
            <w:r w:rsidR="00753724">
              <w:noBreakHyphen/>
            </w:r>
            <w:r w:rsidRPr="003216A6">
              <w:t>141)</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07</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14</w:t>
            </w:r>
          </w:p>
        </w:tc>
        <w:tc>
          <w:tcPr>
            <w:tcW w:w="3109" w:type="dxa"/>
            <w:shd w:val="clear" w:color="auto" w:fill="auto"/>
          </w:tcPr>
          <w:p w:rsidR="009B5A79" w:rsidRPr="003216A6" w:rsidRDefault="009B5A79" w:rsidP="003216A6">
            <w:pPr>
              <w:pStyle w:val="Tabletext"/>
              <w:keepNext/>
              <w:keepLines/>
            </w:pPr>
            <w:r w:rsidRPr="003216A6">
              <w:t>CH</w:t>
            </w:r>
            <w:r w:rsidRPr="003216A6">
              <w:rPr>
                <w:sz w:val="16"/>
              </w:rPr>
              <w:t>3</w:t>
            </w:r>
            <w:r w:rsidRPr="003216A6">
              <w:t>CFCl</w:t>
            </w:r>
            <w:r w:rsidRPr="003216A6">
              <w:rPr>
                <w:sz w:val="16"/>
              </w:rPr>
              <w:t>2</w:t>
            </w:r>
            <w:r w:rsidRPr="003216A6">
              <w:t xml:space="preserve"> (HCFC</w:t>
            </w:r>
            <w:r w:rsidR="00753724">
              <w:noBreakHyphen/>
            </w:r>
            <w:r w:rsidRPr="003216A6">
              <w:t>141b)</w:t>
            </w:r>
          </w:p>
        </w:tc>
        <w:tc>
          <w:tcPr>
            <w:tcW w:w="1559" w:type="dxa"/>
            <w:shd w:val="clear" w:color="auto" w:fill="auto"/>
          </w:tcPr>
          <w:p w:rsidR="009B5A79" w:rsidRPr="003216A6" w:rsidRDefault="009B5A79" w:rsidP="003216A6">
            <w:pPr>
              <w:pStyle w:val="Tabletext"/>
              <w:keepNext/>
              <w:keepLines/>
              <w:jc w:val="right"/>
            </w:pPr>
            <w:r w:rsidRPr="003216A6">
              <w:t>0</w:t>
            </w:r>
            <w:r w:rsidR="002F6749" w:rsidRPr="003216A6">
              <w:t>.</w:t>
            </w:r>
            <w:r w:rsidRPr="003216A6">
              <w:t>11</w:t>
            </w:r>
          </w:p>
        </w:tc>
        <w:tc>
          <w:tcPr>
            <w:tcW w:w="1559" w:type="dxa"/>
            <w:shd w:val="clear" w:color="auto" w:fill="auto"/>
          </w:tcPr>
          <w:p w:rsidR="009B5A79" w:rsidRPr="003216A6" w:rsidRDefault="009B5A79" w:rsidP="003216A6">
            <w:pPr>
              <w:pStyle w:val="Tabletext"/>
              <w:keepNext/>
              <w:keepLines/>
              <w:jc w:val="right"/>
            </w:pPr>
            <w:r w:rsidRPr="003216A6">
              <w:t>725</w:t>
            </w:r>
          </w:p>
        </w:tc>
      </w:tr>
      <w:tr w:rsidR="009B5A79" w:rsidRPr="003216A6" w:rsidTr="001615B0">
        <w:tc>
          <w:tcPr>
            <w:tcW w:w="714" w:type="dxa"/>
            <w:shd w:val="clear" w:color="auto" w:fill="auto"/>
          </w:tcPr>
          <w:p w:rsidR="009B5A79" w:rsidRPr="003216A6" w:rsidRDefault="009B5A79" w:rsidP="003216A6">
            <w:pPr>
              <w:pStyle w:val="Tabletext"/>
            </w:pPr>
            <w:r w:rsidRPr="003216A6">
              <w:t>15</w:t>
            </w:r>
          </w:p>
        </w:tc>
        <w:tc>
          <w:tcPr>
            <w:tcW w:w="3109" w:type="dxa"/>
            <w:shd w:val="clear" w:color="auto" w:fill="auto"/>
          </w:tcPr>
          <w:p w:rsidR="009B5A79" w:rsidRPr="003216A6" w:rsidRDefault="009B5A79" w:rsidP="003216A6">
            <w:pPr>
              <w:pStyle w:val="Tabletext"/>
              <w:keepNext/>
              <w:keepLines/>
            </w:pPr>
            <w:r w:rsidRPr="003216A6">
              <w:t>C</w:t>
            </w:r>
            <w:r w:rsidRPr="003216A6">
              <w:rPr>
                <w:sz w:val="16"/>
              </w:rPr>
              <w:t>2</w:t>
            </w:r>
            <w:r w:rsidRPr="003216A6">
              <w:t>H</w:t>
            </w:r>
            <w:r w:rsidRPr="003216A6">
              <w:rPr>
                <w:sz w:val="16"/>
              </w:rPr>
              <w:t>3</w:t>
            </w:r>
            <w:r w:rsidRPr="003216A6">
              <w:t>F</w:t>
            </w:r>
            <w:r w:rsidRPr="003216A6">
              <w:rPr>
                <w:sz w:val="16"/>
              </w:rPr>
              <w:t>2</w:t>
            </w:r>
            <w:r w:rsidRPr="003216A6">
              <w:t>Cl (HCFC</w:t>
            </w:r>
            <w:r w:rsidR="00753724">
              <w:noBreakHyphen/>
            </w:r>
            <w:r w:rsidRPr="003216A6">
              <w:t>142)</w:t>
            </w:r>
          </w:p>
        </w:tc>
        <w:tc>
          <w:tcPr>
            <w:tcW w:w="1559" w:type="dxa"/>
            <w:shd w:val="clear" w:color="auto" w:fill="auto"/>
          </w:tcPr>
          <w:p w:rsidR="009B5A79" w:rsidRPr="003216A6" w:rsidRDefault="009B5A79" w:rsidP="003216A6">
            <w:pPr>
              <w:pStyle w:val="Tabletext"/>
              <w:keepNext/>
              <w:keepLines/>
              <w:jc w:val="right"/>
            </w:pPr>
            <w:r w:rsidRPr="003216A6">
              <w:t>0</w:t>
            </w:r>
            <w:r w:rsidR="002F6749" w:rsidRPr="003216A6">
              <w:t>.</w:t>
            </w:r>
            <w:r w:rsidRPr="003216A6">
              <w:t>07</w:t>
            </w:r>
          </w:p>
        </w:tc>
        <w:tc>
          <w:tcPr>
            <w:tcW w:w="1559" w:type="dxa"/>
            <w:shd w:val="clear" w:color="auto" w:fill="auto"/>
          </w:tcPr>
          <w:p w:rsidR="009B5A79" w:rsidRPr="003216A6" w:rsidRDefault="009B5A79" w:rsidP="003216A6">
            <w:pPr>
              <w:pStyle w:val="Tabletext"/>
              <w:keepNext/>
              <w:keepLines/>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16</w:t>
            </w:r>
          </w:p>
        </w:tc>
        <w:tc>
          <w:tcPr>
            <w:tcW w:w="3109" w:type="dxa"/>
            <w:shd w:val="clear" w:color="auto" w:fill="auto"/>
          </w:tcPr>
          <w:p w:rsidR="009B5A79" w:rsidRPr="003216A6" w:rsidRDefault="009B5A79" w:rsidP="003216A6">
            <w:pPr>
              <w:pStyle w:val="Tabletext"/>
            </w:pPr>
            <w:r w:rsidRPr="003216A6">
              <w:t>CH</w:t>
            </w:r>
            <w:r w:rsidRPr="003216A6">
              <w:rPr>
                <w:sz w:val="16"/>
              </w:rPr>
              <w:t>3</w:t>
            </w:r>
            <w:r w:rsidRPr="003216A6">
              <w:t>CF</w:t>
            </w:r>
            <w:r w:rsidRPr="003216A6">
              <w:rPr>
                <w:sz w:val="16"/>
              </w:rPr>
              <w:t>2</w:t>
            </w:r>
            <w:r w:rsidRPr="003216A6">
              <w:t>Cl (HCFC</w:t>
            </w:r>
            <w:r w:rsidR="00753724">
              <w:noBreakHyphen/>
            </w:r>
            <w:r w:rsidRPr="003216A6">
              <w:t>142b)</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065</w:t>
            </w:r>
          </w:p>
        </w:tc>
        <w:tc>
          <w:tcPr>
            <w:tcW w:w="1559" w:type="dxa"/>
            <w:shd w:val="clear" w:color="auto" w:fill="auto"/>
          </w:tcPr>
          <w:p w:rsidR="009B5A79" w:rsidRPr="003216A6" w:rsidRDefault="009B5A79" w:rsidP="003216A6">
            <w:pPr>
              <w:pStyle w:val="Tabletext"/>
              <w:jc w:val="right"/>
            </w:pPr>
            <w:r w:rsidRPr="003216A6">
              <w:t>2,310</w:t>
            </w:r>
          </w:p>
        </w:tc>
      </w:tr>
      <w:tr w:rsidR="009B5A79" w:rsidRPr="003216A6" w:rsidTr="001615B0">
        <w:tc>
          <w:tcPr>
            <w:tcW w:w="714" w:type="dxa"/>
            <w:shd w:val="clear" w:color="auto" w:fill="auto"/>
          </w:tcPr>
          <w:p w:rsidR="009B5A79" w:rsidRPr="003216A6" w:rsidRDefault="009B5A79" w:rsidP="003216A6">
            <w:pPr>
              <w:pStyle w:val="Tabletext"/>
            </w:pPr>
            <w:r w:rsidRPr="003216A6">
              <w:t>17</w:t>
            </w:r>
          </w:p>
        </w:tc>
        <w:tc>
          <w:tcPr>
            <w:tcW w:w="3109" w:type="dxa"/>
            <w:shd w:val="clear" w:color="auto" w:fill="auto"/>
          </w:tcPr>
          <w:p w:rsidR="009B5A79" w:rsidRPr="003216A6" w:rsidRDefault="009B5A79" w:rsidP="003216A6">
            <w:pPr>
              <w:pStyle w:val="Tabletext"/>
            </w:pPr>
            <w:r w:rsidRPr="003216A6">
              <w:t>C</w:t>
            </w:r>
            <w:r w:rsidRPr="003216A6">
              <w:rPr>
                <w:sz w:val="16"/>
              </w:rPr>
              <w:t>2</w:t>
            </w:r>
            <w:r w:rsidRPr="003216A6">
              <w:t>H</w:t>
            </w:r>
            <w:r w:rsidRPr="003216A6">
              <w:rPr>
                <w:sz w:val="16"/>
              </w:rPr>
              <w:t>4</w:t>
            </w:r>
            <w:r w:rsidRPr="003216A6">
              <w:t>FCl (HCFC</w:t>
            </w:r>
            <w:r w:rsidR="00753724">
              <w:noBreakHyphen/>
            </w:r>
            <w:r w:rsidRPr="003216A6">
              <w:t>151)</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005</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18</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HFCl</w:t>
            </w:r>
            <w:r w:rsidRPr="003216A6">
              <w:rPr>
                <w:sz w:val="16"/>
              </w:rPr>
              <w:t xml:space="preserve">6 </w:t>
            </w:r>
            <w:r w:rsidRPr="003216A6">
              <w:t>(HCFC</w:t>
            </w:r>
            <w:r w:rsidR="00753724">
              <w:noBreakHyphen/>
            </w:r>
            <w:r w:rsidRPr="003216A6">
              <w:t>221)</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07</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19</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HF</w:t>
            </w:r>
            <w:r w:rsidRPr="003216A6">
              <w:rPr>
                <w:sz w:val="16"/>
              </w:rPr>
              <w:t>2</w:t>
            </w:r>
            <w:r w:rsidRPr="003216A6">
              <w:t>Cl</w:t>
            </w:r>
            <w:r w:rsidRPr="003216A6">
              <w:rPr>
                <w:sz w:val="16"/>
              </w:rPr>
              <w:t xml:space="preserve">5 </w:t>
            </w:r>
            <w:r w:rsidRPr="003216A6">
              <w:t>(HCFC</w:t>
            </w:r>
            <w:r w:rsidR="00753724">
              <w:noBreakHyphen/>
            </w:r>
            <w:r w:rsidRPr="003216A6">
              <w:t>222)</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09</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20</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HF</w:t>
            </w:r>
            <w:r w:rsidRPr="003216A6">
              <w:rPr>
                <w:sz w:val="16"/>
              </w:rPr>
              <w:t>3</w:t>
            </w:r>
            <w:r w:rsidRPr="003216A6">
              <w:t>Cl</w:t>
            </w:r>
            <w:r w:rsidRPr="003216A6">
              <w:rPr>
                <w:sz w:val="16"/>
              </w:rPr>
              <w:t>4</w:t>
            </w:r>
            <w:r w:rsidRPr="003216A6">
              <w:t xml:space="preserve"> (HCFC</w:t>
            </w:r>
            <w:r w:rsidR="00753724">
              <w:noBreakHyphen/>
            </w:r>
            <w:r w:rsidRPr="003216A6">
              <w:t>223)</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08</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21</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HF</w:t>
            </w:r>
            <w:r w:rsidRPr="003216A6">
              <w:rPr>
                <w:sz w:val="16"/>
              </w:rPr>
              <w:t>4</w:t>
            </w:r>
            <w:r w:rsidRPr="003216A6">
              <w:t>Cl</w:t>
            </w:r>
            <w:r w:rsidRPr="003216A6">
              <w:rPr>
                <w:sz w:val="16"/>
              </w:rPr>
              <w:t>3</w:t>
            </w:r>
            <w:r w:rsidRPr="003216A6">
              <w:t xml:space="preserve"> (HCFC</w:t>
            </w:r>
            <w:r w:rsidR="00753724">
              <w:noBreakHyphen/>
            </w:r>
            <w:r w:rsidRPr="003216A6">
              <w:t>224)</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09</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22</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HF</w:t>
            </w:r>
            <w:r w:rsidRPr="003216A6">
              <w:rPr>
                <w:sz w:val="16"/>
              </w:rPr>
              <w:t>5</w:t>
            </w:r>
            <w:r w:rsidRPr="003216A6">
              <w:t>Cl</w:t>
            </w:r>
            <w:r w:rsidRPr="003216A6">
              <w:rPr>
                <w:sz w:val="16"/>
              </w:rPr>
              <w:t>2</w:t>
            </w:r>
            <w:r w:rsidRPr="003216A6">
              <w:t xml:space="preserve"> (HCFC</w:t>
            </w:r>
            <w:r w:rsidR="00753724">
              <w:noBreakHyphen/>
            </w:r>
            <w:r w:rsidRPr="003216A6">
              <w:t>225)</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07</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23</w:t>
            </w:r>
          </w:p>
        </w:tc>
        <w:tc>
          <w:tcPr>
            <w:tcW w:w="3109" w:type="dxa"/>
            <w:shd w:val="clear" w:color="auto" w:fill="auto"/>
          </w:tcPr>
          <w:p w:rsidR="009B5A79" w:rsidRPr="003216A6" w:rsidRDefault="009B5A79" w:rsidP="003216A6">
            <w:pPr>
              <w:pStyle w:val="Tabletext"/>
            </w:pPr>
            <w:r w:rsidRPr="003216A6">
              <w:t>CF</w:t>
            </w:r>
            <w:r w:rsidRPr="003216A6">
              <w:rPr>
                <w:sz w:val="16"/>
              </w:rPr>
              <w:t>3</w:t>
            </w:r>
            <w:r w:rsidRPr="003216A6">
              <w:t>CF</w:t>
            </w:r>
            <w:r w:rsidRPr="003216A6">
              <w:rPr>
                <w:sz w:val="16"/>
              </w:rPr>
              <w:t>2</w:t>
            </w:r>
            <w:r w:rsidRPr="003216A6">
              <w:t>CHCl</w:t>
            </w:r>
            <w:r w:rsidRPr="003216A6">
              <w:rPr>
                <w:sz w:val="16"/>
              </w:rPr>
              <w:t>2</w:t>
            </w:r>
            <w:r w:rsidRPr="003216A6">
              <w:t xml:space="preserve"> (HCFC</w:t>
            </w:r>
            <w:r w:rsidR="00753724">
              <w:noBreakHyphen/>
            </w:r>
            <w:r w:rsidRPr="003216A6">
              <w:t>225ca)</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025</w:t>
            </w:r>
          </w:p>
        </w:tc>
        <w:tc>
          <w:tcPr>
            <w:tcW w:w="1559" w:type="dxa"/>
            <w:shd w:val="clear" w:color="auto" w:fill="auto"/>
          </w:tcPr>
          <w:p w:rsidR="009B5A79" w:rsidRPr="003216A6" w:rsidRDefault="009B5A79" w:rsidP="003216A6">
            <w:pPr>
              <w:pStyle w:val="Tabletext"/>
              <w:jc w:val="right"/>
            </w:pPr>
            <w:r w:rsidRPr="003216A6">
              <w:t>122</w:t>
            </w:r>
          </w:p>
        </w:tc>
      </w:tr>
      <w:tr w:rsidR="009B5A79" w:rsidRPr="003216A6" w:rsidTr="001615B0">
        <w:tc>
          <w:tcPr>
            <w:tcW w:w="714" w:type="dxa"/>
            <w:shd w:val="clear" w:color="auto" w:fill="auto"/>
          </w:tcPr>
          <w:p w:rsidR="009B5A79" w:rsidRPr="003216A6" w:rsidRDefault="009B5A79" w:rsidP="003216A6">
            <w:pPr>
              <w:pStyle w:val="Tabletext"/>
            </w:pPr>
            <w:r w:rsidRPr="003216A6">
              <w:t>24</w:t>
            </w:r>
          </w:p>
        </w:tc>
        <w:tc>
          <w:tcPr>
            <w:tcW w:w="3109" w:type="dxa"/>
            <w:shd w:val="clear" w:color="auto" w:fill="auto"/>
          </w:tcPr>
          <w:p w:rsidR="009B5A79" w:rsidRPr="003216A6" w:rsidRDefault="009B5A79" w:rsidP="003216A6">
            <w:pPr>
              <w:pStyle w:val="Tabletext"/>
            </w:pPr>
            <w:r w:rsidRPr="003216A6">
              <w:t>CF</w:t>
            </w:r>
            <w:r w:rsidRPr="003216A6">
              <w:rPr>
                <w:sz w:val="16"/>
              </w:rPr>
              <w:t>2</w:t>
            </w:r>
            <w:r w:rsidRPr="003216A6">
              <w:t>ClCF</w:t>
            </w:r>
            <w:r w:rsidRPr="003216A6">
              <w:rPr>
                <w:sz w:val="16"/>
              </w:rPr>
              <w:t>2</w:t>
            </w:r>
            <w:r w:rsidRPr="003216A6">
              <w:t>CHClF (HCFC</w:t>
            </w:r>
            <w:r w:rsidR="00753724">
              <w:noBreakHyphen/>
            </w:r>
            <w:r w:rsidRPr="003216A6">
              <w:t>225cb)</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033</w:t>
            </w:r>
          </w:p>
        </w:tc>
        <w:tc>
          <w:tcPr>
            <w:tcW w:w="1559" w:type="dxa"/>
            <w:shd w:val="clear" w:color="auto" w:fill="auto"/>
          </w:tcPr>
          <w:p w:rsidR="009B5A79" w:rsidRPr="003216A6" w:rsidRDefault="009B5A79" w:rsidP="003216A6">
            <w:pPr>
              <w:pStyle w:val="Tabletext"/>
              <w:jc w:val="right"/>
            </w:pPr>
            <w:r w:rsidRPr="003216A6">
              <w:t>595</w:t>
            </w:r>
          </w:p>
        </w:tc>
      </w:tr>
      <w:tr w:rsidR="009B5A79" w:rsidRPr="003216A6" w:rsidTr="001615B0">
        <w:tc>
          <w:tcPr>
            <w:tcW w:w="714" w:type="dxa"/>
            <w:shd w:val="clear" w:color="auto" w:fill="auto"/>
          </w:tcPr>
          <w:p w:rsidR="009B5A79" w:rsidRPr="003216A6" w:rsidRDefault="009B5A79" w:rsidP="003216A6">
            <w:pPr>
              <w:pStyle w:val="Tabletext"/>
            </w:pPr>
            <w:r w:rsidRPr="003216A6">
              <w:t>25</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HF</w:t>
            </w:r>
            <w:r w:rsidRPr="003216A6">
              <w:rPr>
                <w:sz w:val="16"/>
              </w:rPr>
              <w:t>6</w:t>
            </w:r>
            <w:r w:rsidRPr="003216A6">
              <w:t>Cl (HCFC</w:t>
            </w:r>
            <w:r w:rsidR="00753724">
              <w:noBreakHyphen/>
            </w:r>
            <w:r w:rsidRPr="003216A6">
              <w:t>226)</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1</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26</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w:t>
            </w:r>
            <w:r w:rsidRPr="003216A6">
              <w:rPr>
                <w:sz w:val="16"/>
              </w:rPr>
              <w:t>2</w:t>
            </w:r>
            <w:r w:rsidRPr="003216A6">
              <w:t>FCl</w:t>
            </w:r>
            <w:r w:rsidRPr="003216A6">
              <w:rPr>
                <w:sz w:val="16"/>
              </w:rPr>
              <w:t>5</w:t>
            </w:r>
            <w:r w:rsidRPr="003216A6">
              <w:t xml:space="preserve"> (HCFC</w:t>
            </w:r>
            <w:r w:rsidR="00753724">
              <w:noBreakHyphen/>
            </w:r>
            <w:r w:rsidRPr="003216A6">
              <w:t>231)</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09</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27</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w:t>
            </w:r>
            <w:r w:rsidRPr="003216A6">
              <w:rPr>
                <w:sz w:val="16"/>
              </w:rPr>
              <w:t>2</w:t>
            </w:r>
            <w:r w:rsidRPr="003216A6">
              <w:t>F</w:t>
            </w:r>
            <w:r w:rsidRPr="003216A6">
              <w:rPr>
                <w:sz w:val="16"/>
              </w:rPr>
              <w:t>2</w:t>
            </w:r>
            <w:r w:rsidRPr="003216A6">
              <w:t>Cl</w:t>
            </w:r>
            <w:r w:rsidRPr="003216A6">
              <w:rPr>
                <w:sz w:val="16"/>
              </w:rPr>
              <w:t>4</w:t>
            </w:r>
            <w:r w:rsidRPr="003216A6">
              <w:t xml:space="preserve"> (HCFC</w:t>
            </w:r>
            <w:r w:rsidR="00753724">
              <w:noBreakHyphen/>
            </w:r>
            <w:r w:rsidRPr="003216A6">
              <w:t>232)</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1</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lastRenderedPageBreak/>
              <w:t>28</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w:t>
            </w:r>
            <w:r w:rsidRPr="003216A6">
              <w:rPr>
                <w:sz w:val="16"/>
              </w:rPr>
              <w:t>2</w:t>
            </w:r>
            <w:r w:rsidRPr="003216A6">
              <w:t>F</w:t>
            </w:r>
            <w:r w:rsidRPr="003216A6">
              <w:rPr>
                <w:sz w:val="16"/>
              </w:rPr>
              <w:t>3</w:t>
            </w:r>
            <w:r w:rsidRPr="003216A6">
              <w:t>Cl</w:t>
            </w:r>
            <w:r w:rsidRPr="003216A6">
              <w:rPr>
                <w:sz w:val="16"/>
              </w:rPr>
              <w:t>3</w:t>
            </w:r>
            <w:r w:rsidRPr="003216A6">
              <w:t xml:space="preserve"> (HCFC</w:t>
            </w:r>
            <w:r w:rsidR="00753724">
              <w:noBreakHyphen/>
            </w:r>
            <w:r w:rsidRPr="003216A6">
              <w:t>233)</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23</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29</w:t>
            </w:r>
          </w:p>
        </w:tc>
        <w:tc>
          <w:tcPr>
            <w:tcW w:w="3109" w:type="dxa"/>
            <w:shd w:val="clear" w:color="auto" w:fill="auto"/>
          </w:tcPr>
          <w:p w:rsidR="009B5A79" w:rsidRPr="003216A6" w:rsidRDefault="009B5A79" w:rsidP="003216A6">
            <w:pPr>
              <w:pStyle w:val="Tabletext"/>
              <w:keepNext/>
              <w:keepLines/>
            </w:pPr>
            <w:r w:rsidRPr="003216A6">
              <w:t>C</w:t>
            </w:r>
            <w:r w:rsidRPr="003216A6">
              <w:rPr>
                <w:sz w:val="16"/>
              </w:rPr>
              <w:t>3</w:t>
            </w:r>
            <w:r w:rsidRPr="003216A6">
              <w:t>H</w:t>
            </w:r>
            <w:r w:rsidRPr="003216A6">
              <w:rPr>
                <w:sz w:val="16"/>
              </w:rPr>
              <w:t>2</w:t>
            </w:r>
            <w:r w:rsidRPr="003216A6">
              <w:t>F</w:t>
            </w:r>
            <w:r w:rsidRPr="003216A6">
              <w:rPr>
                <w:sz w:val="16"/>
              </w:rPr>
              <w:t>4</w:t>
            </w:r>
            <w:r w:rsidRPr="003216A6">
              <w:t>Cl</w:t>
            </w:r>
            <w:r w:rsidRPr="003216A6">
              <w:rPr>
                <w:sz w:val="16"/>
              </w:rPr>
              <w:t>2</w:t>
            </w:r>
            <w:r w:rsidRPr="003216A6">
              <w:t xml:space="preserve"> (HCFC</w:t>
            </w:r>
            <w:r w:rsidR="00753724">
              <w:noBreakHyphen/>
            </w:r>
            <w:r w:rsidRPr="003216A6">
              <w:t>234)</w:t>
            </w:r>
          </w:p>
        </w:tc>
        <w:tc>
          <w:tcPr>
            <w:tcW w:w="1559" w:type="dxa"/>
            <w:shd w:val="clear" w:color="auto" w:fill="auto"/>
          </w:tcPr>
          <w:p w:rsidR="009B5A79" w:rsidRPr="003216A6" w:rsidRDefault="009B5A79" w:rsidP="003216A6">
            <w:pPr>
              <w:pStyle w:val="Tabletext"/>
              <w:keepNext/>
              <w:keepLines/>
              <w:jc w:val="right"/>
            </w:pPr>
            <w:r w:rsidRPr="003216A6">
              <w:t>0</w:t>
            </w:r>
            <w:r w:rsidR="002F6749" w:rsidRPr="003216A6">
              <w:t>.</w:t>
            </w:r>
            <w:r w:rsidRPr="003216A6">
              <w:t>28</w:t>
            </w:r>
          </w:p>
        </w:tc>
        <w:tc>
          <w:tcPr>
            <w:tcW w:w="1559" w:type="dxa"/>
            <w:shd w:val="clear" w:color="auto" w:fill="auto"/>
          </w:tcPr>
          <w:p w:rsidR="009B5A79" w:rsidRPr="003216A6" w:rsidRDefault="009B5A79" w:rsidP="003216A6">
            <w:pPr>
              <w:pStyle w:val="Tabletext"/>
              <w:keepNext/>
              <w:keepLines/>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30</w:t>
            </w:r>
          </w:p>
        </w:tc>
        <w:tc>
          <w:tcPr>
            <w:tcW w:w="3109" w:type="dxa"/>
            <w:shd w:val="clear" w:color="auto" w:fill="auto"/>
          </w:tcPr>
          <w:p w:rsidR="009B5A79" w:rsidRPr="003216A6" w:rsidRDefault="009B5A79" w:rsidP="003216A6">
            <w:pPr>
              <w:pStyle w:val="Tabletext"/>
              <w:keepNext/>
              <w:keepLines/>
            </w:pPr>
            <w:r w:rsidRPr="003216A6">
              <w:t>C</w:t>
            </w:r>
            <w:r w:rsidRPr="003216A6">
              <w:rPr>
                <w:sz w:val="16"/>
              </w:rPr>
              <w:t>3</w:t>
            </w:r>
            <w:r w:rsidRPr="003216A6">
              <w:t>H</w:t>
            </w:r>
            <w:r w:rsidRPr="003216A6">
              <w:rPr>
                <w:sz w:val="16"/>
              </w:rPr>
              <w:t>2</w:t>
            </w:r>
            <w:r w:rsidRPr="003216A6">
              <w:t>F</w:t>
            </w:r>
            <w:r w:rsidRPr="003216A6">
              <w:rPr>
                <w:sz w:val="16"/>
              </w:rPr>
              <w:t>5</w:t>
            </w:r>
            <w:r w:rsidRPr="003216A6">
              <w:t>Cl (HCFC</w:t>
            </w:r>
            <w:r w:rsidR="00753724">
              <w:noBreakHyphen/>
            </w:r>
            <w:r w:rsidRPr="003216A6">
              <w:t>235)</w:t>
            </w:r>
          </w:p>
        </w:tc>
        <w:tc>
          <w:tcPr>
            <w:tcW w:w="1559" w:type="dxa"/>
            <w:shd w:val="clear" w:color="auto" w:fill="auto"/>
          </w:tcPr>
          <w:p w:rsidR="009B5A79" w:rsidRPr="003216A6" w:rsidRDefault="009B5A79" w:rsidP="003216A6">
            <w:pPr>
              <w:pStyle w:val="Tabletext"/>
              <w:keepNext/>
              <w:keepLines/>
              <w:jc w:val="right"/>
            </w:pPr>
            <w:r w:rsidRPr="003216A6">
              <w:t>0</w:t>
            </w:r>
            <w:r w:rsidR="002F6749" w:rsidRPr="003216A6">
              <w:t>.</w:t>
            </w:r>
            <w:r w:rsidRPr="003216A6">
              <w:t>52</w:t>
            </w:r>
          </w:p>
        </w:tc>
        <w:tc>
          <w:tcPr>
            <w:tcW w:w="1559" w:type="dxa"/>
            <w:shd w:val="clear" w:color="auto" w:fill="auto"/>
          </w:tcPr>
          <w:p w:rsidR="009B5A79" w:rsidRPr="003216A6" w:rsidRDefault="009B5A79" w:rsidP="003216A6">
            <w:pPr>
              <w:pStyle w:val="Tabletext"/>
              <w:keepNext/>
              <w:keepLines/>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31</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w:t>
            </w:r>
            <w:r w:rsidRPr="003216A6">
              <w:rPr>
                <w:sz w:val="16"/>
              </w:rPr>
              <w:t>3</w:t>
            </w:r>
            <w:r w:rsidRPr="003216A6">
              <w:t>FCl</w:t>
            </w:r>
            <w:r w:rsidRPr="003216A6">
              <w:rPr>
                <w:sz w:val="16"/>
              </w:rPr>
              <w:t>4</w:t>
            </w:r>
            <w:r w:rsidRPr="003216A6">
              <w:t xml:space="preserve"> (HCFC</w:t>
            </w:r>
            <w:r w:rsidR="00753724">
              <w:noBreakHyphen/>
            </w:r>
            <w:r w:rsidRPr="003216A6">
              <w:t>241)</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09</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32</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w:t>
            </w:r>
            <w:r w:rsidRPr="003216A6">
              <w:rPr>
                <w:sz w:val="16"/>
              </w:rPr>
              <w:t>3</w:t>
            </w:r>
            <w:r w:rsidRPr="003216A6">
              <w:t>F</w:t>
            </w:r>
            <w:r w:rsidRPr="003216A6">
              <w:rPr>
                <w:sz w:val="16"/>
              </w:rPr>
              <w:t>2</w:t>
            </w:r>
            <w:r w:rsidRPr="003216A6">
              <w:t>Cl</w:t>
            </w:r>
            <w:r w:rsidRPr="003216A6">
              <w:rPr>
                <w:sz w:val="16"/>
              </w:rPr>
              <w:t>3</w:t>
            </w:r>
            <w:r w:rsidRPr="003216A6">
              <w:t xml:space="preserve"> (HCFC</w:t>
            </w:r>
            <w:r w:rsidR="00753724">
              <w:noBreakHyphen/>
            </w:r>
            <w:r w:rsidRPr="003216A6">
              <w:t>242)</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13</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33</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w:t>
            </w:r>
            <w:r w:rsidRPr="003216A6">
              <w:rPr>
                <w:sz w:val="16"/>
              </w:rPr>
              <w:t>3</w:t>
            </w:r>
            <w:r w:rsidRPr="003216A6">
              <w:t>F</w:t>
            </w:r>
            <w:r w:rsidRPr="003216A6">
              <w:rPr>
                <w:sz w:val="16"/>
              </w:rPr>
              <w:t>3</w:t>
            </w:r>
            <w:r w:rsidRPr="003216A6">
              <w:t>Cl</w:t>
            </w:r>
            <w:r w:rsidRPr="003216A6">
              <w:rPr>
                <w:sz w:val="16"/>
              </w:rPr>
              <w:t>2</w:t>
            </w:r>
            <w:r w:rsidRPr="003216A6">
              <w:t xml:space="preserve"> (HCFC</w:t>
            </w:r>
            <w:r w:rsidR="00753724">
              <w:noBreakHyphen/>
            </w:r>
            <w:r w:rsidRPr="003216A6">
              <w:t>243)</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12</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34</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w:t>
            </w:r>
            <w:r w:rsidRPr="003216A6">
              <w:rPr>
                <w:sz w:val="16"/>
              </w:rPr>
              <w:t>3</w:t>
            </w:r>
            <w:r w:rsidRPr="003216A6">
              <w:t>F</w:t>
            </w:r>
            <w:r w:rsidRPr="003216A6">
              <w:rPr>
                <w:sz w:val="16"/>
              </w:rPr>
              <w:t>4</w:t>
            </w:r>
            <w:r w:rsidRPr="003216A6">
              <w:t>Cl (HCFC</w:t>
            </w:r>
            <w:r w:rsidR="00753724">
              <w:noBreakHyphen/>
            </w:r>
            <w:r w:rsidRPr="003216A6">
              <w:t>244)</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14</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35</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w:t>
            </w:r>
            <w:r w:rsidRPr="003216A6">
              <w:rPr>
                <w:sz w:val="16"/>
              </w:rPr>
              <w:t>4</w:t>
            </w:r>
            <w:r w:rsidRPr="003216A6">
              <w:t>FCl</w:t>
            </w:r>
            <w:r w:rsidRPr="003216A6">
              <w:rPr>
                <w:sz w:val="16"/>
              </w:rPr>
              <w:t>3</w:t>
            </w:r>
            <w:r w:rsidRPr="003216A6">
              <w:t xml:space="preserve"> (HCFC</w:t>
            </w:r>
            <w:r w:rsidR="00753724">
              <w:noBreakHyphen/>
            </w:r>
            <w:r w:rsidRPr="003216A6">
              <w:t>251)</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01</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36</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w:t>
            </w:r>
            <w:r w:rsidRPr="003216A6">
              <w:rPr>
                <w:sz w:val="16"/>
              </w:rPr>
              <w:t>4</w:t>
            </w:r>
            <w:r w:rsidRPr="003216A6">
              <w:t>F</w:t>
            </w:r>
            <w:r w:rsidRPr="003216A6">
              <w:rPr>
                <w:sz w:val="16"/>
              </w:rPr>
              <w:t>2</w:t>
            </w:r>
            <w:r w:rsidRPr="003216A6">
              <w:t>Cl</w:t>
            </w:r>
            <w:r w:rsidRPr="003216A6">
              <w:rPr>
                <w:sz w:val="16"/>
              </w:rPr>
              <w:t>2</w:t>
            </w:r>
            <w:r w:rsidRPr="003216A6">
              <w:t xml:space="preserve"> (HCFC</w:t>
            </w:r>
            <w:r w:rsidR="00753724">
              <w:noBreakHyphen/>
            </w:r>
            <w:r w:rsidRPr="003216A6">
              <w:t>252)</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04</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37</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w:t>
            </w:r>
            <w:r w:rsidRPr="003216A6">
              <w:rPr>
                <w:sz w:val="16"/>
              </w:rPr>
              <w:t>4</w:t>
            </w:r>
            <w:r w:rsidRPr="003216A6">
              <w:t>F</w:t>
            </w:r>
            <w:r w:rsidRPr="003216A6">
              <w:rPr>
                <w:sz w:val="16"/>
              </w:rPr>
              <w:t>3</w:t>
            </w:r>
            <w:r w:rsidRPr="003216A6">
              <w:t>Cl (HCFC</w:t>
            </w:r>
            <w:r w:rsidR="00753724">
              <w:noBreakHyphen/>
            </w:r>
            <w:r w:rsidRPr="003216A6">
              <w:t>253)</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03</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shd w:val="clear" w:color="auto" w:fill="auto"/>
          </w:tcPr>
          <w:p w:rsidR="009B5A79" w:rsidRPr="003216A6" w:rsidRDefault="009B5A79" w:rsidP="003216A6">
            <w:pPr>
              <w:pStyle w:val="Tabletext"/>
            </w:pPr>
            <w:r w:rsidRPr="003216A6">
              <w:t>38</w:t>
            </w:r>
          </w:p>
        </w:tc>
        <w:tc>
          <w:tcPr>
            <w:tcW w:w="3109" w:type="dxa"/>
            <w:shd w:val="clear" w:color="auto" w:fill="auto"/>
          </w:tcPr>
          <w:p w:rsidR="009B5A79" w:rsidRPr="003216A6" w:rsidRDefault="009B5A79" w:rsidP="003216A6">
            <w:pPr>
              <w:pStyle w:val="Tabletext"/>
            </w:pPr>
            <w:r w:rsidRPr="003216A6">
              <w:t>C</w:t>
            </w:r>
            <w:r w:rsidRPr="003216A6">
              <w:rPr>
                <w:sz w:val="16"/>
              </w:rPr>
              <w:t>3</w:t>
            </w:r>
            <w:r w:rsidRPr="003216A6">
              <w:t>H</w:t>
            </w:r>
            <w:r w:rsidRPr="003216A6">
              <w:rPr>
                <w:sz w:val="16"/>
              </w:rPr>
              <w:t>5</w:t>
            </w:r>
            <w:r w:rsidRPr="003216A6">
              <w:t>FCl</w:t>
            </w:r>
            <w:r w:rsidRPr="003216A6">
              <w:rPr>
                <w:sz w:val="16"/>
              </w:rPr>
              <w:t>2</w:t>
            </w:r>
            <w:r w:rsidRPr="003216A6">
              <w:t xml:space="preserve"> (HCFC</w:t>
            </w:r>
            <w:r w:rsidR="00753724">
              <w:noBreakHyphen/>
            </w:r>
            <w:r w:rsidRPr="003216A6">
              <w:t>261)</w:t>
            </w:r>
          </w:p>
        </w:tc>
        <w:tc>
          <w:tcPr>
            <w:tcW w:w="1559" w:type="dxa"/>
            <w:shd w:val="clear" w:color="auto" w:fill="auto"/>
          </w:tcPr>
          <w:p w:rsidR="009B5A79" w:rsidRPr="003216A6" w:rsidRDefault="009B5A79" w:rsidP="003216A6">
            <w:pPr>
              <w:pStyle w:val="Tabletext"/>
              <w:jc w:val="right"/>
            </w:pPr>
            <w:r w:rsidRPr="003216A6">
              <w:t>0</w:t>
            </w:r>
            <w:r w:rsidR="002F6749" w:rsidRPr="003216A6">
              <w:t>.</w:t>
            </w:r>
            <w:r w:rsidRPr="003216A6">
              <w:t>02</w:t>
            </w:r>
          </w:p>
        </w:tc>
        <w:tc>
          <w:tcPr>
            <w:tcW w:w="1559" w:type="dxa"/>
            <w:shd w:val="clear" w:color="auto" w:fill="auto"/>
          </w:tcPr>
          <w:p w:rsidR="009B5A79" w:rsidRPr="003216A6" w:rsidRDefault="009B5A79" w:rsidP="003216A6">
            <w:pPr>
              <w:pStyle w:val="Tabletext"/>
              <w:jc w:val="right"/>
            </w:pPr>
          </w:p>
        </w:tc>
      </w:tr>
      <w:tr w:rsidR="009B5A79" w:rsidRPr="003216A6" w:rsidTr="001615B0">
        <w:tc>
          <w:tcPr>
            <w:tcW w:w="714" w:type="dxa"/>
            <w:tcBorders>
              <w:bottom w:val="single" w:sz="2" w:space="0" w:color="auto"/>
            </w:tcBorders>
            <w:shd w:val="clear" w:color="auto" w:fill="auto"/>
          </w:tcPr>
          <w:p w:rsidR="009B5A79" w:rsidRPr="003216A6" w:rsidRDefault="009B5A79" w:rsidP="003216A6">
            <w:pPr>
              <w:pStyle w:val="Tabletext"/>
            </w:pPr>
            <w:r w:rsidRPr="003216A6">
              <w:t>39</w:t>
            </w:r>
          </w:p>
        </w:tc>
        <w:tc>
          <w:tcPr>
            <w:tcW w:w="3109" w:type="dxa"/>
            <w:tcBorders>
              <w:bottom w:val="single" w:sz="2" w:space="0" w:color="auto"/>
            </w:tcBorders>
            <w:shd w:val="clear" w:color="auto" w:fill="auto"/>
          </w:tcPr>
          <w:p w:rsidR="009B5A79" w:rsidRPr="003216A6" w:rsidRDefault="009B5A79" w:rsidP="003216A6">
            <w:pPr>
              <w:pStyle w:val="Tabletext"/>
            </w:pPr>
            <w:r w:rsidRPr="003216A6">
              <w:t>C</w:t>
            </w:r>
            <w:r w:rsidRPr="003216A6">
              <w:rPr>
                <w:sz w:val="16"/>
              </w:rPr>
              <w:t>3</w:t>
            </w:r>
            <w:r w:rsidRPr="003216A6">
              <w:t>H</w:t>
            </w:r>
            <w:r w:rsidRPr="003216A6">
              <w:rPr>
                <w:sz w:val="16"/>
              </w:rPr>
              <w:t>5</w:t>
            </w:r>
            <w:r w:rsidRPr="003216A6">
              <w:t>F</w:t>
            </w:r>
            <w:r w:rsidRPr="003216A6">
              <w:rPr>
                <w:sz w:val="16"/>
              </w:rPr>
              <w:t>2</w:t>
            </w:r>
            <w:r w:rsidRPr="003216A6">
              <w:t>Cl (HCFC</w:t>
            </w:r>
            <w:r w:rsidR="00753724">
              <w:noBreakHyphen/>
            </w:r>
            <w:r w:rsidRPr="003216A6">
              <w:t>262)</w:t>
            </w:r>
          </w:p>
        </w:tc>
        <w:tc>
          <w:tcPr>
            <w:tcW w:w="1559" w:type="dxa"/>
            <w:tcBorders>
              <w:bottom w:val="single" w:sz="2" w:space="0" w:color="auto"/>
            </w:tcBorders>
            <w:shd w:val="clear" w:color="auto" w:fill="auto"/>
          </w:tcPr>
          <w:p w:rsidR="009B5A79" w:rsidRPr="003216A6" w:rsidRDefault="009B5A79" w:rsidP="003216A6">
            <w:pPr>
              <w:pStyle w:val="Tabletext"/>
              <w:jc w:val="right"/>
            </w:pPr>
            <w:r w:rsidRPr="003216A6">
              <w:t>0</w:t>
            </w:r>
            <w:r w:rsidR="002F6749" w:rsidRPr="003216A6">
              <w:t>.</w:t>
            </w:r>
            <w:r w:rsidRPr="003216A6">
              <w:t>02</w:t>
            </w:r>
          </w:p>
        </w:tc>
        <w:tc>
          <w:tcPr>
            <w:tcW w:w="1559" w:type="dxa"/>
            <w:tcBorders>
              <w:bottom w:val="single" w:sz="2" w:space="0" w:color="auto"/>
            </w:tcBorders>
            <w:shd w:val="clear" w:color="auto" w:fill="auto"/>
          </w:tcPr>
          <w:p w:rsidR="009B5A79" w:rsidRPr="003216A6" w:rsidRDefault="009B5A79" w:rsidP="003216A6">
            <w:pPr>
              <w:pStyle w:val="Tabletext"/>
              <w:jc w:val="right"/>
            </w:pPr>
          </w:p>
        </w:tc>
      </w:tr>
      <w:tr w:rsidR="009B5A79" w:rsidRPr="003216A6" w:rsidTr="001615B0">
        <w:tc>
          <w:tcPr>
            <w:tcW w:w="714" w:type="dxa"/>
            <w:tcBorders>
              <w:top w:val="single" w:sz="2" w:space="0" w:color="auto"/>
              <w:bottom w:val="single" w:sz="12" w:space="0" w:color="auto"/>
            </w:tcBorders>
            <w:shd w:val="clear" w:color="auto" w:fill="auto"/>
          </w:tcPr>
          <w:p w:rsidR="009B5A79" w:rsidRPr="003216A6" w:rsidRDefault="009B5A79" w:rsidP="003216A6">
            <w:pPr>
              <w:pStyle w:val="Tabletext"/>
            </w:pPr>
            <w:r w:rsidRPr="003216A6">
              <w:t>40</w:t>
            </w:r>
          </w:p>
        </w:tc>
        <w:tc>
          <w:tcPr>
            <w:tcW w:w="3109" w:type="dxa"/>
            <w:tcBorders>
              <w:top w:val="single" w:sz="2" w:space="0" w:color="auto"/>
              <w:bottom w:val="single" w:sz="12" w:space="0" w:color="auto"/>
            </w:tcBorders>
            <w:shd w:val="clear" w:color="auto" w:fill="auto"/>
          </w:tcPr>
          <w:p w:rsidR="009B5A79" w:rsidRPr="003216A6" w:rsidRDefault="009B5A79" w:rsidP="003216A6">
            <w:pPr>
              <w:pStyle w:val="Tabletext"/>
            </w:pPr>
            <w:r w:rsidRPr="003216A6">
              <w:t>C</w:t>
            </w:r>
            <w:r w:rsidRPr="003216A6">
              <w:rPr>
                <w:sz w:val="16"/>
              </w:rPr>
              <w:t>3</w:t>
            </w:r>
            <w:r w:rsidRPr="003216A6">
              <w:t>H</w:t>
            </w:r>
            <w:r w:rsidRPr="003216A6">
              <w:rPr>
                <w:sz w:val="16"/>
              </w:rPr>
              <w:t>6</w:t>
            </w:r>
            <w:r w:rsidRPr="003216A6">
              <w:t>FCl (HCFC</w:t>
            </w:r>
            <w:r w:rsidR="00753724">
              <w:noBreakHyphen/>
            </w:r>
            <w:r w:rsidRPr="003216A6">
              <w:t>271)</w:t>
            </w:r>
          </w:p>
        </w:tc>
        <w:tc>
          <w:tcPr>
            <w:tcW w:w="1559" w:type="dxa"/>
            <w:tcBorders>
              <w:top w:val="single" w:sz="2" w:space="0" w:color="auto"/>
              <w:bottom w:val="single" w:sz="12" w:space="0" w:color="auto"/>
            </w:tcBorders>
            <w:shd w:val="clear" w:color="auto" w:fill="auto"/>
          </w:tcPr>
          <w:p w:rsidR="009B5A79" w:rsidRPr="003216A6" w:rsidRDefault="009B5A79" w:rsidP="003216A6">
            <w:pPr>
              <w:pStyle w:val="Tabletext"/>
              <w:jc w:val="right"/>
            </w:pPr>
            <w:r w:rsidRPr="003216A6">
              <w:t>0</w:t>
            </w:r>
            <w:r w:rsidR="002F6749" w:rsidRPr="003216A6">
              <w:t>.</w:t>
            </w:r>
            <w:r w:rsidRPr="003216A6">
              <w:t>03</w:t>
            </w:r>
          </w:p>
        </w:tc>
        <w:tc>
          <w:tcPr>
            <w:tcW w:w="1559" w:type="dxa"/>
            <w:tcBorders>
              <w:top w:val="single" w:sz="2" w:space="0" w:color="auto"/>
              <w:bottom w:val="single" w:sz="12" w:space="0" w:color="auto"/>
            </w:tcBorders>
            <w:shd w:val="clear" w:color="auto" w:fill="auto"/>
          </w:tcPr>
          <w:p w:rsidR="009B5A79" w:rsidRPr="003216A6" w:rsidRDefault="009B5A79" w:rsidP="003216A6">
            <w:pPr>
              <w:pStyle w:val="Tabletext"/>
              <w:jc w:val="right"/>
            </w:pPr>
          </w:p>
        </w:tc>
      </w:tr>
    </w:tbl>
    <w:p w:rsidR="009B5A79" w:rsidRPr="003216A6" w:rsidRDefault="00B13916" w:rsidP="003216A6">
      <w:pPr>
        <w:pStyle w:val="ItemHead"/>
      </w:pPr>
      <w:r w:rsidRPr="003216A6">
        <w:t>56</w:t>
      </w:r>
      <w:r w:rsidR="009B5A79" w:rsidRPr="003216A6">
        <w:t xml:space="preserve">  Part</w:t>
      </w:r>
      <w:r w:rsidR="003216A6" w:rsidRPr="003216A6">
        <w:t> </w:t>
      </w:r>
      <w:r w:rsidR="009B5A79" w:rsidRPr="003216A6">
        <w:t>IX of Schedule</w:t>
      </w:r>
      <w:r w:rsidR="003216A6" w:rsidRPr="003216A6">
        <w:t> </w:t>
      </w:r>
      <w:r w:rsidR="009B5A79" w:rsidRPr="003216A6">
        <w:t>1</w:t>
      </w:r>
    </w:p>
    <w:p w:rsidR="009B5A79" w:rsidRPr="003216A6" w:rsidRDefault="009B5A79" w:rsidP="003216A6">
      <w:pPr>
        <w:pStyle w:val="Item"/>
      </w:pPr>
      <w:r w:rsidRPr="003216A6">
        <w:t>Repeal the Part, substitute:</w:t>
      </w:r>
    </w:p>
    <w:p w:rsidR="009B5A79" w:rsidRPr="003216A6" w:rsidRDefault="009B5A79" w:rsidP="003216A6">
      <w:pPr>
        <w:pStyle w:val="ActHead2"/>
      </w:pPr>
      <w:bookmarkStart w:id="35" w:name="_Toc486251875"/>
      <w:r w:rsidRPr="003216A6">
        <w:rPr>
          <w:rStyle w:val="CharPartNo"/>
        </w:rPr>
        <w:t>Part</w:t>
      </w:r>
      <w:r w:rsidR="003216A6" w:rsidRPr="003216A6">
        <w:rPr>
          <w:rStyle w:val="CharPartNo"/>
        </w:rPr>
        <w:t> </w:t>
      </w:r>
      <w:r w:rsidRPr="003216A6">
        <w:rPr>
          <w:rStyle w:val="CharPartNo"/>
        </w:rPr>
        <w:t>IX</w:t>
      </w:r>
      <w:r w:rsidRPr="003216A6">
        <w:t>—</w:t>
      </w:r>
      <w:r w:rsidRPr="003216A6">
        <w:rPr>
          <w:rStyle w:val="CharPartText"/>
        </w:rPr>
        <w:t>HFCs</w:t>
      </w:r>
      <w:bookmarkEnd w:id="35"/>
    </w:p>
    <w:p w:rsidR="009B5A79" w:rsidRPr="003216A6" w:rsidRDefault="009B5A79" w:rsidP="003216A6">
      <w:pPr>
        <w:pStyle w:val="Header"/>
      </w:pPr>
      <w:r w:rsidRPr="003216A6">
        <w:rPr>
          <w:rStyle w:val="CharDivNo"/>
        </w:rPr>
        <w:t xml:space="preserve"> </w:t>
      </w:r>
      <w:r w:rsidRPr="003216A6">
        <w:rPr>
          <w:rStyle w:val="CharDivText"/>
        </w:rPr>
        <w:t xml:space="preserve"> </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1482"/>
      </w:tblGrid>
      <w:tr w:rsidR="009B5A79" w:rsidRPr="003216A6" w:rsidTr="001615B0">
        <w:trPr>
          <w:tblHeader/>
        </w:trPr>
        <w:tc>
          <w:tcPr>
            <w:tcW w:w="6013" w:type="dxa"/>
            <w:gridSpan w:val="3"/>
            <w:tcBorders>
              <w:top w:val="single" w:sz="12" w:space="0" w:color="auto"/>
              <w:bottom w:val="single" w:sz="6" w:space="0" w:color="auto"/>
            </w:tcBorders>
            <w:shd w:val="clear" w:color="auto" w:fill="auto"/>
          </w:tcPr>
          <w:p w:rsidR="009B5A79" w:rsidRPr="003216A6" w:rsidRDefault="009B5A79" w:rsidP="003216A6">
            <w:pPr>
              <w:pStyle w:val="TableHeading"/>
            </w:pPr>
            <w:r w:rsidRPr="003216A6">
              <w:t>HFCs</w:t>
            </w:r>
          </w:p>
        </w:tc>
      </w:tr>
      <w:tr w:rsidR="009B5A79" w:rsidRPr="003216A6" w:rsidTr="001615B0">
        <w:trPr>
          <w:tblHeader/>
        </w:trPr>
        <w:tc>
          <w:tcPr>
            <w:tcW w:w="714"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Item</w:t>
            </w:r>
          </w:p>
        </w:tc>
        <w:tc>
          <w:tcPr>
            <w:tcW w:w="3817"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Column 1</w:t>
            </w:r>
          </w:p>
          <w:p w:rsidR="009B5A79" w:rsidRPr="003216A6" w:rsidRDefault="009B5A79" w:rsidP="003216A6">
            <w:pPr>
              <w:pStyle w:val="TableHeading"/>
            </w:pPr>
            <w:r w:rsidRPr="003216A6">
              <w:t>Substance</w:t>
            </w:r>
          </w:p>
        </w:tc>
        <w:tc>
          <w:tcPr>
            <w:tcW w:w="1482" w:type="dxa"/>
            <w:tcBorders>
              <w:top w:val="single" w:sz="6" w:space="0" w:color="auto"/>
              <w:bottom w:val="single" w:sz="12" w:space="0" w:color="auto"/>
            </w:tcBorders>
            <w:shd w:val="clear" w:color="auto" w:fill="auto"/>
          </w:tcPr>
          <w:p w:rsidR="009B5A79" w:rsidRPr="003216A6" w:rsidRDefault="009B5A79" w:rsidP="003216A6">
            <w:pPr>
              <w:pStyle w:val="TableHeading"/>
              <w:jc w:val="right"/>
            </w:pPr>
            <w:r w:rsidRPr="003216A6">
              <w:t>Column 2</w:t>
            </w:r>
          </w:p>
          <w:p w:rsidR="009B5A79" w:rsidRPr="003216A6" w:rsidRDefault="009B5A79" w:rsidP="003216A6">
            <w:pPr>
              <w:pStyle w:val="TableHeading"/>
              <w:jc w:val="right"/>
            </w:pPr>
            <w:r w:rsidRPr="003216A6">
              <w:t>100</w:t>
            </w:r>
            <w:r w:rsidR="00753724">
              <w:noBreakHyphen/>
            </w:r>
            <w:r w:rsidRPr="003216A6">
              <w:t>year global warming potential</w:t>
            </w:r>
          </w:p>
        </w:tc>
      </w:tr>
      <w:tr w:rsidR="009B5A79" w:rsidRPr="003216A6" w:rsidTr="001615B0">
        <w:tc>
          <w:tcPr>
            <w:tcW w:w="714" w:type="dxa"/>
            <w:tcBorders>
              <w:top w:val="single" w:sz="12" w:space="0" w:color="auto"/>
            </w:tcBorders>
            <w:shd w:val="clear" w:color="auto" w:fill="auto"/>
          </w:tcPr>
          <w:p w:rsidR="009B5A79" w:rsidRPr="003216A6" w:rsidRDefault="009B5A79" w:rsidP="003216A6">
            <w:pPr>
              <w:pStyle w:val="Tabletext"/>
            </w:pPr>
            <w:r w:rsidRPr="003216A6">
              <w:t>1</w:t>
            </w:r>
          </w:p>
        </w:tc>
        <w:tc>
          <w:tcPr>
            <w:tcW w:w="3817" w:type="dxa"/>
            <w:tcBorders>
              <w:top w:val="single" w:sz="12" w:space="0" w:color="auto"/>
            </w:tcBorders>
            <w:shd w:val="clear" w:color="auto" w:fill="auto"/>
          </w:tcPr>
          <w:p w:rsidR="009B5A79" w:rsidRPr="003216A6" w:rsidRDefault="009B5A79" w:rsidP="003216A6">
            <w:pPr>
              <w:pStyle w:val="Tabletext"/>
            </w:pPr>
            <w:r w:rsidRPr="003216A6">
              <w:t>CHF3 (HFC</w:t>
            </w:r>
            <w:r w:rsidR="00753724">
              <w:noBreakHyphen/>
            </w:r>
            <w:r w:rsidRPr="003216A6">
              <w:t>23)</w:t>
            </w:r>
          </w:p>
        </w:tc>
        <w:tc>
          <w:tcPr>
            <w:tcW w:w="1482" w:type="dxa"/>
            <w:tcBorders>
              <w:top w:val="single" w:sz="12" w:space="0" w:color="auto"/>
            </w:tcBorders>
            <w:shd w:val="clear" w:color="auto" w:fill="auto"/>
          </w:tcPr>
          <w:p w:rsidR="009B5A79" w:rsidRPr="003216A6" w:rsidRDefault="009B5A79" w:rsidP="003216A6">
            <w:pPr>
              <w:pStyle w:val="Tabletext"/>
              <w:jc w:val="right"/>
            </w:pPr>
            <w:r w:rsidRPr="003216A6">
              <w:t>14,800</w:t>
            </w:r>
          </w:p>
        </w:tc>
      </w:tr>
      <w:tr w:rsidR="009B5A79" w:rsidRPr="003216A6" w:rsidTr="001615B0">
        <w:tc>
          <w:tcPr>
            <w:tcW w:w="714" w:type="dxa"/>
            <w:shd w:val="clear" w:color="auto" w:fill="auto"/>
          </w:tcPr>
          <w:p w:rsidR="009B5A79" w:rsidRPr="003216A6" w:rsidRDefault="009B5A79" w:rsidP="003216A6">
            <w:pPr>
              <w:pStyle w:val="Tabletext"/>
            </w:pPr>
            <w:r w:rsidRPr="003216A6">
              <w:t>2</w:t>
            </w:r>
          </w:p>
        </w:tc>
        <w:tc>
          <w:tcPr>
            <w:tcW w:w="3817" w:type="dxa"/>
            <w:shd w:val="clear" w:color="auto" w:fill="auto"/>
          </w:tcPr>
          <w:p w:rsidR="009B5A79" w:rsidRPr="003216A6" w:rsidRDefault="009B5A79" w:rsidP="003216A6">
            <w:pPr>
              <w:pStyle w:val="Tabletext"/>
            </w:pPr>
            <w:r w:rsidRPr="003216A6">
              <w:t>CH2F2 (HFC</w:t>
            </w:r>
            <w:r w:rsidR="00753724">
              <w:noBreakHyphen/>
            </w:r>
            <w:r w:rsidRPr="003216A6">
              <w:t>32)</w:t>
            </w:r>
          </w:p>
        </w:tc>
        <w:tc>
          <w:tcPr>
            <w:tcW w:w="1482" w:type="dxa"/>
            <w:shd w:val="clear" w:color="auto" w:fill="auto"/>
          </w:tcPr>
          <w:p w:rsidR="009B5A79" w:rsidRPr="003216A6" w:rsidRDefault="009B5A79" w:rsidP="003216A6">
            <w:pPr>
              <w:pStyle w:val="Tabletext"/>
              <w:jc w:val="right"/>
            </w:pPr>
            <w:r w:rsidRPr="003216A6">
              <w:t>675</w:t>
            </w:r>
          </w:p>
        </w:tc>
      </w:tr>
      <w:tr w:rsidR="009B5A79" w:rsidRPr="003216A6" w:rsidTr="001615B0">
        <w:tc>
          <w:tcPr>
            <w:tcW w:w="714" w:type="dxa"/>
            <w:shd w:val="clear" w:color="auto" w:fill="auto"/>
          </w:tcPr>
          <w:p w:rsidR="009B5A79" w:rsidRPr="003216A6" w:rsidRDefault="009B5A79" w:rsidP="003216A6">
            <w:pPr>
              <w:pStyle w:val="Tabletext"/>
            </w:pPr>
            <w:r w:rsidRPr="003216A6">
              <w:t>3</w:t>
            </w:r>
          </w:p>
        </w:tc>
        <w:tc>
          <w:tcPr>
            <w:tcW w:w="3817" w:type="dxa"/>
            <w:shd w:val="clear" w:color="auto" w:fill="auto"/>
          </w:tcPr>
          <w:p w:rsidR="009B5A79" w:rsidRPr="003216A6" w:rsidRDefault="009B5A79" w:rsidP="003216A6">
            <w:pPr>
              <w:pStyle w:val="Tabletext"/>
            </w:pPr>
            <w:r w:rsidRPr="003216A6">
              <w:t>CH3F (HFC</w:t>
            </w:r>
            <w:r w:rsidR="00753724">
              <w:noBreakHyphen/>
            </w:r>
            <w:r w:rsidRPr="003216A6">
              <w:t>41)</w:t>
            </w:r>
          </w:p>
        </w:tc>
        <w:tc>
          <w:tcPr>
            <w:tcW w:w="1482" w:type="dxa"/>
            <w:shd w:val="clear" w:color="auto" w:fill="auto"/>
          </w:tcPr>
          <w:p w:rsidR="009B5A79" w:rsidRPr="003216A6" w:rsidRDefault="009B5A79" w:rsidP="003216A6">
            <w:pPr>
              <w:pStyle w:val="Tabletext"/>
              <w:jc w:val="right"/>
            </w:pPr>
            <w:r w:rsidRPr="003216A6">
              <w:t>92</w:t>
            </w:r>
          </w:p>
        </w:tc>
      </w:tr>
      <w:tr w:rsidR="009B5A79" w:rsidRPr="003216A6" w:rsidTr="001615B0">
        <w:tc>
          <w:tcPr>
            <w:tcW w:w="714" w:type="dxa"/>
            <w:shd w:val="clear" w:color="auto" w:fill="auto"/>
          </w:tcPr>
          <w:p w:rsidR="009B5A79" w:rsidRPr="003216A6" w:rsidRDefault="009B5A79" w:rsidP="003216A6">
            <w:pPr>
              <w:pStyle w:val="Tabletext"/>
            </w:pPr>
            <w:r w:rsidRPr="003216A6">
              <w:t>4</w:t>
            </w:r>
          </w:p>
        </w:tc>
        <w:tc>
          <w:tcPr>
            <w:tcW w:w="3817" w:type="dxa"/>
            <w:shd w:val="clear" w:color="auto" w:fill="auto"/>
          </w:tcPr>
          <w:p w:rsidR="009B5A79" w:rsidRPr="003216A6" w:rsidRDefault="009B5A79" w:rsidP="003216A6">
            <w:pPr>
              <w:pStyle w:val="Tabletext"/>
            </w:pPr>
            <w:r w:rsidRPr="003216A6">
              <w:t>CHF2CF3 (HFC</w:t>
            </w:r>
            <w:r w:rsidR="00753724">
              <w:noBreakHyphen/>
            </w:r>
            <w:r w:rsidRPr="003216A6">
              <w:t>125)</w:t>
            </w:r>
          </w:p>
        </w:tc>
        <w:tc>
          <w:tcPr>
            <w:tcW w:w="1482" w:type="dxa"/>
            <w:shd w:val="clear" w:color="auto" w:fill="auto"/>
          </w:tcPr>
          <w:p w:rsidR="009B5A79" w:rsidRPr="003216A6" w:rsidRDefault="009B5A79" w:rsidP="003216A6">
            <w:pPr>
              <w:pStyle w:val="Tabletext"/>
              <w:jc w:val="right"/>
            </w:pPr>
            <w:r w:rsidRPr="003216A6">
              <w:t>3,500</w:t>
            </w:r>
          </w:p>
        </w:tc>
      </w:tr>
      <w:tr w:rsidR="009B5A79" w:rsidRPr="003216A6" w:rsidTr="001615B0">
        <w:tc>
          <w:tcPr>
            <w:tcW w:w="714" w:type="dxa"/>
            <w:shd w:val="clear" w:color="auto" w:fill="auto"/>
          </w:tcPr>
          <w:p w:rsidR="009B5A79" w:rsidRPr="003216A6" w:rsidRDefault="009B5A79" w:rsidP="003216A6">
            <w:pPr>
              <w:pStyle w:val="Tabletext"/>
            </w:pPr>
            <w:r w:rsidRPr="003216A6">
              <w:t>5</w:t>
            </w:r>
          </w:p>
        </w:tc>
        <w:tc>
          <w:tcPr>
            <w:tcW w:w="3817" w:type="dxa"/>
            <w:shd w:val="clear" w:color="auto" w:fill="auto"/>
          </w:tcPr>
          <w:p w:rsidR="009B5A79" w:rsidRPr="003216A6" w:rsidRDefault="009B5A79" w:rsidP="003216A6">
            <w:pPr>
              <w:pStyle w:val="Tabletext"/>
            </w:pPr>
            <w:r w:rsidRPr="003216A6">
              <w:t>CHF2CHF2 (HFC</w:t>
            </w:r>
            <w:r w:rsidR="00753724">
              <w:noBreakHyphen/>
            </w:r>
            <w:r w:rsidRPr="003216A6">
              <w:t>134)</w:t>
            </w:r>
          </w:p>
        </w:tc>
        <w:tc>
          <w:tcPr>
            <w:tcW w:w="1482" w:type="dxa"/>
            <w:shd w:val="clear" w:color="auto" w:fill="auto"/>
          </w:tcPr>
          <w:p w:rsidR="009B5A79" w:rsidRPr="003216A6" w:rsidRDefault="009B5A79" w:rsidP="003216A6">
            <w:pPr>
              <w:pStyle w:val="Tabletext"/>
              <w:jc w:val="right"/>
            </w:pPr>
            <w:r w:rsidRPr="003216A6">
              <w:t>1,100</w:t>
            </w:r>
          </w:p>
        </w:tc>
      </w:tr>
      <w:tr w:rsidR="009B5A79" w:rsidRPr="003216A6" w:rsidTr="001615B0">
        <w:tc>
          <w:tcPr>
            <w:tcW w:w="714" w:type="dxa"/>
            <w:shd w:val="clear" w:color="auto" w:fill="auto"/>
          </w:tcPr>
          <w:p w:rsidR="009B5A79" w:rsidRPr="003216A6" w:rsidRDefault="009B5A79" w:rsidP="003216A6">
            <w:pPr>
              <w:pStyle w:val="Tabletext"/>
            </w:pPr>
            <w:r w:rsidRPr="003216A6">
              <w:lastRenderedPageBreak/>
              <w:t>6</w:t>
            </w:r>
          </w:p>
        </w:tc>
        <w:tc>
          <w:tcPr>
            <w:tcW w:w="3817" w:type="dxa"/>
            <w:shd w:val="clear" w:color="auto" w:fill="auto"/>
          </w:tcPr>
          <w:p w:rsidR="009B5A79" w:rsidRPr="003216A6" w:rsidRDefault="009B5A79" w:rsidP="003216A6">
            <w:pPr>
              <w:pStyle w:val="Tabletext"/>
            </w:pPr>
            <w:r w:rsidRPr="003216A6">
              <w:t>CH2FCF3 (HFC</w:t>
            </w:r>
            <w:r w:rsidR="00753724">
              <w:noBreakHyphen/>
            </w:r>
            <w:r w:rsidRPr="003216A6">
              <w:t>134a)</w:t>
            </w:r>
          </w:p>
        </w:tc>
        <w:tc>
          <w:tcPr>
            <w:tcW w:w="1482" w:type="dxa"/>
            <w:shd w:val="clear" w:color="auto" w:fill="auto"/>
          </w:tcPr>
          <w:p w:rsidR="009B5A79" w:rsidRPr="003216A6" w:rsidRDefault="009B5A79" w:rsidP="003216A6">
            <w:pPr>
              <w:pStyle w:val="Tabletext"/>
              <w:jc w:val="right"/>
            </w:pPr>
            <w:r w:rsidRPr="003216A6">
              <w:t>1,430</w:t>
            </w:r>
          </w:p>
        </w:tc>
      </w:tr>
      <w:tr w:rsidR="009B5A79" w:rsidRPr="003216A6" w:rsidTr="001615B0">
        <w:tc>
          <w:tcPr>
            <w:tcW w:w="714" w:type="dxa"/>
            <w:shd w:val="clear" w:color="auto" w:fill="auto"/>
          </w:tcPr>
          <w:p w:rsidR="009B5A79" w:rsidRPr="003216A6" w:rsidRDefault="009B5A79" w:rsidP="003216A6">
            <w:pPr>
              <w:pStyle w:val="Tabletext"/>
            </w:pPr>
            <w:r w:rsidRPr="003216A6">
              <w:t>7</w:t>
            </w:r>
          </w:p>
        </w:tc>
        <w:tc>
          <w:tcPr>
            <w:tcW w:w="3817" w:type="dxa"/>
            <w:shd w:val="clear" w:color="auto" w:fill="auto"/>
          </w:tcPr>
          <w:p w:rsidR="009B5A79" w:rsidRPr="003216A6" w:rsidRDefault="009B5A79" w:rsidP="003216A6">
            <w:pPr>
              <w:pStyle w:val="Tabletext"/>
            </w:pPr>
            <w:r w:rsidRPr="003216A6">
              <w:t>CHF2CH2F (HFC</w:t>
            </w:r>
            <w:r w:rsidR="00753724">
              <w:noBreakHyphen/>
            </w:r>
            <w:r w:rsidRPr="003216A6">
              <w:t>143)</w:t>
            </w:r>
          </w:p>
        </w:tc>
        <w:tc>
          <w:tcPr>
            <w:tcW w:w="1482" w:type="dxa"/>
            <w:shd w:val="clear" w:color="auto" w:fill="auto"/>
          </w:tcPr>
          <w:p w:rsidR="009B5A79" w:rsidRPr="003216A6" w:rsidRDefault="009B5A79" w:rsidP="003216A6">
            <w:pPr>
              <w:pStyle w:val="Tabletext"/>
              <w:jc w:val="right"/>
            </w:pPr>
            <w:r w:rsidRPr="003216A6">
              <w:t>353</w:t>
            </w:r>
          </w:p>
        </w:tc>
      </w:tr>
      <w:tr w:rsidR="009B5A79" w:rsidRPr="003216A6" w:rsidTr="001615B0">
        <w:tc>
          <w:tcPr>
            <w:tcW w:w="714" w:type="dxa"/>
            <w:shd w:val="clear" w:color="auto" w:fill="auto"/>
          </w:tcPr>
          <w:p w:rsidR="009B5A79" w:rsidRPr="003216A6" w:rsidRDefault="009B5A79" w:rsidP="003216A6">
            <w:pPr>
              <w:pStyle w:val="Tabletext"/>
            </w:pPr>
            <w:r w:rsidRPr="003216A6">
              <w:t>8</w:t>
            </w:r>
          </w:p>
        </w:tc>
        <w:tc>
          <w:tcPr>
            <w:tcW w:w="3817" w:type="dxa"/>
            <w:shd w:val="clear" w:color="auto" w:fill="auto"/>
          </w:tcPr>
          <w:p w:rsidR="009B5A79" w:rsidRPr="003216A6" w:rsidRDefault="009B5A79" w:rsidP="003216A6">
            <w:pPr>
              <w:pStyle w:val="Tabletext"/>
            </w:pPr>
            <w:r w:rsidRPr="003216A6">
              <w:t>CF3CH3 (HFC</w:t>
            </w:r>
            <w:r w:rsidR="00753724">
              <w:noBreakHyphen/>
            </w:r>
            <w:r w:rsidRPr="003216A6">
              <w:t>143a)</w:t>
            </w:r>
          </w:p>
        </w:tc>
        <w:tc>
          <w:tcPr>
            <w:tcW w:w="1482" w:type="dxa"/>
            <w:shd w:val="clear" w:color="auto" w:fill="auto"/>
          </w:tcPr>
          <w:p w:rsidR="009B5A79" w:rsidRPr="003216A6" w:rsidRDefault="009B5A79" w:rsidP="003216A6">
            <w:pPr>
              <w:pStyle w:val="Tabletext"/>
              <w:jc w:val="right"/>
            </w:pPr>
            <w:r w:rsidRPr="003216A6">
              <w:t>4,470</w:t>
            </w:r>
          </w:p>
        </w:tc>
      </w:tr>
      <w:tr w:rsidR="009B5A79" w:rsidRPr="003216A6" w:rsidTr="001615B0">
        <w:tc>
          <w:tcPr>
            <w:tcW w:w="714" w:type="dxa"/>
            <w:shd w:val="clear" w:color="auto" w:fill="auto"/>
          </w:tcPr>
          <w:p w:rsidR="009B5A79" w:rsidRPr="003216A6" w:rsidRDefault="009B5A79" w:rsidP="003216A6">
            <w:pPr>
              <w:pStyle w:val="Tabletext"/>
            </w:pPr>
            <w:r w:rsidRPr="003216A6">
              <w:t>9</w:t>
            </w:r>
          </w:p>
        </w:tc>
        <w:tc>
          <w:tcPr>
            <w:tcW w:w="3817" w:type="dxa"/>
            <w:shd w:val="clear" w:color="auto" w:fill="auto"/>
          </w:tcPr>
          <w:p w:rsidR="009B5A79" w:rsidRPr="003216A6" w:rsidRDefault="009B5A79" w:rsidP="003216A6">
            <w:pPr>
              <w:pStyle w:val="Tabletext"/>
            </w:pPr>
            <w:r w:rsidRPr="003216A6">
              <w:t>CH2FCH2F (HFC</w:t>
            </w:r>
            <w:r w:rsidR="00753724">
              <w:noBreakHyphen/>
            </w:r>
            <w:r w:rsidRPr="003216A6">
              <w:t>152)</w:t>
            </w:r>
          </w:p>
        </w:tc>
        <w:tc>
          <w:tcPr>
            <w:tcW w:w="1482" w:type="dxa"/>
            <w:shd w:val="clear" w:color="auto" w:fill="auto"/>
          </w:tcPr>
          <w:p w:rsidR="009B5A79" w:rsidRPr="003216A6" w:rsidRDefault="009B5A79" w:rsidP="003216A6">
            <w:pPr>
              <w:pStyle w:val="Tabletext"/>
              <w:jc w:val="right"/>
            </w:pPr>
            <w:r w:rsidRPr="003216A6">
              <w:t>53</w:t>
            </w:r>
          </w:p>
        </w:tc>
      </w:tr>
      <w:tr w:rsidR="009B5A79" w:rsidRPr="003216A6" w:rsidTr="001615B0">
        <w:tc>
          <w:tcPr>
            <w:tcW w:w="714" w:type="dxa"/>
            <w:shd w:val="clear" w:color="auto" w:fill="auto"/>
          </w:tcPr>
          <w:p w:rsidR="009B5A79" w:rsidRPr="003216A6" w:rsidRDefault="009B5A79" w:rsidP="003216A6">
            <w:pPr>
              <w:pStyle w:val="Tabletext"/>
            </w:pPr>
            <w:r w:rsidRPr="003216A6">
              <w:t>10</w:t>
            </w:r>
          </w:p>
        </w:tc>
        <w:tc>
          <w:tcPr>
            <w:tcW w:w="3817" w:type="dxa"/>
            <w:shd w:val="clear" w:color="auto" w:fill="auto"/>
          </w:tcPr>
          <w:p w:rsidR="009B5A79" w:rsidRPr="003216A6" w:rsidRDefault="009B5A79" w:rsidP="003216A6">
            <w:pPr>
              <w:pStyle w:val="Tabletext"/>
            </w:pPr>
            <w:r w:rsidRPr="003216A6">
              <w:t>CH3CHF2 (HFC</w:t>
            </w:r>
            <w:r w:rsidR="00753724">
              <w:noBreakHyphen/>
            </w:r>
            <w:r w:rsidRPr="003216A6">
              <w:t>152a)</w:t>
            </w:r>
          </w:p>
        </w:tc>
        <w:tc>
          <w:tcPr>
            <w:tcW w:w="1482" w:type="dxa"/>
            <w:shd w:val="clear" w:color="auto" w:fill="auto"/>
          </w:tcPr>
          <w:p w:rsidR="009B5A79" w:rsidRPr="003216A6" w:rsidRDefault="009B5A79" w:rsidP="003216A6">
            <w:pPr>
              <w:pStyle w:val="Tabletext"/>
              <w:jc w:val="right"/>
            </w:pPr>
            <w:r w:rsidRPr="003216A6">
              <w:t>124</w:t>
            </w:r>
          </w:p>
        </w:tc>
      </w:tr>
      <w:tr w:rsidR="009B5A79" w:rsidRPr="003216A6" w:rsidTr="001615B0">
        <w:tc>
          <w:tcPr>
            <w:tcW w:w="714" w:type="dxa"/>
            <w:shd w:val="clear" w:color="auto" w:fill="auto"/>
          </w:tcPr>
          <w:p w:rsidR="009B5A79" w:rsidRPr="003216A6" w:rsidRDefault="009B5A79" w:rsidP="003216A6">
            <w:pPr>
              <w:pStyle w:val="Tabletext"/>
            </w:pPr>
            <w:r w:rsidRPr="003216A6">
              <w:t>11</w:t>
            </w:r>
          </w:p>
        </w:tc>
        <w:tc>
          <w:tcPr>
            <w:tcW w:w="3817" w:type="dxa"/>
            <w:shd w:val="clear" w:color="auto" w:fill="auto"/>
          </w:tcPr>
          <w:p w:rsidR="009B5A79" w:rsidRPr="003216A6" w:rsidRDefault="009B5A79" w:rsidP="003216A6">
            <w:pPr>
              <w:pStyle w:val="Tabletext"/>
            </w:pPr>
            <w:r w:rsidRPr="003216A6">
              <w:t>CF3CHFCF3 (HFC</w:t>
            </w:r>
            <w:r w:rsidR="00753724">
              <w:noBreakHyphen/>
            </w:r>
            <w:r w:rsidRPr="003216A6">
              <w:t>227ea)</w:t>
            </w:r>
          </w:p>
        </w:tc>
        <w:tc>
          <w:tcPr>
            <w:tcW w:w="1482" w:type="dxa"/>
            <w:shd w:val="clear" w:color="auto" w:fill="auto"/>
          </w:tcPr>
          <w:p w:rsidR="009B5A79" w:rsidRPr="003216A6" w:rsidRDefault="009B5A79" w:rsidP="003216A6">
            <w:pPr>
              <w:pStyle w:val="Tabletext"/>
              <w:jc w:val="right"/>
            </w:pPr>
            <w:r w:rsidRPr="003216A6">
              <w:t>3,220</w:t>
            </w:r>
          </w:p>
        </w:tc>
      </w:tr>
      <w:tr w:rsidR="009B5A79" w:rsidRPr="003216A6" w:rsidTr="001615B0">
        <w:tc>
          <w:tcPr>
            <w:tcW w:w="714" w:type="dxa"/>
            <w:shd w:val="clear" w:color="auto" w:fill="auto"/>
          </w:tcPr>
          <w:p w:rsidR="009B5A79" w:rsidRPr="003216A6" w:rsidRDefault="009B5A79" w:rsidP="003216A6">
            <w:pPr>
              <w:pStyle w:val="Tabletext"/>
            </w:pPr>
            <w:r w:rsidRPr="003216A6">
              <w:t>12</w:t>
            </w:r>
          </w:p>
        </w:tc>
        <w:tc>
          <w:tcPr>
            <w:tcW w:w="3817" w:type="dxa"/>
            <w:shd w:val="clear" w:color="auto" w:fill="auto"/>
          </w:tcPr>
          <w:p w:rsidR="009B5A79" w:rsidRPr="003216A6" w:rsidRDefault="009B5A79" w:rsidP="003216A6">
            <w:pPr>
              <w:pStyle w:val="Tabletext"/>
            </w:pPr>
            <w:r w:rsidRPr="003216A6">
              <w:t>CH2FCF2CF3 (HFC</w:t>
            </w:r>
            <w:r w:rsidR="00753724">
              <w:noBreakHyphen/>
            </w:r>
            <w:r w:rsidRPr="003216A6">
              <w:t>236cb)</w:t>
            </w:r>
          </w:p>
        </w:tc>
        <w:tc>
          <w:tcPr>
            <w:tcW w:w="1482" w:type="dxa"/>
            <w:shd w:val="clear" w:color="auto" w:fill="auto"/>
          </w:tcPr>
          <w:p w:rsidR="009B5A79" w:rsidRPr="003216A6" w:rsidRDefault="009B5A79" w:rsidP="003216A6">
            <w:pPr>
              <w:pStyle w:val="Tabletext"/>
              <w:jc w:val="right"/>
            </w:pPr>
            <w:r w:rsidRPr="003216A6">
              <w:t>1,340</w:t>
            </w:r>
          </w:p>
        </w:tc>
      </w:tr>
      <w:tr w:rsidR="009B5A79" w:rsidRPr="003216A6" w:rsidTr="001615B0">
        <w:tc>
          <w:tcPr>
            <w:tcW w:w="714" w:type="dxa"/>
            <w:shd w:val="clear" w:color="auto" w:fill="auto"/>
          </w:tcPr>
          <w:p w:rsidR="009B5A79" w:rsidRPr="003216A6" w:rsidRDefault="009B5A79" w:rsidP="003216A6">
            <w:pPr>
              <w:pStyle w:val="Tabletext"/>
            </w:pPr>
            <w:r w:rsidRPr="003216A6">
              <w:t>13</w:t>
            </w:r>
          </w:p>
        </w:tc>
        <w:tc>
          <w:tcPr>
            <w:tcW w:w="3817" w:type="dxa"/>
            <w:shd w:val="clear" w:color="auto" w:fill="auto"/>
          </w:tcPr>
          <w:p w:rsidR="009B5A79" w:rsidRPr="003216A6" w:rsidRDefault="009B5A79" w:rsidP="003216A6">
            <w:pPr>
              <w:pStyle w:val="Tabletext"/>
            </w:pPr>
            <w:r w:rsidRPr="003216A6">
              <w:t>CHF2CHFCF3 (HFC</w:t>
            </w:r>
            <w:r w:rsidR="00753724">
              <w:noBreakHyphen/>
            </w:r>
            <w:r w:rsidRPr="003216A6">
              <w:t>236ea)</w:t>
            </w:r>
          </w:p>
        </w:tc>
        <w:tc>
          <w:tcPr>
            <w:tcW w:w="1482" w:type="dxa"/>
            <w:shd w:val="clear" w:color="auto" w:fill="auto"/>
          </w:tcPr>
          <w:p w:rsidR="009B5A79" w:rsidRPr="003216A6" w:rsidRDefault="009B5A79" w:rsidP="003216A6">
            <w:pPr>
              <w:pStyle w:val="Tabletext"/>
              <w:jc w:val="right"/>
            </w:pPr>
            <w:r w:rsidRPr="003216A6">
              <w:t>1,370</w:t>
            </w:r>
          </w:p>
        </w:tc>
      </w:tr>
      <w:tr w:rsidR="009B5A79" w:rsidRPr="003216A6" w:rsidTr="001615B0">
        <w:tc>
          <w:tcPr>
            <w:tcW w:w="714" w:type="dxa"/>
            <w:shd w:val="clear" w:color="auto" w:fill="auto"/>
          </w:tcPr>
          <w:p w:rsidR="009B5A79" w:rsidRPr="003216A6" w:rsidRDefault="009B5A79" w:rsidP="003216A6">
            <w:pPr>
              <w:pStyle w:val="Tabletext"/>
            </w:pPr>
            <w:r w:rsidRPr="003216A6">
              <w:t>14</w:t>
            </w:r>
          </w:p>
        </w:tc>
        <w:tc>
          <w:tcPr>
            <w:tcW w:w="3817" w:type="dxa"/>
            <w:shd w:val="clear" w:color="auto" w:fill="auto"/>
          </w:tcPr>
          <w:p w:rsidR="009B5A79" w:rsidRPr="003216A6" w:rsidRDefault="009B5A79" w:rsidP="003216A6">
            <w:pPr>
              <w:pStyle w:val="Tabletext"/>
            </w:pPr>
            <w:r w:rsidRPr="003216A6">
              <w:t>CF3CH2CF3 (HFC</w:t>
            </w:r>
            <w:r w:rsidR="00753724">
              <w:noBreakHyphen/>
            </w:r>
            <w:r w:rsidRPr="003216A6">
              <w:t>236fa)</w:t>
            </w:r>
          </w:p>
        </w:tc>
        <w:tc>
          <w:tcPr>
            <w:tcW w:w="1482" w:type="dxa"/>
            <w:shd w:val="clear" w:color="auto" w:fill="auto"/>
          </w:tcPr>
          <w:p w:rsidR="009B5A79" w:rsidRPr="003216A6" w:rsidRDefault="009B5A79" w:rsidP="003216A6">
            <w:pPr>
              <w:pStyle w:val="Tabletext"/>
              <w:jc w:val="right"/>
            </w:pPr>
            <w:r w:rsidRPr="003216A6">
              <w:t>9,810</w:t>
            </w:r>
          </w:p>
        </w:tc>
      </w:tr>
      <w:tr w:rsidR="009B5A79" w:rsidRPr="003216A6" w:rsidTr="001615B0">
        <w:tc>
          <w:tcPr>
            <w:tcW w:w="714" w:type="dxa"/>
            <w:tcBorders>
              <w:bottom w:val="single" w:sz="2" w:space="0" w:color="auto"/>
            </w:tcBorders>
            <w:shd w:val="clear" w:color="auto" w:fill="auto"/>
          </w:tcPr>
          <w:p w:rsidR="009B5A79" w:rsidRPr="003216A6" w:rsidRDefault="009B5A79" w:rsidP="003216A6">
            <w:pPr>
              <w:pStyle w:val="Tabletext"/>
            </w:pPr>
            <w:r w:rsidRPr="003216A6">
              <w:t>15</w:t>
            </w:r>
          </w:p>
        </w:tc>
        <w:tc>
          <w:tcPr>
            <w:tcW w:w="3817" w:type="dxa"/>
            <w:tcBorders>
              <w:bottom w:val="single" w:sz="2" w:space="0" w:color="auto"/>
            </w:tcBorders>
            <w:shd w:val="clear" w:color="auto" w:fill="auto"/>
          </w:tcPr>
          <w:p w:rsidR="009B5A79" w:rsidRPr="003216A6" w:rsidRDefault="009B5A79" w:rsidP="003216A6">
            <w:pPr>
              <w:pStyle w:val="Tabletext"/>
            </w:pPr>
            <w:r w:rsidRPr="003216A6">
              <w:t>CH2FCF2CHF2 (HFC</w:t>
            </w:r>
            <w:r w:rsidR="00753724">
              <w:noBreakHyphen/>
            </w:r>
            <w:r w:rsidRPr="003216A6">
              <w:t>245ca)</w:t>
            </w:r>
          </w:p>
        </w:tc>
        <w:tc>
          <w:tcPr>
            <w:tcW w:w="1482" w:type="dxa"/>
            <w:tcBorders>
              <w:bottom w:val="single" w:sz="2" w:space="0" w:color="auto"/>
            </w:tcBorders>
            <w:shd w:val="clear" w:color="auto" w:fill="auto"/>
          </w:tcPr>
          <w:p w:rsidR="009B5A79" w:rsidRPr="003216A6" w:rsidRDefault="009B5A79" w:rsidP="003216A6">
            <w:pPr>
              <w:pStyle w:val="Tabletext"/>
              <w:jc w:val="right"/>
            </w:pPr>
            <w:r w:rsidRPr="003216A6">
              <w:t>693</w:t>
            </w:r>
          </w:p>
        </w:tc>
      </w:tr>
      <w:tr w:rsidR="009B5A79" w:rsidRPr="003216A6" w:rsidTr="001615B0">
        <w:tc>
          <w:tcPr>
            <w:tcW w:w="714" w:type="dxa"/>
            <w:tcBorders>
              <w:top w:val="single" w:sz="2" w:space="0" w:color="auto"/>
              <w:bottom w:val="single" w:sz="2" w:space="0" w:color="auto"/>
            </w:tcBorders>
            <w:shd w:val="clear" w:color="auto" w:fill="auto"/>
          </w:tcPr>
          <w:p w:rsidR="009B5A79" w:rsidRPr="003216A6" w:rsidRDefault="009B5A79" w:rsidP="003216A6">
            <w:pPr>
              <w:pStyle w:val="Tabletext"/>
            </w:pPr>
            <w:r w:rsidRPr="003216A6">
              <w:t>16</w:t>
            </w:r>
          </w:p>
        </w:tc>
        <w:tc>
          <w:tcPr>
            <w:tcW w:w="3817" w:type="dxa"/>
            <w:tcBorders>
              <w:top w:val="single" w:sz="2" w:space="0" w:color="auto"/>
              <w:bottom w:val="single" w:sz="2" w:space="0" w:color="auto"/>
            </w:tcBorders>
            <w:shd w:val="clear" w:color="auto" w:fill="auto"/>
          </w:tcPr>
          <w:p w:rsidR="009B5A79" w:rsidRPr="003216A6" w:rsidRDefault="009B5A79" w:rsidP="003216A6">
            <w:pPr>
              <w:pStyle w:val="Tabletext"/>
            </w:pPr>
            <w:r w:rsidRPr="003216A6">
              <w:t>CHF2CH2CF3 (HFC</w:t>
            </w:r>
            <w:r w:rsidR="00753724">
              <w:noBreakHyphen/>
            </w:r>
            <w:r w:rsidRPr="003216A6">
              <w:t>245fa)</w:t>
            </w:r>
          </w:p>
        </w:tc>
        <w:tc>
          <w:tcPr>
            <w:tcW w:w="1482" w:type="dxa"/>
            <w:tcBorders>
              <w:top w:val="single" w:sz="2" w:space="0" w:color="auto"/>
              <w:bottom w:val="single" w:sz="2" w:space="0" w:color="auto"/>
            </w:tcBorders>
            <w:shd w:val="clear" w:color="auto" w:fill="auto"/>
          </w:tcPr>
          <w:p w:rsidR="009B5A79" w:rsidRPr="003216A6" w:rsidRDefault="009B5A79" w:rsidP="003216A6">
            <w:pPr>
              <w:pStyle w:val="Tabletext"/>
              <w:jc w:val="right"/>
            </w:pPr>
            <w:r w:rsidRPr="003216A6">
              <w:t>1,030</w:t>
            </w:r>
          </w:p>
        </w:tc>
      </w:tr>
      <w:tr w:rsidR="009B5A79" w:rsidRPr="003216A6" w:rsidTr="001615B0">
        <w:tc>
          <w:tcPr>
            <w:tcW w:w="714" w:type="dxa"/>
            <w:tcBorders>
              <w:top w:val="single" w:sz="2" w:space="0" w:color="auto"/>
              <w:bottom w:val="single" w:sz="2" w:space="0" w:color="auto"/>
            </w:tcBorders>
            <w:shd w:val="clear" w:color="auto" w:fill="auto"/>
          </w:tcPr>
          <w:p w:rsidR="009B5A79" w:rsidRPr="003216A6" w:rsidRDefault="009B5A79" w:rsidP="003216A6">
            <w:pPr>
              <w:pStyle w:val="Tabletext"/>
            </w:pPr>
            <w:r w:rsidRPr="003216A6">
              <w:t>17</w:t>
            </w:r>
          </w:p>
        </w:tc>
        <w:tc>
          <w:tcPr>
            <w:tcW w:w="3817" w:type="dxa"/>
            <w:tcBorders>
              <w:top w:val="single" w:sz="2" w:space="0" w:color="auto"/>
              <w:bottom w:val="single" w:sz="2" w:space="0" w:color="auto"/>
            </w:tcBorders>
            <w:shd w:val="clear" w:color="auto" w:fill="auto"/>
          </w:tcPr>
          <w:p w:rsidR="009B5A79" w:rsidRPr="003216A6" w:rsidRDefault="009B5A79" w:rsidP="003216A6">
            <w:pPr>
              <w:pStyle w:val="Tabletext"/>
            </w:pPr>
            <w:r w:rsidRPr="003216A6">
              <w:t>CF3CH2CF2CH3 (HFC</w:t>
            </w:r>
            <w:r w:rsidR="00753724">
              <w:noBreakHyphen/>
            </w:r>
            <w:r w:rsidRPr="003216A6">
              <w:t>365mfc)</w:t>
            </w:r>
          </w:p>
        </w:tc>
        <w:tc>
          <w:tcPr>
            <w:tcW w:w="1482" w:type="dxa"/>
            <w:tcBorders>
              <w:top w:val="single" w:sz="2" w:space="0" w:color="auto"/>
              <w:bottom w:val="single" w:sz="2" w:space="0" w:color="auto"/>
            </w:tcBorders>
            <w:shd w:val="clear" w:color="auto" w:fill="auto"/>
          </w:tcPr>
          <w:p w:rsidR="009B5A79" w:rsidRPr="003216A6" w:rsidRDefault="009B5A79" w:rsidP="003216A6">
            <w:pPr>
              <w:pStyle w:val="Tabletext"/>
              <w:jc w:val="right"/>
            </w:pPr>
            <w:r w:rsidRPr="003216A6">
              <w:t>794</w:t>
            </w:r>
          </w:p>
        </w:tc>
      </w:tr>
      <w:tr w:rsidR="009B5A79" w:rsidRPr="003216A6" w:rsidTr="001615B0">
        <w:tc>
          <w:tcPr>
            <w:tcW w:w="714" w:type="dxa"/>
            <w:tcBorders>
              <w:top w:val="single" w:sz="2" w:space="0" w:color="auto"/>
              <w:bottom w:val="single" w:sz="12" w:space="0" w:color="auto"/>
            </w:tcBorders>
            <w:shd w:val="clear" w:color="auto" w:fill="auto"/>
          </w:tcPr>
          <w:p w:rsidR="009B5A79" w:rsidRPr="003216A6" w:rsidRDefault="009B5A79" w:rsidP="003216A6">
            <w:pPr>
              <w:pStyle w:val="Tabletext"/>
            </w:pPr>
            <w:r w:rsidRPr="003216A6">
              <w:t>18</w:t>
            </w:r>
          </w:p>
        </w:tc>
        <w:tc>
          <w:tcPr>
            <w:tcW w:w="3817" w:type="dxa"/>
            <w:tcBorders>
              <w:top w:val="single" w:sz="2" w:space="0" w:color="auto"/>
              <w:bottom w:val="single" w:sz="12" w:space="0" w:color="auto"/>
            </w:tcBorders>
            <w:shd w:val="clear" w:color="auto" w:fill="auto"/>
          </w:tcPr>
          <w:p w:rsidR="009B5A79" w:rsidRPr="003216A6" w:rsidRDefault="009B5A79" w:rsidP="003216A6">
            <w:pPr>
              <w:pStyle w:val="Tabletext"/>
            </w:pPr>
            <w:r w:rsidRPr="003216A6">
              <w:t>CF3CHFCHFCF2CF3 (HFC</w:t>
            </w:r>
            <w:r w:rsidR="00753724">
              <w:noBreakHyphen/>
            </w:r>
            <w:r w:rsidRPr="003216A6">
              <w:t>43</w:t>
            </w:r>
            <w:r w:rsidR="00753724">
              <w:noBreakHyphen/>
            </w:r>
            <w:r w:rsidRPr="003216A6">
              <w:t>10mee)</w:t>
            </w:r>
          </w:p>
        </w:tc>
        <w:tc>
          <w:tcPr>
            <w:tcW w:w="1482" w:type="dxa"/>
            <w:tcBorders>
              <w:top w:val="single" w:sz="2" w:space="0" w:color="auto"/>
              <w:bottom w:val="single" w:sz="12" w:space="0" w:color="auto"/>
            </w:tcBorders>
            <w:shd w:val="clear" w:color="auto" w:fill="auto"/>
          </w:tcPr>
          <w:p w:rsidR="009B5A79" w:rsidRPr="003216A6" w:rsidRDefault="009B5A79" w:rsidP="003216A6">
            <w:pPr>
              <w:pStyle w:val="Tabletext"/>
              <w:jc w:val="right"/>
            </w:pPr>
            <w:r w:rsidRPr="003216A6">
              <w:t>1,640</w:t>
            </w:r>
          </w:p>
        </w:tc>
      </w:tr>
    </w:tbl>
    <w:p w:rsidR="009B5A79" w:rsidRPr="003216A6" w:rsidRDefault="009B5A79" w:rsidP="003216A6">
      <w:pPr>
        <w:pStyle w:val="ActHead9"/>
        <w:rPr>
          <w:i w:val="0"/>
        </w:rPr>
      </w:pPr>
      <w:bookmarkStart w:id="36" w:name="_Toc486251876"/>
      <w:r w:rsidRPr="003216A6">
        <w:t>Ozone Protection and Synthetic Greenhouse Gas (Manufacture Levy) Act 1995</w:t>
      </w:r>
      <w:bookmarkEnd w:id="36"/>
    </w:p>
    <w:p w:rsidR="009B5A79" w:rsidRPr="003216A6" w:rsidRDefault="00B13916" w:rsidP="003216A6">
      <w:pPr>
        <w:pStyle w:val="ItemHead"/>
      </w:pPr>
      <w:r w:rsidRPr="003216A6">
        <w:t>57</w:t>
      </w:r>
      <w:r w:rsidR="009B5A79" w:rsidRPr="003216A6">
        <w:t xml:space="preserve">  Subsection</w:t>
      </w:r>
      <w:r w:rsidR="003216A6" w:rsidRPr="003216A6">
        <w:t> </w:t>
      </w:r>
      <w:r w:rsidR="009B5A79" w:rsidRPr="003216A6">
        <w:t>3A(2)</w:t>
      </w:r>
    </w:p>
    <w:p w:rsidR="009B5A79" w:rsidRPr="003216A6" w:rsidRDefault="009B5A79" w:rsidP="003216A6">
      <w:pPr>
        <w:pStyle w:val="Item"/>
      </w:pPr>
      <w:r w:rsidRPr="003216A6">
        <w:t xml:space="preserve">Omit </w:t>
      </w:r>
      <w:r w:rsidR="00BF3C85" w:rsidRPr="003216A6">
        <w:t>“</w:t>
      </w:r>
      <w:r w:rsidRPr="003216A6">
        <w:t>paragraph</w:t>
      </w:r>
      <w:r w:rsidR="003216A6" w:rsidRPr="003216A6">
        <w:t> </w:t>
      </w:r>
      <w:r w:rsidRPr="003216A6">
        <w:t>13(1A)(b)</w:t>
      </w:r>
      <w:r w:rsidR="00BF3C85" w:rsidRPr="003216A6">
        <w:t>”</w:t>
      </w:r>
      <w:r w:rsidRPr="003216A6">
        <w:t xml:space="preserve">, substitute </w:t>
      </w:r>
      <w:r w:rsidR="00BF3C85" w:rsidRPr="003216A6">
        <w:t>“</w:t>
      </w:r>
      <w:r w:rsidRPr="003216A6">
        <w:t>subsection</w:t>
      </w:r>
      <w:r w:rsidR="003216A6" w:rsidRPr="003216A6">
        <w:t> </w:t>
      </w:r>
      <w:r w:rsidRPr="003216A6">
        <w:t>13(3)</w:t>
      </w:r>
      <w:r w:rsidR="00BF3C85" w:rsidRPr="003216A6">
        <w:t>”</w:t>
      </w:r>
      <w:r w:rsidR="002F6749" w:rsidRPr="003216A6">
        <w:t>.</w:t>
      </w:r>
    </w:p>
    <w:p w:rsidR="001520B1" w:rsidRPr="003216A6" w:rsidRDefault="00F55B02" w:rsidP="003216A6">
      <w:pPr>
        <w:pStyle w:val="ActHead7"/>
        <w:pageBreakBefore/>
      </w:pPr>
      <w:bookmarkStart w:id="37" w:name="_Toc486251877"/>
      <w:r w:rsidRPr="003216A6">
        <w:rPr>
          <w:rStyle w:val="CharAmPartNo"/>
        </w:rPr>
        <w:lastRenderedPageBreak/>
        <w:t>Part</w:t>
      </w:r>
      <w:r w:rsidR="003216A6" w:rsidRPr="003216A6">
        <w:rPr>
          <w:rStyle w:val="CharAmPartNo"/>
        </w:rPr>
        <w:t> </w:t>
      </w:r>
      <w:r w:rsidRPr="003216A6">
        <w:rPr>
          <w:rStyle w:val="CharAmPartNo"/>
        </w:rPr>
        <w:t>2</w:t>
      </w:r>
      <w:r w:rsidR="001520B1" w:rsidRPr="003216A6">
        <w:t>—</w:t>
      </w:r>
      <w:r w:rsidR="004B64B3" w:rsidRPr="003216A6">
        <w:rPr>
          <w:rStyle w:val="CharAmPartText"/>
        </w:rPr>
        <w:t xml:space="preserve">References to </w:t>
      </w:r>
      <w:r w:rsidR="001520B1" w:rsidRPr="003216A6">
        <w:rPr>
          <w:rStyle w:val="CharAmPartText"/>
        </w:rPr>
        <w:t>equipment</w:t>
      </w:r>
      <w:r w:rsidR="004B64B3" w:rsidRPr="003216A6">
        <w:rPr>
          <w:rStyle w:val="CharAmPartText"/>
        </w:rPr>
        <w:t xml:space="preserve"> and products</w:t>
      </w:r>
      <w:bookmarkEnd w:id="37"/>
    </w:p>
    <w:p w:rsidR="001520B1" w:rsidRPr="003216A6" w:rsidRDefault="001520B1" w:rsidP="003216A6">
      <w:pPr>
        <w:pStyle w:val="ActHead9"/>
        <w:rPr>
          <w:i w:val="0"/>
        </w:rPr>
      </w:pPr>
      <w:bookmarkStart w:id="38" w:name="_Toc486251878"/>
      <w:r w:rsidRPr="003216A6">
        <w:t>Ozone Protection and Synthetic Greenhouse Gas (Import Levy) Act 1995</w:t>
      </w:r>
      <w:bookmarkEnd w:id="38"/>
    </w:p>
    <w:p w:rsidR="001520B1" w:rsidRPr="003216A6" w:rsidRDefault="00B13916" w:rsidP="003216A6">
      <w:pPr>
        <w:pStyle w:val="ItemHead"/>
      </w:pPr>
      <w:r w:rsidRPr="003216A6">
        <w:t>58</w:t>
      </w:r>
      <w:r w:rsidR="001520B1" w:rsidRPr="003216A6">
        <w:t xml:space="preserve">  Section</w:t>
      </w:r>
      <w:r w:rsidR="003216A6" w:rsidRPr="003216A6">
        <w:t> </w:t>
      </w:r>
      <w:r w:rsidR="001520B1" w:rsidRPr="003216A6">
        <w:t xml:space="preserve">2A (definition of </w:t>
      </w:r>
      <w:r w:rsidR="001520B1" w:rsidRPr="003216A6">
        <w:rPr>
          <w:i/>
        </w:rPr>
        <w:t>medical equipment</w:t>
      </w:r>
      <w:r w:rsidR="001520B1" w:rsidRPr="003216A6">
        <w:t>)</w:t>
      </w:r>
    </w:p>
    <w:p w:rsidR="001520B1" w:rsidRPr="003216A6" w:rsidRDefault="001520B1" w:rsidP="003216A6">
      <w:pPr>
        <w:pStyle w:val="Item"/>
      </w:pPr>
      <w:r w:rsidRPr="003216A6">
        <w:t xml:space="preserve">Omit </w:t>
      </w:r>
      <w:r w:rsidR="00BF3C85" w:rsidRPr="003216A6">
        <w:t>“</w:t>
      </w:r>
      <w:r w:rsidRPr="003216A6">
        <w:t>a pharmaceutical product</w:t>
      </w:r>
      <w:r w:rsidR="00BF3C85" w:rsidRPr="003216A6">
        <w:t>”</w:t>
      </w:r>
      <w:r w:rsidRPr="003216A6">
        <w:t xml:space="preserve">, substitute </w:t>
      </w:r>
      <w:r w:rsidR="00BF3C85" w:rsidRPr="003216A6">
        <w:t>“</w:t>
      </w:r>
      <w:r w:rsidRPr="003216A6">
        <w:t>pharmaceutical equipment</w:t>
      </w:r>
      <w:r w:rsidR="00BF3C85" w:rsidRPr="003216A6">
        <w:t>”</w:t>
      </w:r>
      <w:r w:rsidR="002F6749" w:rsidRPr="003216A6">
        <w:t>.</w:t>
      </w:r>
    </w:p>
    <w:p w:rsidR="001520B1" w:rsidRPr="003216A6" w:rsidRDefault="00B13916" w:rsidP="003216A6">
      <w:pPr>
        <w:pStyle w:val="ItemHead"/>
      </w:pPr>
      <w:r w:rsidRPr="003216A6">
        <w:t>59</w:t>
      </w:r>
      <w:r w:rsidR="001520B1" w:rsidRPr="003216A6">
        <w:t xml:space="preserve">  Subparagraph 3A(9)(b)(iii)</w:t>
      </w:r>
    </w:p>
    <w:p w:rsidR="001520B1" w:rsidRPr="003216A6" w:rsidRDefault="001520B1" w:rsidP="003216A6">
      <w:pPr>
        <w:pStyle w:val="Item"/>
      </w:pPr>
      <w:r w:rsidRPr="003216A6">
        <w:t xml:space="preserve">Omit </w:t>
      </w:r>
      <w:r w:rsidR="00BF3C85" w:rsidRPr="003216A6">
        <w:t>“</w:t>
      </w:r>
      <w:r w:rsidRPr="003216A6">
        <w:t>a product, or in equipment,</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t>60</w:t>
      </w:r>
      <w:r w:rsidR="001520B1" w:rsidRPr="003216A6">
        <w:t xml:space="preserve">  Subparagraph 3A(9)(b)(iv)</w:t>
      </w:r>
    </w:p>
    <w:p w:rsidR="001520B1" w:rsidRPr="003216A6" w:rsidRDefault="001520B1" w:rsidP="003216A6">
      <w:pPr>
        <w:pStyle w:val="Item"/>
      </w:pPr>
      <w:r w:rsidRPr="003216A6">
        <w:t xml:space="preserve">Omit </w:t>
      </w:r>
      <w:r w:rsidR="00BF3C85" w:rsidRPr="003216A6">
        <w:t>“</w:t>
      </w:r>
      <w:r w:rsidRPr="003216A6">
        <w:t>a product, or of equipment,</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86730B" w:rsidRPr="003216A6" w:rsidRDefault="00B13916" w:rsidP="003216A6">
      <w:pPr>
        <w:pStyle w:val="ItemHead"/>
      </w:pPr>
      <w:r w:rsidRPr="003216A6">
        <w:t>61</w:t>
      </w:r>
      <w:r w:rsidR="0086730B" w:rsidRPr="003216A6">
        <w:t xml:space="preserve">  Subsection</w:t>
      </w:r>
      <w:r w:rsidR="003216A6" w:rsidRPr="003216A6">
        <w:t> </w:t>
      </w:r>
      <w:r w:rsidR="0086730B" w:rsidRPr="003216A6">
        <w:t>4B(5)</w:t>
      </w:r>
    </w:p>
    <w:p w:rsidR="0086730B" w:rsidRPr="003216A6" w:rsidRDefault="0086730B" w:rsidP="003216A6">
      <w:pPr>
        <w:pStyle w:val="Item"/>
      </w:pPr>
      <w:r w:rsidRPr="003216A6">
        <w:t>Repeal the subsection</w:t>
      </w:r>
      <w:r w:rsidR="002F6749" w:rsidRPr="003216A6">
        <w:t>.</w:t>
      </w:r>
    </w:p>
    <w:p w:rsidR="001520B1" w:rsidRPr="003216A6" w:rsidRDefault="001520B1" w:rsidP="003216A6">
      <w:pPr>
        <w:pStyle w:val="ActHead9"/>
        <w:rPr>
          <w:i w:val="0"/>
        </w:rPr>
      </w:pPr>
      <w:bookmarkStart w:id="39" w:name="_Toc486251879"/>
      <w:r w:rsidRPr="003216A6">
        <w:t>Ozone Protection and Synthetic Greenhouse Gas Management Act 1989</w:t>
      </w:r>
      <w:bookmarkEnd w:id="39"/>
    </w:p>
    <w:p w:rsidR="001520B1" w:rsidRPr="003216A6" w:rsidRDefault="00B13916" w:rsidP="003216A6">
      <w:pPr>
        <w:pStyle w:val="ItemHead"/>
      </w:pPr>
      <w:r w:rsidRPr="003216A6">
        <w:t>62</w:t>
      </w:r>
      <w:r w:rsidR="001520B1" w:rsidRPr="003216A6">
        <w:t xml:space="preserve">  Paragraph 3(b)</w:t>
      </w:r>
    </w:p>
    <w:p w:rsidR="001520B1" w:rsidRPr="003216A6" w:rsidRDefault="001520B1" w:rsidP="003216A6">
      <w:pPr>
        <w:pStyle w:val="Item"/>
      </w:pPr>
      <w:r w:rsidRPr="003216A6">
        <w:t xml:space="preserve">Omit </w:t>
      </w:r>
      <w:r w:rsidR="00BF3C85" w:rsidRPr="003216A6">
        <w:t>“</w:t>
      </w:r>
      <w:r w:rsidRPr="003216A6">
        <w:t>products that contain such substances or use such substances in their</w:t>
      </w:r>
      <w:r w:rsidR="00BF3C85" w:rsidRPr="003216A6">
        <w:t>”</w:t>
      </w:r>
      <w:r w:rsidRPr="003216A6">
        <w:t xml:space="preserve">, substitute </w:t>
      </w:r>
      <w:r w:rsidR="00BF3C85" w:rsidRPr="003216A6">
        <w:t>“</w:t>
      </w:r>
      <w:r w:rsidRPr="003216A6">
        <w:t>equipment that contains such substances or uses such substances in its</w:t>
      </w:r>
      <w:r w:rsidR="00BF3C85" w:rsidRPr="003216A6">
        <w:t>”</w:t>
      </w:r>
      <w:r w:rsidR="002F6749" w:rsidRPr="003216A6">
        <w:t>.</w:t>
      </w:r>
    </w:p>
    <w:p w:rsidR="001520B1" w:rsidRPr="003216A6" w:rsidRDefault="00B13916" w:rsidP="003216A6">
      <w:pPr>
        <w:pStyle w:val="ItemHead"/>
      </w:pPr>
      <w:r w:rsidRPr="003216A6">
        <w:t>63</w:t>
      </w:r>
      <w:r w:rsidR="001520B1" w:rsidRPr="003216A6">
        <w:t xml:space="preserve">  Section</w:t>
      </w:r>
      <w:r w:rsidR="003216A6" w:rsidRPr="003216A6">
        <w:t> </w:t>
      </w:r>
      <w:r w:rsidR="001520B1" w:rsidRPr="003216A6">
        <w:t>7</w:t>
      </w:r>
    </w:p>
    <w:p w:rsidR="001520B1" w:rsidRPr="003216A6" w:rsidRDefault="001520B1" w:rsidP="003216A6">
      <w:pPr>
        <w:pStyle w:val="Item"/>
      </w:pPr>
      <w:r w:rsidRPr="003216A6">
        <w:t>Insert:</w:t>
      </w:r>
    </w:p>
    <w:p w:rsidR="00270E6B" w:rsidRPr="003216A6" w:rsidRDefault="00270E6B" w:rsidP="003216A6">
      <w:pPr>
        <w:pStyle w:val="Definition"/>
      </w:pPr>
      <w:r w:rsidRPr="003216A6">
        <w:rPr>
          <w:b/>
          <w:i/>
        </w:rPr>
        <w:t>bulk schedule</w:t>
      </w:r>
      <w:r w:rsidR="00FE39B9" w:rsidRPr="003216A6">
        <w:rPr>
          <w:b/>
          <w:i/>
        </w:rPr>
        <w:t>d</w:t>
      </w:r>
      <w:r w:rsidRPr="003216A6">
        <w:rPr>
          <w:b/>
          <w:i/>
        </w:rPr>
        <w:t xml:space="preserve"> substance</w:t>
      </w:r>
      <w:r w:rsidRPr="003216A6">
        <w:t xml:space="preserve"> has the meaning given by section</w:t>
      </w:r>
      <w:r w:rsidR="003216A6" w:rsidRPr="003216A6">
        <w:t> </w:t>
      </w:r>
      <w:r w:rsidR="00434DD4" w:rsidRPr="003216A6">
        <w:t>9</w:t>
      </w:r>
      <w:r w:rsidR="002F6749" w:rsidRPr="003216A6">
        <w:t>.</w:t>
      </w:r>
    </w:p>
    <w:p w:rsidR="00270E6B" w:rsidRPr="003216A6" w:rsidRDefault="00270E6B" w:rsidP="003216A6">
      <w:pPr>
        <w:pStyle w:val="Definition"/>
      </w:pPr>
      <w:r w:rsidRPr="003216A6">
        <w:rPr>
          <w:b/>
          <w:i/>
        </w:rPr>
        <w:t>containing</w:t>
      </w:r>
      <w:r w:rsidRPr="003216A6">
        <w:t xml:space="preserve">: equipment </w:t>
      </w:r>
      <w:r w:rsidRPr="003216A6">
        <w:rPr>
          <w:b/>
          <w:i/>
        </w:rPr>
        <w:t>containing</w:t>
      </w:r>
      <w:r w:rsidRPr="003216A6">
        <w:t xml:space="preserve"> a scheduled substance has a meaning affected by </w:t>
      </w:r>
      <w:r w:rsidR="00434DD4" w:rsidRPr="003216A6">
        <w:t>section</w:t>
      </w:r>
      <w:r w:rsidR="003216A6" w:rsidRPr="003216A6">
        <w:t> </w:t>
      </w:r>
      <w:r w:rsidR="00434DD4" w:rsidRPr="003216A6">
        <w:t>9</w:t>
      </w:r>
      <w:r w:rsidR="002F6749" w:rsidRPr="003216A6">
        <w:t>.</w:t>
      </w:r>
    </w:p>
    <w:p w:rsidR="001520B1" w:rsidRPr="003216A6" w:rsidRDefault="001520B1" w:rsidP="003216A6">
      <w:pPr>
        <w:pStyle w:val="Definition"/>
      </w:pPr>
      <w:r w:rsidRPr="003216A6">
        <w:rPr>
          <w:b/>
          <w:i/>
        </w:rPr>
        <w:t>equipment</w:t>
      </w:r>
      <w:r w:rsidRPr="003216A6">
        <w:t xml:space="preserve"> includes products</w:t>
      </w:r>
      <w:r w:rsidR="002F6749" w:rsidRPr="003216A6">
        <w:t>.</w:t>
      </w:r>
    </w:p>
    <w:p w:rsidR="00270E6B" w:rsidRPr="003216A6" w:rsidRDefault="00270E6B" w:rsidP="003216A6">
      <w:pPr>
        <w:pStyle w:val="Definition"/>
      </w:pPr>
      <w:r w:rsidRPr="003216A6">
        <w:rPr>
          <w:b/>
          <w:i/>
        </w:rPr>
        <w:lastRenderedPageBreak/>
        <w:t>using</w:t>
      </w:r>
      <w:r w:rsidRPr="003216A6">
        <w:t xml:space="preserve"> </w:t>
      </w:r>
      <w:r w:rsidR="0038349A" w:rsidRPr="003216A6">
        <w:t xml:space="preserve">a </w:t>
      </w:r>
      <w:r w:rsidRPr="003216A6">
        <w:t>scheduled substance in</w:t>
      </w:r>
      <w:r w:rsidR="0038349A" w:rsidRPr="003216A6">
        <w:t xml:space="preserve"> the</w:t>
      </w:r>
      <w:r w:rsidRPr="003216A6">
        <w:t xml:space="preserve"> operation</w:t>
      </w:r>
      <w:r w:rsidR="0038349A" w:rsidRPr="003216A6">
        <w:t xml:space="preserve"> of equipment</w:t>
      </w:r>
      <w:r w:rsidRPr="003216A6">
        <w:t xml:space="preserve"> has a meaning affected by </w:t>
      </w:r>
      <w:r w:rsidR="00434DD4" w:rsidRPr="003216A6">
        <w:t>section</w:t>
      </w:r>
      <w:r w:rsidR="003216A6" w:rsidRPr="003216A6">
        <w:t> </w:t>
      </w:r>
      <w:r w:rsidR="00434DD4" w:rsidRPr="003216A6">
        <w:t>9</w:t>
      </w:r>
      <w:r w:rsidR="002F6749" w:rsidRPr="003216A6">
        <w:t>.</w:t>
      </w:r>
    </w:p>
    <w:p w:rsidR="001520B1" w:rsidRPr="003216A6" w:rsidRDefault="00B13916" w:rsidP="003216A6">
      <w:pPr>
        <w:pStyle w:val="ItemHead"/>
      </w:pPr>
      <w:r w:rsidRPr="003216A6">
        <w:t>64</w:t>
      </w:r>
      <w:r w:rsidR="001520B1" w:rsidRPr="003216A6">
        <w:t xml:space="preserve">  Section</w:t>
      </w:r>
      <w:r w:rsidR="003216A6" w:rsidRPr="003216A6">
        <w:t> </w:t>
      </w:r>
      <w:r w:rsidR="001520B1" w:rsidRPr="003216A6">
        <w:t>8C</w:t>
      </w:r>
    </w:p>
    <w:p w:rsidR="001520B1" w:rsidRPr="003216A6" w:rsidRDefault="001520B1" w:rsidP="003216A6">
      <w:pPr>
        <w:pStyle w:val="Item"/>
      </w:pPr>
      <w:r w:rsidRPr="003216A6">
        <w:t xml:space="preserve">Omit </w:t>
      </w:r>
      <w:r w:rsidR="00BF3C85" w:rsidRPr="003216A6">
        <w:t>“</w:t>
      </w:r>
      <w:r w:rsidRPr="003216A6">
        <w:t>or, but for section</w:t>
      </w:r>
      <w:r w:rsidR="003216A6" w:rsidRPr="003216A6">
        <w:t> </w:t>
      </w:r>
      <w:r w:rsidRPr="003216A6">
        <w:t>9, would be an HCFC</w:t>
      </w:r>
      <w:r w:rsidR="00BF3C85" w:rsidRPr="003216A6">
        <w:t>”</w:t>
      </w:r>
      <w:r w:rsidR="002F6749" w:rsidRPr="003216A6">
        <w:t>.</w:t>
      </w:r>
    </w:p>
    <w:p w:rsidR="001520B1" w:rsidRPr="003216A6" w:rsidRDefault="00B13916" w:rsidP="003216A6">
      <w:pPr>
        <w:pStyle w:val="ItemHead"/>
      </w:pPr>
      <w:r w:rsidRPr="003216A6">
        <w:t>65</w:t>
      </w:r>
      <w:r w:rsidR="001520B1" w:rsidRPr="003216A6">
        <w:t xml:space="preserve">  Paragraphs 8D(1)(a), (b), (c) and (d)</w:t>
      </w:r>
    </w:p>
    <w:p w:rsidR="001520B1" w:rsidRPr="003216A6" w:rsidRDefault="001520B1" w:rsidP="003216A6">
      <w:pPr>
        <w:pStyle w:val="Item"/>
      </w:pPr>
      <w:r w:rsidRPr="003216A6">
        <w:t xml:space="preserve">Omit </w:t>
      </w:r>
      <w:r w:rsidR="00BF3C85" w:rsidRPr="003216A6">
        <w:t>“</w:t>
      </w:r>
      <w:r w:rsidRPr="003216A6">
        <w:t>, or a product,</w:t>
      </w:r>
      <w:r w:rsidR="00BF3C85" w:rsidRPr="003216A6">
        <w:t>”</w:t>
      </w:r>
      <w:r w:rsidR="002F6749" w:rsidRPr="003216A6">
        <w:t>.</w:t>
      </w:r>
    </w:p>
    <w:p w:rsidR="001520B1" w:rsidRPr="003216A6" w:rsidRDefault="00B13916" w:rsidP="003216A6">
      <w:pPr>
        <w:pStyle w:val="ItemHead"/>
      </w:pPr>
      <w:r w:rsidRPr="003216A6">
        <w:t>66</w:t>
      </w:r>
      <w:r w:rsidR="001520B1" w:rsidRPr="003216A6">
        <w:t xml:space="preserve">  Section</w:t>
      </w:r>
      <w:r w:rsidR="003216A6" w:rsidRPr="003216A6">
        <w:t> </w:t>
      </w:r>
      <w:r w:rsidR="001520B1" w:rsidRPr="003216A6">
        <w:t>9</w:t>
      </w:r>
    </w:p>
    <w:p w:rsidR="001520B1" w:rsidRPr="003216A6" w:rsidRDefault="001520B1" w:rsidP="003216A6">
      <w:pPr>
        <w:pStyle w:val="Item"/>
      </w:pPr>
      <w:r w:rsidRPr="003216A6">
        <w:t>Repeal the section, substitute:</w:t>
      </w:r>
    </w:p>
    <w:p w:rsidR="001520B1" w:rsidRPr="003216A6" w:rsidRDefault="001520B1" w:rsidP="003216A6">
      <w:pPr>
        <w:pStyle w:val="ActHead5"/>
      </w:pPr>
      <w:bookmarkStart w:id="40" w:name="_Toc486251880"/>
      <w:r w:rsidRPr="003216A6">
        <w:rPr>
          <w:rStyle w:val="CharSectno"/>
        </w:rPr>
        <w:t>9</w:t>
      </w:r>
      <w:r w:rsidRPr="003216A6">
        <w:t xml:space="preserve">  Bulk </w:t>
      </w:r>
      <w:r w:rsidR="0038349A" w:rsidRPr="003216A6">
        <w:t xml:space="preserve">scheduled </w:t>
      </w:r>
      <w:r w:rsidRPr="003216A6">
        <w:t>substances and equipment</w:t>
      </w:r>
      <w:bookmarkEnd w:id="40"/>
    </w:p>
    <w:p w:rsidR="0038349A" w:rsidRPr="003216A6" w:rsidRDefault="0038349A" w:rsidP="003216A6">
      <w:pPr>
        <w:pStyle w:val="SubsectionHead"/>
      </w:pPr>
      <w:r w:rsidRPr="003216A6">
        <w:t>Bulk scheduled substances</w:t>
      </w:r>
    </w:p>
    <w:p w:rsidR="004A6E50" w:rsidRPr="003216A6" w:rsidRDefault="004A6E50" w:rsidP="003216A6">
      <w:pPr>
        <w:pStyle w:val="subsection"/>
      </w:pPr>
      <w:r w:rsidRPr="003216A6">
        <w:tab/>
        <w:t>(</w:t>
      </w:r>
      <w:r w:rsidR="00D1726A" w:rsidRPr="003216A6">
        <w:t>1</w:t>
      </w:r>
      <w:r w:rsidRPr="003216A6">
        <w:t>)</w:t>
      </w:r>
      <w:r w:rsidRPr="003216A6">
        <w:tab/>
        <w:t>A reference in this Act to a scheduled substance</w:t>
      </w:r>
      <w:r w:rsidR="00FA2BC8" w:rsidRPr="003216A6">
        <w:t xml:space="preserve"> </w:t>
      </w:r>
      <w:r w:rsidR="00434DD4" w:rsidRPr="003216A6">
        <w:t>(</w:t>
      </w:r>
      <w:r w:rsidR="00FA2BC8" w:rsidRPr="003216A6">
        <w:t>or to a type of scheduled substance</w:t>
      </w:r>
      <w:r w:rsidR="00434DD4" w:rsidRPr="003216A6">
        <w:t>)</w:t>
      </w:r>
      <w:r w:rsidRPr="003216A6">
        <w:t>, other than a reference relating to equipment, is a reference to a bulk scheduled substance</w:t>
      </w:r>
      <w:r w:rsidR="00FA2BC8" w:rsidRPr="003216A6">
        <w:t xml:space="preserve"> </w:t>
      </w:r>
      <w:r w:rsidR="00434DD4" w:rsidRPr="003216A6">
        <w:t>(</w:t>
      </w:r>
      <w:r w:rsidR="00FA2BC8" w:rsidRPr="003216A6">
        <w:t xml:space="preserve">or </w:t>
      </w:r>
      <w:r w:rsidR="00434DD4" w:rsidRPr="003216A6">
        <w:t xml:space="preserve">to </w:t>
      </w:r>
      <w:r w:rsidR="00FA2BC8" w:rsidRPr="003216A6">
        <w:t>a bulk scheduled substance of that type</w:t>
      </w:r>
      <w:r w:rsidR="00434DD4" w:rsidRPr="003216A6">
        <w:t>)</w:t>
      </w:r>
      <w:r w:rsidR="002F6749" w:rsidRPr="003216A6">
        <w:t>.</w:t>
      </w:r>
    </w:p>
    <w:p w:rsidR="004A6E50" w:rsidRPr="003216A6" w:rsidRDefault="004A6E50" w:rsidP="003216A6">
      <w:pPr>
        <w:pStyle w:val="subsection"/>
      </w:pPr>
      <w:r w:rsidRPr="003216A6">
        <w:tab/>
        <w:t>(</w:t>
      </w:r>
      <w:r w:rsidR="00D1726A" w:rsidRPr="003216A6">
        <w:t>2</w:t>
      </w:r>
      <w:r w:rsidRPr="003216A6">
        <w:t>)</w:t>
      </w:r>
      <w:r w:rsidRPr="003216A6">
        <w:tab/>
      </w:r>
      <w:r w:rsidR="00675505" w:rsidRPr="003216A6">
        <w:t xml:space="preserve">Subject to </w:t>
      </w:r>
      <w:r w:rsidR="003216A6" w:rsidRPr="003216A6">
        <w:t>subsections (</w:t>
      </w:r>
      <w:r w:rsidR="00FC5E4A" w:rsidRPr="003216A6">
        <w:t>5</w:t>
      </w:r>
      <w:r w:rsidR="00675505" w:rsidRPr="003216A6">
        <w:t>) and (</w:t>
      </w:r>
      <w:r w:rsidR="00FC5E4A" w:rsidRPr="003216A6">
        <w:t>6</w:t>
      </w:r>
      <w:r w:rsidR="00675505" w:rsidRPr="003216A6">
        <w:t>), a</w:t>
      </w:r>
      <w:r w:rsidRPr="003216A6">
        <w:t xml:space="preserve"> scheduled substance is a </w:t>
      </w:r>
      <w:r w:rsidRPr="003216A6">
        <w:rPr>
          <w:b/>
          <w:i/>
        </w:rPr>
        <w:t>bulk scheduled substance</w:t>
      </w:r>
      <w:r w:rsidRPr="003216A6">
        <w:t xml:space="preserve"> unless it is:</w:t>
      </w:r>
    </w:p>
    <w:p w:rsidR="004A6E50" w:rsidRPr="003216A6" w:rsidRDefault="004A6E50" w:rsidP="003216A6">
      <w:pPr>
        <w:pStyle w:val="paragraph"/>
      </w:pPr>
      <w:r w:rsidRPr="003216A6">
        <w:tab/>
        <w:t>(</w:t>
      </w:r>
      <w:r w:rsidR="00D81D0C" w:rsidRPr="003216A6">
        <w:t>a</w:t>
      </w:r>
      <w:r w:rsidRPr="003216A6">
        <w:t>)</w:t>
      </w:r>
      <w:r w:rsidRPr="003216A6">
        <w:tab/>
        <w:t xml:space="preserve">contained in equipment for </w:t>
      </w:r>
      <w:r w:rsidR="00D81D0C" w:rsidRPr="003216A6">
        <w:t xml:space="preserve">a purpose other than, or in addition to, the purpose of </w:t>
      </w:r>
      <w:r w:rsidRPr="003216A6">
        <w:t>storing or transporting the substance; or</w:t>
      </w:r>
    </w:p>
    <w:p w:rsidR="004A6E50" w:rsidRPr="003216A6" w:rsidRDefault="00D81D0C" w:rsidP="003216A6">
      <w:pPr>
        <w:pStyle w:val="paragraph"/>
      </w:pPr>
      <w:r w:rsidRPr="003216A6">
        <w:tab/>
        <w:t>(b</w:t>
      </w:r>
      <w:r w:rsidR="004A6E50" w:rsidRPr="003216A6">
        <w:t>)</w:t>
      </w:r>
      <w:r w:rsidR="004A6E50" w:rsidRPr="003216A6">
        <w:tab/>
        <w:t>used in the operation of equi</w:t>
      </w:r>
      <w:r w:rsidR="00675505" w:rsidRPr="003216A6">
        <w:t>pment</w:t>
      </w:r>
      <w:r w:rsidR="002F6749" w:rsidRPr="003216A6">
        <w:t>.</w:t>
      </w:r>
    </w:p>
    <w:p w:rsidR="00D1726A" w:rsidRPr="003216A6" w:rsidRDefault="00D1726A" w:rsidP="003216A6">
      <w:pPr>
        <w:pStyle w:val="notetext"/>
      </w:pPr>
      <w:r w:rsidRPr="003216A6">
        <w:t>Example:</w:t>
      </w:r>
      <w:r w:rsidRPr="003216A6">
        <w:tab/>
      </w:r>
      <w:r w:rsidR="003216A6" w:rsidRPr="003216A6">
        <w:t>Paragraph (</w:t>
      </w:r>
      <w:r w:rsidR="00675505" w:rsidRPr="003216A6">
        <w:t>2</w:t>
      </w:r>
      <w:r w:rsidRPr="003216A6">
        <w:t>)(</w:t>
      </w:r>
      <w:r w:rsidR="00FA2BC8" w:rsidRPr="003216A6">
        <w:t>b</w:t>
      </w:r>
      <w:r w:rsidRPr="003216A6">
        <w:t>)</w:t>
      </w:r>
      <w:r w:rsidR="0038349A" w:rsidRPr="003216A6">
        <w:t>—</w:t>
      </w:r>
      <w:r w:rsidRPr="003216A6">
        <w:t>a scheduled substance that is used as a propellant in an aerosol spray or fire extinguisher</w:t>
      </w:r>
      <w:r w:rsidR="003E1C82" w:rsidRPr="003216A6">
        <w:t xml:space="preserve"> is not a bulk scheduled substance</w:t>
      </w:r>
      <w:r w:rsidR="002F6749" w:rsidRPr="003216A6">
        <w:t>.</w:t>
      </w:r>
    </w:p>
    <w:p w:rsidR="00D1726A" w:rsidRPr="003216A6" w:rsidRDefault="00D81D0C" w:rsidP="003216A6">
      <w:pPr>
        <w:pStyle w:val="SubsectionHead"/>
      </w:pPr>
      <w:r w:rsidRPr="003216A6">
        <w:t xml:space="preserve">Equipment containing </w:t>
      </w:r>
      <w:r w:rsidR="0038349A" w:rsidRPr="003216A6">
        <w:t>or</w:t>
      </w:r>
      <w:r w:rsidRPr="003216A6">
        <w:t xml:space="preserve"> using sch</w:t>
      </w:r>
      <w:r w:rsidR="00D1726A" w:rsidRPr="003216A6">
        <w:t>eduled substances</w:t>
      </w:r>
    </w:p>
    <w:p w:rsidR="00FC5E4A" w:rsidRPr="003216A6" w:rsidRDefault="00D1726A" w:rsidP="003216A6">
      <w:pPr>
        <w:pStyle w:val="subsection"/>
      </w:pPr>
      <w:r w:rsidRPr="003216A6">
        <w:tab/>
        <w:t>(</w:t>
      </w:r>
      <w:r w:rsidR="00D81D0C" w:rsidRPr="003216A6">
        <w:t>3</w:t>
      </w:r>
      <w:r w:rsidRPr="003216A6">
        <w:t>)</w:t>
      </w:r>
      <w:r w:rsidRPr="003216A6">
        <w:tab/>
      </w:r>
      <w:r w:rsidR="00675505" w:rsidRPr="003216A6">
        <w:t xml:space="preserve">Subject to </w:t>
      </w:r>
      <w:r w:rsidR="003216A6" w:rsidRPr="003216A6">
        <w:t>subsection (</w:t>
      </w:r>
      <w:r w:rsidR="00FC5E4A" w:rsidRPr="003216A6">
        <w:t>6</w:t>
      </w:r>
      <w:r w:rsidR="00675505" w:rsidRPr="003216A6">
        <w:t>)</w:t>
      </w:r>
      <w:r w:rsidR="00FC5E4A" w:rsidRPr="003216A6">
        <w:t>:</w:t>
      </w:r>
    </w:p>
    <w:p w:rsidR="00D1726A" w:rsidRPr="003216A6" w:rsidRDefault="00FC5E4A" w:rsidP="003216A6">
      <w:pPr>
        <w:pStyle w:val="paragraph"/>
      </w:pPr>
      <w:r w:rsidRPr="003216A6">
        <w:tab/>
        <w:t>(a)</w:t>
      </w:r>
      <w:r w:rsidRPr="003216A6">
        <w:tab/>
        <w:t xml:space="preserve">a reference in this Act (other than this section) </w:t>
      </w:r>
      <w:r w:rsidR="00D1726A" w:rsidRPr="003216A6">
        <w:t xml:space="preserve">to equipment </w:t>
      </w:r>
      <w:r w:rsidR="00D1726A" w:rsidRPr="003216A6">
        <w:rPr>
          <w:b/>
          <w:i/>
        </w:rPr>
        <w:t>containing</w:t>
      </w:r>
      <w:r w:rsidR="00D1726A" w:rsidRPr="003216A6">
        <w:t xml:space="preserve"> a schedule</w:t>
      </w:r>
      <w:r w:rsidR="00D81D0C" w:rsidRPr="003216A6">
        <w:t>d</w:t>
      </w:r>
      <w:r w:rsidR="00D1726A" w:rsidRPr="003216A6">
        <w:t xml:space="preserve"> substance does not include a reference to containing the substance</w:t>
      </w:r>
      <w:r w:rsidRPr="003216A6">
        <w:t xml:space="preserve"> </w:t>
      </w:r>
      <w:r w:rsidR="00D1726A" w:rsidRPr="003216A6">
        <w:t>for the sole purpose of storing o</w:t>
      </w:r>
      <w:r w:rsidR="00675505" w:rsidRPr="003216A6">
        <w:t>r transporting the substance</w:t>
      </w:r>
      <w:r w:rsidRPr="003216A6">
        <w:t>; and</w:t>
      </w:r>
    </w:p>
    <w:p w:rsidR="00FC5E4A" w:rsidRPr="003216A6" w:rsidRDefault="00FC5E4A" w:rsidP="003216A6">
      <w:pPr>
        <w:pStyle w:val="paragraph"/>
      </w:pPr>
      <w:r w:rsidRPr="003216A6">
        <w:tab/>
        <w:t>(b)</w:t>
      </w:r>
      <w:r w:rsidRPr="003216A6">
        <w:tab/>
        <w:t xml:space="preserve">a reference in this Act to </w:t>
      </w:r>
      <w:r w:rsidRPr="003216A6">
        <w:rPr>
          <w:b/>
          <w:i/>
        </w:rPr>
        <w:t>using</w:t>
      </w:r>
      <w:r w:rsidRPr="003216A6">
        <w:t xml:space="preserve"> a scheduled substance in the operation of equipment does not include a reference to</w:t>
      </w:r>
      <w:r w:rsidR="00D46F87" w:rsidRPr="003216A6">
        <w:t xml:space="preserve"> </w:t>
      </w:r>
      <w:r w:rsidRPr="003216A6">
        <w:t>using the equipment for the storage o</w:t>
      </w:r>
      <w:r w:rsidR="00D46F87" w:rsidRPr="003216A6">
        <w:t>r transport of the substance.</w:t>
      </w:r>
    </w:p>
    <w:p w:rsidR="00FC5E4A" w:rsidRPr="003216A6" w:rsidRDefault="00D81D0C" w:rsidP="003216A6">
      <w:pPr>
        <w:pStyle w:val="subsection"/>
      </w:pPr>
      <w:r w:rsidRPr="003216A6">
        <w:lastRenderedPageBreak/>
        <w:tab/>
        <w:t>(4)</w:t>
      </w:r>
      <w:r w:rsidRPr="003216A6">
        <w:tab/>
        <w:t>T</w:t>
      </w:r>
      <w:r w:rsidR="00FC5E4A" w:rsidRPr="003216A6">
        <w:t xml:space="preserve">o avoid doubt, </w:t>
      </w:r>
      <w:r w:rsidR="00931DE2" w:rsidRPr="003216A6">
        <w:t xml:space="preserve">and without limiting when equipment contains a scheduled substance for the sole purpose of storing or transporting the substance, </w:t>
      </w:r>
      <w:r w:rsidR="00FC5E4A" w:rsidRPr="003216A6">
        <w:t xml:space="preserve">equipment contains a scheduled substance for </w:t>
      </w:r>
      <w:r w:rsidR="00931DE2" w:rsidRPr="003216A6">
        <w:t xml:space="preserve">that sole purpose </w:t>
      </w:r>
      <w:r w:rsidR="00FC5E4A" w:rsidRPr="003216A6">
        <w:t>if:</w:t>
      </w:r>
    </w:p>
    <w:p w:rsidR="00FC5E4A" w:rsidRPr="003216A6" w:rsidRDefault="00FC5E4A" w:rsidP="003216A6">
      <w:pPr>
        <w:pStyle w:val="paragraph"/>
      </w:pPr>
      <w:r w:rsidRPr="003216A6">
        <w:tab/>
        <w:t>(a)</w:t>
      </w:r>
      <w:r w:rsidRPr="003216A6">
        <w:tab/>
        <w:t xml:space="preserve">the substance must </w:t>
      </w:r>
      <w:r w:rsidR="00D81D0C" w:rsidRPr="003216A6">
        <w:t>be transferred to other equipment to realise its intended use</w:t>
      </w:r>
      <w:r w:rsidRPr="003216A6">
        <w:t>; or</w:t>
      </w:r>
    </w:p>
    <w:p w:rsidR="00FC5E4A" w:rsidRPr="003216A6" w:rsidRDefault="00FC5E4A" w:rsidP="003216A6">
      <w:pPr>
        <w:pStyle w:val="paragraph"/>
      </w:pPr>
      <w:r w:rsidRPr="003216A6">
        <w:tab/>
        <w:t>(b)</w:t>
      </w:r>
      <w:r w:rsidRPr="003216A6">
        <w:tab/>
        <w:t>the equipment must be attached to other equipment to realise its intended use</w:t>
      </w:r>
      <w:r w:rsidR="002F6749" w:rsidRPr="003216A6">
        <w:t>.</w:t>
      </w:r>
    </w:p>
    <w:p w:rsidR="00D81D0C" w:rsidRPr="003216A6" w:rsidRDefault="00D81D0C" w:rsidP="003216A6">
      <w:pPr>
        <w:pStyle w:val="SubsectionHead"/>
      </w:pPr>
      <w:r w:rsidRPr="003216A6">
        <w:t>Substances used in the process of manufacturing equipment</w:t>
      </w:r>
    </w:p>
    <w:p w:rsidR="00D81D0C" w:rsidRPr="003216A6" w:rsidRDefault="00D81D0C" w:rsidP="003216A6">
      <w:pPr>
        <w:pStyle w:val="subsection"/>
      </w:pPr>
      <w:r w:rsidRPr="003216A6">
        <w:tab/>
        <w:t>(</w:t>
      </w:r>
      <w:r w:rsidR="00FC5E4A" w:rsidRPr="003216A6">
        <w:t>5</w:t>
      </w:r>
      <w:r w:rsidRPr="003216A6">
        <w:t>)</w:t>
      </w:r>
      <w:r w:rsidRPr="003216A6">
        <w:tab/>
      </w:r>
      <w:r w:rsidR="00FC5E4A" w:rsidRPr="003216A6">
        <w:t xml:space="preserve">Subject to </w:t>
      </w:r>
      <w:r w:rsidR="003216A6" w:rsidRPr="003216A6">
        <w:t>subsection (</w:t>
      </w:r>
      <w:r w:rsidR="00FC5E4A" w:rsidRPr="003216A6">
        <w:t>6), a</w:t>
      </w:r>
      <w:r w:rsidRPr="003216A6">
        <w:t xml:space="preserve"> scheduled substance that is contained in equipment only because </w:t>
      </w:r>
      <w:r w:rsidR="00434DD4" w:rsidRPr="003216A6">
        <w:t>the substance</w:t>
      </w:r>
      <w:r w:rsidRPr="003216A6">
        <w:t xml:space="preserve"> was used in the process of manufacturing the equipment is neither:</w:t>
      </w:r>
    </w:p>
    <w:p w:rsidR="00D81D0C" w:rsidRPr="003216A6" w:rsidRDefault="00D81D0C" w:rsidP="003216A6">
      <w:pPr>
        <w:pStyle w:val="paragraph"/>
      </w:pPr>
      <w:r w:rsidRPr="003216A6">
        <w:tab/>
        <w:t>(a)</w:t>
      </w:r>
      <w:r w:rsidRPr="003216A6">
        <w:tab/>
        <w:t xml:space="preserve">a </w:t>
      </w:r>
      <w:r w:rsidRPr="003216A6">
        <w:rPr>
          <w:b/>
          <w:i/>
        </w:rPr>
        <w:t>bulk scheduled substance</w:t>
      </w:r>
      <w:r w:rsidRPr="003216A6">
        <w:t>; nor</w:t>
      </w:r>
    </w:p>
    <w:p w:rsidR="00D81D0C" w:rsidRPr="003216A6" w:rsidRDefault="00D81D0C" w:rsidP="003216A6">
      <w:pPr>
        <w:pStyle w:val="paragraph"/>
      </w:pPr>
      <w:r w:rsidRPr="003216A6">
        <w:tab/>
        <w:t>(b)</w:t>
      </w:r>
      <w:r w:rsidRPr="003216A6">
        <w:tab/>
      </w:r>
      <w:r w:rsidRPr="003216A6">
        <w:rPr>
          <w:b/>
          <w:i/>
        </w:rPr>
        <w:t>contained</w:t>
      </w:r>
      <w:r w:rsidRPr="003216A6">
        <w:t xml:space="preserve"> in</w:t>
      </w:r>
      <w:r w:rsidR="00A15871" w:rsidRPr="003216A6">
        <w:t xml:space="preserve">, </w:t>
      </w:r>
      <w:r w:rsidRPr="003216A6">
        <w:t xml:space="preserve">or </w:t>
      </w:r>
      <w:r w:rsidRPr="003216A6">
        <w:rPr>
          <w:b/>
          <w:i/>
        </w:rPr>
        <w:t>used</w:t>
      </w:r>
      <w:r w:rsidRPr="003216A6">
        <w:t xml:space="preserve"> in the operation of, the equipment</w:t>
      </w:r>
      <w:r w:rsidR="002F6749" w:rsidRPr="003216A6">
        <w:t>.</w:t>
      </w:r>
    </w:p>
    <w:p w:rsidR="003E1C82" w:rsidRPr="003216A6" w:rsidRDefault="001520B1" w:rsidP="003216A6">
      <w:pPr>
        <w:pStyle w:val="notetext"/>
      </w:pPr>
      <w:r w:rsidRPr="003216A6">
        <w:t>Example:</w:t>
      </w:r>
      <w:r w:rsidRPr="003216A6">
        <w:tab/>
      </w:r>
      <w:r w:rsidR="003E1C82" w:rsidRPr="003216A6">
        <w:t>A scheduled substance that remained in minute quantities in open cell foam after the substance was used in the production of the foam is neither a bulk scheduled substance nor contained in, or used in the operation of, the foam</w:t>
      </w:r>
      <w:r w:rsidR="002F6749" w:rsidRPr="003216A6">
        <w:t>.</w:t>
      </w:r>
    </w:p>
    <w:p w:rsidR="00675505" w:rsidRPr="003216A6" w:rsidRDefault="00675505" w:rsidP="003216A6">
      <w:pPr>
        <w:pStyle w:val="SubsectionHead"/>
      </w:pPr>
      <w:r w:rsidRPr="003216A6">
        <w:t>Regulations</w:t>
      </w:r>
    </w:p>
    <w:p w:rsidR="00675505" w:rsidRPr="003216A6" w:rsidRDefault="00675505" w:rsidP="003216A6">
      <w:pPr>
        <w:pStyle w:val="subsection"/>
      </w:pPr>
      <w:r w:rsidRPr="003216A6">
        <w:tab/>
        <w:t>(</w:t>
      </w:r>
      <w:r w:rsidR="00FC5E4A" w:rsidRPr="003216A6">
        <w:t>6</w:t>
      </w:r>
      <w:r w:rsidRPr="003216A6">
        <w:t>)</w:t>
      </w:r>
      <w:r w:rsidRPr="003216A6">
        <w:tab/>
        <w:t>The regulations may provide that</w:t>
      </w:r>
      <w:r w:rsidR="005F0931" w:rsidRPr="003216A6">
        <w:t>,</w:t>
      </w:r>
      <w:r w:rsidR="0008603C" w:rsidRPr="003216A6">
        <w:t xml:space="preserve"> </w:t>
      </w:r>
      <w:r w:rsidR="00302742" w:rsidRPr="003216A6">
        <w:t>in prescribed circumstances</w:t>
      </w:r>
      <w:r w:rsidR="005F0931" w:rsidRPr="003216A6">
        <w:t>,</w:t>
      </w:r>
      <w:r w:rsidRPr="003216A6">
        <w:t xml:space="preserve"> a scheduled substance:</w:t>
      </w:r>
    </w:p>
    <w:p w:rsidR="00AD3F14" w:rsidRPr="003216A6" w:rsidRDefault="00AD3F14" w:rsidP="003216A6">
      <w:pPr>
        <w:pStyle w:val="paragraph"/>
      </w:pPr>
      <w:r w:rsidRPr="003216A6">
        <w:tab/>
        <w:t>(a)</w:t>
      </w:r>
      <w:r w:rsidRPr="003216A6">
        <w:tab/>
        <w:t xml:space="preserve">is a </w:t>
      </w:r>
      <w:r w:rsidRPr="003216A6">
        <w:rPr>
          <w:b/>
          <w:i/>
        </w:rPr>
        <w:t>bulk scheduled substance</w:t>
      </w:r>
      <w:r w:rsidRPr="003216A6">
        <w:t xml:space="preserve">, or is not a </w:t>
      </w:r>
      <w:r w:rsidRPr="003216A6">
        <w:rPr>
          <w:b/>
          <w:i/>
        </w:rPr>
        <w:t>bulk scheduled substance</w:t>
      </w:r>
      <w:r w:rsidRPr="003216A6">
        <w:t>; or</w:t>
      </w:r>
    </w:p>
    <w:p w:rsidR="00AD3F14" w:rsidRPr="003216A6" w:rsidRDefault="00675505" w:rsidP="003216A6">
      <w:pPr>
        <w:pStyle w:val="paragraph"/>
      </w:pPr>
      <w:r w:rsidRPr="003216A6">
        <w:tab/>
        <w:t>(b)</w:t>
      </w:r>
      <w:r w:rsidRPr="003216A6">
        <w:tab/>
        <w:t xml:space="preserve">is </w:t>
      </w:r>
      <w:r w:rsidR="00AD3F14" w:rsidRPr="003216A6">
        <w:t xml:space="preserve">taken to be </w:t>
      </w:r>
      <w:r w:rsidRPr="003216A6">
        <w:rPr>
          <w:b/>
          <w:i/>
        </w:rPr>
        <w:t>contained</w:t>
      </w:r>
      <w:r w:rsidRPr="003216A6">
        <w:t xml:space="preserve"> in equipment,</w:t>
      </w:r>
      <w:r w:rsidR="00AD3F14" w:rsidRPr="003216A6">
        <w:t xml:space="preserve"> or is taken not to be </w:t>
      </w:r>
      <w:r w:rsidR="00AD3F14" w:rsidRPr="003216A6">
        <w:rPr>
          <w:b/>
          <w:i/>
        </w:rPr>
        <w:t>contained</w:t>
      </w:r>
      <w:r w:rsidR="00AD3F14" w:rsidRPr="003216A6">
        <w:t xml:space="preserve"> in equipment; or</w:t>
      </w:r>
    </w:p>
    <w:p w:rsidR="00AD3F14" w:rsidRPr="003216A6" w:rsidRDefault="00AD3F14" w:rsidP="003216A6">
      <w:pPr>
        <w:pStyle w:val="paragraph"/>
      </w:pPr>
      <w:r w:rsidRPr="003216A6">
        <w:tab/>
        <w:t>(c)</w:t>
      </w:r>
      <w:r w:rsidRPr="003216A6">
        <w:tab/>
        <w:t xml:space="preserve">is taken to be </w:t>
      </w:r>
      <w:r w:rsidR="00675505" w:rsidRPr="003216A6">
        <w:rPr>
          <w:b/>
          <w:i/>
        </w:rPr>
        <w:t>used</w:t>
      </w:r>
      <w:r w:rsidR="00675505" w:rsidRPr="003216A6">
        <w:t xml:space="preserve"> in the operation of equipment, </w:t>
      </w:r>
      <w:r w:rsidRPr="003216A6">
        <w:t xml:space="preserve">or is taken not to be </w:t>
      </w:r>
      <w:r w:rsidRPr="003216A6">
        <w:rPr>
          <w:b/>
          <w:i/>
        </w:rPr>
        <w:t>used</w:t>
      </w:r>
      <w:r w:rsidRPr="003216A6">
        <w:t xml:space="preserve"> in the operation of equipment</w:t>
      </w:r>
      <w:r w:rsidR="002F6749" w:rsidRPr="003216A6">
        <w:t>.</w:t>
      </w:r>
    </w:p>
    <w:p w:rsidR="005F0931" w:rsidRPr="003216A6" w:rsidRDefault="005F0931" w:rsidP="003216A6">
      <w:pPr>
        <w:pStyle w:val="subsection2"/>
      </w:pPr>
      <w:r w:rsidRPr="003216A6">
        <w:t xml:space="preserve">Regulations made for the purposes of this subsection have effect despite </w:t>
      </w:r>
      <w:r w:rsidR="003216A6" w:rsidRPr="003216A6">
        <w:t>subsections (</w:t>
      </w:r>
      <w:r w:rsidRPr="003216A6">
        <w:t>2) to (5)</w:t>
      </w:r>
      <w:r w:rsidR="002F6749" w:rsidRPr="003216A6">
        <w:t>.</w:t>
      </w:r>
    </w:p>
    <w:p w:rsidR="001520B1" w:rsidRPr="003216A6" w:rsidRDefault="00B13916" w:rsidP="003216A6">
      <w:pPr>
        <w:pStyle w:val="ItemHead"/>
      </w:pPr>
      <w:r w:rsidRPr="003216A6">
        <w:t>67</w:t>
      </w:r>
      <w:r w:rsidR="001520B1" w:rsidRPr="003216A6">
        <w:t xml:space="preserve">  Part</w:t>
      </w:r>
      <w:r w:rsidR="003216A6" w:rsidRPr="003216A6">
        <w:t> </w:t>
      </w:r>
      <w:r w:rsidR="001520B1" w:rsidRPr="003216A6">
        <w:t>V (heading)</w:t>
      </w:r>
    </w:p>
    <w:p w:rsidR="001520B1" w:rsidRPr="003216A6" w:rsidRDefault="001520B1" w:rsidP="003216A6">
      <w:pPr>
        <w:pStyle w:val="Item"/>
      </w:pPr>
      <w:r w:rsidRPr="003216A6">
        <w:t>Repeal the heading, substitute:</w:t>
      </w:r>
    </w:p>
    <w:p w:rsidR="001520B1" w:rsidRPr="003216A6" w:rsidRDefault="001520B1" w:rsidP="003216A6">
      <w:pPr>
        <w:pStyle w:val="ActHead2"/>
      </w:pPr>
      <w:bookmarkStart w:id="41" w:name="f_Check_Lines_above"/>
      <w:bookmarkStart w:id="42" w:name="_Toc486251881"/>
      <w:bookmarkEnd w:id="41"/>
      <w:r w:rsidRPr="003216A6">
        <w:rPr>
          <w:rStyle w:val="CharPartNo"/>
        </w:rPr>
        <w:lastRenderedPageBreak/>
        <w:t>Part</w:t>
      </w:r>
      <w:r w:rsidR="003216A6" w:rsidRPr="003216A6">
        <w:rPr>
          <w:rStyle w:val="CharPartNo"/>
        </w:rPr>
        <w:t> </w:t>
      </w:r>
      <w:r w:rsidRPr="003216A6">
        <w:rPr>
          <w:rStyle w:val="CharPartNo"/>
        </w:rPr>
        <w:t>V</w:t>
      </w:r>
      <w:r w:rsidRPr="003216A6">
        <w:t>—</w:t>
      </w:r>
      <w:r w:rsidRPr="003216A6">
        <w:rPr>
          <w:rStyle w:val="CharPartText"/>
        </w:rPr>
        <w:t>Control of manufacture etc</w:t>
      </w:r>
      <w:r w:rsidR="002F6749" w:rsidRPr="003216A6">
        <w:rPr>
          <w:rStyle w:val="CharPartText"/>
        </w:rPr>
        <w:t>.</w:t>
      </w:r>
      <w:r w:rsidRPr="003216A6">
        <w:rPr>
          <w:rStyle w:val="CharPartText"/>
        </w:rPr>
        <w:t xml:space="preserve"> of equipment containing or using scheduled substances</w:t>
      </w:r>
      <w:bookmarkEnd w:id="42"/>
    </w:p>
    <w:p w:rsidR="001520B1" w:rsidRPr="003216A6" w:rsidRDefault="00B13916" w:rsidP="003216A6">
      <w:pPr>
        <w:pStyle w:val="ItemHead"/>
      </w:pPr>
      <w:r w:rsidRPr="003216A6">
        <w:t>68</w:t>
      </w:r>
      <w:r w:rsidR="001520B1" w:rsidRPr="003216A6">
        <w:t xml:space="preserve">  Section</w:t>
      </w:r>
      <w:r w:rsidR="003216A6" w:rsidRPr="003216A6">
        <w:t> </w:t>
      </w:r>
      <w:r w:rsidR="001520B1" w:rsidRPr="003216A6">
        <w:t>38 (heading)</w:t>
      </w:r>
    </w:p>
    <w:p w:rsidR="001520B1" w:rsidRPr="003216A6" w:rsidRDefault="001520B1" w:rsidP="003216A6">
      <w:pPr>
        <w:pStyle w:val="Item"/>
      </w:pPr>
      <w:r w:rsidRPr="003216A6">
        <w:t>Repeal the heading, substitute:</w:t>
      </w:r>
    </w:p>
    <w:p w:rsidR="00B83DDA" w:rsidRPr="003216A6" w:rsidRDefault="00853C31" w:rsidP="003216A6">
      <w:pPr>
        <w:pStyle w:val="ActHead5"/>
      </w:pPr>
      <w:bookmarkStart w:id="43" w:name="_Toc486251882"/>
      <w:r w:rsidRPr="003216A6">
        <w:rPr>
          <w:rStyle w:val="CharSectno"/>
        </w:rPr>
        <w:t>38</w:t>
      </w:r>
      <w:r w:rsidR="00B83DDA" w:rsidRPr="003216A6">
        <w:t xml:space="preserve">  Manufacture and import of equipment in contravention of Schedule</w:t>
      </w:r>
      <w:r w:rsidR="003216A6" w:rsidRPr="003216A6">
        <w:t> </w:t>
      </w:r>
      <w:r w:rsidR="00B83DDA" w:rsidRPr="003216A6">
        <w:t>4</w:t>
      </w:r>
      <w:bookmarkEnd w:id="43"/>
    </w:p>
    <w:p w:rsidR="00B83DDA" w:rsidRPr="003216A6" w:rsidRDefault="00853C31" w:rsidP="003216A6">
      <w:pPr>
        <w:pStyle w:val="ItemHead"/>
      </w:pPr>
      <w:r w:rsidRPr="003216A6">
        <w:t>69</w:t>
      </w:r>
      <w:r w:rsidR="00B83DDA" w:rsidRPr="003216A6">
        <w:t xml:space="preserve">  Subsections</w:t>
      </w:r>
      <w:r w:rsidR="003216A6" w:rsidRPr="003216A6">
        <w:t> </w:t>
      </w:r>
      <w:r w:rsidR="00B83DDA" w:rsidRPr="003216A6">
        <w:t>38</w:t>
      </w:r>
      <w:r w:rsidR="00B40DC2" w:rsidRPr="003216A6">
        <w:t xml:space="preserve">(1), </w:t>
      </w:r>
      <w:r w:rsidR="00B83DDA" w:rsidRPr="003216A6">
        <w:t>(2), (2B) and (2C)</w:t>
      </w:r>
    </w:p>
    <w:p w:rsidR="00B83DDA" w:rsidRPr="003216A6" w:rsidRDefault="00B83DDA" w:rsidP="003216A6">
      <w:pPr>
        <w:pStyle w:val="Item"/>
      </w:pPr>
      <w:r w:rsidRPr="003216A6">
        <w:t xml:space="preserve">Omit </w:t>
      </w:r>
      <w:r w:rsidR="00BF3C85" w:rsidRPr="003216A6">
        <w:t>“</w:t>
      </w:r>
      <w:r w:rsidRPr="003216A6">
        <w:t>a product</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B83DDA" w:rsidRPr="003216A6" w:rsidRDefault="00B13916" w:rsidP="003216A6">
      <w:pPr>
        <w:pStyle w:val="ItemHead"/>
      </w:pPr>
      <w:r w:rsidRPr="003216A6">
        <w:t>7</w:t>
      </w:r>
      <w:r w:rsidR="00993703" w:rsidRPr="003216A6">
        <w:t>0</w:t>
      </w:r>
      <w:r w:rsidR="00B83DDA" w:rsidRPr="003216A6">
        <w:t xml:space="preserve">  Subsection</w:t>
      </w:r>
      <w:r w:rsidR="003216A6" w:rsidRPr="003216A6">
        <w:t> </w:t>
      </w:r>
      <w:r w:rsidR="00B83DDA" w:rsidRPr="003216A6">
        <w:t>39(1)</w:t>
      </w:r>
    </w:p>
    <w:p w:rsidR="00B83DDA" w:rsidRPr="003216A6" w:rsidRDefault="00B83DDA" w:rsidP="003216A6">
      <w:pPr>
        <w:pStyle w:val="Item"/>
      </w:pPr>
      <w:r w:rsidRPr="003216A6">
        <w:t xml:space="preserve">Omit </w:t>
      </w:r>
      <w:r w:rsidR="00BF3C85" w:rsidRPr="003216A6">
        <w:t>“</w:t>
      </w:r>
      <w:r w:rsidRPr="003216A6">
        <w:t>products that contain</w:t>
      </w:r>
      <w:r w:rsidR="00F63AC9" w:rsidRPr="003216A6">
        <w:t xml:space="preserve"> scheduled substances or depend on such substances for their</w:t>
      </w:r>
      <w:r w:rsidR="00BF3C85" w:rsidRPr="003216A6">
        <w:t>”</w:t>
      </w:r>
      <w:r w:rsidRPr="003216A6">
        <w:t xml:space="preserve">, substitute </w:t>
      </w:r>
      <w:r w:rsidR="00BF3C85" w:rsidRPr="003216A6">
        <w:t>“</w:t>
      </w:r>
      <w:r w:rsidRPr="003216A6">
        <w:t>equipment that contains</w:t>
      </w:r>
      <w:r w:rsidR="00F63AC9" w:rsidRPr="003216A6">
        <w:t xml:space="preserve"> scheduled substances or </w:t>
      </w:r>
      <w:r w:rsidR="00AC2D00" w:rsidRPr="003216A6">
        <w:t>uses scheduled substances in its</w:t>
      </w:r>
      <w:r w:rsidR="00BF3C85" w:rsidRPr="003216A6">
        <w:t>”</w:t>
      </w:r>
      <w:r w:rsidR="002F6749" w:rsidRPr="003216A6">
        <w:t>.</w:t>
      </w:r>
    </w:p>
    <w:p w:rsidR="00B83DDA" w:rsidRPr="003216A6" w:rsidRDefault="00B13916" w:rsidP="003216A6">
      <w:pPr>
        <w:pStyle w:val="ItemHead"/>
      </w:pPr>
      <w:r w:rsidRPr="003216A6">
        <w:t>7</w:t>
      </w:r>
      <w:r w:rsidR="00993703" w:rsidRPr="003216A6">
        <w:t>1</w:t>
      </w:r>
      <w:r w:rsidR="00B83DDA" w:rsidRPr="003216A6">
        <w:t xml:space="preserve">  Paragraphs 39(2)(a), (b), (c) and (d)</w:t>
      </w:r>
    </w:p>
    <w:p w:rsidR="00B83DDA" w:rsidRPr="003216A6" w:rsidRDefault="00B83DDA" w:rsidP="003216A6">
      <w:pPr>
        <w:pStyle w:val="Item"/>
      </w:pPr>
      <w:r w:rsidRPr="003216A6">
        <w:t xml:space="preserve">Omit </w:t>
      </w:r>
      <w:r w:rsidR="00BF3C85" w:rsidRPr="003216A6">
        <w:t>“</w:t>
      </w:r>
      <w:r w:rsidRPr="003216A6">
        <w:t>products</w:t>
      </w:r>
      <w:r w:rsidR="00BF3C85" w:rsidRPr="003216A6">
        <w:t>”</w:t>
      </w:r>
      <w:r w:rsidRPr="003216A6">
        <w:t xml:space="preserve"> (wherever occurring), substitute </w:t>
      </w:r>
      <w:r w:rsidR="00BF3C85" w:rsidRPr="003216A6">
        <w:t>“</w:t>
      </w:r>
      <w:r w:rsidRPr="003216A6">
        <w:t>equipment</w:t>
      </w:r>
      <w:r w:rsidR="00BF3C85" w:rsidRPr="003216A6">
        <w:t>”</w:t>
      </w:r>
      <w:r w:rsidR="002F6749" w:rsidRPr="003216A6">
        <w:t>.</w:t>
      </w:r>
    </w:p>
    <w:p w:rsidR="00B83DDA" w:rsidRPr="003216A6" w:rsidRDefault="00B13916" w:rsidP="003216A6">
      <w:pPr>
        <w:pStyle w:val="ItemHead"/>
      </w:pPr>
      <w:r w:rsidRPr="003216A6">
        <w:t>7</w:t>
      </w:r>
      <w:r w:rsidR="00993703" w:rsidRPr="003216A6">
        <w:t>2</w:t>
      </w:r>
      <w:r w:rsidR="00B83DDA" w:rsidRPr="003216A6">
        <w:t xml:space="preserve">  Paragraph 39(2)(d)</w:t>
      </w:r>
    </w:p>
    <w:p w:rsidR="00B83DDA" w:rsidRPr="003216A6" w:rsidRDefault="00B83DDA" w:rsidP="003216A6">
      <w:pPr>
        <w:pStyle w:val="Item"/>
      </w:pPr>
      <w:r w:rsidRPr="003216A6">
        <w:t xml:space="preserve">Omit </w:t>
      </w:r>
      <w:r w:rsidR="00BF3C85" w:rsidRPr="003216A6">
        <w:t>“</w:t>
      </w:r>
      <w:r w:rsidRPr="003216A6">
        <w:t>are</w:t>
      </w:r>
      <w:r w:rsidR="00BF3C85" w:rsidRPr="003216A6">
        <w:t>”</w:t>
      </w:r>
      <w:r w:rsidRPr="003216A6">
        <w:t xml:space="preserve">, substitute </w:t>
      </w:r>
      <w:r w:rsidR="00BF3C85" w:rsidRPr="003216A6">
        <w:t>“</w:t>
      </w:r>
      <w:r w:rsidRPr="003216A6">
        <w:t>is</w:t>
      </w:r>
      <w:r w:rsidR="00BF3C85" w:rsidRPr="003216A6">
        <w:t>”</w:t>
      </w:r>
      <w:r w:rsidR="002F6749" w:rsidRPr="003216A6">
        <w:t>.</w:t>
      </w:r>
    </w:p>
    <w:p w:rsidR="00B83DDA" w:rsidRPr="003216A6" w:rsidRDefault="00B13916" w:rsidP="003216A6">
      <w:pPr>
        <w:pStyle w:val="ItemHead"/>
      </w:pPr>
      <w:r w:rsidRPr="003216A6">
        <w:t>7</w:t>
      </w:r>
      <w:r w:rsidR="00993703" w:rsidRPr="003216A6">
        <w:t>3</w:t>
      </w:r>
      <w:r w:rsidR="00B83DDA" w:rsidRPr="003216A6">
        <w:t xml:space="preserve">  Subsections</w:t>
      </w:r>
      <w:r w:rsidR="003216A6" w:rsidRPr="003216A6">
        <w:t> </w:t>
      </w:r>
      <w:r w:rsidR="00B83DDA" w:rsidRPr="003216A6">
        <w:t>40(1) and (3)</w:t>
      </w:r>
    </w:p>
    <w:p w:rsidR="00B83DDA" w:rsidRPr="003216A6" w:rsidRDefault="00B83DDA" w:rsidP="003216A6">
      <w:pPr>
        <w:pStyle w:val="Item"/>
      </w:pPr>
      <w:r w:rsidRPr="003216A6">
        <w:t xml:space="preserve">Omit </w:t>
      </w:r>
      <w:r w:rsidR="00BF3C85" w:rsidRPr="003216A6">
        <w:t>“</w:t>
      </w:r>
      <w:r w:rsidRPr="003216A6">
        <w:t>a product</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853C31" w:rsidRPr="003216A6" w:rsidRDefault="00B13916" w:rsidP="003216A6">
      <w:pPr>
        <w:pStyle w:val="ItemHead"/>
      </w:pPr>
      <w:r w:rsidRPr="003216A6">
        <w:t>7</w:t>
      </w:r>
      <w:r w:rsidR="00853C31" w:rsidRPr="003216A6">
        <w:t>4</w:t>
      </w:r>
      <w:r w:rsidR="00B83DDA" w:rsidRPr="003216A6">
        <w:t xml:space="preserve">  </w:t>
      </w:r>
      <w:r w:rsidR="00853C31" w:rsidRPr="003216A6">
        <w:t>Subparagraphs</w:t>
      </w:r>
      <w:r w:rsidR="003216A6" w:rsidRPr="003216A6">
        <w:t> </w:t>
      </w:r>
      <w:r w:rsidR="00B83DDA" w:rsidRPr="003216A6">
        <w:t>40(3)(a)</w:t>
      </w:r>
      <w:r w:rsidR="00853C31" w:rsidRPr="003216A6">
        <w:t>(i) and (ii)</w:t>
      </w:r>
    </w:p>
    <w:p w:rsidR="00853C31" w:rsidRPr="003216A6" w:rsidRDefault="00853C31" w:rsidP="003216A6">
      <w:pPr>
        <w:pStyle w:val="Item"/>
      </w:pPr>
      <w:r w:rsidRPr="003216A6">
        <w:t>Omit “product”, substitute “equipment”.</w:t>
      </w:r>
    </w:p>
    <w:p w:rsidR="00B83DDA" w:rsidRPr="003216A6" w:rsidRDefault="00853C31" w:rsidP="003216A6">
      <w:pPr>
        <w:pStyle w:val="ItemHead"/>
      </w:pPr>
      <w:r w:rsidRPr="003216A6">
        <w:t>75  Paragraphs 40(3)</w:t>
      </w:r>
      <w:r w:rsidR="00B83DDA" w:rsidRPr="003216A6">
        <w:t>(b) and (c)</w:t>
      </w:r>
    </w:p>
    <w:p w:rsidR="00B83DDA" w:rsidRPr="003216A6" w:rsidRDefault="00B83DDA" w:rsidP="003216A6">
      <w:pPr>
        <w:pStyle w:val="Item"/>
      </w:pPr>
      <w:r w:rsidRPr="003216A6">
        <w:t xml:space="preserve">Omit </w:t>
      </w:r>
      <w:r w:rsidR="00BF3C85" w:rsidRPr="003216A6">
        <w:t>“</w:t>
      </w:r>
      <w:r w:rsidRPr="003216A6">
        <w:t>product</w:t>
      </w:r>
      <w:r w:rsidR="00BF3C85" w:rsidRPr="003216A6">
        <w:t>”</w:t>
      </w:r>
      <w:r w:rsidRPr="003216A6">
        <w:t xml:space="preserve"> (wherever occurring),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t>76</w:t>
      </w:r>
      <w:r w:rsidR="001520B1" w:rsidRPr="003216A6">
        <w:t xml:space="preserve">  Paragraphs 41(2)(b) and (c)</w:t>
      </w:r>
    </w:p>
    <w:p w:rsidR="001520B1" w:rsidRPr="003216A6" w:rsidRDefault="001520B1" w:rsidP="003216A6">
      <w:pPr>
        <w:pStyle w:val="Item"/>
      </w:pPr>
      <w:r w:rsidRPr="003216A6">
        <w:t xml:space="preserve">Omit </w:t>
      </w:r>
      <w:r w:rsidR="00BF3C85" w:rsidRPr="003216A6">
        <w:t>“</w:t>
      </w:r>
      <w:r w:rsidRPr="003216A6">
        <w:t>products</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t>77</w:t>
      </w:r>
      <w:r w:rsidR="001520B1" w:rsidRPr="003216A6">
        <w:t xml:space="preserve">  Section</w:t>
      </w:r>
      <w:r w:rsidR="003216A6" w:rsidRPr="003216A6">
        <w:t> </w:t>
      </w:r>
      <w:r w:rsidR="001520B1" w:rsidRPr="003216A6">
        <w:t>44 (heading)</w:t>
      </w:r>
    </w:p>
    <w:p w:rsidR="001520B1" w:rsidRPr="003216A6" w:rsidRDefault="001520B1" w:rsidP="003216A6">
      <w:pPr>
        <w:pStyle w:val="Item"/>
      </w:pPr>
      <w:r w:rsidRPr="003216A6">
        <w:t>Repeal the heading, substitute:</w:t>
      </w:r>
    </w:p>
    <w:p w:rsidR="001520B1" w:rsidRPr="003216A6" w:rsidRDefault="001520B1" w:rsidP="003216A6">
      <w:pPr>
        <w:pStyle w:val="ActHead5"/>
      </w:pPr>
      <w:bookmarkStart w:id="44" w:name="_Toc486251883"/>
      <w:r w:rsidRPr="003216A6">
        <w:rPr>
          <w:rStyle w:val="CharSectno"/>
        </w:rPr>
        <w:lastRenderedPageBreak/>
        <w:t>44</w:t>
      </w:r>
      <w:r w:rsidRPr="003216A6">
        <w:t xml:space="preserve">  Import of equipment containing scheduled substances from non</w:t>
      </w:r>
      <w:r w:rsidR="00753724">
        <w:noBreakHyphen/>
      </w:r>
      <w:r w:rsidRPr="003216A6">
        <w:t>Montreal Protocol countries</w:t>
      </w:r>
      <w:bookmarkEnd w:id="44"/>
    </w:p>
    <w:p w:rsidR="001520B1" w:rsidRPr="003216A6" w:rsidRDefault="00B13916" w:rsidP="003216A6">
      <w:pPr>
        <w:pStyle w:val="ItemHead"/>
      </w:pPr>
      <w:r w:rsidRPr="003216A6">
        <w:t>78</w:t>
      </w:r>
      <w:r w:rsidR="001520B1" w:rsidRPr="003216A6">
        <w:t xml:space="preserve">  Subsections</w:t>
      </w:r>
      <w:r w:rsidR="003216A6" w:rsidRPr="003216A6">
        <w:t> </w:t>
      </w:r>
      <w:r w:rsidR="001520B1" w:rsidRPr="003216A6">
        <w:t>44(1), (2A), (3), (5), (5B) and (6)</w:t>
      </w:r>
    </w:p>
    <w:p w:rsidR="001520B1" w:rsidRPr="003216A6" w:rsidRDefault="001520B1" w:rsidP="003216A6">
      <w:pPr>
        <w:pStyle w:val="Item"/>
      </w:pPr>
      <w:r w:rsidRPr="003216A6">
        <w:t xml:space="preserve">Omit </w:t>
      </w:r>
      <w:r w:rsidR="00BF3C85" w:rsidRPr="003216A6">
        <w:t>“</w:t>
      </w:r>
      <w:r w:rsidRPr="003216A6">
        <w:t>a product</w:t>
      </w:r>
      <w:r w:rsidR="00BF3C85" w:rsidRPr="003216A6">
        <w:t>”</w:t>
      </w:r>
      <w:r w:rsidRPr="003216A6">
        <w:t xml:space="preserve"> (wherever occurring),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t>79</w:t>
      </w:r>
      <w:r w:rsidR="001520B1" w:rsidRPr="003216A6">
        <w:t xml:space="preserve">  Section</w:t>
      </w:r>
      <w:r w:rsidR="003216A6" w:rsidRPr="003216A6">
        <w:t> </w:t>
      </w:r>
      <w:r w:rsidR="001520B1" w:rsidRPr="003216A6">
        <w:t>45 (heading)</w:t>
      </w:r>
    </w:p>
    <w:p w:rsidR="001520B1" w:rsidRPr="003216A6" w:rsidRDefault="001520B1" w:rsidP="003216A6">
      <w:pPr>
        <w:pStyle w:val="Item"/>
      </w:pPr>
      <w:r w:rsidRPr="003216A6">
        <w:t>Repeal the heading, substitute:</w:t>
      </w:r>
    </w:p>
    <w:p w:rsidR="001520B1" w:rsidRPr="003216A6" w:rsidRDefault="001520B1" w:rsidP="003216A6">
      <w:pPr>
        <w:pStyle w:val="ActHead5"/>
      </w:pPr>
      <w:bookmarkStart w:id="45" w:name="_Toc486251884"/>
      <w:r w:rsidRPr="003216A6">
        <w:rPr>
          <w:rStyle w:val="CharSectno"/>
        </w:rPr>
        <w:t>45</w:t>
      </w:r>
      <w:r w:rsidRPr="003216A6">
        <w:t xml:space="preserve">  Import of equipment manufactured using scheduled substances from non</w:t>
      </w:r>
      <w:r w:rsidR="00753724">
        <w:noBreakHyphen/>
      </w:r>
      <w:r w:rsidRPr="003216A6">
        <w:t>Montreal Protocol countries</w:t>
      </w:r>
      <w:bookmarkEnd w:id="45"/>
    </w:p>
    <w:p w:rsidR="001520B1" w:rsidRPr="003216A6" w:rsidRDefault="00B13916" w:rsidP="003216A6">
      <w:pPr>
        <w:pStyle w:val="ItemHead"/>
      </w:pPr>
      <w:r w:rsidRPr="003216A6">
        <w:t>80</w:t>
      </w:r>
      <w:r w:rsidR="001520B1" w:rsidRPr="003216A6">
        <w:t xml:space="preserve">  Subsections</w:t>
      </w:r>
      <w:r w:rsidR="003216A6" w:rsidRPr="003216A6">
        <w:t> </w:t>
      </w:r>
      <w:r w:rsidR="001520B1" w:rsidRPr="003216A6">
        <w:t>45(1), (2A), (3), (3A), (3AB), (3B) and (4)</w:t>
      </w:r>
    </w:p>
    <w:p w:rsidR="001520B1" w:rsidRPr="003216A6" w:rsidRDefault="001520B1" w:rsidP="003216A6">
      <w:pPr>
        <w:pStyle w:val="Item"/>
      </w:pPr>
      <w:r w:rsidRPr="003216A6">
        <w:t xml:space="preserve">Omit </w:t>
      </w:r>
      <w:r w:rsidR="00BF3C85" w:rsidRPr="003216A6">
        <w:t>“</w:t>
      </w:r>
      <w:r w:rsidRPr="003216A6">
        <w:t>a product</w:t>
      </w:r>
      <w:r w:rsidR="00BF3C85" w:rsidRPr="003216A6">
        <w:t>”</w:t>
      </w:r>
      <w:r w:rsidRPr="003216A6">
        <w:t xml:space="preserve"> (wherever occurring),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t>81</w:t>
      </w:r>
      <w:r w:rsidR="001520B1" w:rsidRPr="003216A6">
        <w:t xml:space="preserve">  Subsection</w:t>
      </w:r>
      <w:r w:rsidR="003216A6" w:rsidRPr="003216A6">
        <w:t> </w:t>
      </w:r>
      <w:r w:rsidR="001520B1" w:rsidRPr="003216A6">
        <w:t>45(4)</w:t>
      </w:r>
    </w:p>
    <w:p w:rsidR="001520B1" w:rsidRPr="003216A6" w:rsidRDefault="001520B1" w:rsidP="003216A6">
      <w:pPr>
        <w:pStyle w:val="Item"/>
      </w:pPr>
      <w:r w:rsidRPr="003216A6">
        <w:t xml:space="preserve">Omit </w:t>
      </w:r>
      <w:r w:rsidR="00BF3C85" w:rsidRPr="003216A6">
        <w:t>“</w:t>
      </w:r>
      <w:r w:rsidRPr="003216A6">
        <w:t>the product</w:t>
      </w:r>
      <w:r w:rsidR="00BF3C85" w:rsidRPr="003216A6">
        <w:t>”</w:t>
      </w:r>
      <w:r w:rsidRPr="003216A6">
        <w:t xml:space="preserve">, substitute </w:t>
      </w:r>
      <w:r w:rsidR="00BF3C85" w:rsidRPr="003216A6">
        <w:t>“</w:t>
      </w:r>
      <w:r w:rsidRPr="003216A6">
        <w:t>the equipment</w:t>
      </w:r>
      <w:r w:rsidR="00BF3C85" w:rsidRPr="003216A6">
        <w:t>”</w:t>
      </w:r>
      <w:r w:rsidR="002F6749" w:rsidRPr="003216A6">
        <w:t>.</w:t>
      </w:r>
    </w:p>
    <w:p w:rsidR="00CA7F37" w:rsidRPr="003216A6" w:rsidRDefault="00B13916" w:rsidP="003216A6">
      <w:pPr>
        <w:pStyle w:val="ItemHead"/>
      </w:pPr>
      <w:r w:rsidRPr="003216A6">
        <w:t>82</w:t>
      </w:r>
      <w:r w:rsidR="00CA7F37" w:rsidRPr="003216A6">
        <w:t xml:space="preserve">  Transitional—declarations</w:t>
      </w:r>
    </w:p>
    <w:p w:rsidR="00CA7F37" w:rsidRPr="003216A6" w:rsidRDefault="00CA7F37" w:rsidP="003216A6">
      <w:pPr>
        <w:pStyle w:val="Subitem"/>
      </w:pPr>
      <w:r w:rsidRPr="003216A6">
        <w:t>(1)</w:t>
      </w:r>
      <w:r w:rsidRPr="003216A6">
        <w:tab/>
        <w:t>A declaration:</w:t>
      </w:r>
    </w:p>
    <w:p w:rsidR="00CA7F37" w:rsidRPr="003216A6" w:rsidRDefault="00CA7F37" w:rsidP="003216A6">
      <w:pPr>
        <w:pStyle w:val="paragraph"/>
      </w:pPr>
      <w:r w:rsidRPr="003216A6">
        <w:tab/>
        <w:t>(a)</w:t>
      </w:r>
      <w:r w:rsidRPr="003216A6">
        <w:tab/>
        <w:t>made by the Minister under subsection</w:t>
      </w:r>
      <w:r w:rsidR="003216A6" w:rsidRPr="003216A6">
        <w:t> </w:t>
      </w:r>
      <w:r w:rsidRPr="003216A6">
        <w:t xml:space="preserve">44(3) of the </w:t>
      </w:r>
      <w:r w:rsidRPr="003216A6">
        <w:rPr>
          <w:i/>
        </w:rPr>
        <w:t>Ozone Protection and Synthetic Greenhouse Gas Management Act 1989</w:t>
      </w:r>
      <w:r w:rsidRPr="003216A6">
        <w:t>; and</w:t>
      </w:r>
    </w:p>
    <w:p w:rsidR="00CA7F37" w:rsidRPr="003216A6" w:rsidRDefault="00CA7F37" w:rsidP="003216A6">
      <w:pPr>
        <w:pStyle w:val="paragraph"/>
      </w:pPr>
      <w:r w:rsidRPr="003216A6">
        <w:tab/>
        <w:t>(b)</w:t>
      </w:r>
      <w:r w:rsidRPr="003216A6">
        <w:tab/>
        <w:t>in force immediately before the commencement of this item; and</w:t>
      </w:r>
    </w:p>
    <w:p w:rsidR="00CA7F37" w:rsidRPr="003216A6" w:rsidRDefault="00CA7F37" w:rsidP="003216A6">
      <w:pPr>
        <w:pStyle w:val="paragraph"/>
      </w:pPr>
      <w:r w:rsidRPr="003216A6">
        <w:tab/>
        <w:t>(c)</w:t>
      </w:r>
      <w:r w:rsidRPr="003216A6">
        <w:tab/>
        <w:t>that declared a product to be a product to which subsections</w:t>
      </w:r>
      <w:r w:rsidR="003216A6" w:rsidRPr="003216A6">
        <w:t> </w:t>
      </w:r>
      <w:r w:rsidRPr="003216A6">
        <w:t>44(1) and (2A) of that Act apply;</w:t>
      </w:r>
    </w:p>
    <w:p w:rsidR="00CA7F37" w:rsidRPr="003216A6" w:rsidRDefault="00CA7F37" w:rsidP="003216A6">
      <w:pPr>
        <w:pStyle w:val="subsection2"/>
      </w:pPr>
      <w:r w:rsidRPr="003216A6">
        <w:t>has effect, from that commencement, as if it were a declaration made under subsection</w:t>
      </w:r>
      <w:r w:rsidR="003216A6" w:rsidRPr="003216A6">
        <w:t> </w:t>
      </w:r>
      <w:r w:rsidRPr="003216A6">
        <w:t>44(3) of that Act, as amended by this Part, that declared the product to be equipment to which subsections</w:t>
      </w:r>
      <w:r w:rsidR="003216A6" w:rsidRPr="003216A6">
        <w:t> </w:t>
      </w:r>
      <w:r w:rsidRPr="003216A6">
        <w:t>44(1) and (2A) apply.</w:t>
      </w:r>
    </w:p>
    <w:p w:rsidR="00CA7F37" w:rsidRPr="003216A6" w:rsidRDefault="00CA7F37" w:rsidP="003216A6">
      <w:pPr>
        <w:pStyle w:val="Subitem"/>
      </w:pPr>
      <w:r w:rsidRPr="003216A6">
        <w:t>(2)</w:t>
      </w:r>
      <w:r w:rsidRPr="003216A6">
        <w:tab/>
        <w:t>A declaration:</w:t>
      </w:r>
    </w:p>
    <w:p w:rsidR="00CA7F37" w:rsidRPr="003216A6" w:rsidRDefault="00CA7F37" w:rsidP="003216A6">
      <w:pPr>
        <w:pStyle w:val="paragraph"/>
      </w:pPr>
      <w:r w:rsidRPr="003216A6">
        <w:tab/>
        <w:t>(a)</w:t>
      </w:r>
      <w:r w:rsidRPr="003216A6">
        <w:tab/>
        <w:t>made by the Minister under subsection</w:t>
      </w:r>
      <w:r w:rsidR="003216A6" w:rsidRPr="003216A6">
        <w:t> </w:t>
      </w:r>
      <w:r w:rsidRPr="003216A6">
        <w:t xml:space="preserve">45(3) of the </w:t>
      </w:r>
      <w:r w:rsidRPr="003216A6">
        <w:rPr>
          <w:i/>
        </w:rPr>
        <w:t>Ozone Protection and Synthetic Greenhouse Gas Management Act 1989</w:t>
      </w:r>
      <w:r w:rsidRPr="003216A6">
        <w:t>; and</w:t>
      </w:r>
    </w:p>
    <w:p w:rsidR="00CA7F37" w:rsidRPr="003216A6" w:rsidRDefault="00CA7F37" w:rsidP="003216A6">
      <w:pPr>
        <w:pStyle w:val="paragraph"/>
      </w:pPr>
      <w:r w:rsidRPr="003216A6">
        <w:tab/>
        <w:t>(b)</w:t>
      </w:r>
      <w:r w:rsidRPr="003216A6">
        <w:tab/>
        <w:t>in force immediately before the commencement of this item; and</w:t>
      </w:r>
    </w:p>
    <w:p w:rsidR="00CA7F37" w:rsidRPr="003216A6" w:rsidRDefault="00CA7F37" w:rsidP="003216A6">
      <w:pPr>
        <w:pStyle w:val="paragraph"/>
      </w:pPr>
      <w:r w:rsidRPr="003216A6">
        <w:lastRenderedPageBreak/>
        <w:tab/>
        <w:t>(c)</w:t>
      </w:r>
      <w:r w:rsidRPr="003216A6">
        <w:tab/>
        <w:t>that declared a product to be a product to which subsections</w:t>
      </w:r>
      <w:r w:rsidR="003216A6" w:rsidRPr="003216A6">
        <w:t> </w:t>
      </w:r>
      <w:r w:rsidRPr="003216A6">
        <w:t>45(1) and (2A) of that Act apply;</w:t>
      </w:r>
    </w:p>
    <w:p w:rsidR="00CA7F37" w:rsidRPr="003216A6" w:rsidRDefault="00CA7F37" w:rsidP="003216A6">
      <w:pPr>
        <w:pStyle w:val="subsection2"/>
      </w:pPr>
      <w:r w:rsidRPr="003216A6">
        <w:t>has effect, from that commencement, as if it were a declaration made under subsection</w:t>
      </w:r>
      <w:r w:rsidR="003216A6" w:rsidRPr="003216A6">
        <w:t> </w:t>
      </w:r>
      <w:r w:rsidRPr="003216A6">
        <w:t>45(3) of that Act, as amended by this Part, that declared the product to be equipment to which subsections</w:t>
      </w:r>
      <w:r w:rsidR="003216A6" w:rsidRPr="003216A6">
        <w:t> </w:t>
      </w:r>
      <w:r w:rsidRPr="003216A6">
        <w:t>45(1) and (2A) apply.</w:t>
      </w:r>
    </w:p>
    <w:p w:rsidR="001520B1" w:rsidRPr="003216A6" w:rsidRDefault="00B13916" w:rsidP="003216A6">
      <w:pPr>
        <w:pStyle w:val="ItemHead"/>
      </w:pPr>
      <w:r w:rsidRPr="003216A6">
        <w:t>83</w:t>
      </w:r>
      <w:r w:rsidR="001520B1" w:rsidRPr="003216A6">
        <w:t xml:space="preserve">  Paragraph 45A(1)(c)</w:t>
      </w:r>
    </w:p>
    <w:p w:rsidR="001520B1" w:rsidRPr="003216A6" w:rsidRDefault="001520B1" w:rsidP="003216A6">
      <w:pPr>
        <w:pStyle w:val="Item"/>
      </w:pPr>
      <w:r w:rsidRPr="003216A6">
        <w:t xml:space="preserve">Omit </w:t>
      </w:r>
      <w:r w:rsidR="00BF3C85" w:rsidRPr="003216A6">
        <w:t>“</w:t>
      </w:r>
      <w:r w:rsidRPr="003216A6">
        <w:t>products that contain or use</w:t>
      </w:r>
      <w:r w:rsidR="00BF3C85" w:rsidRPr="003216A6">
        <w:t>”</w:t>
      </w:r>
      <w:r w:rsidRPr="003216A6">
        <w:t xml:space="preserve">, substitute </w:t>
      </w:r>
      <w:r w:rsidR="00BF3C85" w:rsidRPr="003216A6">
        <w:t>“</w:t>
      </w:r>
      <w:r w:rsidRPr="003216A6">
        <w:t>equipment that contains or uses</w:t>
      </w:r>
      <w:r w:rsidR="00BF3C85" w:rsidRPr="003216A6">
        <w:t>”</w:t>
      </w:r>
      <w:r w:rsidR="002F6749" w:rsidRPr="003216A6">
        <w:t>.</w:t>
      </w:r>
    </w:p>
    <w:p w:rsidR="001520B1" w:rsidRPr="003216A6" w:rsidRDefault="00B13916" w:rsidP="003216A6">
      <w:pPr>
        <w:pStyle w:val="ItemHead"/>
      </w:pPr>
      <w:r w:rsidRPr="003216A6">
        <w:t>84</w:t>
      </w:r>
      <w:r w:rsidR="001520B1" w:rsidRPr="003216A6">
        <w:t xml:space="preserve">  Subsection</w:t>
      </w:r>
      <w:r w:rsidR="003216A6" w:rsidRPr="003216A6">
        <w:t> </w:t>
      </w:r>
      <w:r w:rsidR="001520B1" w:rsidRPr="003216A6">
        <w:t>45B(3)</w:t>
      </w:r>
    </w:p>
    <w:p w:rsidR="001520B1" w:rsidRPr="003216A6" w:rsidRDefault="001520B1" w:rsidP="003216A6">
      <w:pPr>
        <w:pStyle w:val="Item"/>
      </w:pPr>
      <w:r w:rsidRPr="003216A6">
        <w:t xml:space="preserve">Omit </w:t>
      </w:r>
      <w:r w:rsidR="00BF3C85" w:rsidRPr="003216A6">
        <w:t>“</w:t>
      </w:r>
      <w:r w:rsidRPr="003216A6">
        <w:t>a product</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t>85</w:t>
      </w:r>
      <w:r w:rsidR="001520B1" w:rsidRPr="003216A6">
        <w:t xml:space="preserve">  Subsection</w:t>
      </w:r>
      <w:r w:rsidR="003216A6" w:rsidRPr="003216A6">
        <w:t> </w:t>
      </w:r>
      <w:r w:rsidR="001520B1" w:rsidRPr="003216A6">
        <w:t>45B(3)</w:t>
      </w:r>
    </w:p>
    <w:p w:rsidR="001520B1" w:rsidRPr="003216A6" w:rsidRDefault="001520B1" w:rsidP="003216A6">
      <w:pPr>
        <w:pStyle w:val="Item"/>
      </w:pPr>
      <w:r w:rsidRPr="003216A6">
        <w:t xml:space="preserve">Omit </w:t>
      </w:r>
      <w:r w:rsidR="00BF3C85" w:rsidRPr="003216A6">
        <w:t>“</w:t>
      </w:r>
      <w:r w:rsidRPr="003216A6">
        <w:t>the product</w:t>
      </w:r>
      <w:r w:rsidR="00BF3C85" w:rsidRPr="003216A6">
        <w:t>”</w:t>
      </w:r>
      <w:r w:rsidRPr="003216A6">
        <w:t xml:space="preserve">, substitute </w:t>
      </w:r>
      <w:r w:rsidR="00BF3C85" w:rsidRPr="003216A6">
        <w:t>“</w:t>
      </w:r>
      <w:r w:rsidRPr="003216A6">
        <w:t>the equipment</w:t>
      </w:r>
      <w:r w:rsidR="00BF3C85" w:rsidRPr="003216A6">
        <w:t>”</w:t>
      </w:r>
      <w:r w:rsidR="002F6749" w:rsidRPr="003216A6">
        <w:t>.</w:t>
      </w:r>
    </w:p>
    <w:p w:rsidR="001520B1" w:rsidRPr="003216A6" w:rsidRDefault="00B13916" w:rsidP="003216A6">
      <w:pPr>
        <w:pStyle w:val="ItemHead"/>
      </w:pPr>
      <w:r w:rsidRPr="003216A6">
        <w:t>86</w:t>
      </w:r>
      <w:r w:rsidR="001520B1" w:rsidRPr="003216A6">
        <w:t xml:space="preserve">  Subsection</w:t>
      </w:r>
      <w:r w:rsidR="003216A6" w:rsidRPr="003216A6">
        <w:t> </w:t>
      </w:r>
      <w:r w:rsidR="001520B1" w:rsidRPr="003216A6">
        <w:t xml:space="preserve">45B(4) (definition of </w:t>
      </w:r>
      <w:r w:rsidR="001520B1" w:rsidRPr="003216A6">
        <w:rPr>
          <w:i/>
        </w:rPr>
        <w:t>scheduled substance</w:t>
      </w:r>
      <w:r w:rsidR="001520B1" w:rsidRPr="003216A6">
        <w:t>)</w:t>
      </w:r>
    </w:p>
    <w:p w:rsidR="001520B1" w:rsidRPr="003216A6" w:rsidRDefault="001520B1" w:rsidP="003216A6">
      <w:pPr>
        <w:pStyle w:val="Item"/>
      </w:pPr>
      <w:r w:rsidRPr="003216A6">
        <w:t xml:space="preserve">Omit </w:t>
      </w:r>
      <w:r w:rsidR="00BF3C85" w:rsidRPr="003216A6">
        <w:t>“</w:t>
      </w:r>
      <w:r w:rsidRPr="003216A6">
        <w:t>a manufactured product</w:t>
      </w:r>
      <w:r w:rsidR="00BF3C85" w:rsidRPr="003216A6">
        <w:t>”</w:t>
      </w:r>
      <w:r w:rsidRPr="003216A6">
        <w:t xml:space="preserve">, substitute </w:t>
      </w:r>
      <w:r w:rsidR="00BF3C85" w:rsidRPr="003216A6">
        <w:t>“</w:t>
      </w:r>
      <w:r w:rsidRPr="003216A6">
        <w:t>manufactured equipment</w:t>
      </w:r>
      <w:r w:rsidR="00BF3C85" w:rsidRPr="003216A6">
        <w:t>”</w:t>
      </w:r>
      <w:r w:rsidR="002F6749" w:rsidRPr="003216A6">
        <w:t>.</w:t>
      </w:r>
    </w:p>
    <w:p w:rsidR="001520B1" w:rsidRPr="003216A6" w:rsidRDefault="00B13916" w:rsidP="003216A6">
      <w:pPr>
        <w:pStyle w:val="ItemHead"/>
      </w:pPr>
      <w:r w:rsidRPr="003216A6">
        <w:t>87</w:t>
      </w:r>
      <w:r w:rsidR="001520B1" w:rsidRPr="003216A6">
        <w:t xml:space="preserve">  Paragraph 57(1)(d)</w:t>
      </w:r>
    </w:p>
    <w:p w:rsidR="001520B1" w:rsidRPr="003216A6" w:rsidRDefault="001520B1" w:rsidP="003216A6">
      <w:pPr>
        <w:pStyle w:val="Item"/>
      </w:pPr>
      <w:r w:rsidRPr="003216A6">
        <w:t xml:space="preserve">Omit </w:t>
      </w:r>
      <w:r w:rsidR="00BF3C85" w:rsidRPr="003216A6">
        <w:t>“</w:t>
      </w:r>
      <w:r w:rsidRPr="003216A6">
        <w:t>products that contain scheduled substances, or that use scheduled substances in their</w:t>
      </w:r>
      <w:r w:rsidR="00BF3C85" w:rsidRPr="003216A6">
        <w:t>”</w:t>
      </w:r>
      <w:r w:rsidRPr="003216A6">
        <w:t xml:space="preserve">, substitute </w:t>
      </w:r>
      <w:r w:rsidR="00BF3C85" w:rsidRPr="003216A6">
        <w:t>“</w:t>
      </w:r>
      <w:r w:rsidRPr="003216A6">
        <w:t>equipment that contains scheduled substances, or that uses scheduled substances in its</w:t>
      </w:r>
      <w:r w:rsidR="00BF3C85" w:rsidRPr="003216A6">
        <w:t>”</w:t>
      </w:r>
      <w:r w:rsidR="002F6749" w:rsidRPr="003216A6">
        <w:t>.</w:t>
      </w:r>
    </w:p>
    <w:p w:rsidR="001520B1" w:rsidRPr="003216A6" w:rsidRDefault="00B13916" w:rsidP="003216A6">
      <w:pPr>
        <w:pStyle w:val="ItemHead"/>
      </w:pPr>
      <w:r w:rsidRPr="003216A6">
        <w:t>88</w:t>
      </w:r>
      <w:r w:rsidR="001520B1" w:rsidRPr="003216A6">
        <w:t xml:space="preserve">  Subparagraphs</w:t>
      </w:r>
      <w:r w:rsidR="003216A6" w:rsidRPr="003216A6">
        <w:t> </w:t>
      </w:r>
      <w:r w:rsidR="001520B1" w:rsidRPr="003216A6">
        <w:t>57(1)(d)(i), (ii) and (iii)</w:t>
      </w:r>
    </w:p>
    <w:p w:rsidR="001520B1" w:rsidRPr="003216A6" w:rsidRDefault="001520B1" w:rsidP="003216A6">
      <w:pPr>
        <w:pStyle w:val="Item"/>
      </w:pPr>
      <w:r w:rsidRPr="003216A6">
        <w:t xml:space="preserve">Omit </w:t>
      </w:r>
      <w:r w:rsidR="00BF3C85" w:rsidRPr="003216A6">
        <w:t>“</w:t>
      </w:r>
      <w:r w:rsidRPr="003216A6">
        <w:t>products</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t>89</w:t>
      </w:r>
      <w:r w:rsidR="001520B1" w:rsidRPr="003216A6">
        <w:t xml:space="preserve">  Paragraph 57(1)(e)</w:t>
      </w:r>
    </w:p>
    <w:p w:rsidR="001520B1" w:rsidRPr="003216A6" w:rsidRDefault="001520B1" w:rsidP="003216A6">
      <w:pPr>
        <w:pStyle w:val="Item"/>
      </w:pPr>
      <w:r w:rsidRPr="003216A6">
        <w:t xml:space="preserve">Omit </w:t>
      </w:r>
      <w:r w:rsidR="00BF3C85" w:rsidRPr="003216A6">
        <w:t>“</w:t>
      </w:r>
      <w:r w:rsidRPr="003216A6">
        <w:t>products that contain scheduled substances, or that use scheduled substances in their</w:t>
      </w:r>
      <w:r w:rsidR="00BF3C85" w:rsidRPr="003216A6">
        <w:t>”</w:t>
      </w:r>
      <w:r w:rsidRPr="003216A6">
        <w:t xml:space="preserve">, substitute </w:t>
      </w:r>
      <w:r w:rsidR="00BF3C85" w:rsidRPr="003216A6">
        <w:t>“</w:t>
      </w:r>
      <w:r w:rsidRPr="003216A6">
        <w:t>equipment that contains scheduled substances, or that uses scheduled substances in its</w:t>
      </w:r>
      <w:r w:rsidR="00BF3C85" w:rsidRPr="003216A6">
        <w:t>”</w:t>
      </w:r>
      <w:r w:rsidR="002F6749" w:rsidRPr="003216A6">
        <w:t>.</w:t>
      </w:r>
    </w:p>
    <w:p w:rsidR="001520B1" w:rsidRPr="003216A6" w:rsidRDefault="00B13916" w:rsidP="003216A6">
      <w:pPr>
        <w:pStyle w:val="ItemHead"/>
      </w:pPr>
      <w:r w:rsidRPr="003216A6">
        <w:t>90</w:t>
      </w:r>
      <w:r w:rsidR="001520B1" w:rsidRPr="003216A6">
        <w:t xml:space="preserve">  Subparagraphs</w:t>
      </w:r>
      <w:r w:rsidR="003216A6" w:rsidRPr="003216A6">
        <w:t> </w:t>
      </w:r>
      <w:r w:rsidR="001520B1" w:rsidRPr="003216A6">
        <w:t>57(1)(e)(i) and (ii)</w:t>
      </w:r>
    </w:p>
    <w:p w:rsidR="001520B1" w:rsidRPr="003216A6" w:rsidRDefault="001520B1" w:rsidP="003216A6">
      <w:pPr>
        <w:pStyle w:val="Item"/>
      </w:pPr>
      <w:r w:rsidRPr="003216A6">
        <w:t xml:space="preserve">Omit </w:t>
      </w:r>
      <w:r w:rsidR="00BF3C85" w:rsidRPr="003216A6">
        <w:t>“</w:t>
      </w:r>
      <w:r w:rsidRPr="003216A6">
        <w:t>products</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t>91</w:t>
      </w:r>
      <w:r w:rsidR="001520B1" w:rsidRPr="003216A6">
        <w:t xml:space="preserve">  Paragraph 57(1)(f)</w:t>
      </w:r>
    </w:p>
    <w:p w:rsidR="001520B1" w:rsidRPr="003216A6" w:rsidRDefault="001520B1" w:rsidP="003216A6">
      <w:pPr>
        <w:pStyle w:val="Item"/>
      </w:pPr>
      <w:r w:rsidRPr="003216A6">
        <w:t xml:space="preserve">Omit </w:t>
      </w:r>
      <w:r w:rsidR="00BF3C85" w:rsidRPr="003216A6">
        <w:t>“</w:t>
      </w:r>
      <w:r w:rsidRPr="003216A6">
        <w:t>products that contain</w:t>
      </w:r>
      <w:r w:rsidR="00BF3C85" w:rsidRPr="003216A6">
        <w:t>”</w:t>
      </w:r>
      <w:r w:rsidRPr="003216A6">
        <w:t xml:space="preserve">, substitute </w:t>
      </w:r>
      <w:r w:rsidR="00BF3C85" w:rsidRPr="003216A6">
        <w:t>“</w:t>
      </w:r>
      <w:r w:rsidRPr="003216A6">
        <w:t>equipment that contains</w:t>
      </w:r>
      <w:r w:rsidR="00BF3C85" w:rsidRPr="003216A6">
        <w:t>”</w:t>
      </w:r>
      <w:r w:rsidR="002F6749" w:rsidRPr="003216A6">
        <w:t>.</w:t>
      </w:r>
    </w:p>
    <w:p w:rsidR="001520B1" w:rsidRPr="003216A6" w:rsidRDefault="00B13916" w:rsidP="003216A6">
      <w:pPr>
        <w:pStyle w:val="ItemHead"/>
      </w:pPr>
      <w:r w:rsidRPr="003216A6">
        <w:lastRenderedPageBreak/>
        <w:t>92</w:t>
      </w:r>
      <w:r w:rsidR="001520B1" w:rsidRPr="003216A6">
        <w:t xml:space="preserve">  Subparagraphs</w:t>
      </w:r>
      <w:r w:rsidR="003216A6" w:rsidRPr="003216A6">
        <w:t> </w:t>
      </w:r>
      <w:r w:rsidR="001520B1" w:rsidRPr="003216A6">
        <w:t>57(1)(f)(i), (ii) and (iii)</w:t>
      </w:r>
    </w:p>
    <w:p w:rsidR="001520B1" w:rsidRPr="003216A6" w:rsidRDefault="001520B1" w:rsidP="003216A6">
      <w:pPr>
        <w:pStyle w:val="Item"/>
      </w:pPr>
      <w:r w:rsidRPr="003216A6">
        <w:t xml:space="preserve">Omit </w:t>
      </w:r>
      <w:r w:rsidR="00BF3C85" w:rsidRPr="003216A6">
        <w:t>“</w:t>
      </w:r>
      <w:r w:rsidRPr="003216A6">
        <w:t>products</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t>93</w:t>
      </w:r>
      <w:r w:rsidR="001520B1" w:rsidRPr="003216A6">
        <w:t xml:space="preserve">  Paragraphs 57(1)(g) and (2)(a) and (b)</w:t>
      </w:r>
    </w:p>
    <w:p w:rsidR="001520B1" w:rsidRPr="003216A6" w:rsidRDefault="001520B1" w:rsidP="003216A6">
      <w:pPr>
        <w:pStyle w:val="Item"/>
      </w:pPr>
      <w:r w:rsidRPr="003216A6">
        <w:t xml:space="preserve">Omit </w:t>
      </w:r>
      <w:r w:rsidR="00BF3C85" w:rsidRPr="003216A6">
        <w:t>“</w:t>
      </w:r>
      <w:r w:rsidRPr="003216A6">
        <w:t>products</w:t>
      </w:r>
      <w:r w:rsidR="00BF3C85" w:rsidRPr="003216A6">
        <w:t>”</w:t>
      </w:r>
      <w:r w:rsidRPr="003216A6">
        <w:t xml:space="preserve"> (wherever occurring),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t>94</w:t>
      </w:r>
      <w:r w:rsidR="001520B1" w:rsidRPr="003216A6">
        <w:t xml:space="preserve">  Schedule</w:t>
      </w:r>
      <w:r w:rsidR="003216A6" w:rsidRPr="003216A6">
        <w:t> </w:t>
      </w:r>
      <w:r w:rsidR="001520B1" w:rsidRPr="003216A6">
        <w:t>4 (heading)</w:t>
      </w:r>
    </w:p>
    <w:p w:rsidR="001520B1" w:rsidRPr="003216A6" w:rsidRDefault="001520B1" w:rsidP="003216A6">
      <w:pPr>
        <w:pStyle w:val="Item"/>
      </w:pPr>
      <w:r w:rsidRPr="003216A6">
        <w:t>Repeal the heading, substitute:</w:t>
      </w:r>
    </w:p>
    <w:p w:rsidR="001520B1" w:rsidRPr="003216A6" w:rsidRDefault="001520B1" w:rsidP="003216A6">
      <w:pPr>
        <w:pStyle w:val="ActHead1"/>
      </w:pPr>
      <w:bookmarkStart w:id="46" w:name="_Toc486251885"/>
      <w:r w:rsidRPr="003216A6">
        <w:rPr>
          <w:rStyle w:val="CharChapNo"/>
        </w:rPr>
        <w:t>Schedule</w:t>
      </w:r>
      <w:r w:rsidR="003216A6" w:rsidRPr="003216A6">
        <w:rPr>
          <w:rStyle w:val="CharChapNo"/>
        </w:rPr>
        <w:t> </w:t>
      </w:r>
      <w:r w:rsidRPr="003216A6">
        <w:rPr>
          <w:rStyle w:val="CharChapNo"/>
        </w:rPr>
        <w:t>4</w:t>
      </w:r>
      <w:r w:rsidRPr="003216A6">
        <w:t>—</w:t>
      </w:r>
      <w:r w:rsidRPr="003216A6">
        <w:rPr>
          <w:rStyle w:val="CharChapText"/>
        </w:rPr>
        <w:t>Control of manufacture etc</w:t>
      </w:r>
      <w:r w:rsidR="002F6749" w:rsidRPr="003216A6">
        <w:rPr>
          <w:rStyle w:val="CharChapText"/>
        </w:rPr>
        <w:t>.</w:t>
      </w:r>
      <w:r w:rsidRPr="003216A6">
        <w:rPr>
          <w:rStyle w:val="CharChapText"/>
        </w:rPr>
        <w:t xml:space="preserve"> of equipment containing or using scheduled substances</w:t>
      </w:r>
      <w:bookmarkEnd w:id="46"/>
    </w:p>
    <w:p w:rsidR="001520B1" w:rsidRPr="003216A6" w:rsidRDefault="00B13916" w:rsidP="003216A6">
      <w:pPr>
        <w:pStyle w:val="ItemHead"/>
      </w:pPr>
      <w:r w:rsidRPr="003216A6">
        <w:t>95</w:t>
      </w:r>
      <w:r w:rsidR="001520B1" w:rsidRPr="003216A6">
        <w:t xml:space="preserve">  Subclause</w:t>
      </w:r>
      <w:r w:rsidR="003216A6" w:rsidRPr="003216A6">
        <w:t> </w:t>
      </w:r>
      <w:r w:rsidR="001520B1" w:rsidRPr="003216A6">
        <w:t>4(1) of Schedule</w:t>
      </w:r>
      <w:r w:rsidR="003216A6" w:rsidRPr="003216A6">
        <w:t> </w:t>
      </w:r>
      <w:r w:rsidR="001520B1" w:rsidRPr="003216A6">
        <w:t>4</w:t>
      </w:r>
    </w:p>
    <w:p w:rsidR="001520B1" w:rsidRPr="003216A6" w:rsidRDefault="001520B1" w:rsidP="003216A6">
      <w:pPr>
        <w:pStyle w:val="Item"/>
      </w:pPr>
      <w:r w:rsidRPr="003216A6">
        <w:t xml:space="preserve">Omit </w:t>
      </w:r>
      <w:r w:rsidR="00BF3C85" w:rsidRPr="003216A6">
        <w:t>“</w:t>
      </w:r>
      <w:r w:rsidRPr="003216A6">
        <w:t>a polystyrene product</w:t>
      </w:r>
      <w:r w:rsidR="00BF3C85" w:rsidRPr="003216A6">
        <w:t>”</w:t>
      </w:r>
      <w:r w:rsidRPr="003216A6">
        <w:t xml:space="preserve">, substitute </w:t>
      </w:r>
      <w:r w:rsidR="00BF3C85" w:rsidRPr="003216A6">
        <w:t>“</w:t>
      </w:r>
      <w:r w:rsidRPr="003216A6">
        <w:t>polystyrene equipment</w:t>
      </w:r>
      <w:r w:rsidR="00BF3C85" w:rsidRPr="003216A6">
        <w:t>”</w:t>
      </w:r>
      <w:r w:rsidR="002F6749" w:rsidRPr="003216A6">
        <w:t>.</w:t>
      </w:r>
    </w:p>
    <w:p w:rsidR="001520B1" w:rsidRPr="003216A6" w:rsidRDefault="00B13916" w:rsidP="003216A6">
      <w:pPr>
        <w:pStyle w:val="ItemHead"/>
      </w:pPr>
      <w:r w:rsidRPr="003216A6">
        <w:t>96</w:t>
      </w:r>
      <w:r w:rsidR="001520B1" w:rsidRPr="003216A6">
        <w:t xml:space="preserve">  Subparagraphs</w:t>
      </w:r>
      <w:r w:rsidR="003216A6" w:rsidRPr="003216A6">
        <w:t> </w:t>
      </w:r>
      <w:r w:rsidR="001520B1" w:rsidRPr="003216A6">
        <w:t>4(1)(a)(i) and (ii) of Schedule</w:t>
      </w:r>
      <w:r w:rsidR="003216A6" w:rsidRPr="003216A6">
        <w:t> </w:t>
      </w:r>
      <w:r w:rsidR="001520B1" w:rsidRPr="003216A6">
        <w:t>4</w:t>
      </w:r>
    </w:p>
    <w:p w:rsidR="001520B1" w:rsidRPr="003216A6" w:rsidRDefault="001520B1" w:rsidP="003216A6">
      <w:pPr>
        <w:pStyle w:val="Item"/>
      </w:pPr>
      <w:r w:rsidRPr="003216A6">
        <w:t xml:space="preserve">Omit </w:t>
      </w:r>
      <w:r w:rsidR="00BF3C85" w:rsidRPr="003216A6">
        <w:t>“</w:t>
      </w:r>
      <w:r w:rsidRPr="003216A6">
        <w:t>product</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t>97</w:t>
      </w:r>
      <w:r w:rsidR="001520B1" w:rsidRPr="003216A6">
        <w:t xml:space="preserve">  Paragraph 4(1)(b) of Schedule</w:t>
      </w:r>
      <w:r w:rsidR="003216A6" w:rsidRPr="003216A6">
        <w:t> </w:t>
      </w:r>
      <w:r w:rsidR="001520B1" w:rsidRPr="003216A6">
        <w:t>4</w:t>
      </w:r>
    </w:p>
    <w:p w:rsidR="001520B1" w:rsidRPr="003216A6" w:rsidRDefault="001520B1" w:rsidP="003216A6">
      <w:pPr>
        <w:pStyle w:val="Item"/>
      </w:pPr>
      <w:r w:rsidRPr="003216A6">
        <w:t xml:space="preserve">Omit </w:t>
      </w:r>
      <w:r w:rsidR="00BF3C85" w:rsidRPr="003216A6">
        <w:t>“</w:t>
      </w:r>
      <w:r w:rsidRPr="003216A6">
        <w:t>product</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t>98</w:t>
      </w:r>
      <w:r w:rsidR="001520B1" w:rsidRPr="003216A6">
        <w:t xml:space="preserve">  Paragraphs 4(2)(a) and (b) of Schedule</w:t>
      </w:r>
      <w:r w:rsidR="003216A6" w:rsidRPr="003216A6">
        <w:t> </w:t>
      </w:r>
      <w:r w:rsidR="001520B1" w:rsidRPr="003216A6">
        <w:t>4</w:t>
      </w:r>
    </w:p>
    <w:p w:rsidR="001520B1" w:rsidRPr="003216A6" w:rsidRDefault="001520B1" w:rsidP="003216A6">
      <w:pPr>
        <w:pStyle w:val="Item"/>
      </w:pPr>
      <w:r w:rsidRPr="003216A6">
        <w:t xml:space="preserve">Omit </w:t>
      </w:r>
      <w:r w:rsidR="00BF3C85" w:rsidRPr="003216A6">
        <w:t>“</w:t>
      </w:r>
      <w:r w:rsidRPr="003216A6">
        <w:t>products</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t>99</w:t>
      </w:r>
      <w:r w:rsidR="001520B1" w:rsidRPr="003216A6">
        <w:t xml:space="preserve">  Clause</w:t>
      </w:r>
      <w:r w:rsidR="003216A6" w:rsidRPr="003216A6">
        <w:t> </w:t>
      </w:r>
      <w:r w:rsidR="001520B1" w:rsidRPr="003216A6">
        <w:t>5 of Schedule</w:t>
      </w:r>
      <w:r w:rsidR="003216A6" w:rsidRPr="003216A6">
        <w:t> </w:t>
      </w:r>
      <w:r w:rsidR="001520B1" w:rsidRPr="003216A6">
        <w:t>4 (heading)</w:t>
      </w:r>
    </w:p>
    <w:p w:rsidR="001520B1" w:rsidRPr="003216A6" w:rsidRDefault="001520B1" w:rsidP="003216A6">
      <w:pPr>
        <w:pStyle w:val="Item"/>
      </w:pPr>
      <w:r w:rsidRPr="003216A6">
        <w:t>Repeal the heading, substitute:</w:t>
      </w:r>
    </w:p>
    <w:p w:rsidR="001520B1" w:rsidRPr="003216A6" w:rsidRDefault="001520B1" w:rsidP="003216A6">
      <w:pPr>
        <w:pStyle w:val="ActHead5"/>
      </w:pPr>
      <w:bookmarkStart w:id="47" w:name="_Toc486251886"/>
      <w:r w:rsidRPr="003216A6">
        <w:rPr>
          <w:rStyle w:val="CharSectno"/>
        </w:rPr>
        <w:t>5</w:t>
      </w:r>
      <w:r w:rsidRPr="003216A6">
        <w:t xml:space="preserve">  Aerosol equipment</w:t>
      </w:r>
      <w:bookmarkEnd w:id="47"/>
    </w:p>
    <w:p w:rsidR="001520B1" w:rsidRPr="003216A6" w:rsidRDefault="00B13916" w:rsidP="003216A6">
      <w:pPr>
        <w:pStyle w:val="ItemHead"/>
      </w:pPr>
      <w:r w:rsidRPr="003216A6">
        <w:t>100</w:t>
      </w:r>
      <w:r w:rsidR="001520B1" w:rsidRPr="003216A6">
        <w:t xml:space="preserve">  Subclause</w:t>
      </w:r>
      <w:r w:rsidR="003216A6" w:rsidRPr="003216A6">
        <w:t> </w:t>
      </w:r>
      <w:r w:rsidR="001520B1" w:rsidRPr="003216A6">
        <w:t>5(1) of Schedule</w:t>
      </w:r>
      <w:r w:rsidR="003216A6" w:rsidRPr="003216A6">
        <w:t> </w:t>
      </w:r>
      <w:r w:rsidR="001520B1" w:rsidRPr="003216A6">
        <w:t>4</w:t>
      </w:r>
    </w:p>
    <w:p w:rsidR="001520B1" w:rsidRPr="003216A6" w:rsidRDefault="001520B1" w:rsidP="003216A6">
      <w:pPr>
        <w:pStyle w:val="Item"/>
      </w:pPr>
      <w:r w:rsidRPr="003216A6">
        <w:t xml:space="preserve">Omit </w:t>
      </w:r>
      <w:r w:rsidR="00BF3C85" w:rsidRPr="003216A6">
        <w:t>“</w:t>
      </w:r>
      <w:r w:rsidRPr="003216A6">
        <w:t>an aerosol product</w:t>
      </w:r>
      <w:r w:rsidR="00BF3C85" w:rsidRPr="003216A6">
        <w:t>”</w:t>
      </w:r>
      <w:r w:rsidRPr="003216A6">
        <w:t xml:space="preserve">, substitute </w:t>
      </w:r>
      <w:r w:rsidR="00BF3C85" w:rsidRPr="003216A6">
        <w:t>“</w:t>
      </w:r>
      <w:r w:rsidRPr="003216A6">
        <w:t>aerosol equipment</w:t>
      </w:r>
      <w:r w:rsidR="00BF3C85" w:rsidRPr="003216A6">
        <w:t>”</w:t>
      </w:r>
      <w:r w:rsidR="002F6749" w:rsidRPr="003216A6">
        <w:t>.</w:t>
      </w:r>
    </w:p>
    <w:p w:rsidR="001520B1" w:rsidRPr="003216A6" w:rsidRDefault="00B13916" w:rsidP="003216A6">
      <w:pPr>
        <w:pStyle w:val="ItemHead"/>
      </w:pPr>
      <w:r w:rsidRPr="003216A6">
        <w:t>101</w:t>
      </w:r>
      <w:r w:rsidR="001520B1" w:rsidRPr="003216A6">
        <w:t xml:space="preserve">  Paragraphs 5(2)(a), (b) and (c) of Schedule</w:t>
      </w:r>
      <w:r w:rsidR="003216A6" w:rsidRPr="003216A6">
        <w:t> </w:t>
      </w:r>
      <w:r w:rsidR="001520B1" w:rsidRPr="003216A6">
        <w:t>4</w:t>
      </w:r>
    </w:p>
    <w:p w:rsidR="001520B1" w:rsidRPr="003216A6" w:rsidRDefault="001520B1" w:rsidP="003216A6">
      <w:pPr>
        <w:pStyle w:val="Item"/>
      </w:pPr>
      <w:r w:rsidRPr="003216A6">
        <w:t xml:space="preserve">Omit </w:t>
      </w:r>
      <w:r w:rsidR="00BF3C85" w:rsidRPr="003216A6">
        <w:t>“</w:t>
      </w:r>
      <w:r w:rsidRPr="003216A6">
        <w:t>products</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lastRenderedPageBreak/>
        <w:t>102</w:t>
      </w:r>
      <w:r w:rsidR="001520B1" w:rsidRPr="003216A6">
        <w:t xml:space="preserve">  Clause</w:t>
      </w:r>
      <w:r w:rsidR="003216A6" w:rsidRPr="003216A6">
        <w:t> </w:t>
      </w:r>
      <w:r w:rsidR="001520B1" w:rsidRPr="003216A6">
        <w:t>6 of Schedule</w:t>
      </w:r>
      <w:r w:rsidR="003216A6" w:rsidRPr="003216A6">
        <w:t> </w:t>
      </w:r>
      <w:r w:rsidR="001520B1" w:rsidRPr="003216A6">
        <w:t>4 (heading)</w:t>
      </w:r>
    </w:p>
    <w:p w:rsidR="001520B1" w:rsidRPr="003216A6" w:rsidRDefault="001520B1" w:rsidP="003216A6">
      <w:pPr>
        <w:pStyle w:val="Item"/>
      </w:pPr>
      <w:r w:rsidRPr="003216A6">
        <w:t>Repeal the heading, substitute:</w:t>
      </w:r>
    </w:p>
    <w:p w:rsidR="001520B1" w:rsidRPr="003216A6" w:rsidRDefault="001520B1" w:rsidP="003216A6">
      <w:pPr>
        <w:pStyle w:val="ActHead5"/>
      </w:pPr>
      <w:bookmarkStart w:id="48" w:name="_Toc486251887"/>
      <w:r w:rsidRPr="003216A6">
        <w:rPr>
          <w:rStyle w:val="CharSectno"/>
        </w:rPr>
        <w:t>6</w:t>
      </w:r>
      <w:r w:rsidRPr="003216A6">
        <w:t xml:space="preserve">  Equipment containing halon</w:t>
      </w:r>
      <w:bookmarkEnd w:id="48"/>
    </w:p>
    <w:p w:rsidR="001520B1" w:rsidRPr="003216A6" w:rsidRDefault="00B13916" w:rsidP="003216A6">
      <w:pPr>
        <w:pStyle w:val="ItemHead"/>
      </w:pPr>
      <w:r w:rsidRPr="003216A6">
        <w:t>103</w:t>
      </w:r>
      <w:r w:rsidR="001520B1" w:rsidRPr="003216A6">
        <w:t xml:space="preserve">  Clause</w:t>
      </w:r>
      <w:r w:rsidR="003216A6" w:rsidRPr="003216A6">
        <w:t> </w:t>
      </w:r>
      <w:r w:rsidR="001520B1" w:rsidRPr="003216A6">
        <w:t>6 of Schedule</w:t>
      </w:r>
      <w:r w:rsidR="003216A6" w:rsidRPr="003216A6">
        <w:t> </w:t>
      </w:r>
      <w:r w:rsidR="001520B1" w:rsidRPr="003216A6">
        <w:t>4</w:t>
      </w:r>
    </w:p>
    <w:p w:rsidR="001520B1" w:rsidRPr="003216A6" w:rsidRDefault="001520B1" w:rsidP="003216A6">
      <w:pPr>
        <w:pStyle w:val="Item"/>
      </w:pPr>
      <w:r w:rsidRPr="003216A6">
        <w:t xml:space="preserve">Omit </w:t>
      </w:r>
      <w:r w:rsidR="00BF3C85" w:rsidRPr="003216A6">
        <w:t>“</w:t>
      </w:r>
      <w:r w:rsidRPr="003216A6">
        <w:t>a product</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t>104</w:t>
      </w:r>
      <w:r w:rsidR="001520B1" w:rsidRPr="003216A6">
        <w:t xml:space="preserve">  Clause</w:t>
      </w:r>
      <w:r w:rsidR="003216A6" w:rsidRPr="003216A6">
        <w:t> </w:t>
      </w:r>
      <w:r w:rsidR="001520B1" w:rsidRPr="003216A6">
        <w:t>7 of Schedule</w:t>
      </w:r>
      <w:r w:rsidR="003216A6" w:rsidRPr="003216A6">
        <w:t> </w:t>
      </w:r>
      <w:r w:rsidR="001520B1" w:rsidRPr="003216A6">
        <w:t>4 (heading)</w:t>
      </w:r>
    </w:p>
    <w:p w:rsidR="001520B1" w:rsidRPr="003216A6" w:rsidRDefault="001520B1" w:rsidP="003216A6">
      <w:pPr>
        <w:pStyle w:val="Item"/>
      </w:pPr>
      <w:r w:rsidRPr="003216A6">
        <w:t>Repeal the heading, substitute:</w:t>
      </w:r>
    </w:p>
    <w:p w:rsidR="001520B1" w:rsidRPr="003216A6" w:rsidRDefault="001520B1" w:rsidP="003216A6">
      <w:pPr>
        <w:pStyle w:val="ActHead5"/>
      </w:pPr>
      <w:bookmarkStart w:id="49" w:name="_Toc486251888"/>
      <w:r w:rsidRPr="003216A6">
        <w:rPr>
          <w:rStyle w:val="CharSectno"/>
        </w:rPr>
        <w:t>7</w:t>
      </w:r>
      <w:r w:rsidRPr="003216A6">
        <w:t xml:space="preserve">  Rigid polyurethane foam equipment</w:t>
      </w:r>
      <w:bookmarkEnd w:id="49"/>
    </w:p>
    <w:p w:rsidR="001520B1" w:rsidRPr="003216A6" w:rsidRDefault="00B13916" w:rsidP="003216A6">
      <w:pPr>
        <w:pStyle w:val="ItemHead"/>
      </w:pPr>
      <w:r w:rsidRPr="003216A6">
        <w:t>105</w:t>
      </w:r>
      <w:r w:rsidR="001520B1" w:rsidRPr="003216A6">
        <w:t xml:space="preserve">  Clause</w:t>
      </w:r>
      <w:r w:rsidR="003216A6" w:rsidRPr="003216A6">
        <w:t> </w:t>
      </w:r>
      <w:r w:rsidR="001520B1" w:rsidRPr="003216A6">
        <w:t>7 of Schedule</w:t>
      </w:r>
      <w:r w:rsidR="003216A6" w:rsidRPr="003216A6">
        <w:t> </w:t>
      </w:r>
      <w:r w:rsidR="001520B1" w:rsidRPr="003216A6">
        <w:t>4</w:t>
      </w:r>
    </w:p>
    <w:p w:rsidR="001520B1" w:rsidRPr="003216A6" w:rsidRDefault="001520B1" w:rsidP="003216A6">
      <w:pPr>
        <w:pStyle w:val="Item"/>
      </w:pPr>
      <w:r w:rsidRPr="003216A6">
        <w:t xml:space="preserve">Omit </w:t>
      </w:r>
      <w:r w:rsidR="00BF3C85" w:rsidRPr="003216A6">
        <w:t>“</w:t>
      </w:r>
      <w:r w:rsidRPr="003216A6">
        <w:t>a rigid polyurethane foam product if the product</w:t>
      </w:r>
      <w:r w:rsidR="00BF3C85" w:rsidRPr="003216A6">
        <w:t>”</w:t>
      </w:r>
      <w:r w:rsidRPr="003216A6">
        <w:t xml:space="preserve">, substitute </w:t>
      </w:r>
      <w:r w:rsidR="00BF3C85" w:rsidRPr="003216A6">
        <w:t>“</w:t>
      </w:r>
      <w:r w:rsidRPr="003216A6">
        <w:t>rigid polyurethane foam equipment if the equipment</w:t>
      </w:r>
      <w:r w:rsidR="00BF3C85" w:rsidRPr="003216A6">
        <w:t>”</w:t>
      </w:r>
      <w:r w:rsidR="002F6749" w:rsidRPr="003216A6">
        <w:t>.</w:t>
      </w:r>
    </w:p>
    <w:p w:rsidR="001520B1" w:rsidRPr="003216A6" w:rsidRDefault="00B13916" w:rsidP="003216A6">
      <w:pPr>
        <w:pStyle w:val="ItemHead"/>
      </w:pPr>
      <w:r w:rsidRPr="003216A6">
        <w:t>106</w:t>
      </w:r>
      <w:r w:rsidR="001520B1" w:rsidRPr="003216A6">
        <w:t xml:space="preserve">  Paragraphs 7(a) and (b) of Schedule</w:t>
      </w:r>
      <w:r w:rsidR="003216A6" w:rsidRPr="003216A6">
        <w:t> </w:t>
      </w:r>
      <w:r w:rsidR="001520B1" w:rsidRPr="003216A6">
        <w:t>4</w:t>
      </w:r>
    </w:p>
    <w:p w:rsidR="001520B1" w:rsidRPr="003216A6" w:rsidRDefault="001520B1" w:rsidP="003216A6">
      <w:pPr>
        <w:pStyle w:val="Item"/>
      </w:pPr>
      <w:r w:rsidRPr="003216A6">
        <w:t xml:space="preserve">Omit </w:t>
      </w:r>
      <w:r w:rsidR="00B40DC2" w:rsidRPr="003216A6">
        <w:t>“product”</w:t>
      </w:r>
      <w:r w:rsidRPr="003216A6">
        <w:t xml:space="preserve">, substitute </w:t>
      </w:r>
      <w:r w:rsidR="00B40DC2" w:rsidRPr="003216A6">
        <w:t>“equipment”</w:t>
      </w:r>
      <w:r w:rsidR="002F6749" w:rsidRPr="003216A6">
        <w:t>.</w:t>
      </w:r>
    </w:p>
    <w:p w:rsidR="001520B1" w:rsidRPr="003216A6" w:rsidRDefault="00B13916" w:rsidP="003216A6">
      <w:pPr>
        <w:pStyle w:val="ItemHead"/>
      </w:pPr>
      <w:r w:rsidRPr="003216A6">
        <w:t>107</w:t>
      </w:r>
      <w:r w:rsidR="001520B1" w:rsidRPr="003216A6">
        <w:t xml:space="preserve">  Clause</w:t>
      </w:r>
      <w:r w:rsidR="003216A6" w:rsidRPr="003216A6">
        <w:t> </w:t>
      </w:r>
      <w:r w:rsidR="001520B1" w:rsidRPr="003216A6">
        <w:t>9 of Schedule</w:t>
      </w:r>
      <w:r w:rsidR="003216A6" w:rsidRPr="003216A6">
        <w:t> </w:t>
      </w:r>
      <w:r w:rsidR="001520B1" w:rsidRPr="003216A6">
        <w:t>4</w:t>
      </w:r>
    </w:p>
    <w:p w:rsidR="001520B1" w:rsidRPr="003216A6" w:rsidRDefault="001520B1" w:rsidP="003216A6">
      <w:pPr>
        <w:pStyle w:val="Item"/>
      </w:pPr>
      <w:r w:rsidRPr="003216A6">
        <w:t xml:space="preserve">Omit </w:t>
      </w:r>
      <w:r w:rsidR="00BF3C85" w:rsidRPr="003216A6">
        <w:t>“</w:t>
      </w:r>
      <w:r w:rsidRPr="003216A6">
        <w:t>a product</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t>108</w:t>
      </w:r>
      <w:r w:rsidR="001520B1" w:rsidRPr="003216A6">
        <w:t xml:space="preserve">  Paragraphs 9(a) and (b) of Schedule</w:t>
      </w:r>
      <w:r w:rsidR="003216A6" w:rsidRPr="003216A6">
        <w:t> </w:t>
      </w:r>
      <w:r w:rsidR="001520B1" w:rsidRPr="003216A6">
        <w:t>4</w:t>
      </w:r>
    </w:p>
    <w:p w:rsidR="001520B1" w:rsidRPr="003216A6" w:rsidRDefault="001520B1" w:rsidP="003216A6">
      <w:pPr>
        <w:pStyle w:val="Item"/>
      </w:pPr>
      <w:r w:rsidRPr="003216A6">
        <w:t xml:space="preserve">Omit </w:t>
      </w:r>
      <w:r w:rsidR="00BF3C85" w:rsidRPr="003216A6">
        <w:t>“</w:t>
      </w:r>
      <w:r w:rsidRPr="003216A6">
        <w:t>product</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1520B1" w:rsidRPr="003216A6" w:rsidRDefault="001520B1" w:rsidP="003216A6">
      <w:pPr>
        <w:pStyle w:val="ActHead9"/>
        <w:rPr>
          <w:i w:val="0"/>
        </w:rPr>
      </w:pPr>
      <w:bookmarkStart w:id="50" w:name="_Toc486251889"/>
      <w:r w:rsidRPr="003216A6">
        <w:t>Ozone Protection and Synthetic Greenhouse Gas (Manufacture Levy) Act 1995</w:t>
      </w:r>
      <w:bookmarkEnd w:id="50"/>
    </w:p>
    <w:p w:rsidR="001520B1" w:rsidRPr="003216A6" w:rsidRDefault="00B13916" w:rsidP="003216A6">
      <w:pPr>
        <w:pStyle w:val="ItemHead"/>
      </w:pPr>
      <w:r w:rsidRPr="003216A6">
        <w:t>109</w:t>
      </w:r>
      <w:r w:rsidR="001520B1" w:rsidRPr="003216A6">
        <w:t xml:space="preserve">  Section</w:t>
      </w:r>
      <w:r w:rsidR="003216A6" w:rsidRPr="003216A6">
        <w:t> </w:t>
      </w:r>
      <w:r w:rsidR="001520B1" w:rsidRPr="003216A6">
        <w:t xml:space="preserve">2A (definition of </w:t>
      </w:r>
      <w:r w:rsidR="001520B1" w:rsidRPr="003216A6">
        <w:rPr>
          <w:i/>
        </w:rPr>
        <w:t>medical equipment</w:t>
      </w:r>
      <w:r w:rsidR="001520B1" w:rsidRPr="003216A6">
        <w:t>)</w:t>
      </w:r>
    </w:p>
    <w:p w:rsidR="001520B1" w:rsidRPr="003216A6" w:rsidRDefault="001520B1" w:rsidP="003216A6">
      <w:pPr>
        <w:pStyle w:val="Item"/>
      </w:pPr>
      <w:r w:rsidRPr="003216A6">
        <w:t xml:space="preserve">Omit </w:t>
      </w:r>
      <w:r w:rsidR="00BF3C85" w:rsidRPr="003216A6">
        <w:t>“</w:t>
      </w:r>
      <w:r w:rsidRPr="003216A6">
        <w:t>a pharmaceutical product</w:t>
      </w:r>
      <w:r w:rsidR="00BF3C85" w:rsidRPr="003216A6">
        <w:t>”</w:t>
      </w:r>
      <w:r w:rsidRPr="003216A6">
        <w:t xml:space="preserve">, substitute </w:t>
      </w:r>
      <w:r w:rsidR="00BF3C85" w:rsidRPr="003216A6">
        <w:t>“</w:t>
      </w:r>
      <w:r w:rsidRPr="003216A6">
        <w:t>pharmaceutical equipment</w:t>
      </w:r>
      <w:r w:rsidR="00BF3C85" w:rsidRPr="003216A6">
        <w:t>”</w:t>
      </w:r>
      <w:r w:rsidR="002F6749" w:rsidRPr="003216A6">
        <w:t>.</w:t>
      </w:r>
    </w:p>
    <w:p w:rsidR="001520B1" w:rsidRPr="003216A6" w:rsidRDefault="00B13916" w:rsidP="003216A6">
      <w:pPr>
        <w:pStyle w:val="ItemHead"/>
      </w:pPr>
      <w:r w:rsidRPr="003216A6">
        <w:t>110</w:t>
      </w:r>
      <w:r w:rsidR="001520B1" w:rsidRPr="003216A6">
        <w:t xml:space="preserve">  Subparagraph 3A(7)(b)(iii)</w:t>
      </w:r>
    </w:p>
    <w:p w:rsidR="001520B1" w:rsidRPr="003216A6" w:rsidRDefault="001520B1" w:rsidP="003216A6">
      <w:pPr>
        <w:pStyle w:val="Item"/>
      </w:pPr>
      <w:r w:rsidRPr="003216A6">
        <w:t xml:space="preserve">Omit </w:t>
      </w:r>
      <w:r w:rsidR="00BF3C85" w:rsidRPr="003216A6">
        <w:t>“</w:t>
      </w:r>
      <w:r w:rsidRPr="003216A6">
        <w:t>a product, or in equipment,</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1520B1" w:rsidRPr="003216A6" w:rsidRDefault="00B13916" w:rsidP="003216A6">
      <w:pPr>
        <w:pStyle w:val="ItemHead"/>
      </w:pPr>
      <w:r w:rsidRPr="003216A6">
        <w:lastRenderedPageBreak/>
        <w:t>111</w:t>
      </w:r>
      <w:r w:rsidR="001520B1" w:rsidRPr="003216A6">
        <w:t xml:space="preserve">  Subparagraph 3A(7)(b)(iv)</w:t>
      </w:r>
    </w:p>
    <w:p w:rsidR="001520B1" w:rsidRPr="003216A6" w:rsidRDefault="001520B1" w:rsidP="003216A6">
      <w:pPr>
        <w:pStyle w:val="Item"/>
      </w:pPr>
      <w:r w:rsidRPr="003216A6">
        <w:t xml:space="preserve">Omit </w:t>
      </w:r>
      <w:r w:rsidR="00BF3C85" w:rsidRPr="003216A6">
        <w:t>“</w:t>
      </w:r>
      <w:r w:rsidRPr="003216A6">
        <w:t>a product, or of equipment,</w:t>
      </w:r>
      <w:r w:rsidR="00BF3C85" w:rsidRPr="003216A6">
        <w:t>”</w:t>
      </w:r>
      <w:r w:rsidRPr="003216A6">
        <w:t xml:space="preserve">, substitute </w:t>
      </w:r>
      <w:r w:rsidR="00BF3C85" w:rsidRPr="003216A6">
        <w:t>“</w:t>
      </w:r>
      <w:r w:rsidRPr="003216A6">
        <w:t>equipment</w:t>
      </w:r>
      <w:r w:rsidR="00BF3C85" w:rsidRPr="003216A6">
        <w:t>”</w:t>
      </w:r>
      <w:r w:rsidR="002F6749" w:rsidRPr="003216A6">
        <w:t>.</w:t>
      </w:r>
    </w:p>
    <w:p w:rsidR="009B5A79" w:rsidRPr="003216A6" w:rsidRDefault="009B5A79" w:rsidP="003216A6">
      <w:pPr>
        <w:pStyle w:val="ActHead7"/>
        <w:pageBreakBefore/>
      </w:pPr>
      <w:bookmarkStart w:id="51" w:name="_Toc486251890"/>
      <w:r w:rsidRPr="003216A6">
        <w:rPr>
          <w:rStyle w:val="CharAmPartNo"/>
        </w:rPr>
        <w:lastRenderedPageBreak/>
        <w:t>Part</w:t>
      </w:r>
      <w:r w:rsidR="003216A6" w:rsidRPr="003216A6">
        <w:rPr>
          <w:rStyle w:val="CharAmPartNo"/>
        </w:rPr>
        <w:t> </w:t>
      </w:r>
      <w:r w:rsidR="00F55B02" w:rsidRPr="003216A6">
        <w:rPr>
          <w:rStyle w:val="CharAmPartNo"/>
        </w:rPr>
        <w:t>3</w:t>
      </w:r>
      <w:r w:rsidRPr="003216A6">
        <w:t>—</w:t>
      </w:r>
      <w:r w:rsidRPr="003216A6">
        <w:rPr>
          <w:rStyle w:val="CharAmPartText"/>
        </w:rPr>
        <w:t>References to conventions</w:t>
      </w:r>
      <w:bookmarkEnd w:id="51"/>
    </w:p>
    <w:p w:rsidR="009B5A79" w:rsidRPr="003216A6" w:rsidRDefault="009B5A79" w:rsidP="003216A6">
      <w:pPr>
        <w:pStyle w:val="ActHead9"/>
        <w:rPr>
          <w:i w:val="0"/>
        </w:rPr>
      </w:pPr>
      <w:bookmarkStart w:id="52" w:name="_Toc486251891"/>
      <w:r w:rsidRPr="003216A6">
        <w:t>Ozone Protection and Synthetic Greenhouse Gas Management Act 1989</w:t>
      </w:r>
      <w:bookmarkEnd w:id="52"/>
    </w:p>
    <w:p w:rsidR="009B5A79" w:rsidRPr="003216A6" w:rsidRDefault="00B13916" w:rsidP="003216A6">
      <w:pPr>
        <w:pStyle w:val="ItemHead"/>
      </w:pPr>
      <w:r w:rsidRPr="003216A6">
        <w:t>112</w:t>
      </w:r>
      <w:r w:rsidR="009B5A79" w:rsidRPr="003216A6">
        <w:t xml:space="preserve">  Section</w:t>
      </w:r>
      <w:r w:rsidR="003216A6" w:rsidRPr="003216A6">
        <w:t> </w:t>
      </w:r>
      <w:r w:rsidR="009B5A79" w:rsidRPr="003216A6">
        <w:t xml:space="preserve">7 (definition of </w:t>
      </w:r>
      <w:r w:rsidR="009B5A79" w:rsidRPr="003216A6">
        <w:rPr>
          <w:i/>
        </w:rPr>
        <w:t>Framework Convention on Climate Change</w:t>
      </w:r>
      <w:r w:rsidR="009B5A79" w:rsidRPr="003216A6">
        <w:t>)</w:t>
      </w:r>
    </w:p>
    <w:p w:rsidR="009B5A79" w:rsidRPr="003216A6" w:rsidRDefault="009B5A79" w:rsidP="003216A6">
      <w:pPr>
        <w:pStyle w:val="Item"/>
      </w:pPr>
      <w:r w:rsidRPr="003216A6">
        <w:t>Repeal the definition, substitute:</w:t>
      </w:r>
    </w:p>
    <w:p w:rsidR="009B5A79" w:rsidRPr="003216A6" w:rsidRDefault="009B5A79" w:rsidP="003216A6">
      <w:pPr>
        <w:pStyle w:val="Definition"/>
      </w:pPr>
      <w:r w:rsidRPr="003216A6">
        <w:rPr>
          <w:b/>
          <w:i/>
        </w:rPr>
        <w:t>Framework Convention on Climate Change</w:t>
      </w:r>
      <w:r w:rsidRPr="003216A6">
        <w:t xml:space="preserve"> means the United Nations Framework Convention on Climate Change done at New York on 9</w:t>
      </w:r>
      <w:r w:rsidR="003216A6" w:rsidRPr="003216A6">
        <w:t> </w:t>
      </w:r>
      <w:r w:rsidRPr="003216A6">
        <w:t>May 1992, as in force for Australia from time to time</w:t>
      </w:r>
      <w:r w:rsidR="002F6749" w:rsidRPr="003216A6">
        <w:t>.</w:t>
      </w:r>
    </w:p>
    <w:p w:rsidR="009B5A79" w:rsidRPr="003216A6" w:rsidRDefault="009B5A79" w:rsidP="003216A6">
      <w:pPr>
        <w:pStyle w:val="notetext"/>
      </w:pPr>
      <w:r w:rsidRPr="003216A6">
        <w:t>Note:</w:t>
      </w:r>
      <w:r w:rsidRPr="003216A6">
        <w:tab/>
        <w:t>The Framework Convention, as originally in force for Australia, is in Australian Treaty Series 1994 No</w:t>
      </w:r>
      <w:r w:rsidR="002F6749" w:rsidRPr="003216A6">
        <w:t>.</w:t>
      </w:r>
      <w:r w:rsidR="003216A6" w:rsidRPr="003216A6">
        <w:t> </w:t>
      </w:r>
      <w:r w:rsidRPr="003216A6">
        <w:t>2 ([1994] ATS 2) and could in 2017 be viewed in the Australian Treaties Library on the AustLII website (http://www</w:t>
      </w:r>
      <w:r w:rsidR="002F6749" w:rsidRPr="003216A6">
        <w:t>.</w:t>
      </w:r>
      <w:r w:rsidRPr="003216A6">
        <w:t>austlii</w:t>
      </w:r>
      <w:r w:rsidR="002F6749" w:rsidRPr="003216A6">
        <w:t>.</w:t>
      </w:r>
      <w:r w:rsidRPr="003216A6">
        <w:t>edu</w:t>
      </w:r>
      <w:r w:rsidR="002F6749" w:rsidRPr="003216A6">
        <w:t>.</w:t>
      </w:r>
      <w:r w:rsidRPr="003216A6">
        <w:t>au)</w:t>
      </w:r>
      <w:r w:rsidR="002F6749" w:rsidRPr="003216A6">
        <w:t>.</w:t>
      </w:r>
    </w:p>
    <w:p w:rsidR="009B5A79" w:rsidRPr="003216A6" w:rsidRDefault="00B13916" w:rsidP="003216A6">
      <w:pPr>
        <w:pStyle w:val="ItemHead"/>
      </w:pPr>
      <w:r w:rsidRPr="003216A6">
        <w:t>113</w:t>
      </w:r>
      <w:r w:rsidR="009B5A79" w:rsidRPr="003216A6">
        <w:t xml:space="preserve">  Section</w:t>
      </w:r>
      <w:r w:rsidR="003216A6" w:rsidRPr="003216A6">
        <w:t> </w:t>
      </w:r>
      <w:r w:rsidR="009B5A79" w:rsidRPr="003216A6">
        <w:t xml:space="preserve">7 (definition of </w:t>
      </w:r>
      <w:r w:rsidR="009B5A79" w:rsidRPr="003216A6">
        <w:rPr>
          <w:i/>
        </w:rPr>
        <w:t>Kyoto Protocol</w:t>
      </w:r>
      <w:r w:rsidR="009B5A79" w:rsidRPr="003216A6">
        <w:t>)</w:t>
      </w:r>
    </w:p>
    <w:p w:rsidR="009B5A79" w:rsidRPr="003216A6" w:rsidRDefault="009B5A79" w:rsidP="003216A6">
      <w:pPr>
        <w:pStyle w:val="Item"/>
      </w:pPr>
      <w:r w:rsidRPr="003216A6">
        <w:t xml:space="preserve">Omit </w:t>
      </w:r>
      <w:r w:rsidR="00BF3C85" w:rsidRPr="003216A6">
        <w:t>“</w:t>
      </w:r>
      <w:r w:rsidRPr="003216A6">
        <w:t>amended and</w:t>
      </w:r>
      <w:r w:rsidR="00BF3C85" w:rsidRPr="003216A6">
        <w:t>”</w:t>
      </w:r>
      <w:r w:rsidR="002F6749" w:rsidRPr="003216A6">
        <w:t>.</w:t>
      </w:r>
    </w:p>
    <w:p w:rsidR="009B5A79" w:rsidRPr="003216A6" w:rsidRDefault="00B13916" w:rsidP="003216A6">
      <w:pPr>
        <w:pStyle w:val="ItemHead"/>
      </w:pPr>
      <w:r w:rsidRPr="003216A6">
        <w:t>114</w:t>
      </w:r>
      <w:r w:rsidR="009B5A79" w:rsidRPr="003216A6">
        <w:t xml:space="preserve">  Section</w:t>
      </w:r>
      <w:r w:rsidR="003216A6" w:rsidRPr="003216A6">
        <w:t> </w:t>
      </w:r>
      <w:r w:rsidR="009B5A79" w:rsidRPr="003216A6">
        <w:t xml:space="preserve">7 (note at the end of the definition of </w:t>
      </w:r>
      <w:r w:rsidR="009B5A79" w:rsidRPr="003216A6">
        <w:rPr>
          <w:i/>
        </w:rPr>
        <w:t>Kyoto Protocol</w:t>
      </w:r>
      <w:r w:rsidR="009B5A79" w:rsidRPr="003216A6">
        <w:t>)</w:t>
      </w:r>
    </w:p>
    <w:p w:rsidR="009B5A79" w:rsidRPr="003216A6" w:rsidRDefault="009B5A79" w:rsidP="003216A6">
      <w:pPr>
        <w:pStyle w:val="Item"/>
      </w:pPr>
      <w:r w:rsidRPr="003216A6">
        <w:t>Repeal the note, substitute:</w:t>
      </w:r>
    </w:p>
    <w:p w:rsidR="009B5A79" w:rsidRPr="003216A6" w:rsidRDefault="009B5A79" w:rsidP="003216A6">
      <w:pPr>
        <w:pStyle w:val="notetext"/>
      </w:pPr>
      <w:r w:rsidRPr="003216A6">
        <w:t>Note:</w:t>
      </w:r>
      <w:r w:rsidRPr="003216A6">
        <w:tab/>
        <w:t>The Kyoto Protocol, as originally in force for Australia, is in Australian Treaty Series 2008 No</w:t>
      </w:r>
      <w:r w:rsidR="002F6749" w:rsidRPr="003216A6">
        <w:t>.</w:t>
      </w:r>
      <w:r w:rsidR="003216A6" w:rsidRPr="003216A6">
        <w:t> </w:t>
      </w:r>
      <w:r w:rsidRPr="003216A6">
        <w:t>2 ([2008] ATS 2), and could in 2017 be viewed in the Australian Treaties Library on the AustLII website (www</w:t>
      </w:r>
      <w:r w:rsidR="002F6749" w:rsidRPr="003216A6">
        <w:t>.</w:t>
      </w:r>
      <w:r w:rsidRPr="003216A6">
        <w:t>austlii</w:t>
      </w:r>
      <w:r w:rsidR="002F6749" w:rsidRPr="003216A6">
        <w:t>.</w:t>
      </w:r>
      <w:r w:rsidRPr="003216A6">
        <w:t>edu</w:t>
      </w:r>
      <w:r w:rsidR="002F6749" w:rsidRPr="003216A6">
        <w:t>.</w:t>
      </w:r>
      <w:r w:rsidRPr="003216A6">
        <w:t>au)</w:t>
      </w:r>
      <w:r w:rsidR="002F6749" w:rsidRPr="003216A6">
        <w:t>.</w:t>
      </w:r>
    </w:p>
    <w:p w:rsidR="009B5A79" w:rsidRPr="003216A6" w:rsidRDefault="00B13916" w:rsidP="003216A6">
      <w:pPr>
        <w:pStyle w:val="ItemHead"/>
      </w:pPr>
      <w:r w:rsidRPr="003216A6">
        <w:t>115</w:t>
      </w:r>
      <w:r w:rsidR="009B5A79" w:rsidRPr="003216A6">
        <w:t xml:space="preserve">  Section</w:t>
      </w:r>
      <w:r w:rsidR="003216A6" w:rsidRPr="003216A6">
        <w:t> </w:t>
      </w:r>
      <w:r w:rsidR="009B5A79" w:rsidRPr="003216A6">
        <w:t xml:space="preserve">7 (definition of </w:t>
      </w:r>
      <w:r w:rsidR="009B5A79" w:rsidRPr="003216A6">
        <w:rPr>
          <w:i/>
        </w:rPr>
        <w:t>Montreal Protocol</w:t>
      </w:r>
      <w:r w:rsidR="009B5A79" w:rsidRPr="003216A6">
        <w:t>)</w:t>
      </w:r>
    </w:p>
    <w:p w:rsidR="009B5A79" w:rsidRPr="003216A6" w:rsidRDefault="009B5A79" w:rsidP="003216A6">
      <w:pPr>
        <w:pStyle w:val="Item"/>
      </w:pPr>
      <w:r w:rsidRPr="003216A6">
        <w:t>Repeal the definition, substitute:</w:t>
      </w:r>
    </w:p>
    <w:p w:rsidR="009B5A79" w:rsidRPr="003216A6" w:rsidRDefault="009B5A79" w:rsidP="003216A6">
      <w:pPr>
        <w:pStyle w:val="Definition"/>
      </w:pPr>
      <w:r w:rsidRPr="003216A6">
        <w:rPr>
          <w:b/>
          <w:i/>
        </w:rPr>
        <w:t>Montreal Protocol</w:t>
      </w:r>
      <w:r w:rsidRPr="003216A6">
        <w:t xml:space="preserve"> means the Montreal Protocol on Substances that Deplete the Ozone Layer done at Montreal on 16</w:t>
      </w:r>
      <w:r w:rsidR="003216A6" w:rsidRPr="003216A6">
        <w:t> </w:t>
      </w:r>
      <w:r w:rsidRPr="003216A6">
        <w:t>September 1987, as in force for Australia from time to time</w:t>
      </w:r>
      <w:r w:rsidR="002F6749" w:rsidRPr="003216A6">
        <w:t>.</w:t>
      </w:r>
    </w:p>
    <w:p w:rsidR="009B5A79" w:rsidRPr="003216A6" w:rsidRDefault="009B5A79" w:rsidP="003216A6">
      <w:pPr>
        <w:pStyle w:val="notetext"/>
      </w:pPr>
      <w:r w:rsidRPr="003216A6">
        <w:t>Note:</w:t>
      </w:r>
      <w:r w:rsidRPr="003216A6">
        <w:tab/>
        <w:t>The Montreal Protocol, as originally in force for Australia, is in Australian Treaty Series 1989 No</w:t>
      </w:r>
      <w:r w:rsidR="002F6749" w:rsidRPr="003216A6">
        <w:t>.</w:t>
      </w:r>
      <w:r w:rsidR="003216A6" w:rsidRPr="003216A6">
        <w:t> </w:t>
      </w:r>
      <w:r w:rsidRPr="003216A6">
        <w:t>18 ([1989] ATS 18) and could in 2017 be viewed in the Australian Treaties Library on the AustLII website (http://www</w:t>
      </w:r>
      <w:r w:rsidR="002F6749" w:rsidRPr="003216A6">
        <w:t>.</w:t>
      </w:r>
      <w:r w:rsidRPr="003216A6">
        <w:t>austlii</w:t>
      </w:r>
      <w:r w:rsidR="002F6749" w:rsidRPr="003216A6">
        <w:t>.</w:t>
      </w:r>
      <w:r w:rsidRPr="003216A6">
        <w:t>edu</w:t>
      </w:r>
      <w:r w:rsidR="002F6749" w:rsidRPr="003216A6">
        <w:t>.</w:t>
      </w:r>
      <w:r w:rsidRPr="003216A6">
        <w:t>au)</w:t>
      </w:r>
      <w:r w:rsidR="002F6749" w:rsidRPr="003216A6">
        <w:t>.</w:t>
      </w:r>
    </w:p>
    <w:p w:rsidR="009B5A79" w:rsidRPr="003216A6" w:rsidRDefault="00B13916" w:rsidP="003216A6">
      <w:pPr>
        <w:pStyle w:val="ItemHead"/>
      </w:pPr>
      <w:r w:rsidRPr="003216A6">
        <w:lastRenderedPageBreak/>
        <w:t>116</w:t>
      </w:r>
      <w:r w:rsidR="009B5A79" w:rsidRPr="003216A6">
        <w:t xml:space="preserve">  Section</w:t>
      </w:r>
      <w:r w:rsidR="003216A6" w:rsidRPr="003216A6">
        <w:t> </w:t>
      </w:r>
      <w:r w:rsidR="009B5A79" w:rsidRPr="003216A6">
        <w:t xml:space="preserve">7 (definition of </w:t>
      </w:r>
      <w:r w:rsidR="009B5A79" w:rsidRPr="003216A6">
        <w:rPr>
          <w:i/>
        </w:rPr>
        <w:t>Vienna Convention</w:t>
      </w:r>
      <w:r w:rsidR="009B5A79" w:rsidRPr="003216A6">
        <w:t>)</w:t>
      </w:r>
    </w:p>
    <w:p w:rsidR="009B5A79" w:rsidRPr="003216A6" w:rsidRDefault="009B5A79" w:rsidP="003216A6">
      <w:pPr>
        <w:pStyle w:val="Item"/>
      </w:pPr>
      <w:r w:rsidRPr="003216A6">
        <w:t>Repeal the definition, substitute:</w:t>
      </w:r>
    </w:p>
    <w:p w:rsidR="009B5A79" w:rsidRPr="003216A6" w:rsidRDefault="009B5A79" w:rsidP="003216A6">
      <w:pPr>
        <w:pStyle w:val="Definition"/>
      </w:pPr>
      <w:r w:rsidRPr="003216A6">
        <w:rPr>
          <w:b/>
          <w:i/>
        </w:rPr>
        <w:t>Vienna Convention</w:t>
      </w:r>
      <w:r w:rsidRPr="003216A6">
        <w:t xml:space="preserve"> means the Vienna Convention for the Protection of the Ozone Layer done at Vienna on 22</w:t>
      </w:r>
      <w:r w:rsidR="003216A6" w:rsidRPr="003216A6">
        <w:t> </w:t>
      </w:r>
      <w:r w:rsidRPr="003216A6">
        <w:t>March 1985, as in force for Australia from time to time</w:t>
      </w:r>
      <w:r w:rsidR="002F6749" w:rsidRPr="003216A6">
        <w:t>.</w:t>
      </w:r>
    </w:p>
    <w:p w:rsidR="009B5A79" w:rsidRPr="003216A6" w:rsidRDefault="009B5A79" w:rsidP="003216A6">
      <w:pPr>
        <w:pStyle w:val="notetext"/>
      </w:pPr>
      <w:r w:rsidRPr="003216A6">
        <w:t>Note:</w:t>
      </w:r>
      <w:r w:rsidRPr="003216A6">
        <w:tab/>
        <w:t>The Vienna Convention, as originally in force for Australia, is in Australian Treaty Series 1988 No</w:t>
      </w:r>
      <w:r w:rsidR="002F6749" w:rsidRPr="003216A6">
        <w:t>.</w:t>
      </w:r>
      <w:r w:rsidR="003216A6" w:rsidRPr="003216A6">
        <w:t> </w:t>
      </w:r>
      <w:r w:rsidRPr="003216A6">
        <w:t>26 ([1988] ATS 26) and could in 2017 be viewed in the Australian Treaties Library on the AustLII website (http://www</w:t>
      </w:r>
      <w:r w:rsidR="002F6749" w:rsidRPr="003216A6">
        <w:t>.</w:t>
      </w:r>
      <w:r w:rsidRPr="003216A6">
        <w:t>austlii</w:t>
      </w:r>
      <w:r w:rsidR="002F6749" w:rsidRPr="003216A6">
        <w:t>.</w:t>
      </w:r>
      <w:r w:rsidRPr="003216A6">
        <w:t>edu</w:t>
      </w:r>
      <w:r w:rsidR="002F6749" w:rsidRPr="003216A6">
        <w:t>.</w:t>
      </w:r>
      <w:r w:rsidRPr="003216A6">
        <w:t>au)</w:t>
      </w:r>
      <w:r w:rsidR="002F6749" w:rsidRPr="003216A6">
        <w:t>.</w:t>
      </w:r>
    </w:p>
    <w:p w:rsidR="009B5A79" w:rsidRPr="003216A6" w:rsidRDefault="00B13916" w:rsidP="003216A6">
      <w:pPr>
        <w:pStyle w:val="ItemHead"/>
      </w:pPr>
      <w:r w:rsidRPr="003216A6">
        <w:t>117</w:t>
      </w:r>
      <w:r w:rsidR="009B5A79" w:rsidRPr="003216A6">
        <w:t xml:space="preserve">  Schedules</w:t>
      </w:r>
      <w:r w:rsidR="003216A6" w:rsidRPr="003216A6">
        <w:t> </w:t>
      </w:r>
      <w:r w:rsidR="009B5A79" w:rsidRPr="003216A6">
        <w:t>2 to 3E</w:t>
      </w:r>
    </w:p>
    <w:p w:rsidR="009B5A79" w:rsidRPr="003216A6" w:rsidRDefault="009B5A79" w:rsidP="003216A6">
      <w:pPr>
        <w:pStyle w:val="Item"/>
      </w:pPr>
      <w:r w:rsidRPr="003216A6">
        <w:t>Repeal the Schedules</w:t>
      </w:r>
      <w:r w:rsidR="002F6749" w:rsidRPr="003216A6">
        <w:t>.</w:t>
      </w:r>
    </w:p>
    <w:p w:rsidR="009B5A79" w:rsidRPr="003216A6" w:rsidRDefault="009B5A79" w:rsidP="003216A6">
      <w:pPr>
        <w:pStyle w:val="ActHead7"/>
        <w:pageBreakBefore/>
      </w:pPr>
      <w:bookmarkStart w:id="53" w:name="_Toc486251892"/>
      <w:r w:rsidRPr="003216A6">
        <w:rPr>
          <w:rStyle w:val="CharAmPartNo"/>
        </w:rPr>
        <w:lastRenderedPageBreak/>
        <w:t>Part</w:t>
      </w:r>
      <w:r w:rsidR="003216A6" w:rsidRPr="003216A6">
        <w:rPr>
          <w:rStyle w:val="CharAmPartNo"/>
        </w:rPr>
        <w:t> </w:t>
      </w:r>
      <w:r w:rsidR="00F55B02" w:rsidRPr="003216A6">
        <w:rPr>
          <w:rStyle w:val="CharAmPartNo"/>
        </w:rPr>
        <w:t>4</w:t>
      </w:r>
      <w:r w:rsidRPr="003216A6">
        <w:t>—</w:t>
      </w:r>
      <w:r w:rsidRPr="003216A6">
        <w:rPr>
          <w:rStyle w:val="CharAmPartText"/>
        </w:rPr>
        <w:t>Delegations</w:t>
      </w:r>
      <w:bookmarkEnd w:id="53"/>
    </w:p>
    <w:p w:rsidR="009B5A79" w:rsidRPr="003216A6" w:rsidRDefault="009B5A79" w:rsidP="003216A6">
      <w:pPr>
        <w:pStyle w:val="ActHead9"/>
        <w:rPr>
          <w:i w:val="0"/>
        </w:rPr>
      </w:pPr>
      <w:bookmarkStart w:id="54" w:name="_Toc486251893"/>
      <w:r w:rsidRPr="003216A6">
        <w:t>Ozone Protection and Synthetic Greenhouse Gas Management Act 1989</w:t>
      </w:r>
      <w:bookmarkEnd w:id="54"/>
    </w:p>
    <w:p w:rsidR="009B5A79" w:rsidRPr="003216A6" w:rsidRDefault="00B13916" w:rsidP="003216A6">
      <w:pPr>
        <w:pStyle w:val="ItemHead"/>
      </w:pPr>
      <w:r w:rsidRPr="003216A6">
        <w:t>118</w:t>
      </w:r>
      <w:r w:rsidR="009B5A79" w:rsidRPr="003216A6">
        <w:t xml:space="preserve">  Subsection</w:t>
      </w:r>
      <w:r w:rsidR="003216A6" w:rsidRPr="003216A6">
        <w:t> </w:t>
      </w:r>
      <w:r w:rsidR="009B5A79" w:rsidRPr="003216A6">
        <w:t>67A(1)</w:t>
      </w:r>
    </w:p>
    <w:p w:rsidR="009B5A79" w:rsidRPr="003216A6" w:rsidRDefault="009B5A79" w:rsidP="003216A6">
      <w:pPr>
        <w:pStyle w:val="Item"/>
      </w:pPr>
      <w:r w:rsidRPr="003216A6">
        <w:t>Repeal the subsection, substitute:</w:t>
      </w:r>
    </w:p>
    <w:p w:rsidR="009B5A79" w:rsidRPr="003216A6" w:rsidRDefault="009B5A79" w:rsidP="003216A6">
      <w:pPr>
        <w:pStyle w:val="subsection"/>
      </w:pPr>
      <w:r w:rsidRPr="003216A6">
        <w:tab/>
        <w:t>(1)</w:t>
      </w:r>
      <w:r w:rsidRPr="003216A6">
        <w:tab/>
        <w:t>The Minister may, by writing, delegate all or any of his or her powers and functions under this Act or the regulations to:</w:t>
      </w:r>
    </w:p>
    <w:p w:rsidR="009B5A79" w:rsidRPr="003216A6" w:rsidRDefault="009B5A79" w:rsidP="003216A6">
      <w:pPr>
        <w:pStyle w:val="paragraph"/>
      </w:pPr>
      <w:r w:rsidRPr="003216A6">
        <w:tab/>
        <w:t>(a)</w:t>
      </w:r>
      <w:r w:rsidRPr="003216A6">
        <w:tab/>
        <w:t>an SES employee or acting SES employee in the Department; or</w:t>
      </w:r>
    </w:p>
    <w:p w:rsidR="009B5A79" w:rsidRPr="003216A6" w:rsidRDefault="009B5A79" w:rsidP="003216A6">
      <w:pPr>
        <w:pStyle w:val="paragraph"/>
      </w:pPr>
      <w:r w:rsidRPr="003216A6">
        <w:tab/>
        <w:t>(b)</w:t>
      </w:r>
      <w:r w:rsidRPr="003216A6">
        <w:tab/>
        <w:t>an APS employee who holds, or is acting in, an Executive Level 2, or equivalent, position in the Department</w:t>
      </w:r>
      <w:r w:rsidR="002F6749" w:rsidRPr="003216A6">
        <w:t>.</w:t>
      </w:r>
    </w:p>
    <w:p w:rsidR="009B5A79" w:rsidRPr="003216A6" w:rsidRDefault="00B13916" w:rsidP="003216A6">
      <w:pPr>
        <w:pStyle w:val="ItemHead"/>
      </w:pPr>
      <w:r w:rsidRPr="003216A6">
        <w:t>119</w:t>
      </w:r>
      <w:r w:rsidR="009B5A79" w:rsidRPr="003216A6">
        <w:t xml:space="preserve">  Saving—delegations</w:t>
      </w:r>
    </w:p>
    <w:p w:rsidR="009B5A79" w:rsidRPr="003216A6" w:rsidRDefault="009B5A79" w:rsidP="003216A6">
      <w:pPr>
        <w:pStyle w:val="Item"/>
      </w:pPr>
      <w:r w:rsidRPr="003216A6">
        <w:t>A delegation:</w:t>
      </w:r>
    </w:p>
    <w:p w:rsidR="009B5A79" w:rsidRPr="003216A6" w:rsidRDefault="009B5A79" w:rsidP="003216A6">
      <w:pPr>
        <w:pStyle w:val="paragraph"/>
      </w:pPr>
      <w:r w:rsidRPr="003216A6">
        <w:tab/>
        <w:t>(a)</w:t>
      </w:r>
      <w:r w:rsidRPr="003216A6">
        <w:tab/>
        <w:t>made under subsection</w:t>
      </w:r>
      <w:r w:rsidR="003216A6" w:rsidRPr="003216A6">
        <w:t> </w:t>
      </w:r>
      <w:r w:rsidRPr="003216A6">
        <w:t xml:space="preserve">67A(1) of the </w:t>
      </w:r>
      <w:r w:rsidRPr="003216A6">
        <w:rPr>
          <w:i/>
        </w:rPr>
        <w:t>Ozone Protection and Synthetic Greenhouse Gas Management Act 1989</w:t>
      </w:r>
      <w:r w:rsidRPr="003216A6">
        <w:t>; and</w:t>
      </w:r>
    </w:p>
    <w:p w:rsidR="009B5A79" w:rsidRPr="003216A6" w:rsidRDefault="009B5A79" w:rsidP="003216A6">
      <w:pPr>
        <w:pStyle w:val="paragraph"/>
      </w:pPr>
      <w:r w:rsidRPr="003216A6">
        <w:tab/>
        <w:t>(b)</w:t>
      </w:r>
      <w:r w:rsidRPr="003216A6">
        <w:tab/>
        <w:t>in force immediately before the commencement of this item;</w:t>
      </w:r>
    </w:p>
    <w:p w:rsidR="009B5A79" w:rsidRPr="003216A6" w:rsidRDefault="009B5A79" w:rsidP="003216A6">
      <w:pPr>
        <w:pStyle w:val="Item"/>
      </w:pPr>
      <w:r w:rsidRPr="003216A6">
        <w:t>has effect, from that commencement, as if it had been made under that subsection as amended by this Part</w:t>
      </w:r>
      <w:r w:rsidR="002F6749" w:rsidRPr="003216A6">
        <w:t>.</w:t>
      </w:r>
    </w:p>
    <w:p w:rsidR="009B5A79" w:rsidRPr="003216A6" w:rsidRDefault="009B5A79" w:rsidP="003216A6">
      <w:pPr>
        <w:pStyle w:val="ActHead6"/>
        <w:pageBreakBefore/>
      </w:pPr>
      <w:bookmarkStart w:id="55" w:name="_Toc486251894"/>
      <w:r w:rsidRPr="003216A6">
        <w:rPr>
          <w:rStyle w:val="CharAmSchNo"/>
        </w:rPr>
        <w:lastRenderedPageBreak/>
        <w:t>Schedule</w:t>
      </w:r>
      <w:r w:rsidR="003216A6" w:rsidRPr="003216A6">
        <w:rPr>
          <w:rStyle w:val="CharAmSchNo"/>
        </w:rPr>
        <w:t> </w:t>
      </w:r>
      <w:r w:rsidRPr="003216A6">
        <w:rPr>
          <w:rStyle w:val="CharAmSchNo"/>
        </w:rPr>
        <w:t>2</w:t>
      </w:r>
      <w:r w:rsidRPr="003216A6">
        <w:t>—</w:t>
      </w:r>
      <w:r w:rsidRPr="003216A6">
        <w:rPr>
          <w:rStyle w:val="CharAmSchText"/>
        </w:rPr>
        <w:t>Amendments commencing 1</w:t>
      </w:r>
      <w:r w:rsidR="003216A6" w:rsidRPr="003216A6">
        <w:rPr>
          <w:rStyle w:val="CharAmSchText"/>
        </w:rPr>
        <w:t> </w:t>
      </w:r>
      <w:r w:rsidRPr="003216A6">
        <w:rPr>
          <w:rStyle w:val="CharAmSchText"/>
        </w:rPr>
        <w:t>January 2018</w:t>
      </w:r>
      <w:bookmarkEnd w:id="55"/>
    </w:p>
    <w:p w:rsidR="009B5A79" w:rsidRPr="003216A6" w:rsidRDefault="009B5A79" w:rsidP="003216A6">
      <w:pPr>
        <w:pStyle w:val="ActHead7"/>
      </w:pPr>
      <w:bookmarkStart w:id="56" w:name="_Toc486251895"/>
      <w:r w:rsidRPr="003216A6">
        <w:rPr>
          <w:rStyle w:val="CharAmPartNo"/>
        </w:rPr>
        <w:t>Part</w:t>
      </w:r>
      <w:r w:rsidR="003216A6" w:rsidRPr="003216A6">
        <w:rPr>
          <w:rStyle w:val="CharAmPartNo"/>
        </w:rPr>
        <w:t> </w:t>
      </w:r>
      <w:r w:rsidRPr="003216A6">
        <w:rPr>
          <w:rStyle w:val="CharAmPartNo"/>
        </w:rPr>
        <w:t>1</w:t>
      </w:r>
      <w:r w:rsidRPr="003216A6">
        <w:t>—</w:t>
      </w:r>
      <w:r w:rsidRPr="003216A6">
        <w:rPr>
          <w:rStyle w:val="CharAmPartText"/>
        </w:rPr>
        <w:t>Licences</w:t>
      </w:r>
      <w:bookmarkEnd w:id="56"/>
    </w:p>
    <w:p w:rsidR="009B5A79" w:rsidRPr="003216A6" w:rsidRDefault="009B5A79" w:rsidP="003216A6">
      <w:pPr>
        <w:pStyle w:val="ActHead8"/>
      </w:pPr>
      <w:bookmarkStart w:id="57" w:name="_Toc486251896"/>
      <w:r w:rsidRPr="003216A6">
        <w:t>Division</w:t>
      </w:r>
      <w:r w:rsidR="003216A6" w:rsidRPr="003216A6">
        <w:t> </w:t>
      </w:r>
      <w:r w:rsidRPr="003216A6">
        <w:t>1—Renewing licences</w:t>
      </w:r>
      <w:bookmarkEnd w:id="57"/>
    </w:p>
    <w:p w:rsidR="009B5A79" w:rsidRPr="003216A6" w:rsidRDefault="009B5A79" w:rsidP="003216A6">
      <w:pPr>
        <w:pStyle w:val="ActHead9"/>
        <w:rPr>
          <w:i w:val="0"/>
        </w:rPr>
      </w:pPr>
      <w:bookmarkStart w:id="58" w:name="_Toc486251897"/>
      <w:r w:rsidRPr="003216A6">
        <w:t>Ozone Protection and Synthetic Greenhouse Gas Management Act 1989</w:t>
      </w:r>
      <w:bookmarkEnd w:id="58"/>
    </w:p>
    <w:p w:rsidR="009B5A79" w:rsidRPr="003216A6" w:rsidRDefault="00B13916" w:rsidP="003216A6">
      <w:pPr>
        <w:pStyle w:val="ItemHead"/>
      </w:pPr>
      <w:r w:rsidRPr="003216A6">
        <w:t>1</w:t>
      </w:r>
      <w:r w:rsidR="009B5A79" w:rsidRPr="003216A6">
        <w:t xml:space="preserve">  Before section</w:t>
      </w:r>
      <w:r w:rsidR="003216A6" w:rsidRPr="003216A6">
        <w:t> </w:t>
      </w:r>
      <w:r w:rsidR="009B5A79" w:rsidRPr="003216A6">
        <w:t>12B</w:t>
      </w:r>
    </w:p>
    <w:p w:rsidR="009B5A79" w:rsidRPr="003216A6" w:rsidRDefault="009B5A79" w:rsidP="003216A6">
      <w:pPr>
        <w:pStyle w:val="Item"/>
      </w:pPr>
      <w:r w:rsidRPr="003216A6">
        <w:t>Insert:</w:t>
      </w:r>
    </w:p>
    <w:p w:rsidR="009B5A79" w:rsidRPr="003216A6" w:rsidRDefault="009B5A79" w:rsidP="003216A6">
      <w:pPr>
        <w:pStyle w:val="ActHead3"/>
      </w:pPr>
      <w:bookmarkStart w:id="59" w:name="_Toc486251898"/>
      <w:r w:rsidRPr="003216A6">
        <w:rPr>
          <w:rStyle w:val="CharDivNo"/>
        </w:rPr>
        <w:t>Division</w:t>
      </w:r>
      <w:r w:rsidR="003216A6" w:rsidRPr="003216A6">
        <w:rPr>
          <w:rStyle w:val="CharDivNo"/>
        </w:rPr>
        <w:t> </w:t>
      </w:r>
      <w:r w:rsidRPr="003216A6">
        <w:rPr>
          <w:rStyle w:val="CharDivNo"/>
        </w:rPr>
        <w:t>1</w:t>
      </w:r>
      <w:r w:rsidRPr="003216A6">
        <w:t>—</w:t>
      </w:r>
      <w:r w:rsidRPr="003216A6">
        <w:rPr>
          <w:rStyle w:val="CharDivText"/>
        </w:rPr>
        <w:t>Scope of Part</w:t>
      </w:r>
      <w:bookmarkEnd w:id="59"/>
    </w:p>
    <w:p w:rsidR="009B5A79" w:rsidRPr="003216A6" w:rsidRDefault="00B13916" w:rsidP="003216A6">
      <w:pPr>
        <w:pStyle w:val="ItemHead"/>
      </w:pPr>
      <w:r w:rsidRPr="003216A6">
        <w:t>2</w:t>
      </w:r>
      <w:r w:rsidR="009B5A79" w:rsidRPr="003216A6">
        <w:t xml:space="preserve">  Before section</w:t>
      </w:r>
      <w:r w:rsidR="003216A6" w:rsidRPr="003216A6">
        <w:t> </w:t>
      </w:r>
      <w:r w:rsidR="009B5A79" w:rsidRPr="003216A6">
        <w:t>13</w:t>
      </w:r>
    </w:p>
    <w:p w:rsidR="009B5A79" w:rsidRPr="003216A6" w:rsidRDefault="009B5A79" w:rsidP="003216A6">
      <w:pPr>
        <w:pStyle w:val="Item"/>
      </w:pPr>
      <w:r w:rsidRPr="003216A6">
        <w:t>Insert:</w:t>
      </w:r>
    </w:p>
    <w:p w:rsidR="009B5A79" w:rsidRPr="003216A6" w:rsidRDefault="009B5A79" w:rsidP="003216A6">
      <w:pPr>
        <w:pStyle w:val="ActHead3"/>
      </w:pPr>
      <w:bookmarkStart w:id="60" w:name="_Toc486251899"/>
      <w:r w:rsidRPr="003216A6">
        <w:rPr>
          <w:rStyle w:val="CharDivNo"/>
        </w:rPr>
        <w:t>Division</w:t>
      </w:r>
      <w:r w:rsidR="003216A6" w:rsidRPr="003216A6">
        <w:rPr>
          <w:rStyle w:val="CharDivNo"/>
        </w:rPr>
        <w:t> </w:t>
      </w:r>
      <w:r w:rsidRPr="003216A6">
        <w:rPr>
          <w:rStyle w:val="CharDivNo"/>
        </w:rPr>
        <w:t>2</w:t>
      </w:r>
      <w:r w:rsidRPr="003216A6">
        <w:t>—</w:t>
      </w:r>
      <w:r w:rsidRPr="003216A6">
        <w:rPr>
          <w:rStyle w:val="CharDivText"/>
        </w:rPr>
        <w:t>Requirement to have licence</w:t>
      </w:r>
      <w:bookmarkEnd w:id="60"/>
    </w:p>
    <w:p w:rsidR="009B5A79" w:rsidRPr="003216A6" w:rsidRDefault="00B13916" w:rsidP="003216A6">
      <w:pPr>
        <w:pStyle w:val="ItemHead"/>
      </w:pPr>
      <w:r w:rsidRPr="003216A6">
        <w:t>3</w:t>
      </w:r>
      <w:r w:rsidR="009B5A79" w:rsidRPr="003216A6">
        <w:t xml:space="preserve">  Subsection</w:t>
      </w:r>
      <w:r w:rsidR="003216A6" w:rsidRPr="003216A6">
        <w:t> </w:t>
      </w:r>
      <w:r w:rsidR="009B5A79" w:rsidRPr="003216A6">
        <w:t>13A(1)</w:t>
      </w:r>
    </w:p>
    <w:p w:rsidR="009B5A79" w:rsidRPr="003216A6" w:rsidRDefault="009B5A79" w:rsidP="003216A6">
      <w:pPr>
        <w:pStyle w:val="Item"/>
      </w:pPr>
      <w:r w:rsidRPr="003216A6">
        <w:t>Repeal the subsection</w:t>
      </w:r>
      <w:r w:rsidR="002F6749" w:rsidRPr="003216A6">
        <w:t>.</w:t>
      </w:r>
    </w:p>
    <w:p w:rsidR="009B5A79" w:rsidRPr="003216A6" w:rsidRDefault="00B13916" w:rsidP="003216A6">
      <w:pPr>
        <w:pStyle w:val="ItemHead"/>
      </w:pPr>
      <w:r w:rsidRPr="003216A6">
        <w:t>4</w:t>
      </w:r>
      <w:r w:rsidR="009B5A79" w:rsidRPr="003216A6">
        <w:t xml:space="preserve">  Before section</w:t>
      </w:r>
      <w:r w:rsidR="003216A6" w:rsidRPr="003216A6">
        <w:t> </w:t>
      </w:r>
      <w:r w:rsidR="009B5A79" w:rsidRPr="003216A6">
        <w:t>14</w:t>
      </w:r>
    </w:p>
    <w:p w:rsidR="009B5A79" w:rsidRPr="003216A6" w:rsidRDefault="009B5A79" w:rsidP="003216A6">
      <w:pPr>
        <w:pStyle w:val="Item"/>
      </w:pPr>
      <w:r w:rsidRPr="003216A6">
        <w:t>Insert:</w:t>
      </w:r>
    </w:p>
    <w:p w:rsidR="009B5A79" w:rsidRPr="003216A6" w:rsidRDefault="009B5A79" w:rsidP="003216A6">
      <w:pPr>
        <w:pStyle w:val="ActHead3"/>
      </w:pPr>
      <w:bookmarkStart w:id="61" w:name="_Toc486251900"/>
      <w:r w:rsidRPr="003216A6">
        <w:rPr>
          <w:rStyle w:val="CharDivNo"/>
        </w:rPr>
        <w:t>Division</w:t>
      </w:r>
      <w:r w:rsidR="003216A6" w:rsidRPr="003216A6">
        <w:rPr>
          <w:rStyle w:val="CharDivNo"/>
        </w:rPr>
        <w:t> </w:t>
      </w:r>
      <w:r w:rsidRPr="003216A6">
        <w:rPr>
          <w:rStyle w:val="CharDivNo"/>
        </w:rPr>
        <w:t>3</w:t>
      </w:r>
      <w:r w:rsidRPr="003216A6">
        <w:t>—</w:t>
      </w:r>
      <w:r w:rsidRPr="003216A6">
        <w:rPr>
          <w:rStyle w:val="CharDivText"/>
        </w:rPr>
        <w:t>Grant of licence</w:t>
      </w:r>
      <w:bookmarkEnd w:id="61"/>
    </w:p>
    <w:p w:rsidR="009B5A79" w:rsidRPr="003216A6" w:rsidRDefault="00B13916" w:rsidP="003216A6">
      <w:pPr>
        <w:pStyle w:val="ItemHead"/>
      </w:pPr>
      <w:r w:rsidRPr="003216A6">
        <w:t>5</w:t>
      </w:r>
      <w:r w:rsidR="009B5A79" w:rsidRPr="003216A6">
        <w:t xml:space="preserve">  </w:t>
      </w:r>
      <w:r w:rsidR="005A759A" w:rsidRPr="003216A6">
        <w:t>S</w:t>
      </w:r>
      <w:r w:rsidR="009B5A79" w:rsidRPr="003216A6">
        <w:t>ection</w:t>
      </w:r>
      <w:r w:rsidR="003216A6" w:rsidRPr="003216A6">
        <w:t> </w:t>
      </w:r>
      <w:r w:rsidR="009B5A79" w:rsidRPr="003216A6">
        <w:t>14</w:t>
      </w:r>
      <w:r w:rsidR="005A759A" w:rsidRPr="003216A6">
        <w:t xml:space="preserve"> (after the heading)</w:t>
      </w:r>
    </w:p>
    <w:p w:rsidR="009B5A79" w:rsidRPr="003216A6" w:rsidRDefault="009B5A79" w:rsidP="003216A6">
      <w:pPr>
        <w:pStyle w:val="Item"/>
      </w:pPr>
      <w:r w:rsidRPr="003216A6">
        <w:t>Insert:</w:t>
      </w:r>
    </w:p>
    <w:p w:rsidR="009B5A79" w:rsidRPr="003216A6" w:rsidRDefault="009B5A79" w:rsidP="003216A6">
      <w:pPr>
        <w:pStyle w:val="subsection"/>
      </w:pPr>
      <w:r w:rsidRPr="003216A6">
        <w:tab/>
        <w:t>(</w:t>
      </w:r>
      <w:r w:rsidR="003E1C82" w:rsidRPr="003216A6">
        <w:t>1</w:t>
      </w:r>
      <w:r w:rsidRPr="003216A6">
        <w:t>)</w:t>
      </w:r>
      <w:r w:rsidRPr="003216A6">
        <w:tab/>
        <w:t>A person may apply to the Minister for all or any of the following licences:</w:t>
      </w:r>
    </w:p>
    <w:p w:rsidR="009B5A79" w:rsidRPr="003216A6" w:rsidRDefault="009B5A79" w:rsidP="003216A6">
      <w:pPr>
        <w:pStyle w:val="paragraph"/>
      </w:pPr>
      <w:r w:rsidRPr="003216A6">
        <w:tab/>
        <w:t>(a)</w:t>
      </w:r>
      <w:r w:rsidRPr="003216A6">
        <w:tab/>
        <w:t>a controlled substances licence;</w:t>
      </w:r>
    </w:p>
    <w:p w:rsidR="009B5A79" w:rsidRPr="003216A6" w:rsidRDefault="009B5A79" w:rsidP="003216A6">
      <w:pPr>
        <w:pStyle w:val="paragraph"/>
      </w:pPr>
      <w:r w:rsidRPr="003216A6">
        <w:tab/>
        <w:t>(b)</w:t>
      </w:r>
      <w:r w:rsidRPr="003216A6">
        <w:tab/>
        <w:t>an essential uses licence;</w:t>
      </w:r>
    </w:p>
    <w:p w:rsidR="009B5A79" w:rsidRPr="003216A6" w:rsidRDefault="009B5A79" w:rsidP="003216A6">
      <w:pPr>
        <w:pStyle w:val="paragraph"/>
      </w:pPr>
      <w:r w:rsidRPr="003216A6">
        <w:tab/>
        <w:t>(c)</w:t>
      </w:r>
      <w:r w:rsidRPr="003216A6">
        <w:tab/>
        <w:t>a used substances licence;</w:t>
      </w:r>
    </w:p>
    <w:p w:rsidR="009B5A79" w:rsidRPr="003216A6" w:rsidRDefault="009B5A79" w:rsidP="003216A6">
      <w:pPr>
        <w:pStyle w:val="paragraph"/>
      </w:pPr>
      <w:r w:rsidRPr="003216A6">
        <w:lastRenderedPageBreak/>
        <w:tab/>
        <w:t>(d)</w:t>
      </w:r>
      <w:r w:rsidRPr="003216A6">
        <w:tab/>
        <w:t>an equipment licence</w:t>
      </w:r>
      <w:r w:rsidR="002F6749" w:rsidRPr="003216A6">
        <w:t>.</w:t>
      </w:r>
    </w:p>
    <w:p w:rsidR="00296A0C" w:rsidRPr="003216A6" w:rsidRDefault="00B13916" w:rsidP="003216A6">
      <w:pPr>
        <w:pStyle w:val="ItemHead"/>
      </w:pPr>
      <w:r w:rsidRPr="003216A6">
        <w:t>6</w:t>
      </w:r>
      <w:r w:rsidR="00296A0C" w:rsidRPr="003216A6">
        <w:t xml:space="preserve">  Section</w:t>
      </w:r>
      <w:r w:rsidR="003216A6" w:rsidRPr="003216A6">
        <w:t> </w:t>
      </w:r>
      <w:r w:rsidR="00296A0C" w:rsidRPr="003216A6">
        <w:t>14</w:t>
      </w:r>
    </w:p>
    <w:p w:rsidR="00296A0C" w:rsidRPr="003216A6" w:rsidRDefault="00296A0C" w:rsidP="003216A6">
      <w:pPr>
        <w:pStyle w:val="Item"/>
      </w:pPr>
      <w:r w:rsidRPr="003216A6">
        <w:t xml:space="preserve">Before </w:t>
      </w:r>
      <w:r w:rsidR="00BF3C85" w:rsidRPr="003216A6">
        <w:t>“</w:t>
      </w:r>
      <w:r w:rsidRPr="003216A6">
        <w:t>An application</w:t>
      </w:r>
      <w:r w:rsidR="00BF3C85" w:rsidRPr="003216A6">
        <w:t>”</w:t>
      </w:r>
      <w:r w:rsidRPr="003216A6">
        <w:t xml:space="preserve">, insert </w:t>
      </w:r>
      <w:r w:rsidR="00BF3C85" w:rsidRPr="003216A6">
        <w:t>“</w:t>
      </w:r>
      <w:r w:rsidRPr="003216A6">
        <w:t>(</w:t>
      </w:r>
      <w:r w:rsidR="003E1C82" w:rsidRPr="003216A6">
        <w:t>2</w:t>
      </w:r>
      <w:r w:rsidRPr="003216A6">
        <w:t>)</w:t>
      </w:r>
      <w:r w:rsidR="00BF3C85" w:rsidRPr="003216A6">
        <w:t>”</w:t>
      </w:r>
      <w:r w:rsidR="002F6749" w:rsidRPr="003216A6">
        <w:t>.</w:t>
      </w:r>
    </w:p>
    <w:p w:rsidR="009B5A79" w:rsidRPr="003216A6" w:rsidRDefault="00B13916" w:rsidP="003216A6">
      <w:pPr>
        <w:pStyle w:val="ItemHead"/>
      </w:pPr>
      <w:r w:rsidRPr="003216A6">
        <w:t>7</w:t>
      </w:r>
      <w:r w:rsidR="009B5A79" w:rsidRPr="003216A6">
        <w:t xml:space="preserve">  Subsections</w:t>
      </w:r>
      <w:r w:rsidR="003216A6" w:rsidRPr="003216A6">
        <w:t> </w:t>
      </w:r>
      <w:r w:rsidR="009B5A79" w:rsidRPr="003216A6">
        <w:t>17(1) and (2)</w:t>
      </w:r>
    </w:p>
    <w:p w:rsidR="009B5A79" w:rsidRPr="003216A6" w:rsidRDefault="009B5A79" w:rsidP="003216A6">
      <w:pPr>
        <w:pStyle w:val="Item"/>
      </w:pPr>
      <w:r w:rsidRPr="003216A6">
        <w:t>Repeal the subsections, substitute:</w:t>
      </w:r>
    </w:p>
    <w:p w:rsidR="009B5A79" w:rsidRPr="003216A6" w:rsidRDefault="009B5A79" w:rsidP="003216A6">
      <w:pPr>
        <w:pStyle w:val="subsection"/>
      </w:pPr>
      <w:r w:rsidRPr="003216A6">
        <w:tab/>
        <w:t>(1)</w:t>
      </w:r>
      <w:r w:rsidRPr="003216A6">
        <w:tab/>
        <w:t xml:space="preserve">If, at the end of 60 days after an application for a licence is made, the Minister has </w:t>
      </w:r>
      <w:r w:rsidR="008E441C" w:rsidRPr="003216A6">
        <w:t>not</w:t>
      </w:r>
      <w:r w:rsidRPr="003216A6">
        <w:t>:</w:t>
      </w:r>
    </w:p>
    <w:p w:rsidR="009B5A79" w:rsidRPr="003216A6" w:rsidRDefault="009B5A79" w:rsidP="003216A6">
      <w:pPr>
        <w:pStyle w:val="paragraph"/>
      </w:pPr>
      <w:r w:rsidRPr="003216A6">
        <w:tab/>
        <w:t>(a)</w:t>
      </w:r>
      <w:r w:rsidRPr="003216A6">
        <w:tab/>
        <w:t>granted a licence; or</w:t>
      </w:r>
    </w:p>
    <w:p w:rsidR="009B5A79" w:rsidRPr="003216A6" w:rsidRDefault="009B5A79" w:rsidP="003216A6">
      <w:pPr>
        <w:pStyle w:val="paragraph"/>
      </w:pPr>
      <w:r w:rsidRPr="003216A6">
        <w:tab/>
        <w:t>(b)</w:t>
      </w:r>
      <w:r w:rsidRPr="003216A6">
        <w:tab/>
        <w:t>refused the application; or</w:t>
      </w:r>
    </w:p>
    <w:p w:rsidR="009B5A79" w:rsidRPr="003216A6" w:rsidRDefault="009B5A79" w:rsidP="003216A6">
      <w:pPr>
        <w:pStyle w:val="paragraph"/>
      </w:pPr>
      <w:r w:rsidRPr="003216A6">
        <w:tab/>
        <w:t>(c)</w:t>
      </w:r>
      <w:r w:rsidRPr="003216A6">
        <w:tab/>
        <w:t>made a request under section</w:t>
      </w:r>
      <w:r w:rsidR="003216A6" w:rsidRPr="003216A6">
        <w:t> </w:t>
      </w:r>
      <w:r w:rsidRPr="003216A6">
        <w:t>15;</w:t>
      </w:r>
    </w:p>
    <w:p w:rsidR="009B5A79" w:rsidRPr="003216A6" w:rsidRDefault="009B5A79" w:rsidP="003216A6">
      <w:pPr>
        <w:pStyle w:val="subsection2"/>
      </w:pPr>
      <w:r w:rsidRPr="003216A6">
        <w:t>the Minister is taken, for the purposes of section</w:t>
      </w:r>
      <w:r w:rsidR="003216A6" w:rsidRPr="003216A6">
        <w:t> </w:t>
      </w:r>
      <w:r w:rsidRPr="003216A6">
        <w:t xml:space="preserve">66 and subject to </w:t>
      </w:r>
      <w:r w:rsidR="003216A6" w:rsidRPr="003216A6">
        <w:t>subsection (</w:t>
      </w:r>
      <w:r w:rsidRPr="003216A6">
        <w:t>4) of this section, to have refused the application on the last of the 60 days</w:t>
      </w:r>
      <w:r w:rsidR="002F6749" w:rsidRPr="003216A6">
        <w:t>.</w:t>
      </w:r>
    </w:p>
    <w:p w:rsidR="009B5A79" w:rsidRPr="003216A6" w:rsidRDefault="009B5A79" w:rsidP="003216A6">
      <w:pPr>
        <w:pStyle w:val="subsection"/>
      </w:pPr>
      <w:r w:rsidRPr="003216A6">
        <w:tab/>
        <w:t>(2)</w:t>
      </w:r>
      <w:r w:rsidRPr="003216A6">
        <w:tab/>
        <w:t>If:</w:t>
      </w:r>
    </w:p>
    <w:p w:rsidR="009B5A79" w:rsidRPr="003216A6" w:rsidRDefault="009B5A79" w:rsidP="003216A6">
      <w:pPr>
        <w:pStyle w:val="paragraph"/>
      </w:pPr>
      <w:r w:rsidRPr="003216A6">
        <w:tab/>
        <w:t>(a)</w:t>
      </w:r>
      <w:r w:rsidRPr="003216A6">
        <w:tab/>
        <w:t>the Minister gives an applicant notice under section</w:t>
      </w:r>
      <w:r w:rsidR="003216A6" w:rsidRPr="003216A6">
        <w:t> </w:t>
      </w:r>
      <w:r w:rsidRPr="003216A6">
        <w:t>15 requiring the applicant to give the Minister further information relating to the application; and</w:t>
      </w:r>
    </w:p>
    <w:p w:rsidR="009B5A79" w:rsidRPr="003216A6" w:rsidRDefault="009B5A79" w:rsidP="003216A6">
      <w:pPr>
        <w:pStyle w:val="paragraph"/>
      </w:pPr>
      <w:r w:rsidRPr="003216A6">
        <w:tab/>
        <w:t>(b)</w:t>
      </w:r>
      <w:r w:rsidRPr="003216A6">
        <w:tab/>
        <w:t>at the end of 60 days after the information is given to the Minister, the Minister has n</w:t>
      </w:r>
      <w:r w:rsidR="008E441C" w:rsidRPr="003216A6">
        <w:t>ot</w:t>
      </w:r>
      <w:r w:rsidRPr="003216A6">
        <w:t>:</w:t>
      </w:r>
    </w:p>
    <w:p w:rsidR="009B5A79" w:rsidRPr="003216A6" w:rsidRDefault="009B5A79" w:rsidP="003216A6">
      <w:pPr>
        <w:pStyle w:val="paragraphsub"/>
      </w:pPr>
      <w:r w:rsidRPr="003216A6">
        <w:tab/>
        <w:t>(i)</w:t>
      </w:r>
      <w:r w:rsidRPr="003216A6">
        <w:tab/>
        <w:t>granted a licence; or</w:t>
      </w:r>
    </w:p>
    <w:p w:rsidR="009B5A79" w:rsidRPr="003216A6" w:rsidRDefault="009B5A79" w:rsidP="003216A6">
      <w:pPr>
        <w:pStyle w:val="paragraphsub"/>
      </w:pPr>
      <w:r w:rsidRPr="003216A6">
        <w:tab/>
        <w:t>(ii)</w:t>
      </w:r>
      <w:r w:rsidRPr="003216A6">
        <w:tab/>
        <w:t>refused the application; or</w:t>
      </w:r>
    </w:p>
    <w:p w:rsidR="009B5A79" w:rsidRPr="003216A6" w:rsidRDefault="009B5A79" w:rsidP="003216A6">
      <w:pPr>
        <w:pStyle w:val="paragraphsub"/>
      </w:pPr>
      <w:r w:rsidRPr="003216A6">
        <w:tab/>
        <w:t>(iii)</w:t>
      </w:r>
      <w:r w:rsidRPr="003216A6">
        <w:tab/>
        <w:t>made a further request under section</w:t>
      </w:r>
      <w:r w:rsidR="003216A6" w:rsidRPr="003216A6">
        <w:t> </w:t>
      </w:r>
      <w:r w:rsidRPr="003216A6">
        <w:t>15;</w:t>
      </w:r>
    </w:p>
    <w:p w:rsidR="009B5A79" w:rsidRPr="003216A6" w:rsidRDefault="009B5A79" w:rsidP="003216A6">
      <w:pPr>
        <w:pStyle w:val="subsection2"/>
      </w:pPr>
      <w:r w:rsidRPr="003216A6">
        <w:t>the Minister is taken, for the purposes of section</w:t>
      </w:r>
      <w:r w:rsidR="003216A6" w:rsidRPr="003216A6">
        <w:t> </w:t>
      </w:r>
      <w:r w:rsidRPr="003216A6">
        <w:t xml:space="preserve">66 and subject to </w:t>
      </w:r>
      <w:r w:rsidR="003216A6" w:rsidRPr="003216A6">
        <w:t>subsection (</w:t>
      </w:r>
      <w:r w:rsidRPr="003216A6">
        <w:t>4) of this section, to have refused the application on the last of those 60 days</w:t>
      </w:r>
      <w:r w:rsidR="002F6749" w:rsidRPr="003216A6">
        <w:t>.</w:t>
      </w:r>
    </w:p>
    <w:p w:rsidR="009B5A79" w:rsidRPr="003216A6" w:rsidRDefault="00B13916" w:rsidP="003216A6">
      <w:pPr>
        <w:pStyle w:val="ItemHead"/>
      </w:pPr>
      <w:r w:rsidRPr="003216A6">
        <w:t>8</w:t>
      </w:r>
      <w:r w:rsidR="009B5A79" w:rsidRPr="003216A6">
        <w:t xml:space="preserve">  Before section</w:t>
      </w:r>
      <w:r w:rsidR="003216A6" w:rsidRPr="003216A6">
        <w:t> </w:t>
      </w:r>
      <w:r w:rsidR="009B5A79" w:rsidRPr="003216A6">
        <w:t>18</w:t>
      </w:r>
    </w:p>
    <w:p w:rsidR="009B5A79" w:rsidRPr="003216A6" w:rsidRDefault="009B5A79" w:rsidP="003216A6">
      <w:pPr>
        <w:pStyle w:val="Item"/>
      </w:pPr>
      <w:r w:rsidRPr="003216A6">
        <w:t>Insert:</w:t>
      </w:r>
    </w:p>
    <w:p w:rsidR="009B5A79" w:rsidRPr="003216A6" w:rsidRDefault="009B5A79" w:rsidP="003216A6">
      <w:pPr>
        <w:pStyle w:val="ActHead3"/>
      </w:pPr>
      <w:bookmarkStart w:id="62" w:name="_Toc486251901"/>
      <w:r w:rsidRPr="003216A6">
        <w:rPr>
          <w:rStyle w:val="CharDivNo"/>
        </w:rPr>
        <w:t>Division</w:t>
      </w:r>
      <w:r w:rsidR="003216A6" w:rsidRPr="003216A6">
        <w:rPr>
          <w:rStyle w:val="CharDivNo"/>
        </w:rPr>
        <w:t> </w:t>
      </w:r>
      <w:r w:rsidRPr="003216A6">
        <w:rPr>
          <w:rStyle w:val="CharDivNo"/>
        </w:rPr>
        <w:t>4</w:t>
      </w:r>
      <w:r w:rsidRPr="003216A6">
        <w:t>—</w:t>
      </w:r>
      <w:r w:rsidRPr="003216A6">
        <w:rPr>
          <w:rStyle w:val="CharDivText"/>
        </w:rPr>
        <w:t>Conditions on, and duration of, licence</w:t>
      </w:r>
      <w:bookmarkEnd w:id="62"/>
    </w:p>
    <w:p w:rsidR="009B5A79" w:rsidRPr="003216A6" w:rsidRDefault="00B13916" w:rsidP="003216A6">
      <w:pPr>
        <w:pStyle w:val="ItemHead"/>
      </w:pPr>
      <w:r w:rsidRPr="003216A6">
        <w:t>9</w:t>
      </w:r>
      <w:r w:rsidR="009B5A79" w:rsidRPr="003216A6">
        <w:t xml:space="preserve">  Section</w:t>
      </w:r>
      <w:r w:rsidR="003216A6" w:rsidRPr="003216A6">
        <w:t> </w:t>
      </w:r>
      <w:r w:rsidR="009B5A79" w:rsidRPr="003216A6">
        <w:t>19</w:t>
      </w:r>
    </w:p>
    <w:p w:rsidR="009B5A79" w:rsidRPr="003216A6" w:rsidRDefault="009B5A79" w:rsidP="003216A6">
      <w:pPr>
        <w:pStyle w:val="Item"/>
      </w:pPr>
      <w:r w:rsidRPr="003216A6">
        <w:t>Repeal the section, substitute:</w:t>
      </w:r>
    </w:p>
    <w:p w:rsidR="009B5A79" w:rsidRPr="003216A6" w:rsidRDefault="009B5A79" w:rsidP="003216A6">
      <w:pPr>
        <w:pStyle w:val="ActHead5"/>
      </w:pPr>
      <w:bookmarkStart w:id="63" w:name="_Toc486251902"/>
      <w:r w:rsidRPr="003216A6">
        <w:rPr>
          <w:rStyle w:val="CharSectno"/>
        </w:rPr>
        <w:lastRenderedPageBreak/>
        <w:t>19</w:t>
      </w:r>
      <w:r w:rsidRPr="003216A6">
        <w:t xml:space="preserve">  Duration of licences</w:t>
      </w:r>
      <w:bookmarkEnd w:id="63"/>
    </w:p>
    <w:p w:rsidR="009B5A79" w:rsidRPr="003216A6" w:rsidRDefault="009B5A79" w:rsidP="003216A6">
      <w:pPr>
        <w:pStyle w:val="SubsectionHead"/>
      </w:pPr>
      <w:r w:rsidRPr="003216A6">
        <w:t>When a licence comes into force</w:t>
      </w:r>
    </w:p>
    <w:p w:rsidR="009B5A79" w:rsidRPr="003216A6" w:rsidRDefault="009B5A79" w:rsidP="003216A6">
      <w:pPr>
        <w:pStyle w:val="subsection"/>
      </w:pPr>
      <w:r w:rsidRPr="003216A6">
        <w:tab/>
        <w:t>(1)</w:t>
      </w:r>
      <w:r w:rsidRPr="003216A6">
        <w:tab/>
        <w:t>A licence comes into force on the day specified in it</w:t>
      </w:r>
      <w:r w:rsidR="002F6749" w:rsidRPr="003216A6">
        <w:t>.</w:t>
      </w:r>
    </w:p>
    <w:p w:rsidR="009B5A79" w:rsidRPr="003216A6" w:rsidRDefault="009B5A79" w:rsidP="003216A6">
      <w:pPr>
        <w:pStyle w:val="SubsectionHead"/>
      </w:pPr>
      <w:r w:rsidRPr="003216A6">
        <w:t>When a licence stops being in force</w:t>
      </w:r>
    </w:p>
    <w:p w:rsidR="009B5A79" w:rsidRPr="003216A6" w:rsidRDefault="009B5A79" w:rsidP="003216A6">
      <w:pPr>
        <w:pStyle w:val="subsection"/>
      </w:pPr>
      <w:r w:rsidRPr="003216A6">
        <w:tab/>
        <w:t>(2)</w:t>
      </w:r>
      <w:r w:rsidRPr="003216A6">
        <w:tab/>
        <w:t>A controlled substances licence, an essential uses licence or a used substances licence stays in force until the earlier of:</w:t>
      </w:r>
    </w:p>
    <w:p w:rsidR="009B5A79" w:rsidRPr="003216A6" w:rsidRDefault="009B5A79" w:rsidP="003216A6">
      <w:pPr>
        <w:pStyle w:val="paragraph"/>
      </w:pPr>
      <w:r w:rsidRPr="003216A6">
        <w:tab/>
        <w:t>(a)</w:t>
      </w:r>
      <w:r w:rsidRPr="003216A6">
        <w:tab/>
        <w:t>the end of:</w:t>
      </w:r>
    </w:p>
    <w:p w:rsidR="009B5A79" w:rsidRPr="003216A6" w:rsidRDefault="009B5A79" w:rsidP="003216A6">
      <w:pPr>
        <w:pStyle w:val="paragraphsub"/>
      </w:pPr>
      <w:r w:rsidRPr="003216A6">
        <w:tab/>
        <w:t>(i)</w:t>
      </w:r>
      <w:r w:rsidRPr="003216A6">
        <w:tab/>
        <w:t>if the licence is not renewed under section</w:t>
      </w:r>
      <w:r w:rsidR="003216A6" w:rsidRPr="003216A6">
        <w:t> </w:t>
      </w:r>
      <w:r w:rsidRPr="003216A6">
        <w:t xml:space="preserve">19AC—the licence period in which the licence comes into force under </w:t>
      </w:r>
      <w:r w:rsidR="003216A6" w:rsidRPr="003216A6">
        <w:t>subsection (</w:t>
      </w:r>
      <w:r w:rsidRPr="003216A6">
        <w:t>1) of this section; or</w:t>
      </w:r>
    </w:p>
    <w:p w:rsidR="009B5A79" w:rsidRPr="003216A6" w:rsidRDefault="009B5A79" w:rsidP="003216A6">
      <w:pPr>
        <w:pStyle w:val="paragraphsub"/>
      </w:pPr>
      <w:r w:rsidRPr="003216A6">
        <w:tab/>
        <w:t>(ii)</w:t>
      </w:r>
      <w:r w:rsidRPr="003216A6">
        <w:tab/>
        <w:t>if the licence is renewed one or more times under section</w:t>
      </w:r>
      <w:r w:rsidR="003216A6" w:rsidRPr="003216A6">
        <w:t> </w:t>
      </w:r>
      <w:r w:rsidRPr="003216A6">
        <w:t>19AC—the licence period starting immediately after the time the licence would have ended apart from the last renewal; and</w:t>
      </w:r>
    </w:p>
    <w:p w:rsidR="009B5A79" w:rsidRPr="003216A6" w:rsidRDefault="009B5A79" w:rsidP="003216A6">
      <w:pPr>
        <w:pStyle w:val="paragraph"/>
      </w:pPr>
      <w:r w:rsidRPr="003216A6">
        <w:tab/>
        <w:t>(b)</w:t>
      </w:r>
      <w:r w:rsidRPr="003216A6">
        <w:tab/>
        <w:t xml:space="preserve">if the licence is an essential uses licence, or a used substances licence, that specifies a period that ends before the time that applies under </w:t>
      </w:r>
      <w:r w:rsidR="003216A6" w:rsidRPr="003216A6">
        <w:t>paragraph (</w:t>
      </w:r>
      <w:r w:rsidRPr="003216A6">
        <w:t>a)—the end of that specified period;</w:t>
      </w:r>
    </w:p>
    <w:p w:rsidR="009B5A79" w:rsidRPr="003216A6" w:rsidRDefault="009B5A79" w:rsidP="003216A6">
      <w:pPr>
        <w:pStyle w:val="subsection2"/>
      </w:pPr>
      <w:r w:rsidRPr="003216A6">
        <w:t>unless the licence is cancelled, or stops being in force for any other reason, before then</w:t>
      </w:r>
      <w:r w:rsidR="002F6749" w:rsidRPr="003216A6">
        <w:t>.</w:t>
      </w:r>
    </w:p>
    <w:p w:rsidR="009B5A79" w:rsidRPr="003216A6" w:rsidRDefault="009B5A79" w:rsidP="003216A6">
      <w:pPr>
        <w:pStyle w:val="notetext"/>
      </w:pPr>
      <w:r w:rsidRPr="003216A6">
        <w:t>Note:</w:t>
      </w:r>
      <w:r w:rsidRPr="003216A6">
        <w:tab/>
        <w:t xml:space="preserve">An essential uses licence, or a used substances licence, that specifies a period under </w:t>
      </w:r>
      <w:r w:rsidR="003216A6" w:rsidRPr="003216A6">
        <w:t>paragraph (</w:t>
      </w:r>
      <w:r w:rsidRPr="003216A6">
        <w:t xml:space="preserve">b) cannot be renewed: see </w:t>
      </w:r>
      <w:r w:rsidR="00F87076" w:rsidRPr="003216A6">
        <w:t>sub</w:t>
      </w:r>
      <w:r w:rsidRPr="003216A6">
        <w:t>section</w:t>
      </w:r>
      <w:r w:rsidR="003216A6" w:rsidRPr="003216A6">
        <w:t> </w:t>
      </w:r>
      <w:r w:rsidRPr="003216A6">
        <w:t>19AC(4)</w:t>
      </w:r>
      <w:r w:rsidR="002F6749" w:rsidRPr="003216A6">
        <w:t>.</w:t>
      </w:r>
    </w:p>
    <w:p w:rsidR="009B5A79" w:rsidRPr="003216A6" w:rsidRDefault="009B5A79" w:rsidP="003216A6">
      <w:pPr>
        <w:pStyle w:val="subsection"/>
      </w:pPr>
      <w:r w:rsidRPr="003216A6">
        <w:tab/>
        <w:t>(3)</w:t>
      </w:r>
      <w:r w:rsidRPr="003216A6">
        <w:tab/>
        <w:t>An equipment licence stays in force until the earlier of:</w:t>
      </w:r>
    </w:p>
    <w:p w:rsidR="009B5A79" w:rsidRPr="003216A6" w:rsidRDefault="009B5A79" w:rsidP="003216A6">
      <w:pPr>
        <w:pStyle w:val="paragraph"/>
      </w:pPr>
      <w:r w:rsidRPr="003216A6">
        <w:tab/>
        <w:t>(a)</w:t>
      </w:r>
      <w:r w:rsidRPr="003216A6">
        <w:tab/>
        <w:t>the end of:</w:t>
      </w:r>
    </w:p>
    <w:p w:rsidR="009B5A79" w:rsidRPr="003216A6" w:rsidRDefault="009B5A79" w:rsidP="003216A6">
      <w:pPr>
        <w:pStyle w:val="paragraphsub"/>
      </w:pPr>
      <w:r w:rsidRPr="003216A6">
        <w:tab/>
        <w:t>(i)</w:t>
      </w:r>
      <w:r w:rsidRPr="003216A6">
        <w:tab/>
        <w:t>if the licence is not renewed under section</w:t>
      </w:r>
      <w:r w:rsidR="003216A6" w:rsidRPr="003216A6">
        <w:t> </w:t>
      </w:r>
      <w:r w:rsidRPr="003216A6">
        <w:t xml:space="preserve">19AC—2 years starting on the day the licence comes into force under </w:t>
      </w:r>
      <w:r w:rsidR="003216A6" w:rsidRPr="003216A6">
        <w:t>subsection (</w:t>
      </w:r>
      <w:r w:rsidRPr="003216A6">
        <w:t>1) of this section; or</w:t>
      </w:r>
    </w:p>
    <w:p w:rsidR="009B5A79" w:rsidRPr="003216A6" w:rsidRDefault="009B5A79" w:rsidP="003216A6">
      <w:pPr>
        <w:pStyle w:val="paragraphsub"/>
      </w:pPr>
      <w:r w:rsidRPr="003216A6">
        <w:tab/>
        <w:t>(ii)</w:t>
      </w:r>
      <w:r w:rsidRPr="003216A6">
        <w:tab/>
        <w:t>if the licence is renewed one or more times under section</w:t>
      </w:r>
      <w:r w:rsidR="003216A6" w:rsidRPr="003216A6">
        <w:t> </w:t>
      </w:r>
      <w:r w:rsidRPr="003216A6">
        <w:t>19AC—2 years starting immediately after the time the licence would have ended apart from the last renewal; and</w:t>
      </w:r>
    </w:p>
    <w:p w:rsidR="009B5A79" w:rsidRPr="003216A6" w:rsidRDefault="009B5A79" w:rsidP="003216A6">
      <w:pPr>
        <w:pStyle w:val="paragraph"/>
      </w:pPr>
      <w:r w:rsidRPr="003216A6">
        <w:tab/>
        <w:t>(b)</w:t>
      </w:r>
      <w:r w:rsidRPr="003216A6">
        <w:tab/>
        <w:t xml:space="preserve">if the licence species a period, or a method for ascertaining a period, that ends before the time that applies under </w:t>
      </w:r>
      <w:r w:rsidR="003216A6" w:rsidRPr="003216A6">
        <w:t>paragraph (</w:t>
      </w:r>
      <w:r w:rsidRPr="003216A6">
        <w:t>a)—the end of that period;</w:t>
      </w:r>
    </w:p>
    <w:p w:rsidR="009B5A79" w:rsidRPr="003216A6" w:rsidRDefault="009B5A79" w:rsidP="003216A6">
      <w:pPr>
        <w:pStyle w:val="subsection2"/>
      </w:pPr>
      <w:r w:rsidRPr="003216A6">
        <w:lastRenderedPageBreak/>
        <w:t>unless the licence is cancelled, or stops being in force for any other reason, before then</w:t>
      </w:r>
      <w:r w:rsidR="002F6749" w:rsidRPr="003216A6">
        <w:t>.</w:t>
      </w:r>
    </w:p>
    <w:p w:rsidR="009B5A79" w:rsidRPr="003216A6" w:rsidRDefault="00B13916" w:rsidP="003216A6">
      <w:pPr>
        <w:pStyle w:val="ItemHead"/>
      </w:pPr>
      <w:r w:rsidRPr="003216A6">
        <w:t>10</w:t>
      </w:r>
      <w:r w:rsidR="009B5A79" w:rsidRPr="003216A6">
        <w:t xml:space="preserve">  After section</w:t>
      </w:r>
      <w:r w:rsidR="003216A6" w:rsidRPr="003216A6">
        <w:t> </w:t>
      </w:r>
      <w:r w:rsidR="009B5A79" w:rsidRPr="003216A6">
        <w:t>19</w:t>
      </w:r>
    </w:p>
    <w:p w:rsidR="009B5A79" w:rsidRPr="003216A6" w:rsidRDefault="009B5A79" w:rsidP="003216A6">
      <w:pPr>
        <w:pStyle w:val="Item"/>
      </w:pPr>
      <w:r w:rsidRPr="003216A6">
        <w:t>Insert:</w:t>
      </w:r>
    </w:p>
    <w:p w:rsidR="009B5A79" w:rsidRPr="003216A6" w:rsidRDefault="009B5A79" w:rsidP="003216A6">
      <w:pPr>
        <w:pStyle w:val="ActHead3"/>
      </w:pPr>
      <w:bookmarkStart w:id="64" w:name="_Toc486251903"/>
      <w:r w:rsidRPr="003216A6">
        <w:rPr>
          <w:rStyle w:val="CharDivNo"/>
        </w:rPr>
        <w:t>Division</w:t>
      </w:r>
      <w:r w:rsidR="003216A6" w:rsidRPr="003216A6">
        <w:rPr>
          <w:rStyle w:val="CharDivNo"/>
        </w:rPr>
        <w:t> </w:t>
      </w:r>
      <w:r w:rsidRPr="003216A6">
        <w:rPr>
          <w:rStyle w:val="CharDivNo"/>
        </w:rPr>
        <w:t>5</w:t>
      </w:r>
      <w:r w:rsidRPr="003216A6">
        <w:t>—</w:t>
      </w:r>
      <w:r w:rsidRPr="003216A6">
        <w:rPr>
          <w:rStyle w:val="CharDivText"/>
        </w:rPr>
        <w:t>Renewing licences</w:t>
      </w:r>
      <w:bookmarkEnd w:id="64"/>
    </w:p>
    <w:p w:rsidR="009B5A79" w:rsidRPr="003216A6" w:rsidRDefault="009B5A79" w:rsidP="003216A6">
      <w:pPr>
        <w:pStyle w:val="ActHead5"/>
      </w:pPr>
      <w:bookmarkStart w:id="65" w:name="_Toc486251904"/>
      <w:r w:rsidRPr="003216A6">
        <w:rPr>
          <w:rStyle w:val="CharSectno"/>
        </w:rPr>
        <w:t>19AA</w:t>
      </w:r>
      <w:r w:rsidRPr="003216A6">
        <w:t xml:space="preserve">  Application for renewal of licence</w:t>
      </w:r>
      <w:bookmarkEnd w:id="65"/>
    </w:p>
    <w:p w:rsidR="009B5A79" w:rsidRPr="003216A6" w:rsidRDefault="009B5A79" w:rsidP="003216A6">
      <w:pPr>
        <w:pStyle w:val="subsection"/>
      </w:pPr>
      <w:r w:rsidRPr="003216A6">
        <w:tab/>
        <w:t>(1)</w:t>
      </w:r>
      <w:r w:rsidRPr="003216A6">
        <w:tab/>
        <w:t>The holder of a licence may apply to the Minister for a renewal of the licence</w:t>
      </w:r>
      <w:r w:rsidR="002F6749" w:rsidRPr="003216A6">
        <w:t>.</w:t>
      </w:r>
    </w:p>
    <w:p w:rsidR="009B5A79" w:rsidRPr="003216A6" w:rsidRDefault="009B5A79" w:rsidP="003216A6">
      <w:pPr>
        <w:pStyle w:val="subsection"/>
      </w:pPr>
      <w:r w:rsidRPr="003216A6">
        <w:tab/>
        <w:t>(2)</w:t>
      </w:r>
      <w:r w:rsidRPr="003216A6">
        <w:tab/>
        <w:t>The application must be made no later than 60 days before the licence ceases to be in force</w:t>
      </w:r>
      <w:r w:rsidR="002F6749" w:rsidRPr="003216A6">
        <w:t>.</w:t>
      </w:r>
    </w:p>
    <w:p w:rsidR="009B5A79" w:rsidRPr="003216A6" w:rsidRDefault="009B5A79" w:rsidP="003216A6">
      <w:pPr>
        <w:pStyle w:val="subsection"/>
      </w:pPr>
      <w:r w:rsidRPr="003216A6">
        <w:tab/>
        <w:t>(3)</w:t>
      </w:r>
      <w:r w:rsidRPr="003216A6">
        <w:tab/>
        <w:t>The application must:</w:t>
      </w:r>
    </w:p>
    <w:p w:rsidR="009B5A79" w:rsidRPr="003216A6" w:rsidRDefault="009B5A79" w:rsidP="003216A6">
      <w:pPr>
        <w:pStyle w:val="paragraph"/>
      </w:pPr>
      <w:r w:rsidRPr="003216A6">
        <w:tab/>
        <w:t>(a)</w:t>
      </w:r>
      <w:r w:rsidRPr="003216A6">
        <w:tab/>
        <w:t>be in the approved form; and</w:t>
      </w:r>
    </w:p>
    <w:p w:rsidR="009B5A79" w:rsidRPr="003216A6" w:rsidRDefault="009B5A79" w:rsidP="003216A6">
      <w:pPr>
        <w:pStyle w:val="paragraph"/>
      </w:pPr>
      <w:r w:rsidRPr="003216A6">
        <w:tab/>
        <w:t>(b)</w:t>
      </w:r>
      <w:r w:rsidRPr="003216A6">
        <w:tab/>
        <w:t>be accompanied by the fee prescribed by the regulations, unless the fee has been waived in accordance with the regulations; and</w:t>
      </w:r>
    </w:p>
    <w:p w:rsidR="009B5A79" w:rsidRPr="003216A6" w:rsidRDefault="009B5A79" w:rsidP="003216A6">
      <w:pPr>
        <w:pStyle w:val="paragraph"/>
      </w:pPr>
      <w:r w:rsidRPr="003216A6">
        <w:tab/>
        <w:t>(c)</w:t>
      </w:r>
      <w:r w:rsidRPr="003216A6">
        <w:tab/>
        <w:t>be given to the Minister</w:t>
      </w:r>
      <w:r w:rsidR="002F6749" w:rsidRPr="003216A6">
        <w:t>.</w:t>
      </w:r>
    </w:p>
    <w:p w:rsidR="009B5A79" w:rsidRPr="003216A6" w:rsidRDefault="009B5A79" w:rsidP="003216A6">
      <w:pPr>
        <w:pStyle w:val="ActHead5"/>
      </w:pPr>
      <w:bookmarkStart w:id="66" w:name="_Toc486251905"/>
      <w:r w:rsidRPr="003216A6">
        <w:rPr>
          <w:rStyle w:val="CharSectno"/>
        </w:rPr>
        <w:t>19AB</w:t>
      </w:r>
      <w:r w:rsidRPr="003216A6">
        <w:t xml:space="preserve">  Request for further information</w:t>
      </w:r>
      <w:bookmarkEnd w:id="66"/>
    </w:p>
    <w:p w:rsidR="009B5A79" w:rsidRPr="003216A6" w:rsidRDefault="009B5A79" w:rsidP="003216A6">
      <w:pPr>
        <w:pStyle w:val="subsection"/>
      </w:pPr>
      <w:r w:rsidRPr="003216A6">
        <w:tab/>
      </w:r>
      <w:r w:rsidRPr="003216A6">
        <w:tab/>
        <w:t>The Minister may, within 60 days after an application for a renewal of a licence is made under section</w:t>
      </w:r>
      <w:r w:rsidR="003216A6" w:rsidRPr="003216A6">
        <w:t> </w:t>
      </w:r>
      <w:r w:rsidRPr="003216A6">
        <w:t>19AA, give the applicant written notice requiring the applicant to give to the Minister such further information relating to the application as is specified in the notice</w:t>
      </w:r>
      <w:r w:rsidR="002F6749" w:rsidRPr="003216A6">
        <w:t>.</w:t>
      </w:r>
    </w:p>
    <w:p w:rsidR="009B5A79" w:rsidRPr="003216A6" w:rsidRDefault="009B5A79" w:rsidP="003216A6">
      <w:pPr>
        <w:pStyle w:val="ActHead5"/>
      </w:pPr>
      <w:bookmarkStart w:id="67" w:name="_Toc486251906"/>
      <w:r w:rsidRPr="003216A6">
        <w:rPr>
          <w:rStyle w:val="CharSectno"/>
        </w:rPr>
        <w:t>19AC</w:t>
      </w:r>
      <w:r w:rsidRPr="003216A6">
        <w:t xml:space="preserve">  Decision on application</w:t>
      </w:r>
      <w:bookmarkEnd w:id="67"/>
    </w:p>
    <w:p w:rsidR="009B5A79" w:rsidRPr="003216A6" w:rsidRDefault="009B5A79" w:rsidP="003216A6">
      <w:pPr>
        <w:pStyle w:val="subsection"/>
      </w:pPr>
      <w:r w:rsidRPr="003216A6">
        <w:tab/>
        <w:t>(1)</w:t>
      </w:r>
      <w:r w:rsidRPr="003216A6">
        <w:tab/>
        <w:t>If a person applies under section</w:t>
      </w:r>
      <w:r w:rsidR="003216A6" w:rsidRPr="003216A6">
        <w:t> </w:t>
      </w:r>
      <w:r w:rsidRPr="003216A6">
        <w:t>19AA for a renewal of a licence, the Minister must:</w:t>
      </w:r>
    </w:p>
    <w:p w:rsidR="009B5A79" w:rsidRPr="003216A6" w:rsidRDefault="009B5A79" w:rsidP="003216A6">
      <w:pPr>
        <w:pStyle w:val="paragraph"/>
      </w:pPr>
      <w:r w:rsidRPr="003216A6">
        <w:tab/>
        <w:t>(a)</w:t>
      </w:r>
      <w:r w:rsidRPr="003216A6">
        <w:tab/>
        <w:t xml:space="preserve">subject to </w:t>
      </w:r>
      <w:r w:rsidR="003216A6" w:rsidRPr="003216A6">
        <w:t>subsections (</w:t>
      </w:r>
      <w:r w:rsidRPr="003216A6">
        <w:t>2) and (4), renew the licence by:</w:t>
      </w:r>
    </w:p>
    <w:p w:rsidR="009B5A79" w:rsidRPr="003216A6" w:rsidRDefault="009B5A79" w:rsidP="003216A6">
      <w:pPr>
        <w:pStyle w:val="paragraphsub"/>
      </w:pPr>
      <w:r w:rsidRPr="003216A6">
        <w:tab/>
        <w:t>(i)</w:t>
      </w:r>
      <w:r w:rsidRPr="003216A6">
        <w:tab/>
        <w:t>giving the applicant written notice of the renewal; and</w:t>
      </w:r>
    </w:p>
    <w:p w:rsidR="009B5A79" w:rsidRPr="003216A6" w:rsidRDefault="009B5A79" w:rsidP="003216A6">
      <w:pPr>
        <w:pStyle w:val="paragraphsub"/>
      </w:pPr>
      <w:r w:rsidRPr="003216A6">
        <w:tab/>
        <w:t>(ii)</w:t>
      </w:r>
      <w:r w:rsidRPr="003216A6">
        <w:tab/>
        <w:t xml:space="preserve">amending the licence as mentioned in </w:t>
      </w:r>
      <w:r w:rsidR="003216A6" w:rsidRPr="003216A6">
        <w:t>subsection (</w:t>
      </w:r>
      <w:r w:rsidRPr="003216A6">
        <w:t>5), if applicable; or</w:t>
      </w:r>
    </w:p>
    <w:p w:rsidR="009B5A79" w:rsidRPr="003216A6" w:rsidRDefault="009B5A79" w:rsidP="003216A6">
      <w:pPr>
        <w:pStyle w:val="paragraph"/>
      </w:pPr>
      <w:r w:rsidRPr="003216A6">
        <w:tab/>
        <w:t>(b)</w:t>
      </w:r>
      <w:r w:rsidRPr="003216A6">
        <w:tab/>
        <w:t>refuse to renew the licence, by giving the applicant written notice of:</w:t>
      </w:r>
    </w:p>
    <w:p w:rsidR="009B5A79" w:rsidRPr="003216A6" w:rsidRDefault="009B5A79" w:rsidP="003216A6">
      <w:pPr>
        <w:pStyle w:val="paragraphsub"/>
      </w:pPr>
      <w:r w:rsidRPr="003216A6">
        <w:lastRenderedPageBreak/>
        <w:tab/>
        <w:t>(i)</w:t>
      </w:r>
      <w:r w:rsidRPr="003216A6">
        <w:tab/>
        <w:t>the refusal; and</w:t>
      </w:r>
    </w:p>
    <w:p w:rsidR="009B5A79" w:rsidRPr="003216A6" w:rsidRDefault="009B5A79" w:rsidP="003216A6">
      <w:pPr>
        <w:pStyle w:val="paragraphsub"/>
      </w:pPr>
      <w:r w:rsidRPr="003216A6">
        <w:tab/>
        <w:t>(ii)</w:t>
      </w:r>
      <w:r w:rsidRPr="003216A6">
        <w:tab/>
        <w:t>the reasons for the refusal</w:t>
      </w:r>
      <w:r w:rsidR="002F6749" w:rsidRPr="003216A6">
        <w:t>.</w:t>
      </w:r>
    </w:p>
    <w:p w:rsidR="009B5A79" w:rsidRPr="003216A6" w:rsidRDefault="009B5A79" w:rsidP="003216A6">
      <w:pPr>
        <w:pStyle w:val="notetext"/>
      </w:pPr>
      <w:r w:rsidRPr="003216A6">
        <w:t>Note:</w:t>
      </w:r>
      <w:r w:rsidRPr="003216A6">
        <w:tab/>
        <w:t>The effect of a renewal of a licence is to extend the period for which the licence is in force: see subparagraphs</w:t>
      </w:r>
      <w:r w:rsidR="003216A6" w:rsidRPr="003216A6">
        <w:t> </w:t>
      </w:r>
      <w:r w:rsidRPr="003216A6">
        <w:t>19(2)(a)(ii) and (3)(a)(ii)</w:t>
      </w:r>
      <w:r w:rsidR="002F6749" w:rsidRPr="003216A6">
        <w:t>.</w:t>
      </w:r>
    </w:p>
    <w:p w:rsidR="009B5A79" w:rsidRPr="003216A6" w:rsidRDefault="009B5A79" w:rsidP="003216A6">
      <w:pPr>
        <w:pStyle w:val="subsection"/>
      </w:pPr>
      <w:r w:rsidRPr="003216A6">
        <w:tab/>
        <w:t>(2)</w:t>
      </w:r>
      <w:r w:rsidRPr="003216A6">
        <w:tab/>
        <w:t>Subsections</w:t>
      </w:r>
      <w:r w:rsidR="003216A6" w:rsidRPr="003216A6">
        <w:t> </w:t>
      </w:r>
      <w:r w:rsidRPr="003216A6">
        <w:t>16(3A) to (6B) (about criteria) apply in relation to renewing the licence in the same way as those subsections apply in relation to granting a licence</w:t>
      </w:r>
      <w:r w:rsidR="002F6749" w:rsidRPr="003216A6">
        <w:t>.</w:t>
      </w:r>
    </w:p>
    <w:p w:rsidR="009B5A79" w:rsidRPr="003216A6" w:rsidRDefault="009B5A79" w:rsidP="003216A6">
      <w:pPr>
        <w:pStyle w:val="subsection"/>
      </w:pPr>
      <w:r w:rsidRPr="003216A6">
        <w:tab/>
        <w:t>(3)</w:t>
      </w:r>
      <w:r w:rsidRPr="003216A6">
        <w:tab/>
        <w:t xml:space="preserve">In applying </w:t>
      </w:r>
      <w:r w:rsidR="003216A6" w:rsidRPr="003216A6">
        <w:t>subsection (</w:t>
      </w:r>
      <w:r w:rsidRPr="003216A6">
        <w:t>2), the Minister may take into account the Minister</w:t>
      </w:r>
      <w:r w:rsidR="00BF3C85" w:rsidRPr="003216A6">
        <w:t>’</w:t>
      </w:r>
      <w:r w:rsidRPr="003216A6">
        <w:t>s previous consideration of the matters mentioned in subsections</w:t>
      </w:r>
      <w:r w:rsidR="003216A6" w:rsidRPr="003216A6">
        <w:t> </w:t>
      </w:r>
      <w:r w:rsidRPr="003216A6">
        <w:t>16(3A) to (6B) in relation to granting or renewing the licence</w:t>
      </w:r>
      <w:r w:rsidR="002F6749" w:rsidRPr="003216A6">
        <w:t>.</w:t>
      </w:r>
    </w:p>
    <w:p w:rsidR="009B5A79" w:rsidRPr="003216A6" w:rsidRDefault="009B5A79" w:rsidP="003216A6">
      <w:pPr>
        <w:pStyle w:val="SubsectionHead"/>
      </w:pPr>
      <w:r w:rsidRPr="003216A6">
        <w:t>Licences in force for a specified period</w:t>
      </w:r>
    </w:p>
    <w:p w:rsidR="009B5A79" w:rsidRPr="003216A6" w:rsidRDefault="009B5A79" w:rsidP="003216A6">
      <w:pPr>
        <w:pStyle w:val="subsection"/>
      </w:pPr>
      <w:r w:rsidRPr="003216A6">
        <w:tab/>
        <w:t>(4)</w:t>
      </w:r>
      <w:r w:rsidRPr="003216A6">
        <w:tab/>
        <w:t>The Minister must not renew an essential uses licence, or a used substances licence, that specifies a period for the purposes of paragraph</w:t>
      </w:r>
      <w:r w:rsidR="003216A6" w:rsidRPr="003216A6">
        <w:t> </w:t>
      </w:r>
      <w:r w:rsidRPr="003216A6">
        <w:t>19(2)(b)</w:t>
      </w:r>
      <w:r w:rsidR="002F6749" w:rsidRPr="003216A6">
        <w:t>.</w:t>
      </w:r>
    </w:p>
    <w:p w:rsidR="009B5A79" w:rsidRPr="003216A6" w:rsidRDefault="009B5A79" w:rsidP="003216A6">
      <w:pPr>
        <w:pStyle w:val="notetext"/>
      </w:pPr>
      <w:r w:rsidRPr="003216A6">
        <w:t>Note 1:</w:t>
      </w:r>
      <w:r w:rsidRPr="003216A6">
        <w:tab/>
        <w:t>Paragraph 19(2)(b) allows a licence to specify a period, shorter than a licence period, during which the licence stays in force</w:t>
      </w:r>
      <w:r w:rsidR="002F6749" w:rsidRPr="003216A6">
        <w:t>.</w:t>
      </w:r>
    </w:p>
    <w:p w:rsidR="009B5A79" w:rsidRPr="003216A6" w:rsidRDefault="009B5A79" w:rsidP="003216A6">
      <w:pPr>
        <w:pStyle w:val="notetext"/>
      </w:pPr>
      <w:r w:rsidRPr="003216A6">
        <w:t>Note 2:</w:t>
      </w:r>
      <w:r w:rsidRPr="003216A6">
        <w:tab/>
        <w:t>The Minister may amend the specified period under section</w:t>
      </w:r>
      <w:r w:rsidR="003216A6" w:rsidRPr="003216A6">
        <w:t> </w:t>
      </w:r>
      <w:r w:rsidRPr="003216A6">
        <w:t>19C at the request of the licensee</w:t>
      </w:r>
      <w:r w:rsidR="002F6749" w:rsidRPr="003216A6">
        <w:t>.</w:t>
      </w:r>
    </w:p>
    <w:p w:rsidR="009B5A79" w:rsidRPr="003216A6" w:rsidRDefault="009B5A79" w:rsidP="003216A6">
      <w:pPr>
        <w:pStyle w:val="subsection"/>
      </w:pPr>
      <w:r w:rsidRPr="003216A6">
        <w:tab/>
        <w:t>(5)</w:t>
      </w:r>
      <w:r w:rsidRPr="003216A6">
        <w:tab/>
        <w:t>If the Minister renews an equipment licence that specifies a period or method for the purposes of paragraph</w:t>
      </w:r>
      <w:r w:rsidR="003216A6" w:rsidRPr="003216A6">
        <w:t> </w:t>
      </w:r>
      <w:r w:rsidRPr="003216A6">
        <w:t>19(3)(b), the Minister must amend the licence to:</w:t>
      </w:r>
    </w:p>
    <w:p w:rsidR="009B5A79" w:rsidRPr="003216A6" w:rsidRDefault="009B5A79" w:rsidP="003216A6">
      <w:pPr>
        <w:pStyle w:val="paragraph"/>
      </w:pPr>
      <w:r w:rsidRPr="003216A6">
        <w:tab/>
        <w:t>(a)</w:t>
      </w:r>
      <w:r w:rsidRPr="003216A6">
        <w:tab/>
        <w:t>remove the specification; or</w:t>
      </w:r>
    </w:p>
    <w:p w:rsidR="009B5A79" w:rsidRPr="003216A6" w:rsidRDefault="009B5A79" w:rsidP="003216A6">
      <w:pPr>
        <w:pStyle w:val="paragraph"/>
      </w:pPr>
      <w:r w:rsidRPr="003216A6">
        <w:tab/>
        <w:t>(b)</w:t>
      </w:r>
      <w:r w:rsidRPr="003216A6">
        <w:tab/>
        <w:t>specify a period, or a method for ascertaining a period, that ends within 2 years after the time the licence would have ended apart from the renewal</w:t>
      </w:r>
      <w:r w:rsidR="002F6749" w:rsidRPr="003216A6">
        <w:t>.</w:t>
      </w:r>
    </w:p>
    <w:p w:rsidR="009B5A79" w:rsidRPr="003216A6" w:rsidRDefault="009B5A79" w:rsidP="003216A6">
      <w:pPr>
        <w:pStyle w:val="notetext"/>
      </w:pPr>
      <w:r w:rsidRPr="003216A6">
        <w:t>Note:</w:t>
      </w:r>
      <w:r w:rsidRPr="003216A6">
        <w:tab/>
        <w:t xml:space="preserve">Paragraph 19(3)(b) allows a licence to specify a period, or a </w:t>
      </w:r>
      <w:r w:rsidR="00F87076" w:rsidRPr="003216A6">
        <w:t>method for ascertaining a period</w:t>
      </w:r>
      <w:r w:rsidRPr="003216A6">
        <w:t>, shorter than 2 years, during which the licence stays in force</w:t>
      </w:r>
      <w:r w:rsidR="002F6749" w:rsidRPr="003216A6">
        <w:t>.</w:t>
      </w:r>
    </w:p>
    <w:p w:rsidR="009B5A79" w:rsidRPr="003216A6" w:rsidRDefault="009B5A79" w:rsidP="003216A6">
      <w:pPr>
        <w:pStyle w:val="ActHead5"/>
      </w:pPr>
      <w:bookmarkStart w:id="68" w:name="_Toc486251907"/>
      <w:r w:rsidRPr="003216A6">
        <w:rPr>
          <w:rStyle w:val="CharSectno"/>
        </w:rPr>
        <w:t>19AD</w:t>
      </w:r>
      <w:r w:rsidRPr="003216A6">
        <w:t xml:space="preserve">  Deemed refusal of renewal</w:t>
      </w:r>
      <w:bookmarkEnd w:id="68"/>
    </w:p>
    <w:p w:rsidR="009B5A79" w:rsidRPr="003216A6" w:rsidRDefault="009B5A79" w:rsidP="003216A6">
      <w:pPr>
        <w:pStyle w:val="subsection"/>
      </w:pPr>
      <w:r w:rsidRPr="003216A6">
        <w:tab/>
        <w:t>(1)</w:t>
      </w:r>
      <w:r w:rsidRPr="003216A6">
        <w:tab/>
        <w:t>If, at the end of 60 days after an application for a renewal of a licence is made under section</w:t>
      </w:r>
      <w:r w:rsidR="003216A6" w:rsidRPr="003216A6">
        <w:t> </w:t>
      </w:r>
      <w:r w:rsidRPr="003216A6">
        <w:t>19AA, the Minister has n</w:t>
      </w:r>
      <w:r w:rsidR="00F87076" w:rsidRPr="003216A6">
        <w:t>ot</w:t>
      </w:r>
      <w:r w:rsidRPr="003216A6">
        <w:t>:</w:t>
      </w:r>
    </w:p>
    <w:p w:rsidR="009B5A79" w:rsidRPr="003216A6" w:rsidRDefault="009B5A79" w:rsidP="003216A6">
      <w:pPr>
        <w:pStyle w:val="paragraph"/>
      </w:pPr>
      <w:r w:rsidRPr="003216A6">
        <w:tab/>
        <w:t>(a)</w:t>
      </w:r>
      <w:r w:rsidRPr="003216A6">
        <w:tab/>
        <w:t>renewed the licence under section</w:t>
      </w:r>
      <w:r w:rsidR="003216A6" w:rsidRPr="003216A6">
        <w:t> </w:t>
      </w:r>
      <w:r w:rsidRPr="003216A6">
        <w:t>19AC; or</w:t>
      </w:r>
    </w:p>
    <w:p w:rsidR="009B5A79" w:rsidRPr="003216A6" w:rsidRDefault="009B5A79" w:rsidP="003216A6">
      <w:pPr>
        <w:pStyle w:val="paragraph"/>
      </w:pPr>
      <w:r w:rsidRPr="003216A6">
        <w:tab/>
        <w:t>(b)</w:t>
      </w:r>
      <w:r w:rsidRPr="003216A6">
        <w:tab/>
        <w:t>refused the application under section</w:t>
      </w:r>
      <w:r w:rsidR="003216A6" w:rsidRPr="003216A6">
        <w:t> </w:t>
      </w:r>
      <w:r w:rsidRPr="003216A6">
        <w:t>19AC; or</w:t>
      </w:r>
    </w:p>
    <w:p w:rsidR="009B5A79" w:rsidRPr="003216A6" w:rsidRDefault="009B5A79" w:rsidP="003216A6">
      <w:pPr>
        <w:pStyle w:val="paragraph"/>
      </w:pPr>
      <w:r w:rsidRPr="003216A6">
        <w:lastRenderedPageBreak/>
        <w:tab/>
        <w:t>(c)</w:t>
      </w:r>
      <w:r w:rsidRPr="003216A6">
        <w:tab/>
        <w:t>made a request under section</w:t>
      </w:r>
      <w:r w:rsidR="003216A6" w:rsidRPr="003216A6">
        <w:t> </w:t>
      </w:r>
      <w:r w:rsidRPr="003216A6">
        <w:t>19AB;</w:t>
      </w:r>
    </w:p>
    <w:p w:rsidR="009B5A79" w:rsidRPr="003216A6" w:rsidRDefault="009B5A79" w:rsidP="003216A6">
      <w:pPr>
        <w:pStyle w:val="subsection2"/>
      </w:pPr>
      <w:r w:rsidRPr="003216A6">
        <w:t>the Minister is taken, for the purposes of section</w:t>
      </w:r>
      <w:r w:rsidR="00100B0D" w:rsidRPr="003216A6">
        <w:t>s</w:t>
      </w:r>
      <w:r w:rsidR="003216A6" w:rsidRPr="003216A6">
        <w:t> </w:t>
      </w:r>
      <w:r w:rsidR="00100B0D" w:rsidRPr="003216A6">
        <w:t>19AE and</w:t>
      </w:r>
      <w:r w:rsidR="002F6749" w:rsidRPr="003216A6">
        <w:t xml:space="preserve"> </w:t>
      </w:r>
      <w:r w:rsidRPr="003216A6">
        <w:t>66, to have refused the application on the last of the 60 days</w:t>
      </w:r>
      <w:r w:rsidR="002F6749" w:rsidRPr="003216A6">
        <w:t>.</w:t>
      </w:r>
    </w:p>
    <w:p w:rsidR="009B5A79" w:rsidRPr="003216A6" w:rsidRDefault="009B5A79" w:rsidP="003216A6">
      <w:pPr>
        <w:pStyle w:val="subsection"/>
      </w:pPr>
      <w:r w:rsidRPr="003216A6">
        <w:tab/>
        <w:t>(2)</w:t>
      </w:r>
      <w:r w:rsidRPr="003216A6">
        <w:tab/>
        <w:t>If:</w:t>
      </w:r>
    </w:p>
    <w:p w:rsidR="009B5A79" w:rsidRPr="003216A6" w:rsidRDefault="009B5A79" w:rsidP="003216A6">
      <w:pPr>
        <w:pStyle w:val="paragraph"/>
      </w:pPr>
      <w:r w:rsidRPr="003216A6">
        <w:tab/>
        <w:t>(a)</w:t>
      </w:r>
      <w:r w:rsidRPr="003216A6">
        <w:tab/>
        <w:t>the Minister gives an applicant notice under section</w:t>
      </w:r>
      <w:r w:rsidR="003216A6" w:rsidRPr="003216A6">
        <w:t> </w:t>
      </w:r>
      <w:r w:rsidRPr="003216A6">
        <w:t>19AB requiring the applicant to give to the Minister further information relating to the application; and</w:t>
      </w:r>
    </w:p>
    <w:p w:rsidR="009B5A79" w:rsidRPr="003216A6" w:rsidRDefault="009B5A79" w:rsidP="003216A6">
      <w:pPr>
        <w:pStyle w:val="paragraph"/>
      </w:pPr>
      <w:r w:rsidRPr="003216A6">
        <w:tab/>
        <w:t>(b)</w:t>
      </w:r>
      <w:r w:rsidRPr="003216A6">
        <w:tab/>
        <w:t>at the end of 60 days after the information is given to the Minister, the Minister has n</w:t>
      </w:r>
      <w:r w:rsidR="00F87076" w:rsidRPr="003216A6">
        <w:t>ot</w:t>
      </w:r>
      <w:r w:rsidRPr="003216A6">
        <w:t>:</w:t>
      </w:r>
    </w:p>
    <w:p w:rsidR="009B5A79" w:rsidRPr="003216A6" w:rsidRDefault="009B5A79" w:rsidP="003216A6">
      <w:pPr>
        <w:pStyle w:val="paragraphsub"/>
      </w:pPr>
      <w:r w:rsidRPr="003216A6">
        <w:tab/>
        <w:t>(i)</w:t>
      </w:r>
      <w:r w:rsidRPr="003216A6">
        <w:tab/>
        <w:t>renewed the licence under section</w:t>
      </w:r>
      <w:r w:rsidR="003216A6" w:rsidRPr="003216A6">
        <w:t> </w:t>
      </w:r>
      <w:r w:rsidR="00F87076" w:rsidRPr="003216A6">
        <w:t xml:space="preserve">19AC; </w:t>
      </w:r>
      <w:r w:rsidRPr="003216A6">
        <w:t>or</w:t>
      </w:r>
    </w:p>
    <w:p w:rsidR="009B5A79" w:rsidRPr="003216A6" w:rsidRDefault="009B5A79" w:rsidP="003216A6">
      <w:pPr>
        <w:pStyle w:val="paragraphsub"/>
      </w:pPr>
      <w:r w:rsidRPr="003216A6">
        <w:tab/>
        <w:t>(ii)</w:t>
      </w:r>
      <w:r w:rsidRPr="003216A6">
        <w:tab/>
        <w:t>refused the application under section</w:t>
      </w:r>
      <w:r w:rsidR="003216A6" w:rsidRPr="003216A6">
        <w:t> </w:t>
      </w:r>
      <w:r w:rsidRPr="003216A6">
        <w:t>19AC; or</w:t>
      </w:r>
    </w:p>
    <w:p w:rsidR="009B5A79" w:rsidRPr="003216A6" w:rsidRDefault="009B5A79" w:rsidP="003216A6">
      <w:pPr>
        <w:pStyle w:val="paragraphsub"/>
      </w:pPr>
      <w:r w:rsidRPr="003216A6">
        <w:tab/>
        <w:t>(iii)</w:t>
      </w:r>
      <w:r w:rsidRPr="003216A6">
        <w:tab/>
        <w:t>made a further request under section</w:t>
      </w:r>
      <w:r w:rsidR="003216A6" w:rsidRPr="003216A6">
        <w:t> </w:t>
      </w:r>
      <w:r w:rsidRPr="003216A6">
        <w:t>19AB;</w:t>
      </w:r>
    </w:p>
    <w:p w:rsidR="009B5A79" w:rsidRPr="003216A6" w:rsidRDefault="009B5A79" w:rsidP="003216A6">
      <w:pPr>
        <w:pStyle w:val="subsection2"/>
      </w:pPr>
      <w:r w:rsidRPr="003216A6">
        <w:t>the Minister is taken, for the purposes of section</w:t>
      </w:r>
      <w:r w:rsidR="00100B0D" w:rsidRPr="003216A6">
        <w:t>s</w:t>
      </w:r>
      <w:r w:rsidR="003216A6" w:rsidRPr="003216A6">
        <w:t> </w:t>
      </w:r>
      <w:r w:rsidR="00100B0D" w:rsidRPr="003216A6">
        <w:t>19AE and</w:t>
      </w:r>
      <w:r w:rsidR="002F6749" w:rsidRPr="003216A6">
        <w:t xml:space="preserve"> </w:t>
      </w:r>
      <w:r w:rsidRPr="003216A6">
        <w:t>66, to have refused the application on the last of the 60 days</w:t>
      </w:r>
      <w:r w:rsidR="002F6749" w:rsidRPr="003216A6">
        <w:t>.</w:t>
      </w:r>
    </w:p>
    <w:p w:rsidR="003F6966" w:rsidRPr="003216A6" w:rsidRDefault="003F6966" w:rsidP="003216A6">
      <w:pPr>
        <w:pStyle w:val="ActHead5"/>
      </w:pPr>
      <w:bookmarkStart w:id="69" w:name="_Toc486251908"/>
      <w:r w:rsidRPr="003216A6">
        <w:rPr>
          <w:rStyle w:val="CharSectno"/>
        </w:rPr>
        <w:t>19AE</w:t>
      </w:r>
      <w:r w:rsidRPr="003216A6">
        <w:t xml:space="preserve">  Deemed application for new licence</w:t>
      </w:r>
      <w:bookmarkEnd w:id="69"/>
    </w:p>
    <w:p w:rsidR="003F6966" w:rsidRPr="003216A6" w:rsidRDefault="003F6966" w:rsidP="003216A6">
      <w:pPr>
        <w:pStyle w:val="subsection"/>
      </w:pPr>
      <w:r w:rsidRPr="003216A6">
        <w:tab/>
      </w:r>
      <w:r w:rsidRPr="003216A6">
        <w:tab/>
        <w:t>If:</w:t>
      </w:r>
    </w:p>
    <w:p w:rsidR="003F6966" w:rsidRPr="003216A6" w:rsidRDefault="003F6966" w:rsidP="003216A6">
      <w:pPr>
        <w:pStyle w:val="paragraph"/>
      </w:pPr>
      <w:r w:rsidRPr="003216A6">
        <w:tab/>
        <w:t>(a)</w:t>
      </w:r>
      <w:r w:rsidRPr="003216A6">
        <w:tab/>
        <w:t>a person applies under section</w:t>
      </w:r>
      <w:r w:rsidR="003216A6" w:rsidRPr="003216A6">
        <w:t> </w:t>
      </w:r>
      <w:r w:rsidRPr="003216A6">
        <w:t>19AA for a renewal of a licence; and</w:t>
      </w:r>
    </w:p>
    <w:p w:rsidR="003F6966" w:rsidRPr="003216A6" w:rsidRDefault="003F6966" w:rsidP="003216A6">
      <w:pPr>
        <w:pStyle w:val="paragraph"/>
      </w:pPr>
      <w:r w:rsidRPr="003216A6">
        <w:tab/>
        <w:t>(b)</w:t>
      </w:r>
      <w:r w:rsidRPr="003216A6">
        <w:tab/>
        <w:t>the licence ceases to be in force</w:t>
      </w:r>
      <w:r w:rsidR="00EA5DFB" w:rsidRPr="003216A6">
        <w:t xml:space="preserve"> (other than because it is cancelled or terminated) before the Minister:</w:t>
      </w:r>
    </w:p>
    <w:p w:rsidR="00EA5DFB" w:rsidRPr="003216A6" w:rsidRDefault="00EA5DFB" w:rsidP="003216A6">
      <w:pPr>
        <w:pStyle w:val="paragraphsub"/>
      </w:pPr>
      <w:r w:rsidRPr="003216A6">
        <w:tab/>
        <w:t>(i)</w:t>
      </w:r>
      <w:r w:rsidRPr="003216A6">
        <w:tab/>
        <w:t>renews the licence under section</w:t>
      </w:r>
      <w:r w:rsidR="003216A6" w:rsidRPr="003216A6">
        <w:t> </w:t>
      </w:r>
      <w:r w:rsidRPr="003216A6">
        <w:t>19AC; or</w:t>
      </w:r>
    </w:p>
    <w:p w:rsidR="00EA5DFB" w:rsidRPr="003216A6" w:rsidRDefault="00EA5DFB" w:rsidP="003216A6">
      <w:pPr>
        <w:pStyle w:val="paragraphsub"/>
      </w:pPr>
      <w:r w:rsidRPr="003216A6">
        <w:tab/>
        <w:t>(</w:t>
      </w:r>
      <w:r w:rsidR="00E82A8E" w:rsidRPr="003216A6">
        <w:t>ii</w:t>
      </w:r>
      <w:r w:rsidRPr="003216A6">
        <w:t>)</w:t>
      </w:r>
      <w:r w:rsidRPr="003216A6">
        <w:tab/>
        <w:t>refuses the application under section</w:t>
      </w:r>
      <w:r w:rsidR="003216A6" w:rsidRPr="003216A6">
        <w:t> </w:t>
      </w:r>
      <w:r w:rsidRPr="003216A6">
        <w:t>19AC;</w:t>
      </w:r>
    </w:p>
    <w:p w:rsidR="00EA5DFB" w:rsidRPr="003216A6" w:rsidRDefault="00EA5DFB" w:rsidP="003216A6">
      <w:pPr>
        <w:pStyle w:val="subsection2"/>
      </w:pPr>
      <w:r w:rsidRPr="003216A6">
        <w:t xml:space="preserve">the person is taken to have applied </w:t>
      </w:r>
      <w:r w:rsidR="00105A70" w:rsidRPr="003216A6">
        <w:t xml:space="preserve">in accordance with </w:t>
      </w:r>
      <w:r w:rsidRPr="003216A6">
        <w:t>section</w:t>
      </w:r>
      <w:r w:rsidR="003216A6" w:rsidRPr="003216A6">
        <w:t> </w:t>
      </w:r>
      <w:r w:rsidRPr="003216A6">
        <w:t>14</w:t>
      </w:r>
      <w:r w:rsidR="00105A70" w:rsidRPr="003216A6">
        <w:t xml:space="preserve"> for a licence of the same ty</w:t>
      </w:r>
      <w:r w:rsidR="00F63AC9" w:rsidRPr="003216A6">
        <w:t>pe on the day after the</w:t>
      </w:r>
      <w:r w:rsidR="00105A70" w:rsidRPr="003216A6">
        <w:t xml:space="preserve"> licence cease</w:t>
      </w:r>
      <w:r w:rsidR="00E82A8E" w:rsidRPr="003216A6">
        <w:t>d</w:t>
      </w:r>
      <w:r w:rsidR="00105A70" w:rsidRPr="003216A6">
        <w:t xml:space="preserve"> to be in force</w:t>
      </w:r>
      <w:r w:rsidR="002F6749" w:rsidRPr="003216A6">
        <w:t>.</w:t>
      </w:r>
    </w:p>
    <w:p w:rsidR="009B5A79" w:rsidRPr="003216A6" w:rsidRDefault="009B5A79" w:rsidP="003216A6">
      <w:pPr>
        <w:pStyle w:val="ActHead3"/>
      </w:pPr>
      <w:bookmarkStart w:id="70" w:name="_Toc486251909"/>
      <w:r w:rsidRPr="003216A6">
        <w:rPr>
          <w:rStyle w:val="CharDivNo"/>
        </w:rPr>
        <w:t>Division</w:t>
      </w:r>
      <w:r w:rsidR="003216A6" w:rsidRPr="003216A6">
        <w:rPr>
          <w:rStyle w:val="CharDivNo"/>
        </w:rPr>
        <w:t> </w:t>
      </w:r>
      <w:r w:rsidRPr="003216A6">
        <w:rPr>
          <w:rStyle w:val="CharDivNo"/>
        </w:rPr>
        <w:t>6</w:t>
      </w:r>
      <w:r w:rsidRPr="003216A6">
        <w:t>—</w:t>
      </w:r>
      <w:r w:rsidRPr="003216A6">
        <w:rPr>
          <w:rStyle w:val="CharDivText"/>
        </w:rPr>
        <w:t>Other changes to licences</w:t>
      </w:r>
      <w:bookmarkEnd w:id="70"/>
    </w:p>
    <w:p w:rsidR="009B5A79" w:rsidRPr="003216A6" w:rsidRDefault="00B13916" w:rsidP="003216A6">
      <w:pPr>
        <w:pStyle w:val="ItemHead"/>
      </w:pPr>
      <w:r w:rsidRPr="003216A6">
        <w:t>11</w:t>
      </w:r>
      <w:r w:rsidR="009B5A79" w:rsidRPr="003216A6">
        <w:t xml:space="preserve">  Subsection</w:t>
      </w:r>
      <w:r w:rsidR="003216A6" w:rsidRPr="003216A6">
        <w:t> </w:t>
      </w:r>
      <w:r w:rsidR="009B5A79" w:rsidRPr="003216A6">
        <w:t>19A(2)</w:t>
      </w:r>
    </w:p>
    <w:p w:rsidR="009B5A79" w:rsidRPr="003216A6" w:rsidRDefault="009B5A79" w:rsidP="003216A6">
      <w:pPr>
        <w:pStyle w:val="Item"/>
      </w:pPr>
      <w:r w:rsidRPr="003216A6">
        <w:t>Repeal the subsection, substitute:</w:t>
      </w:r>
    </w:p>
    <w:p w:rsidR="009B5A79" w:rsidRPr="003216A6" w:rsidRDefault="009B5A79" w:rsidP="003216A6">
      <w:pPr>
        <w:pStyle w:val="subsection"/>
      </w:pPr>
      <w:r w:rsidRPr="003216A6">
        <w:tab/>
        <w:t>(2)</w:t>
      </w:r>
      <w:r w:rsidRPr="003216A6">
        <w:tab/>
        <w:t>The Minister must not terminate a licence unless satisfied that it is necessary to do so for the purpose of giving effect to an adjustment or amendment of:</w:t>
      </w:r>
    </w:p>
    <w:p w:rsidR="009B5A79" w:rsidRPr="003216A6" w:rsidRDefault="009B5A79" w:rsidP="003216A6">
      <w:pPr>
        <w:pStyle w:val="paragraph"/>
      </w:pPr>
      <w:r w:rsidRPr="003216A6">
        <w:tab/>
        <w:t>(a)</w:t>
      </w:r>
      <w:r w:rsidRPr="003216A6">
        <w:tab/>
        <w:t>the Montreal Protocol; or</w:t>
      </w:r>
    </w:p>
    <w:p w:rsidR="009B5A79" w:rsidRPr="003216A6" w:rsidRDefault="009B5A79" w:rsidP="003216A6">
      <w:pPr>
        <w:pStyle w:val="paragraph"/>
      </w:pPr>
      <w:r w:rsidRPr="003216A6">
        <w:lastRenderedPageBreak/>
        <w:tab/>
        <w:t>(b)</w:t>
      </w:r>
      <w:r w:rsidRPr="003216A6">
        <w:tab/>
        <w:t>the Framework Convention on Climate Change; or</w:t>
      </w:r>
    </w:p>
    <w:p w:rsidR="009B5A79" w:rsidRPr="003216A6" w:rsidRDefault="009B5A79" w:rsidP="003216A6">
      <w:pPr>
        <w:pStyle w:val="paragraph"/>
      </w:pPr>
      <w:r w:rsidRPr="003216A6">
        <w:tab/>
        <w:t>(c)</w:t>
      </w:r>
      <w:r w:rsidRPr="003216A6">
        <w:tab/>
        <w:t>the Kyoto Protocol</w:t>
      </w:r>
      <w:r w:rsidR="002F6749" w:rsidRPr="003216A6">
        <w:t>.</w:t>
      </w:r>
    </w:p>
    <w:p w:rsidR="009B5A79" w:rsidRPr="003216A6" w:rsidRDefault="00B13916" w:rsidP="003216A6">
      <w:pPr>
        <w:pStyle w:val="ItemHead"/>
      </w:pPr>
      <w:r w:rsidRPr="003216A6">
        <w:t>12</w:t>
      </w:r>
      <w:r w:rsidR="009B5A79" w:rsidRPr="003216A6">
        <w:t xml:space="preserve">  Before section</w:t>
      </w:r>
      <w:r w:rsidR="003216A6" w:rsidRPr="003216A6">
        <w:t> </w:t>
      </w:r>
      <w:r w:rsidR="009B5A79" w:rsidRPr="003216A6">
        <w:t>22</w:t>
      </w:r>
    </w:p>
    <w:p w:rsidR="009B5A79" w:rsidRPr="003216A6" w:rsidRDefault="009B5A79" w:rsidP="003216A6">
      <w:pPr>
        <w:pStyle w:val="Item"/>
      </w:pPr>
      <w:r w:rsidRPr="003216A6">
        <w:t>Insert:</w:t>
      </w:r>
    </w:p>
    <w:p w:rsidR="009B5A79" w:rsidRPr="003216A6" w:rsidRDefault="009B5A79" w:rsidP="003216A6">
      <w:pPr>
        <w:pStyle w:val="ActHead3"/>
      </w:pPr>
      <w:bookmarkStart w:id="71" w:name="_Toc486251910"/>
      <w:r w:rsidRPr="003216A6">
        <w:rPr>
          <w:rStyle w:val="CharDivNo"/>
        </w:rPr>
        <w:t>Division</w:t>
      </w:r>
      <w:r w:rsidR="003216A6" w:rsidRPr="003216A6">
        <w:rPr>
          <w:rStyle w:val="CharDivNo"/>
        </w:rPr>
        <w:t> </w:t>
      </w:r>
      <w:r w:rsidRPr="003216A6">
        <w:rPr>
          <w:rStyle w:val="CharDivNo"/>
        </w:rPr>
        <w:t>7</w:t>
      </w:r>
      <w:r w:rsidRPr="003216A6">
        <w:t>—</w:t>
      </w:r>
      <w:r w:rsidRPr="003216A6">
        <w:rPr>
          <w:rStyle w:val="CharDivText"/>
        </w:rPr>
        <w:t>Other provisions</w:t>
      </w:r>
      <w:bookmarkEnd w:id="71"/>
    </w:p>
    <w:p w:rsidR="009B5A79" w:rsidRPr="003216A6" w:rsidRDefault="00B13916" w:rsidP="003216A6">
      <w:pPr>
        <w:pStyle w:val="ItemHead"/>
      </w:pPr>
      <w:r w:rsidRPr="003216A6">
        <w:t>13</w:t>
      </w:r>
      <w:r w:rsidR="009B5A79" w:rsidRPr="003216A6">
        <w:t xml:space="preserve">  After paragraph</w:t>
      </w:r>
      <w:r w:rsidR="003216A6" w:rsidRPr="003216A6">
        <w:t> </w:t>
      </w:r>
      <w:r w:rsidR="009B5A79" w:rsidRPr="003216A6">
        <w:t>66(b)</w:t>
      </w:r>
    </w:p>
    <w:p w:rsidR="009B5A79" w:rsidRPr="003216A6" w:rsidRDefault="009B5A79" w:rsidP="003216A6">
      <w:pPr>
        <w:pStyle w:val="Item"/>
      </w:pPr>
      <w:r w:rsidRPr="003216A6">
        <w:t>Insert:</w:t>
      </w:r>
    </w:p>
    <w:p w:rsidR="009B5A79" w:rsidRPr="003216A6" w:rsidRDefault="009B5A79" w:rsidP="003216A6">
      <w:pPr>
        <w:pStyle w:val="paragraph"/>
      </w:pPr>
      <w:r w:rsidRPr="003216A6">
        <w:tab/>
        <w:t>(baa)</w:t>
      </w:r>
      <w:r w:rsidRPr="003216A6">
        <w:tab/>
        <w:t>a decision refusing to renew a licence under section</w:t>
      </w:r>
      <w:r w:rsidR="003216A6" w:rsidRPr="003216A6">
        <w:t> </w:t>
      </w:r>
      <w:r w:rsidRPr="003216A6">
        <w:t>19AC (including a decision that is taken to have been made under section</w:t>
      </w:r>
      <w:r w:rsidR="003216A6" w:rsidRPr="003216A6">
        <w:t> </w:t>
      </w:r>
      <w:r w:rsidRPr="003216A6">
        <w:t>19AD);</w:t>
      </w:r>
    </w:p>
    <w:p w:rsidR="009B5A79" w:rsidRPr="003216A6" w:rsidRDefault="009B5A79" w:rsidP="003216A6">
      <w:pPr>
        <w:pStyle w:val="ActHead8"/>
      </w:pPr>
      <w:bookmarkStart w:id="72" w:name="_Toc486251911"/>
      <w:r w:rsidRPr="003216A6">
        <w:t>Division</w:t>
      </w:r>
      <w:r w:rsidR="003216A6" w:rsidRPr="003216A6">
        <w:t> </w:t>
      </w:r>
      <w:r w:rsidRPr="003216A6">
        <w:t>2—Equipment licences</w:t>
      </w:r>
      <w:bookmarkEnd w:id="72"/>
    </w:p>
    <w:p w:rsidR="009B5A79" w:rsidRPr="003216A6" w:rsidRDefault="009B5A79" w:rsidP="003216A6">
      <w:pPr>
        <w:pStyle w:val="ActHead9"/>
        <w:rPr>
          <w:i w:val="0"/>
        </w:rPr>
      </w:pPr>
      <w:bookmarkStart w:id="73" w:name="_Toc486251912"/>
      <w:r w:rsidRPr="003216A6">
        <w:t>Ozone Protection and Synthetic Greenhouse Gas (Import Levy) Act 1995</w:t>
      </w:r>
      <w:bookmarkEnd w:id="73"/>
    </w:p>
    <w:p w:rsidR="009B5A79" w:rsidRPr="003216A6" w:rsidRDefault="00B13916" w:rsidP="003216A6">
      <w:pPr>
        <w:pStyle w:val="ItemHead"/>
      </w:pPr>
      <w:r w:rsidRPr="003216A6">
        <w:t>14</w:t>
      </w:r>
      <w:r w:rsidR="009B5A79" w:rsidRPr="003216A6">
        <w:t xml:space="preserve">  Paragraph 4A(1)(a)</w:t>
      </w:r>
    </w:p>
    <w:p w:rsidR="009B5A79" w:rsidRPr="003216A6" w:rsidRDefault="009B5A79" w:rsidP="003216A6">
      <w:pPr>
        <w:pStyle w:val="Item"/>
      </w:pPr>
      <w:r w:rsidRPr="003216A6">
        <w:t xml:space="preserve">Omit </w:t>
      </w:r>
      <w:r w:rsidR="00BF3C85" w:rsidRPr="003216A6">
        <w:t>“</w:t>
      </w:r>
      <w:r w:rsidRPr="003216A6">
        <w:t>ODS/SGG</w:t>
      </w:r>
      <w:r w:rsidR="00BF3C85" w:rsidRPr="003216A6">
        <w:t>”</w:t>
      </w:r>
      <w:r w:rsidR="002F6749" w:rsidRPr="003216A6">
        <w:t>.</w:t>
      </w:r>
    </w:p>
    <w:p w:rsidR="009B5A79" w:rsidRPr="003216A6" w:rsidRDefault="00B13916" w:rsidP="003216A6">
      <w:pPr>
        <w:pStyle w:val="ItemHead"/>
      </w:pPr>
      <w:r w:rsidRPr="003216A6">
        <w:t>15</w:t>
      </w:r>
      <w:r w:rsidR="009B5A79" w:rsidRPr="003216A6">
        <w:t xml:space="preserve">  Paragraph 4B(1)(a)</w:t>
      </w:r>
    </w:p>
    <w:p w:rsidR="009B5A79" w:rsidRPr="003216A6" w:rsidRDefault="009B5A79" w:rsidP="003216A6">
      <w:pPr>
        <w:pStyle w:val="Item"/>
      </w:pPr>
      <w:r w:rsidRPr="003216A6">
        <w:t xml:space="preserve">Omit </w:t>
      </w:r>
      <w:r w:rsidR="00BF3C85" w:rsidRPr="003216A6">
        <w:t>“</w:t>
      </w:r>
      <w:r w:rsidRPr="003216A6">
        <w:t>ODS/SGG</w:t>
      </w:r>
      <w:r w:rsidR="00BF3C85" w:rsidRPr="003216A6">
        <w:t>”</w:t>
      </w:r>
      <w:r w:rsidR="002F6749" w:rsidRPr="003216A6">
        <w:t>.</w:t>
      </w:r>
    </w:p>
    <w:p w:rsidR="009B5A79" w:rsidRPr="003216A6" w:rsidRDefault="009B5A79" w:rsidP="003216A6">
      <w:pPr>
        <w:pStyle w:val="ActHead9"/>
        <w:rPr>
          <w:i w:val="0"/>
        </w:rPr>
      </w:pPr>
      <w:bookmarkStart w:id="74" w:name="_Toc486251913"/>
      <w:r w:rsidRPr="003216A6">
        <w:t>Ozone Protection and Synthetic Greenhouse Gas Management Act 1989</w:t>
      </w:r>
      <w:bookmarkEnd w:id="74"/>
    </w:p>
    <w:p w:rsidR="009B5A79" w:rsidRPr="003216A6" w:rsidRDefault="00B13916" w:rsidP="003216A6">
      <w:pPr>
        <w:pStyle w:val="ItemHead"/>
      </w:pPr>
      <w:r w:rsidRPr="003216A6">
        <w:t>16</w:t>
      </w:r>
      <w:r w:rsidR="009B5A79" w:rsidRPr="003216A6">
        <w:t xml:space="preserve">  Section</w:t>
      </w:r>
      <w:r w:rsidR="003216A6" w:rsidRPr="003216A6">
        <w:t> </w:t>
      </w:r>
      <w:r w:rsidR="009B5A79" w:rsidRPr="003216A6">
        <w:t>7</w:t>
      </w:r>
    </w:p>
    <w:p w:rsidR="009B5A79" w:rsidRPr="003216A6" w:rsidRDefault="009B5A79" w:rsidP="003216A6">
      <w:pPr>
        <w:pStyle w:val="Item"/>
      </w:pPr>
      <w:r w:rsidRPr="003216A6">
        <w:t>Insert:</w:t>
      </w:r>
    </w:p>
    <w:p w:rsidR="009B5A79" w:rsidRPr="003216A6" w:rsidRDefault="009B5A79" w:rsidP="003216A6">
      <w:pPr>
        <w:pStyle w:val="Definition"/>
      </w:pPr>
      <w:r w:rsidRPr="003216A6">
        <w:rPr>
          <w:b/>
          <w:i/>
        </w:rPr>
        <w:t>equipment licence</w:t>
      </w:r>
      <w:r w:rsidRPr="003216A6">
        <w:t xml:space="preserve"> means a licence referred to in subsection</w:t>
      </w:r>
      <w:r w:rsidR="003216A6" w:rsidRPr="003216A6">
        <w:t> </w:t>
      </w:r>
      <w:r w:rsidRPr="003216A6">
        <w:t>13A(5)</w:t>
      </w:r>
      <w:r w:rsidR="002F6749" w:rsidRPr="003216A6">
        <w:t>.</w:t>
      </w:r>
    </w:p>
    <w:p w:rsidR="009B5A79" w:rsidRPr="003216A6" w:rsidRDefault="00B13916" w:rsidP="003216A6">
      <w:pPr>
        <w:pStyle w:val="ItemHead"/>
      </w:pPr>
      <w:r w:rsidRPr="003216A6">
        <w:t>17</w:t>
      </w:r>
      <w:r w:rsidR="009B5A79" w:rsidRPr="003216A6">
        <w:t xml:space="preserve">  Section</w:t>
      </w:r>
      <w:r w:rsidR="003216A6" w:rsidRPr="003216A6">
        <w:t> </w:t>
      </w:r>
      <w:r w:rsidR="009B5A79" w:rsidRPr="003216A6">
        <w:t xml:space="preserve">7 (definition of </w:t>
      </w:r>
      <w:r w:rsidR="009B5A79" w:rsidRPr="003216A6">
        <w:rPr>
          <w:i/>
        </w:rPr>
        <w:t>licence</w:t>
      </w:r>
      <w:r w:rsidR="009B5A79" w:rsidRPr="003216A6">
        <w:t>)</w:t>
      </w:r>
    </w:p>
    <w:p w:rsidR="009B5A79" w:rsidRPr="003216A6" w:rsidRDefault="009B5A79" w:rsidP="003216A6">
      <w:pPr>
        <w:pStyle w:val="Item"/>
      </w:pPr>
      <w:r w:rsidRPr="003216A6">
        <w:t xml:space="preserve">Omit </w:t>
      </w:r>
      <w:r w:rsidR="00BF3C85" w:rsidRPr="003216A6">
        <w:t>“</w:t>
      </w:r>
      <w:r w:rsidRPr="003216A6">
        <w:t>ODS/SGG</w:t>
      </w:r>
      <w:r w:rsidR="00BF3C85" w:rsidRPr="003216A6">
        <w:t>”</w:t>
      </w:r>
      <w:r w:rsidR="002F6749" w:rsidRPr="003216A6">
        <w:t>.</w:t>
      </w:r>
    </w:p>
    <w:p w:rsidR="009B5A79" w:rsidRPr="003216A6" w:rsidRDefault="00B13916" w:rsidP="003216A6">
      <w:pPr>
        <w:pStyle w:val="ItemHead"/>
      </w:pPr>
      <w:r w:rsidRPr="003216A6">
        <w:lastRenderedPageBreak/>
        <w:t>18</w:t>
      </w:r>
      <w:r w:rsidR="009B5A79" w:rsidRPr="003216A6">
        <w:t xml:space="preserve">  Section</w:t>
      </w:r>
      <w:r w:rsidR="003216A6" w:rsidRPr="003216A6">
        <w:t> </w:t>
      </w:r>
      <w:r w:rsidR="009B5A79" w:rsidRPr="003216A6">
        <w:t xml:space="preserve">7 (definition of </w:t>
      </w:r>
      <w:r w:rsidR="009B5A79" w:rsidRPr="003216A6">
        <w:rPr>
          <w:i/>
        </w:rPr>
        <w:t>ODS/SGG equipment licence</w:t>
      </w:r>
      <w:r w:rsidR="009B5A79" w:rsidRPr="003216A6">
        <w:t>)</w:t>
      </w:r>
    </w:p>
    <w:p w:rsidR="009B5A79" w:rsidRPr="003216A6" w:rsidRDefault="009B5A79" w:rsidP="003216A6">
      <w:pPr>
        <w:pStyle w:val="Item"/>
      </w:pPr>
      <w:r w:rsidRPr="003216A6">
        <w:t>Repeal the definition</w:t>
      </w:r>
      <w:r w:rsidR="002F6749" w:rsidRPr="003216A6">
        <w:t>.</w:t>
      </w:r>
    </w:p>
    <w:p w:rsidR="009B5A79" w:rsidRPr="003216A6" w:rsidRDefault="00B13916" w:rsidP="003216A6">
      <w:pPr>
        <w:pStyle w:val="ItemHead"/>
      </w:pPr>
      <w:r w:rsidRPr="003216A6">
        <w:t>19</w:t>
      </w:r>
      <w:r w:rsidR="009B5A79" w:rsidRPr="003216A6">
        <w:t xml:space="preserve">  Section</w:t>
      </w:r>
      <w:r w:rsidR="003216A6" w:rsidRPr="003216A6">
        <w:t> </w:t>
      </w:r>
      <w:r w:rsidR="009B5A79" w:rsidRPr="003216A6">
        <w:t>7</w:t>
      </w:r>
    </w:p>
    <w:p w:rsidR="009B5A79" w:rsidRPr="003216A6" w:rsidRDefault="009B5A79" w:rsidP="003216A6">
      <w:pPr>
        <w:pStyle w:val="Item"/>
      </w:pPr>
      <w:r w:rsidRPr="003216A6">
        <w:t>Insert:</w:t>
      </w:r>
    </w:p>
    <w:p w:rsidR="009B5A79" w:rsidRPr="003216A6" w:rsidRDefault="009B5A79" w:rsidP="003216A6">
      <w:pPr>
        <w:pStyle w:val="Definition"/>
      </w:pPr>
      <w:r w:rsidRPr="003216A6">
        <w:rPr>
          <w:b/>
          <w:i/>
        </w:rPr>
        <w:t>Schedule</w:t>
      </w:r>
      <w:r w:rsidR="003216A6" w:rsidRPr="003216A6">
        <w:rPr>
          <w:b/>
          <w:i/>
        </w:rPr>
        <w:t> </w:t>
      </w:r>
      <w:r w:rsidRPr="003216A6">
        <w:rPr>
          <w:b/>
          <w:i/>
        </w:rPr>
        <w:t>4 activity</w:t>
      </w:r>
      <w:r w:rsidRPr="003216A6">
        <w:t xml:space="preserve"> means the manufacturing or importing of equipment if:</w:t>
      </w:r>
    </w:p>
    <w:p w:rsidR="009B5A79" w:rsidRPr="003216A6" w:rsidRDefault="009B5A79" w:rsidP="003216A6">
      <w:pPr>
        <w:pStyle w:val="paragraph"/>
      </w:pPr>
      <w:r w:rsidRPr="003216A6">
        <w:tab/>
        <w:t>(a)</w:t>
      </w:r>
      <w:r w:rsidRPr="003216A6">
        <w:tab/>
        <w:t>the equipment contains scheduled substances, or uses scheduled substances in its operation; and</w:t>
      </w:r>
    </w:p>
    <w:p w:rsidR="009B5A79" w:rsidRPr="003216A6" w:rsidRDefault="009B5A79" w:rsidP="003216A6">
      <w:pPr>
        <w:pStyle w:val="paragraph"/>
      </w:pPr>
      <w:r w:rsidRPr="003216A6">
        <w:tab/>
        <w:t>(b)</w:t>
      </w:r>
      <w:r w:rsidRPr="003216A6">
        <w:tab/>
        <w:t>the manufacturing or importing contravenes Schedule</w:t>
      </w:r>
      <w:r w:rsidR="003216A6" w:rsidRPr="003216A6">
        <w:t> </w:t>
      </w:r>
      <w:r w:rsidRPr="003216A6">
        <w:t>4 (disregarding subsections</w:t>
      </w:r>
      <w:r w:rsidR="003216A6" w:rsidRPr="003216A6">
        <w:t> </w:t>
      </w:r>
      <w:r w:rsidR="00F55B02" w:rsidRPr="003216A6">
        <w:t>13(2) and (5</w:t>
      </w:r>
      <w:r w:rsidRPr="003216A6">
        <w:t>))</w:t>
      </w:r>
      <w:r w:rsidR="002F6749" w:rsidRPr="003216A6">
        <w:t>.</w:t>
      </w:r>
    </w:p>
    <w:p w:rsidR="009B5A79" w:rsidRPr="003216A6" w:rsidRDefault="009B5A79" w:rsidP="003216A6">
      <w:pPr>
        <w:pStyle w:val="Definition"/>
      </w:pPr>
      <w:r w:rsidRPr="003216A6">
        <w:rPr>
          <w:b/>
          <w:i/>
        </w:rPr>
        <w:t>section</w:t>
      </w:r>
      <w:r w:rsidR="003216A6" w:rsidRPr="003216A6">
        <w:rPr>
          <w:b/>
          <w:i/>
        </w:rPr>
        <w:t> </w:t>
      </w:r>
      <w:r w:rsidRPr="003216A6">
        <w:rPr>
          <w:b/>
          <w:i/>
        </w:rPr>
        <w:t>69G activity</w:t>
      </w:r>
      <w:r w:rsidRPr="003216A6">
        <w:t xml:space="preserve"> means the manufacturing or importing of equipment in contravention of regulations made for the purposes of section</w:t>
      </w:r>
      <w:r w:rsidR="003216A6" w:rsidRPr="003216A6">
        <w:t> </w:t>
      </w:r>
      <w:r w:rsidRPr="003216A6">
        <w:t>69G (disregarding subsections</w:t>
      </w:r>
      <w:r w:rsidR="003216A6" w:rsidRPr="003216A6">
        <w:t> </w:t>
      </w:r>
      <w:r w:rsidRPr="003216A6">
        <w:t>69G(4) and (5))</w:t>
      </w:r>
      <w:r w:rsidR="002F6749" w:rsidRPr="003216A6">
        <w:t>.</w:t>
      </w:r>
    </w:p>
    <w:p w:rsidR="009B5A79" w:rsidRPr="003216A6" w:rsidRDefault="00B13916" w:rsidP="003216A6">
      <w:pPr>
        <w:pStyle w:val="ItemHead"/>
      </w:pPr>
      <w:r w:rsidRPr="003216A6">
        <w:t>20</w:t>
      </w:r>
      <w:r w:rsidR="009B5A79" w:rsidRPr="003216A6">
        <w:t xml:space="preserve">  At the end of paragraph</w:t>
      </w:r>
      <w:r w:rsidR="003216A6" w:rsidRPr="003216A6">
        <w:t> </w:t>
      </w:r>
      <w:r w:rsidR="009B5A79" w:rsidRPr="003216A6">
        <w:t>13(1)(b)</w:t>
      </w:r>
    </w:p>
    <w:p w:rsidR="009B5A79" w:rsidRPr="003216A6" w:rsidRDefault="009B5A79" w:rsidP="003216A6">
      <w:pPr>
        <w:pStyle w:val="Item"/>
      </w:pPr>
      <w:r w:rsidRPr="003216A6">
        <w:t xml:space="preserve">Add </w:t>
      </w:r>
      <w:r w:rsidR="00BF3C85" w:rsidRPr="003216A6">
        <w:t>“</w:t>
      </w:r>
      <w:r w:rsidRPr="003216A6">
        <w:t>(other than by carrying out a Schedule</w:t>
      </w:r>
      <w:r w:rsidR="003216A6" w:rsidRPr="003216A6">
        <w:t> </w:t>
      </w:r>
      <w:r w:rsidRPr="003216A6">
        <w:t>4 activity or a section</w:t>
      </w:r>
      <w:r w:rsidR="003216A6" w:rsidRPr="003216A6">
        <w:t> </w:t>
      </w:r>
      <w:r w:rsidRPr="003216A6">
        <w:t>69G activity)</w:t>
      </w:r>
      <w:r w:rsidR="00BF3C85" w:rsidRPr="003216A6">
        <w:t>”</w:t>
      </w:r>
      <w:r w:rsidR="002F6749" w:rsidRPr="003216A6">
        <w:t>.</w:t>
      </w:r>
    </w:p>
    <w:p w:rsidR="009B5A79" w:rsidRPr="003216A6" w:rsidRDefault="00B13916" w:rsidP="003216A6">
      <w:pPr>
        <w:pStyle w:val="ItemHead"/>
      </w:pPr>
      <w:r w:rsidRPr="003216A6">
        <w:t>21</w:t>
      </w:r>
      <w:r w:rsidR="009B5A79" w:rsidRPr="003216A6">
        <w:t xml:space="preserve">  At the end of subsection</w:t>
      </w:r>
      <w:r w:rsidR="003216A6" w:rsidRPr="003216A6">
        <w:t> </w:t>
      </w:r>
      <w:r w:rsidR="009B5A79" w:rsidRPr="003216A6">
        <w:t>13(1)</w:t>
      </w:r>
    </w:p>
    <w:p w:rsidR="009B5A79" w:rsidRPr="003216A6" w:rsidRDefault="009B5A79" w:rsidP="003216A6">
      <w:pPr>
        <w:pStyle w:val="Item"/>
      </w:pPr>
      <w:r w:rsidRPr="003216A6">
        <w:t>Add:</w:t>
      </w:r>
    </w:p>
    <w:p w:rsidR="009B5A79" w:rsidRPr="003216A6" w:rsidRDefault="009B5A79" w:rsidP="003216A6">
      <w:pPr>
        <w:pStyle w:val="paragraph"/>
      </w:pPr>
      <w:r w:rsidRPr="003216A6">
        <w:tab/>
        <w:t>; or (c)</w:t>
      </w:r>
      <w:r w:rsidRPr="003216A6">
        <w:tab/>
        <w:t>carry out a Schedule</w:t>
      </w:r>
      <w:r w:rsidR="003216A6" w:rsidRPr="003216A6">
        <w:t> </w:t>
      </w:r>
      <w:r w:rsidRPr="003216A6">
        <w:t>4 activity</w:t>
      </w:r>
      <w:r w:rsidR="002F6749" w:rsidRPr="003216A6">
        <w:t>.</w:t>
      </w:r>
    </w:p>
    <w:p w:rsidR="009B5A79" w:rsidRPr="003216A6" w:rsidRDefault="009B5A79" w:rsidP="003216A6">
      <w:pPr>
        <w:pStyle w:val="notetext"/>
      </w:pPr>
      <w:r w:rsidRPr="003216A6">
        <w:t>Note:</w:t>
      </w:r>
      <w:r w:rsidRPr="003216A6">
        <w:tab/>
        <w:t>Section</w:t>
      </w:r>
      <w:r w:rsidR="003216A6" w:rsidRPr="003216A6">
        <w:t> </w:t>
      </w:r>
      <w:r w:rsidRPr="003216A6">
        <w:t>69G activities are prohibited by regulations made for the purposes of section</w:t>
      </w:r>
      <w:r w:rsidR="003216A6" w:rsidRPr="003216A6">
        <w:t> </w:t>
      </w:r>
      <w:r w:rsidRPr="003216A6">
        <w:t>69G</w:t>
      </w:r>
      <w:r w:rsidR="002F6749" w:rsidRPr="003216A6">
        <w:t>.</w:t>
      </w:r>
    </w:p>
    <w:p w:rsidR="009B5A79" w:rsidRPr="003216A6" w:rsidRDefault="00B13916" w:rsidP="003216A6">
      <w:pPr>
        <w:pStyle w:val="ItemHead"/>
      </w:pPr>
      <w:r w:rsidRPr="003216A6">
        <w:t>22</w:t>
      </w:r>
      <w:r w:rsidR="009B5A79" w:rsidRPr="003216A6">
        <w:t xml:space="preserve">  Subsection</w:t>
      </w:r>
      <w:r w:rsidR="003216A6" w:rsidRPr="003216A6">
        <w:t> </w:t>
      </w:r>
      <w:r w:rsidR="009B5A79" w:rsidRPr="003216A6">
        <w:t>13(</w:t>
      </w:r>
      <w:r w:rsidR="00F55B02" w:rsidRPr="003216A6">
        <w:t>5</w:t>
      </w:r>
      <w:r w:rsidR="009B5A79" w:rsidRPr="003216A6">
        <w:t>)</w:t>
      </w:r>
    </w:p>
    <w:p w:rsidR="009B5A79" w:rsidRPr="003216A6" w:rsidRDefault="009B5A79" w:rsidP="003216A6">
      <w:pPr>
        <w:pStyle w:val="Item"/>
      </w:pPr>
      <w:r w:rsidRPr="003216A6">
        <w:t xml:space="preserve">After </w:t>
      </w:r>
      <w:r w:rsidR="00BF3C85" w:rsidRPr="003216A6">
        <w:t>“</w:t>
      </w:r>
      <w:r w:rsidR="003216A6" w:rsidRPr="003216A6">
        <w:t>Paragraph (</w:t>
      </w:r>
      <w:r w:rsidRPr="003216A6">
        <w:t>1)(b)</w:t>
      </w:r>
      <w:r w:rsidR="00BF3C85" w:rsidRPr="003216A6">
        <w:t>”</w:t>
      </w:r>
      <w:r w:rsidRPr="003216A6">
        <w:t xml:space="preserve">, insert </w:t>
      </w:r>
      <w:r w:rsidR="00BF3C85" w:rsidRPr="003216A6">
        <w:t>“</w:t>
      </w:r>
      <w:r w:rsidRPr="003216A6">
        <w:t>or (c)</w:t>
      </w:r>
      <w:r w:rsidR="00BF3C85" w:rsidRPr="003216A6">
        <w:t>”</w:t>
      </w:r>
      <w:r w:rsidR="002F6749" w:rsidRPr="003216A6">
        <w:t>.</w:t>
      </w:r>
    </w:p>
    <w:p w:rsidR="009B5A79" w:rsidRPr="003216A6" w:rsidRDefault="00B13916" w:rsidP="003216A6">
      <w:pPr>
        <w:pStyle w:val="ItemHead"/>
      </w:pPr>
      <w:r w:rsidRPr="003216A6">
        <w:t>23</w:t>
      </w:r>
      <w:r w:rsidR="009B5A79" w:rsidRPr="003216A6">
        <w:t xml:space="preserve">  Before subsection</w:t>
      </w:r>
      <w:r w:rsidR="003216A6" w:rsidRPr="003216A6">
        <w:t> </w:t>
      </w:r>
      <w:r w:rsidR="009B5A79" w:rsidRPr="003216A6">
        <w:t>13A(2)</w:t>
      </w:r>
    </w:p>
    <w:p w:rsidR="009B5A79" w:rsidRPr="003216A6" w:rsidRDefault="009B5A79" w:rsidP="003216A6">
      <w:pPr>
        <w:pStyle w:val="Item"/>
      </w:pPr>
      <w:r w:rsidRPr="003216A6">
        <w:t>Insert:</w:t>
      </w:r>
    </w:p>
    <w:p w:rsidR="009B5A79" w:rsidRPr="003216A6" w:rsidRDefault="009B5A79" w:rsidP="003216A6">
      <w:pPr>
        <w:pStyle w:val="SubsectionHead"/>
      </w:pPr>
      <w:r w:rsidRPr="003216A6">
        <w:t>Controlled substances licence</w:t>
      </w:r>
    </w:p>
    <w:p w:rsidR="009B5A79" w:rsidRPr="003216A6" w:rsidRDefault="00B13916" w:rsidP="003216A6">
      <w:pPr>
        <w:pStyle w:val="ItemHead"/>
      </w:pPr>
      <w:r w:rsidRPr="003216A6">
        <w:t>24</w:t>
      </w:r>
      <w:r w:rsidR="009B5A79" w:rsidRPr="003216A6">
        <w:t xml:space="preserve">  Before subsection</w:t>
      </w:r>
      <w:r w:rsidR="003216A6" w:rsidRPr="003216A6">
        <w:t> </w:t>
      </w:r>
      <w:r w:rsidR="009B5A79" w:rsidRPr="003216A6">
        <w:t>13A(3)</w:t>
      </w:r>
    </w:p>
    <w:p w:rsidR="009B5A79" w:rsidRPr="003216A6" w:rsidRDefault="009B5A79" w:rsidP="003216A6">
      <w:pPr>
        <w:pStyle w:val="Item"/>
      </w:pPr>
      <w:r w:rsidRPr="003216A6">
        <w:t>Insert:</w:t>
      </w:r>
    </w:p>
    <w:p w:rsidR="009B5A79" w:rsidRPr="003216A6" w:rsidRDefault="009B5A79" w:rsidP="003216A6">
      <w:pPr>
        <w:pStyle w:val="SubsectionHead"/>
      </w:pPr>
      <w:r w:rsidRPr="003216A6">
        <w:lastRenderedPageBreak/>
        <w:t>Essential uses licence</w:t>
      </w:r>
    </w:p>
    <w:p w:rsidR="009B5A79" w:rsidRPr="003216A6" w:rsidRDefault="00B13916" w:rsidP="003216A6">
      <w:pPr>
        <w:pStyle w:val="ItemHead"/>
      </w:pPr>
      <w:r w:rsidRPr="003216A6">
        <w:t>25</w:t>
      </w:r>
      <w:r w:rsidR="009B5A79" w:rsidRPr="003216A6">
        <w:t xml:space="preserve">  Before subsection</w:t>
      </w:r>
      <w:r w:rsidR="003216A6" w:rsidRPr="003216A6">
        <w:t> </w:t>
      </w:r>
      <w:r w:rsidR="009B5A79" w:rsidRPr="003216A6">
        <w:t>13A(4)</w:t>
      </w:r>
    </w:p>
    <w:p w:rsidR="009B5A79" w:rsidRPr="003216A6" w:rsidRDefault="009B5A79" w:rsidP="003216A6">
      <w:pPr>
        <w:pStyle w:val="Item"/>
      </w:pPr>
      <w:r w:rsidRPr="003216A6">
        <w:t>Insert:</w:t>
      </w:r>
    </w:p>
    <w:p w:rsidR="009B5A79" w:rsidRPr="003216A6" w:rsidRDefault="009B5A79" w:rsidP="003216A6">
      <w:pPr>
        <w:pStyle w:val="SubsectionHead"/>
      </w:pPr>
      <w:r w:rsidRPr="003216A6">
        <w:t>Used substances licence</w:t>
      </w:r>
    </w:p>
    <w:p w:rsidR="009B5A79" w:rsidRPr="003216A6" w:rsidRDefault="00B13916" w:rsidP="003216A6">
      <w:pPr>
        <w:pStyle w:val="ItemHead"/>
      </w:pPr>
      <w:r w:rsidRPr="003216A6">
        <w:t>26</w:t>
      </w:r>
      <w:r w:rsidR="009B5A79" w:rsidRPr="003216A6">
        <w:t xml:space="preserve">  Subsection</w:t>
      </w:r>
      <w:r w:rsidR="003216A6" w:rsidRPr="003216A6">
        <w:t> </w:t>
      </w:r>
      <w:r w:rsidR="009B5A79" w:rsidRPr="003216A6">
        <w:t>13A(5)</w:t>
      </w:r>
    </w:p>
    <w:p w:rsidR="009B5A79" w:rsidRPr="003216A6" w:rsidRDefault="009B5A79" w:rsidP="003216A6">
      <w:pPr>
        <w:pStyle w:val="Item"/>
      </w:pPr>
      <w:r w:rsidRPr="003216A6">
        <w:t>Repeal the subsection, substitute:</w:t>
      </w:r>
    </w:p>
    <w:p w:rsidR="009B5A79" w:rsidRPr="003216A6" w:rsidRDefault="009B5A79" w:rsidP="003216A6">
      <w:pPr>
        <w:pStyle w:val="SubsectionHead"/>
      </w:pPr>
      <w:r w:rsidRPr="003216A6">
        <w:t>Equipment licence</w:t>
      </w:r>
    </w:p>
    <w:p w:rsidR="009B5A79" w:rsidRPr="003216A6" w:rsidRDefault="009B5A79" w:rsidP="003216A6">
      <w:pPr>
        <w:pStyle w:val="subsection"/>
      </w:pPr>
      <w:r w:rsidRPr="003216A6">
        <w:tab/>
        <w:t>(5)</w:t>
      </w:r>
      <w:r w:rsidRPr="003216A6">
        <w:tab/>
        <w:t>An equipment licence allows the licensee to carry out the following activities:</w:t>
      </w:r>
    </w:p>
    <w:p w:rsidR="009B5A79" w:rsidRPr="003216A6" w:rsidRDefault="009B5A79" w:rsidP="003216A6">
      <w:pPr>
        <w:pStyle w:val="paragraph"/>
      </w:pPr>
      <w:r w:rsidRPr="003216A6">
        <w:tab/>
        <w:t>(a)</w:t>
      </w:r>
      <w:r w:rsidRPr="003216A6">
        <w:tab/>
        <w:t>import ODS equipment or SGG equipment (other than by carrying out Schedule</w:t>
      </w:r>
      <w:r w:rsidR="003216A6" w:rsidRPr="003216A6">
        <w:t> </w:t>
      </w:r>
      <w:r w:rsidRPr="003216A6">
        <w:t>4 activities or section</w:t>
      </w:r>
      <w:r w:rsidR="003216A6" w:rsidRPr="003216A6">
        <w:t> </w:t>
      </w:r>
      <w:r w:rsidRPr="003216A6">
        <w:t>69G activities);</w:t>
      </w:r>
    </w:p>
    <w:p w:rsidR="009B5A79" w:rsidRPr="003216A6" w:rsidRDefault="009B5A79" w:rsidP="003216A6">
      <w:pPr>
        <w:pStyle w:val="paragraph"/>
      </w:pPr>
      <w:r w:rsidRPr="003216A6">
        <w:tab/>
        <w:t>(b)</w:t>
      </w:r>
      <w:r w:rsidRPr="003216A6">
        <w:tab/>
        <w:t>any Schedule</w:t>
      </w:r>
      <w:r w:rsidR="003216A6" w:rsidRPr="003216A6">
        <w:t> </w:t>
      </w:r>
      <w:r w:rsidRPr="003216A6">
        <w:t>4 activities or section</w:t>
      </w:r>
      <w:r w:rsidR="003216A6" w:rsidRPr="003216A6">
        <w:t> </w:t>
      </w:r>
      <w:r w:rsidRPr="003216A6">
        <w:t>69G activities specified in the licence</w:t>
      </w:r>
      <w:r w:rsidR="002F6749" w:rsidRPr="003216A6">
        <w:t>.</w:t>
      </w:r>
    </w:p>
    <w:p w:rsidR="009B5A79" w:rsidRPr="003216A6" w:rsidRDefault="009B5A79" w:rsidP="003216A6">
      <w:pPr>
        <w:pStyle w:val="subsection"/>
      </w:pPr>
      <w:r w:rsidRPr="003216A6">
        <w:tab/>
        <w:t>(6)</w:t>
      </w:r>
      <w:r w:rsidRPr="003216A6">
        <w:tab/>
        <w:t xml:space="preserve">To avoid doubt, activities that may be specified as mentioned in </w:t>
      </w:r>
      <w:r w:rsidR="003216A6" w:rsidRPr="003216A6">
        <w:t>paragraph (</w:t>
      </w:r>
      <w:r w:rsidRPr="003216A6">
        <w:t>5)(b) include importing specified ODS equipment or SGG equipment if importing that equipment is a Schedule</w:t>
      </w:r>
      <w:r w:rsidR="003216A6" w:rsidRPr="003216A6">
        <w:t> </w:t>
      </w:r>
      <w:r w:rsidRPr="003216A6">
        <w:t>4 activity or section</w:t>
      </w:r>
      <w:r w:rsidR="003216A6" w:rsidRPr="003216A6">
        <w:t> </w:t>
      </w:r>
      <w:r w:rsidRPr="003216A6">
        <w:t>69G activity</w:t>
      </w:r>
      <w:r w:rsidR="002F6749" w:rsidRPr="003216A6">
        <w:t>.</w:t>
      </w:r>
    </w:p>
    <w:p w:rsidR="009B5A79" w:rsidRPr="003216A6" w:rsidRDefault="00B13916" w:rsidP="003216A6">
      <w:pPr>
        <w:pStyle w:val="ItemHead"/>
      </w:pPr>
      <w:r w:rsidRPr="003216A6">
        <w:t>27</w:t>
      </w:r>
      <w:r w:rsidR="009B5A79" w:rsidRPr="003216A6">
        <w:t xml:space="preserve">  Before subsection</w:t>
      </w:r>
      <w:r w:rsidR="003216A6" w:rsidRPr="003216A6">
        <w:t> </w:t>
      </w:r>
      <w:r w:rsidR="009B5A79" w:rsidRPr="003216A6">
        <w:t>16(1)</w:t>
      </w:r>
    </w:p>
    <w:p w:rsidR="009B5A79" w:rsidRPr="003216A6" w:rsidRDefault="009B5A79" w:rsidP="003216A6">
      <w:pPr>
        <w:pStyle w:val="Item"/>
      </w:pPr>
      <w:r w:rsidRPr="003216A6">
        <w:t>Insert:</w:t>
      </w:r>
    </w:p>
    <w:p w:rsidR="009B5A79" w:rsidRPr="003216A6" w:rsidRDefault="009B5A79" w:rsidP="003216A6">
      <w:pPr>
        <w:pStyle w:val="SubsectionHead"/>
      </w:pPr>
      <w:r w:rsidRPr="003216A6">
        <w:t>Minister may grant licence</w:t>
      </w:r>
    </w:p>
    <w:p w:rsidR="009B5A79" w:rsidRPr="003216A6" w:rsidRDefault="00B13916" w:rsidP="003216A6">
      <w:pPr>
        <w:pStyle w:val="ItemHead"/>
      </w:pPr>
      <w:r w:rsidRPr="003216A6">
        <w:t>28</w:t>
      </w:r>
      <w:r w:rsidR="009B5A79" w:rsidRPr="003216A6">
        <w:t xml:space="preserve">  Subsection</w:t>
      </w:r>
      <w:r w:rsidR="003216A6" w:rsidRPr="003216A6">
        <w:t> </w:t>
      </w:r>
      <w:r w:rsidR="009B5A79" w:rsidRPr="003216A6">
        <w:t>16(1)</w:t>
      </w:r>
    </w:p>
    <w:p w:rsidR="009B5A79" w:rsidRPr="003216A6" w:rsidRDefault="009B5A79" w:rsidP="003216A6">
      <w:pPr>
        <w:pStyle w:val="Item"/>
      </w:pPr>
      <w:r w:rsidRPr="003216A6">
        <w:t xml:space="preserve">Omit </w:t>
      </w:r>
      <w:r w:rsidR="00BF3C85" w:rsidRPr="003216A6">
        <w:t>“</w:t>
      </w:r>
      <w:r w:rsidRPr="003216A6">
        <w:t>and (4)</w:t>
      </w:r>
      <w:r w:rsidR="00BF3C85" w:rsidRPr="003216A6">
        <w:t>”</w:t>
      </w:r>
      <w:r w:rsidRPr="003216A6">
        <w:t xml:space="preserve">, substitute </w:t>
      </w:r>
      <w:r w:rsidR="00BF3C85" w:rsidRPr="003216A6">
        <w:t>“</w:t>
      </w:r>
      <w:r w:rsidRPr="003216A6">
        <w:t>to (6B)</w:t>
      </w:r>
      <w:r w:rsidR="00BF3C85" w:rsidRPr="003216A6">
        <w:t>”</w:t>
      </w:r>
      <w:r w:rsidR="002F6749" w:rsidRPr="003216A6">
        <w:t>.</w:t>
      </w:r>
    </w:p>
    <w:p w:rsidR="009B5A79" w:rsidRPr="003216A6" w:rsidRDefault="00B13916" w:rsidP="003216A6">
      <w:pPr>
        <w:pStyle w:val="ItemHead"/>
      </w:pPr>
      <w:r w:rsidRPr="003216A6">
        <w:t>29</w:t>
      </w:r>
      <w:r w:rsidR="009B5A79" w:rsidRPr="003216A6">
        <w:t xml:space="preserve">  Before subsection</w:t>
      </w:r>
      <w:r w:rsidR="003216A6" w:rsidRPr="003216A6">
        <w:t> </w:t>
      </w:r>
      <w:r w:rsidR="009B5A79" w:rsidRPr="003216A6">
        <w:t>16(3)</w:t>
      </w:r>
    </w:p>
    <w:p w:rsidR="009B5A79" w:rsidRPr="003216A6" w:rsidRDefault="009B5A79" w:rsidP="003216A6">
      <w:pPr>
        <w:pStyle w:val="Item"/>
      </w:pPr>
      <w:r w:rsidRPr="003216A6">
        <w:t>Insert:</w:t>
      </w:r>
    </w:p>
    <w:p w:rsidR="009B5A79" w:rsidRPr="003216A6" w:rsidRDefault="009B5A79" w:rsidP="003216A6">
      <w:pPr>
        <w:pStyle w:val="SubsectionHead"/>
      </w:pPr>
      <w:r w:rsidRPr="003216A6">
        <w:t>Content and form of licence</w:t>
      </w:r>
    </w:p>
    <w:p w:rsidR="009B5A79" w:rsidRPr="003216A6" w:rsidRDefault="00B13916" w:rsidP="003216A6">
      <w:pPr>
        <w:pStyle w:val="ItemHead"/>
      </w:pPr>
      <w:r w:rsidRPr="003216A6">
        <w:t>30</w:t>
      </w:r>
      <w:r w:rsidR="009B5A79" w:rsidRPr="003216A6">
        <w:t xml:space="preserve">  Subsection</w:t>
      </w:r>
      <w:r w:rsidR="003216A6" w:rsidRPr="003216A6">
        <w:t> </w:t>
      </w:r>
      <w:r w:rsidR="009B5A79" w:rsidRPr="003216A6">
        <w:t>16(3)</w:t>
      </w:r>
    </w:p>
    <w:p w:rsidR="009B5A79" w:rsidRPr="003216A6" w:rsidRDefault="009B5A79" w:rsidP="003216A6">
      <w:pPr>
        <w:pStyle w:val="Item"/>
      </w:pPr>
      <w:r w:rsidRPr="003216A6">
        <w:t xml:space="preserve">Omit </w:t>
      </w:r>
      <w:r w:rsidR="00BF3C85" w:rsidRPr="003216A6">
        <w:t>“</w:t>
      </w:r>
      <w:r w:rsidRPr="003216A6">
        <w:t>ODS/SGG</w:t>
      </w:r>
      <w:r w:rsidR="00BF3C85" w:rsidRPr="003216A6">
        <w:t>”</w:t>
      </w:r>
      <w:r w:rsidR="002F6749" w:rsidRPr="003216A6">
        <w:t>.</w:t>
      </w:r>
    </w:p>
    <w:p w:rsidR="009B5A79" w:rsidRPr="003216A6" w:rsidRDefault="00B13916" w:rsidP="003216A6">
      <w:pPr>
        <w:pStyle w:val="ItemHead"/>
      </w:pPr>
      <w:r w:rsidRPr="003216A6">
        <w:lastRenderedPageBreak/>
        <w:t>31</w:t>
      </w:r>
      <w:r w:rsidR="009B5A79" w:rsidRPr="003216A6">
        <w:t xml:space="preserve">  After subsection</w:t>
      </w:r>
      <w:r w:rsidR="003216A6" w:rsidRPr="003216A6">
        <w:t> </w:t>
      </w:r>
      <w:r w:rsidR="009B5A79" w:rsidRPr="003216A6">
        <w:t>16(3AA)</w:t>
      </w:r>
    </w:p>
    <w:p w:rsidR="009B5A79" w:rsidRPr="003216A6" w:rsidRDefault="009B5A79" w:rsidP="003216A6">
      <w:pPr>
        <w:pStyle w:val="Item"/>
      </w:pPr>
      <w:r w:rsidRPr="003216A6">
        <w:t>Insert:</w:t>
      </w:r>
    </w:p>
    <w:p w:rsidR="009B5A79" w:rsidRPr="003216A6" w:rsidRDefault="009B5A79" w:rsidP="003216A6">
      <w:pPr>
        <w:pStyle w:val="subsection"/>
      </w:pPr>
      <w:r w:rsidRPr="003216A6">
        <w:tab/>
        <w:t>(3AB)</w:t>
      </w:r>
      <w:r w:rsidRPr="003216A6">
        <w:tab/>
        <w:t>An equipment licence must:</w:t>
      </w:r>
    </w:p>
    <w:p w:rsidR="009B5A79" w:rsidRPr="003216A6" w:rsidRDefault="009B5A79" w:rsidP="003216A6">
      <w:pPr>
        <w:pStyle w:val="paragraph"/>
      </w:pPr>
      <w:r w:rsidRPr="003216A6">
        <w:tab/>
        <w:t>(a)</w:t>
      </w:r>
      <w:r w:rsidRPr="003216A6">
        <w:tab/>
        <w:t>state that it allows the licensee to import ODS equipment or SGG equipment (other than by carrying out Schedule</w:t>
      </w:r>
      <w:r w:rsidR="003216A6" w:rsidRPr="003216A6">
        <w:t> </w:t>
      </w:r>
      <w:r w:rsidRPr="003216A6">
        <w:t>4 activities or section</w:t>
      </w:r>
      <w:r w:rsidR="003216A6" w:rsidRPr="003216A6">
        <w:t> </w:t>
      </w:r>
      <w:r w:rsidRPr="003216A6">
        <w:t>69G activities); and</w:t>
      </w:r>
    </w:p>
    <w:p w:rsidR="009B5A79" w:rsidRPr="003216A6" w:rsidRDefault="009B5A79" w:rsidP="003216A6">
      <w:pPr>
        <w:pStyle w:val="paragraph"/>
      </w:pPr>
      <w:r w:rsidRPr="003216A6">
        <w:tab/>
        <w:t>(b)</w:t>
      </w:r>
      <w:r w:rsidRPr="003216A6">
        <w:tab/>
        <w:t>specify the Schedule</w:t>
      </w:r>
      <w:r w:rsidR="003216A6" w:rsidRPr="003216A6">
        <w:t> </w:t>
      </w:r>
      <w:r w:rsidRPr="003216A6">
        <w:t>4 activities and section</w:t>
      </w:r>
      <w:r w:rsidR="003216A6" w:rsidRPr="003216A6">
        <w:t> </w:t>
      </w:r>
      <w:r w:rsidRPr="003216A6">
        <w:t>69G activities (if any) the licence allows</w:t>
      </w:r>
      <w:r w:rsidR="002F6749" w:rsidRPr="003216A6">
        <w:t>.</w:t>
      </w:r>
    </w:p>
    <w:p w:rsidR="009B5A79" w:rsidRPr="003216A6" w:rsidRDefault="009B5A79" w:rsidP="003216A6">
      <w:pPr>
        <w:pStyle w:val="subsection"/>
      </w:pPr>
      <w:r w:rsidRPr="003216A6">
        <w:tab/>
        <w:t>(3AC)</w:t>
      </w:r>
      <w:r w:rsidRPr="003216A6">
        <w:tab/>
      </w:r>
      <w:r w:rsidR="00CA7F37" w:rsidRPr="003216A6">
        <w:t>Two</w:t>
      </w:r>
      <w:r w:rsidRPr="003216A6">
        <w:t xml:space="preserve"> or more licences granted to the same person may be set out in the same document</w:t>
      </w:r>
      <w:r w:rsidR="002F6749" w:rsidRPr="003216A6">
        <w:t>.</w:t>
      </w:r>
    </w:p>
    <w:p w:rsidR="009B5A79" w:rsidRPr="003216A6" w:rsidRDefault="009B5A79" w:rsidP="003216A6">
      <w:pPr>
        <w:pStyle w:val="SubsectionHead"/>
      </w:pPr>
      <w:r w:rsidRPr="003216A6">
        <w:t>Criteria for granting licence</w:t>
      </w:r>
    </w:p>
    <w:p w:rsidR="009B5A79" w:rsidRPr="003216A6" w:rsidRDefault="00B13916" w:rsidP="003216A6">
      <w:pPr>
        <w:pStyle w:val="ItemHead"/>
      </w:pPr>
      <w:r w:rsidRPr="003216A6">
        <w:t>32</w:t>
      </w:r>
      <w:r w:rsidR="009B5A79" w:rsidRPr="003216A6">
        <w:t xml:space="preserve">  Subsection</w:t>
      </w:r>
      <w:r w:rsidR="003216A6" w:rsidRPr="003216A6">
        <w:t> </w:t>
      </w:r>
      <w:r w:rsidR="009B5A79" w:rsidRPr="003216A6">
        <w:t>16(3B)</w:t>
      </w:r>
    </w:p>
    <w:p w:rsidR="009B5A79" w:rsidRPr="003216A6" w:rsidRDefault="009B5A79" w:rsidP="003216A6">
      <w:pPr>
        <w:pStyle w:val="Item"/>
      </w:pPr>
      <w:r w:rsidRPr="003216A6">
        <w:t>Repeal the subsection</w:t>
      </w:r>
      <w:r w:rsidR="002F6749" w:rsidRPr="003216A6">
        <w:t>.</w:t>
      </w:r>
    </w:p>
    <w:p w:rsidR="009B5A79" w:rsidRPr="003216A6" w:rsidRDefault="00B13916" w:rsidP="003216A6">
      <w:pPr>
        <w:pStyle w:val="ItemHead"/>
      </w:pPr>
      <w:r w:rsidRPr="003216A6">
        <w:t>33</w:t>
      </w:r>
      <w:r w:rsidR="009B5A79" w:rsidRPr="003216A6">
        <w:t xml:space="preserve">  After subsection</w:t>
      </w:r>
      <w:r w:rsidR="003216A6" w:rsidRPr="003216A6">
        <w:t> </w:t>
      </w:r>
      <w:r w:rsidR="009B5A79" w:rsidRPr="003216A6">
        <w:t>16(6)</w:t>
      </w:r>
    </w:p>
    <w:p w:rsidR="009B5A79" w:rsidRPr="003216A6" w:rsidRDefault="009B5A79" w:rsidP="003216A6">
      <w:pPr>
        <w:pStyle w:val="Item"/>
      </w:pPr>
      <w:r w:rsidRPr="003216A6">
        <w:t>Insert:</w:t>
      </w:r>
    </w:p>
    <w:p w:rsidR="009B5A79" w:rsidRPr="003216A6" w:rsidRDefault="009B5A79" w:rsidP="003216A6">
      <w:pPr>
        <w:pStyle w:val="subsection"/>
      </w:pPr>
      <w:r w:rsidRPr="003216A6">
        <w:tab/>
        <w:t>(6A)</w:t>
      </w:r>
      <w:r w:rsidRPr="003216A6">
        <w:tab/>
        <w:t>The Minister must not grant an equipment licence that allows a Schedule</w:t>
      </w:r>
      <w:r w:rsidR="003216A6" w:rsidRPr="003216A6">
        <w:t> </w:t>
      </w:r>
      <w:r w:rsidRPr="003216A6">
        <w:t>4 activity or section</w:t>
      </w:r>
      <w:r w:rsidR="003216A6" w:rsidRPr="003216A6">
        <w:t> </w:t>
      </w:r>
      <w:r w:rsidRPr="003216A6">
        <w:t>69G activity in relation to equipment unless:</w:t>
      </w:r>
    </w:p>
    <w:p w:rsidR="009B5A79" w:rsidRPr="003216A6" w:rsidRDefault="009B5A79" w:rsidP="003216A6">
      <w:pPr>
        <w:pStyle w:val="paragraph"/>
      </w:pPr>
      <w:r w:rsidRPr="003216A6">
        <w:tab/>
        <w:t>(a)</w:t>
      </w:r>
      <w:r w:rsidRPr="003216A6">
        <w:tab/>
        <w:t xml:space="preserve">either or both of the following </w:t>
      </w:r>
      <w:r w:rsidR="00B50369" w:rsidRPr="003216A6">
        <w:t>sub</w:t>
      </w:r>
      <w:r w:rsidRPr="003216A6">
        <w:t>paragraphs apply:</w:t>
      </w:r>
    </w:p>
    <w:p w:rsidR="009B5A79" w:rsidRPr="003216A6" w:rsidRDefault="009B5A79" w:rsidP="003216A6">
      <w:pPr>
        <w:pStyle w:val="paragraphsub"/>
      </w:pPr>
      <w:r w:rsidRPr="003216A6">
        <w:tab/>
        <w:t>(i)</w:t>
      </w:r>
      <w:r w:rsidRPr="003216A6">
        <w:tab/>
      </w:r>
      <w:r w:rsidR="003216A6" w:rsidRPr="003216A6">
        <w:t>subsection (</w:t>
      </w:r>
      <w:r w:rsidRPr="003216A6">
        <w:t>6B) applies in relation to the equipment;</w:t>
      </w:r>
    </w:p>
    <w:p w:rsidR="009B5A79" w:rsidRPr="003216A6" w:rsidRDefault="009B5A79" w:rsidP="003216A6">
      <w:pPr>
        <w:pStyle w:val="paragraphsub"/>
      </w:pPr>
      <w:r w:rsidRPr="003216A6">
        <w:tab/>
        <w:t>(ii)</w:t>
      </w:r>
      <w:r w:rsidRPr="003216A6">
        <w:tab/>
        <w:t>the Schedule</w:t>
      </w:r>
      <w:r w:rsidR="003216A6" w:rsidRPr="003216A6">
        <w:t> </w:t>
      </w:r>
      <w:r w:rsidRPr="003216A6">
        <w:t>4 activity or section</w:t>
      </w:r>
      <w:r w:rsidR="003216A6" w:rsidRPr="003216A6">
        <w:t> </w:t>
      </w:r>
      <w:r w:rsidRPr="003216A6">
        <w:t>69G activity is prescribed by the regulations for the purposes of this subparagraph; and</w:t>
      </w:r>
    </w:p>
    <w:p w:rsidR="009B5A79" w:rsidRPr="003216A6" w:rsidRDefault="009B5A79" w:rsidP="003216A6">
      <w:pPr>
        <w:pStyle w:val="paragraph"/>
      </w:pPr>
      <w:r w:rsidRPr="003216A6">
        <w:tab/>
        <w:t>(b)</w:t>
      </w:r>
      <w:r w:rsidRPr="003216A6">
        <w:tab/>
        <w:t>the requirements (if any) prescribed by the regulations for the purposes of this paragraph in relation to the activity and the licence are satisfied</w:t>
      </w:r>
      <w:r w:rsidR="002F6749" w:rsidRPr="003216A6">
        <w:t>.</w:t>
      </w:r>
    </w:p>
    <w:p w:rsidR="009B5A79" w:rsidRPr="003216A6" w:rsidRDefault="009B5A79" w:rsidP="003216A6">
      <w:pPr>
        <w:pStyle w:val="subsection"/>
      </w:pPr>
      <w:r w:rsidRPr="003216A6">
        <w:tab/>
        <w:t>(6B)</w:t>
      </w:r>
      <w:r w:rsidRPr="003216A6">
        <w:tab/>
        <w:t xml:space="preserve">For the purposes of </w:t>
      </w:r>
      <w:r w:rsidR="003216A6" w:rsidRPr="003216A6">
        <w:t>subparagraph (</w:t>
      </w:r>
      <w:r w:rsidRPr="003216A6">
        <w:t>6A)(a)(i), this subsection applies if the Minister is satisfied that:</w:t>
      </w:r>
    </w:p>
    <w:p w:rsidR="009B5A79" w:rsidRPr="003216A6" w:rsidRDefault="009B5A79" w:rsidP="003216A6">
      <w:pPr>
        <w:pStyle w:val="paragraph"/>
      </w:pPr>
      <w:r w:rsidRPr="003216A6">
        <w:tab/>
        <w:t>(a)</w:t>
      </w:r>
      <w:r w:rsidRPr="003216A6">
        <w:tab/>
        <w:t>both:</w:t>
      </w:r>
    </w:p>
    <w:p w:rsidR="009B5A79" w:rsidRPr="003216A6" w:rsidRDefault="009B5A79" w:rsidP="003216A6">
      <w:pPr>
        <w:pStyle w:val="paragraphsub"/>
      </w:pPr>
      <w:r w:rsidRPr="003216A6">
        <w:tab/>
        <w:t>(i)</w:t>
      </w:r>
      <w:r w:rsidRPr="003216A6">
        <w:tab/>
        <w:t>the equipment is essential for medical, veterinary, defence, industrial safety, or public safety, purposes; and</w:t>
      </w:r>
    </w:p>
    <w:p w:rsidR="009B5A79" w:rsidRPr="003216A6" w:rsidRDefault="009B5A79" w:rsidP="003216A6">
      <w:pPr>
        <w:pStyle w:val="paragraphsub"/>
      </w:pPr>
      <w:r w:rsidRPr="003216A6">
        <w:lastRenderedPageBreak/>
        <w:tab/>
        <w:t>(ii)</w:t>
      </w:r>
      <w:r w:rsidRPr="003216A6">
        <w:tab/>
        <w:t>no practical alternative exists to the use of scheduled substances in the operation or manufacture, as the case requires, of the equipment if it is to continue to be effective for such a purpose; or</w:t>
      </w:r>
    </w:p>
    <w:p w:rsidR="009B5A79" w:rsidRPr="003216A6" w:rsidRDefault="009B5A79" w:rsidP="003216A6">
      <w:pPr>
        <w:pStyle w:val="paragraph"/>
      </w:pPr>
      <w:r w:rsidRPr="003216A6">
        <w:tab/>
        <w:t>(b)</w:t>
      </w:r>
      <w:r w:rsidRPr="003216A6">
        <w:tab/>
        <w:t>because of the requirements of a law concerning the manufacture or use of the equipment, there is no practical alternative to the use of scheduled substances in the operation or manufacture, as the case requires, of the equipment; or</w:t>
      </w:r>
    </w:p>
    <w:p w:rsidR="009B5A79" w:rsidRPr="003216A6" w:rsidRDefault="009B5A79" w:rsidP="003216A6">
      <w:pPr>
        <w:pStyle w:val="paragraph"/>
      </w:pPr>
      <w:r w:rsidRPr="003216A6">
        <w:tab/>
        <w:t>(c)</w:t>
      </w:r>
      <w:r w:rsidRPr="003216A6">
        <w:tab/>
        <w:t>the equipment is for use in conjunction with the calibration of scientific, measuring or safety equipment</w:t>
      </w:r>
      <w:r w:rsidR="002F6749" w:rsidRPr="003216A6">
        <w:t>.</w:t>
      </w:r>
    </w:p>
    <w:p w:rsidR="009B5A79" w:rsidRPr="003216A6" w:rsidRDefault="009B5A79" w:rsidP="003216A6">
      <w:pPr>
        <w:pStyle w:val="SubsectionHead"/>
      </w:pPr>
      <w:r w:rsidRPr="003216A6">
        <w:t>Refusal of application</w:t>
      </w:r>
    </w:p>
    <w:p w:rsidR="009B5A79" w:rsidRPr="003216A6" w:rsidRDefault="00B13916" w:rsidP="003216A6">
      <w:pPr>
        <w:pStyle w:val="ItemHead"/>
      </w:pPr>
      <w:r w:rsidRPr="003216A6">
        <w:t>34</w:t>
      </w:r>
      <w:r w:rsidR="009B5A79" w:rsidRPr="003216A6">
        <w:t xml:space="preserve">  Part</w:t>
      </w:r>
      <w:r w:rsidR="003216A6" w:rsidRPr="003216A6">
        <w:t> </w:t>
      </w:r>
      <w:r w:rsidR="009B5A79" w:rsidRPr="003216A6">
        <w:t>V</w:t>
      </w:r>
    </w:p>
    <w:p w:rsidR="009B5A79" w:rsidRPr="003216A6" w:rsidRDefault="009B5A79" w:rsidP="003216A6">
      <w:pPr>
        <w:pStyle w:val="Item"/>
      </w:pPr>
      <w:r w:rsidRPr="003216A6">
        <w:t>Repeal the Part</w:t>
      </w:r>
      <w:r w:rsidR="002F6749" w:rsidRPr="003216A6">
        <w:t>.</w:t>
      </w:r>
    </w:p>
    <w:p w:rsidR="009B5A79" w:rsidRPr="003216A6" w:rsidRDefault="00B13916" w:rsidP="003216A6">
      <w:pPr>
        <w:pStyle w:val="ItemHead"/>
      </w:pPr>
      <w:r w:rsidRPr="003216A6">
        <w:t>35</w:t>
      </w:r>
      <w:r w:rsidR="009B5A79" w:rsidRPr="003216A6">
        <w:t xml:space="preserve">  Subparagraphs</w:t>
      </w:r>
      <w:r w:rsidR="003216A6" w:rsidRPr="003216A6">
        <w:t> </w:t>
      </w:r>
      <w:r w:rsidR="009B5A79" w:rsidRPr="003216A6">
        <w:t>57(1)(d)(i), (ii) and (iii)</w:t>
      </w:r>
    </w:p>
    <w:p w:rsidR="009B5A79" w:rsidRPr="003216A6" w:rsidRDefault="009B5A79" w:rsidP="003216A6">
      <w:pPr>
        <w:pStyle w:val="Item"/>
      </w:pPr>
      <w:r w:rsidRPr="003216A6">
        <w:t xml:space="preserve">Omit </w:t>
      </w:r>
      <w:r w:rsidR="00BF3C85" w:rsidRPr="003216A6">
        <w:t>“</w:t>
      </w:r>
      <w:r w:rsidRPr="003216A6">
        <w:t>38</w:t>
      </w:r>
      <w:r w:rsidR="00BF3C85" w:rsidRPr="003216A6">
        <w:t>”</w:t>
      </w:r>
      <w:r w:rsidRPr="003216A6">
        <w:t xml:space="preserve">, substitute </w:t>
      </w:r>
      <w:r w:rsidR="00BF3C85" w:rsidRPr="003216A6">
        <w:t>“</w:t>
      </w:r>
      <w:r w:rsidRPr="003216A6">
        <w:t>13</w:t>
      </w:r>
      <w:r w:rsidR="00BF3C85" w:rsidRPr="003216A6">
        <w:t>”</w:t>
      </w:r>
      <w:r w:rsidR="002F6749" w:rsidRPr="003216A6">
        <w:t>.</w:t>
      </w:r>
    </w:p>
    <w:p w:rsidR="009B5A79" w:rsidRPr="003216A6" w:rsidRDefault="00B13916" w:rsidP="003216A6">
      <w:pPr>
        <w:pStyle w:val="ItemHead"/>
      </w:pPr>
      <w:r w:rsidRPr="003216A6">
        <w:t>36</w:t>
      </w:r>
      <w:r w:rsidR="009B5A79" w:rsidRPr="003216A6">
        <w:t xml:space="preserve">  Subparagraphs</w:t>
      </w:r>
      <w:r w:rsidR="003216A6" w:rsidRPr="003216A6">
        <w:t> </w:t>
      </w:r>
      <w:r w:rsidR="009B5A79" w:rsidRPr="003216A6">
        <w:t>57(1)(e)(i) and (ii)</w:t>
      </w:r>
    </w:p>
    <w:p w:rsidR="009B5A79" w:rsidRPr="003216A6" w:rsidRDefault="009B5A79" w:rsidP="003216A6">
      <w:pPr>
        <w:pStyle w:val="Item"/>
      </w:pPr>
      <w:r w:rsidRPr="003216A6">
        <w:t xml:space="preserve">Omit </w:t>
      </w:r>
      <w:r w:rsidR="00BF3C85" w:rsidRPr="003216A6">
        <w:t>“</w:t>
      </w:r>
      <w:r w:rsidRPr="003216A6">
        <w:t>39</w:t>
      </w:r>
      <w:r w:rsidR="00BF3C85" w:rsidRPr="003216A6">
        <w:t>”</w:t>
      </w:r>
      <w:r w:rsidRPr="003216A6">
        <w:t xml:space="preserve">, substitute </w:t>
      </w:r>
      <w:r w:rsidR="00BF3C85" w:rsidRPr="003216A6">
        <w:t>“</w:t>
      </w:r>
      <w:r w:rsidRPr="003216A6">
        <w:t>69G</w:t>
      </w:r>
      <w:r w:rsidR="00BF3C85" w:rsidRPr="003216A6">
        <w:t>”</w:t>
      </w:r>
      <w:r w:rsidR="002F6749" w:rsidRPr="003216A6">
        <w:t>.</w:t>
      </w:r>
    </w:p>
    <w:p w:rsidR="009B5A79" w:rsidRPr="003216A6" w:rsidRDefault="00B13916" w:rsidP="003216A6">
      <w:pPr>
        <w:pStyle w:val="ItemHead"/>
      </w:pPr>
      <w:r w:rsidRPr="003216A6">
        <w:t>37</w:t>
      </w:r>
      <w:r w:rsidR="009B5A79" w:rsidRPr="003216A6">
        <w:t xml:space="preserve">  Subparagraph 65AA(1)(a)(iii)</w:t>
      </w:r>
    </w:p>
    <w:p w:rsidR="009B5A79" w:rsidRPr="003216A6" w:rsidRDefault="009B5A79" w:rsidP="003216A6">
      <w:pPr>
        <w:pStyle w:val="Item"/>
      </w:pPr>
      <w:r w:rsidRPr="003216A6">
        <w:t>Repeal the subparagraph</w:t>
      </w:r>
      <w:r w:rsidR="002F6749" w:rsidRPr="003216A6">
        <w:t>.</w:t>
      </w:r>
    </w:p>
    <w:p w:rsidR="009B5A79" w:rsidRPr="003216A6" w:rsidRDefault="00B13916" w:rsidP="003216A6">
      <w:pPr>
        <w:pStyle w:val="ItemHead"/>
      </w:pPr>
      <w:r w:rsidRPr="003216A6">
        <w:t>38</w:t>
      </w:r>
      <w:r w:rsidR="009B5A79" w:rsidRPr="003216A6">
        <w:t xml:space="preserve">  Paragraph 65C(1)(c)</w:t>
      </w:r>
    </w:p>
    <w:p w:rsidR="009B5A79" w:rsidRPr="003216A6" w:rsidRDefault="009B5A79" w:rsidP="003216A6">
      <w:pPr>
        <w:pStyle w:val="Item"/>
      </w:pPr>
      <w:r w:rsidRPr="003216A6">
        <w:t>Repeal the paragraph</w:t>
      </w:r>
      <w:r w:rsidR="002F6749" w:rsidRPr="003216A6">
        <w:t>.</w:t>
      </w:r>
    </w:p>
    <w:p w:rsidR="009B5A79" w:rsidRPr="003216A6" w:rsidRDefault="00B13916" w:rsidP="003216A6">
      <w:pPr>
        <w:pStyle w:val="ItemHead"/>
      </w:pPr>
      <w:r w:rsidRPr="003216A6">
        <w:t>39</w:t>
      </w:r>
      <w:r w:rsidR="009B5A79" w:rsidRPr="003216A6">
        <w:t xml:space="preserve">  Paragraph 66(eb)</w:t>
      </w:r>
    </w:p>
    <w:p w:rsidR="009B5A79" w:rsidRPr="003216A6" w:rsidRDefault="009B5A79" w:rsidP="003216A6">
      <w:pPr>
        <w:pStyle w:val="Item"/>
      </w:pPr>
      <w:r w:rsidRPr="003216A6">
        <w:t xml:space="preserve">Omit </w:t>
      </w:r>
      <w:r w:rsidR="00BF3C85" w:rsidRPr="003216A6">
        <w:t>“</w:t>
      </w:r>
      <w:r w:rsidR="002F6749" w:rsidRPr="003216A6">
        <w:t>36H</w:t>
      </w:r>
      <w:r w:rsidRPr="003216A6">
        <w:t>;</w:t>
      </w:r>
      <w:r w:rsidR="00BF3C85" w:rsidRPr="003216A6">
        <w:t>”</w:t>
      </w:r>
      <w:r w:rsidRPr="003216A6">
        <w:t xml:space="preserve">, substitute </w:t>
      </w:r>
      <w:r w:rsidR="00BF3C85" w:rsidRPr="003216A6">
        <w:t>“</w:t>
      </w:r>
      <w:r w:rsidR="002F6749" w:rsidRPr="003216A6">
        <w:t>36H.</w:t>
      </w:r>
      <w:r w:rsidR="00BF3C85" w:rsidRPr="003216A6">
        <w:t>”</w:t>
      </w:r>
      <w:r w:rsidR="002F6749" w:rsidRPr="003216A6">
        <w:t>.</w:t>
      </w:r>
    </w:p>
    <w:p w:rsidR="009B5A79" w:rsidRPr="003216A6" w:rsidRDefault="00B13916" w:rsidP="003216A6">
      <w:pPr>
        <w:pStyle w:val="ItemHead"/>
      </w:pPr>
      <w:r w:rsidRPr="003216A6">
        <w:t>40</w:t>
      </w:r>
      <w:r w:rsidR="009B5A79" w:rsidRPr="003216A6">
        <w:t xml:space="preserve">  Paragraphs 66(g), (h) and (i)</w:t>
      </w:r>
    </w:p>
    <w:p w:rsidR="009B5A79" w:rsidRPr="003216A6" w:rsidRDefault="009B5A79" w:rsidP="003216A6">
      <w:pPr>
        <w:pStyle w:val="Item"/>
      </w:pPr>
      <w:r w:rsidRPr="003216A6">
        <w:t>Repeal the paragraphs</w:t>
      </w:r>
      <w:r w:rsidR="002F6749" w:rsidRPr="003216A6">
        <w:t>.</w:t>
      </w:r>
    </w:p>
    <w:p w:rsidR="009B5A79" w:rsidRPr="003216A6" w:rsidRDefault="00B13916" w:rsidP="003216A6">
      <w:pPr>
        <w:pStyle w:val="ItemHead"/>
      </w:pPr>
      <w:r w:rsidRPr="003216A6">
        <w:t>41</w:t>
      </w:r>
      <w:r w:rsidR="009B5A79" w:rsidRPr="003216A6">
        <w:t xml:space="preserve">  Subsection</w:t>
      </w:r>
      <w:r w:rsidR="003216A6" w:rsidRPr="003216A6">
        <w:t> </w:t>
      </w:r>
      <w:r w:rsidR="009B5A79" w:rsidRPr="003216A6">
        <w:t>69B(1)</w:t>
      </w:r>
    </w:p>
    <w:p w:rsidR="009B5A79" w:rsidRPr="003216A6" w:rsidRDefault="009B5A79" w:rsidP="003216A6">
      <w:pPr>
        <w:pStyle w:val="Item"/>
      </w:pPr>
      <w:r w:rsidRPr="003216A6">
        <w:t xml:space="preserve">Omit </w:t>
      </w:r>
      <w:r w:rsidR="00BF3C85" w:rsidRPr="003216A6">
        <w:t>“</w:t>
      </w:r>
      <w:r w:rsidRPr="003216A6">
        <w:t>V or</w:t>
      </w:r>
      <w:r w:rsidR="00BF3C85" w:rsidRPr="003216A6">
        <w:t>”</w:t>
      </w:r>
      <w:r w:rsidR="002F6749" w:rsidRPr="003216A6">
        <w:t>.</w:t>
      </w:r>
    </w:p>
    <w:p w:rsidR="009B5A79" w:rsidRPr="003216A6" w:rsidRDefault="00B13916" w:rsidP="003216A6">
      <w:pPr>
        <w:pStyle w:val="ItemHead"/>
      </w:pPr>
      <w:r w:rsidRPr="003216A6">
        <w:lastRenderedPageBreak/>
        <w:t>42</w:t>
      </w:r>
      <w:r w:rsidR="009B5A79" w:rsidRPr="003216A6">
        <w:t xml:space="preserve">  Paragraphs 69B(2)(d) and (e)</w:t>
      </w:r>
    </w:p>
    <w:p w:rsidR="009B5A79" w:rsidRPr="003216A6" w:rsidRDefault="009B5A79" w:rsidP="003216A6">
      <w:pPr>
        <w:pStyle w:val="Item"/>
      </w:pPr>
      <w:r w:rsidRPr="003216A6">
        <w:t>Repeal the paragraphs, substitute:</w:t>
      </w:r>
    </w:p>
    <w:p w:rsidR="009B5A79" w:rsidRPr="003216A6" w:rsidRDefault="009B5A79" w:rsidP="003216A6">
      <w:pPr>
        <w:pStyle w:val="paragraph"/>
      </w:pPr>
      <w:r w:rsidRPr="003216A6">
        <w:tab/>
        <w:t>(d)</w:t>
      </w:r>
      <w:r w:rsidRPr="003216A6">
        <w:tab/>
        <w:t>conduct engaged in by:</w:t>
      </w:r>
    </w:p>
    <w:p w:rsidR="009B5A79" w:rsidRPr="003216A6" w:rsidRDefault="009B5A79" w:rsidP="003216A6">
      <w:pPr>
        <w:pStyle w:val="paragraphsub"/>
      </w:pPr>
      <w:r w:rsidRPr="003216A6">
        <w:tab/>
        <w:t>(i)</w:t>
      </w:r>
      <w:r w:rsidRPr="003216A6">
        <w:tab/>
        <w:t>a corporation to which paragraph</w:t>
      </w:r>
      <w:r w:rsidR="003216A6" w:rsidRPr="003216A6">
        <w:t> </w:t>
      </w:r>
      <w:r w:rsidRPr="003216A6">
        <w:t>51(xx) of the Constitution applies; or</w:t>
      </w:r>
    </w:p>
    <w:p w:rsidR="009B5A79" w:rsidRPr="003216A6" w:rsidRDefault="009B5A79" w:rsidP="003216A6">
      <w:pPr>
        <w:pStyle w:val="paragraphsub"/>
      </w:pPr>
      <w:r w:rsidRPr="003216A6">
        <w:tab/>
        <w:t>(ii)</w:t>
      </w:r>
      <w:r w:rsidRPr="003216A6">
        <w:tab/>
        <w:t>a body corporate that carries on as its sole or principal business the business of banking (other than State banking not extending beyond the limits of the State concerned) or insurance (other than State insurance not extending beyond the limits of the State concerned); or</w:t>
      </w:r>
    </w:p>
    <w:p w:rsidR="009B5A79" w:rsidRPr="003216A6" w:rsidRDefault="009B5A79" w:rsidP="003216A6">
      <w:pPr>
        <w:pStyle w:val="paragraphsub"/>
      </w:pPr>
      <w:r w:rsidRPr="003216A6">
        <w:tab/>
        <w:t>(iii)</w:t>
      </w:r>
      <w:r w:rsidRPr="003216A6">
        <w:tab/>
        <w:t>a body corporate incorporated in a Territory; or</w:t>
      </w:r>
    </w:p>
    <w:p w:rsidR="009B5A79" w:rsidRPr="003216A6" w:rsidRDefault="009B5A79" w:rsidP="003216A6">
      <w:pPr>
        <w:pStyle w:val="paragraph"/>
      </w:pPr>
      <w:r w:rsidRPr="003216A6">
        <w:tab/>
        <w:t>(e)</w:t>
      </w:r>
      <w:r w:rsidRPr="003216A6">
        <w:tab/>
        <w:t>the following activities:</w:t>
      </w:r>
    </w:p>
    <w:p w:rsidR="009B5A79" w:rsidRPr="003216A6" w:rsidRDefault="009B5A79" w:rsidP="003216A6">
      <w:pPr>
        <w:pStyle w:val="paragraphsub"/>
      </w:pPr>
      <w:r w:rsidRPr="003216A6">
        <w:tab/>
        <w:t>(i)</w:t>
      </w:r>
      <w:r w:rsidRPr="003216A6">
        <w:tab/>
        <w:t>trade or commerce between Australia and places outside Australia;</w:t>
      </w:r>
    </w:p>
    <w:p w:rsidR="009B5A79" w:rsidRPr="003216A6" w:rsidRDefault="009B5A79" w:rsidP="003216A6">
      <w:pPr>
        <w:pStyle w:val="paragraphsub"/>
      </w:pPr>
      <w:r w:rsidRPr="003216A6">
        <w:tab/>
        <w:t>(ii)</w:t>
      </w:r>
      <w:r w:rsidRPr="003216A6">
        <w:tab/>
        <w:t>trade or commerce among the States;</w:t>
      </w:r>
    </w:p>
    <w:p w:rsidR="009B5A79" w:rsidRPr="003216A6" w:rsidRDefault="009B5A79" w:rsidP="003216A6">
      <w:pPr>
        <w:pStyle w:val="paragraphsub"/>
      </w:pPr>
      <w:r w:rsidRPr="003216A6">
        <w:tab/>
        <w:t>(iii)</w:t>
      </w:r>
      <w:r w:rsidRPr="003216A6">
        <w:tab/>
        <w:t>trade or commerce within a Territory, between a State and a Territory or between 2 Territories;</w:t>
      </w:r>
    </w:p>
    <w:p w:rsidR="009B5A79" w:rsidRPr="003216A6" w:rsidRDefault="009B5A79" w:rsidP="003216A6">
      <w:pPr>
        <w:pStyle w:val="paragraphsub"/>
      </w:pPr>
      <w:r w:rsidRPr="003216A6">
        <w:tab/>
        <w:t>(iv)</w:t>
      </w:r>
      <w:r w:rsidRPr="003216A6">
        <w:tab/>
        <w:t>the supply of goods or services to the Commonwealth;</w:t>
      </w:r>
    </w:p>
    <w:p w:rsidR="009B5A79" w:rsidRPr="003216A6" w:rsidRDefault="009B5A79" w:rsidP="003216A6">
      <w:pPr>
        <w:pStyle w:val="paragraphsub"/>
      </w:pPr>
      <w:r w:rsidRPr="003216A6">
        <w:tab/>
        <w:t>(v)</w:t>
      </w:r>
      <w:r w:rsidRPr="003216A6">
        <w:tab/>
        <w:t>the use of postal, telegraphic or telephonic services;</w:t>
      </w:r>
    </w:p>
    <w:p w:rsidR="009B5A79" w:rsidRPr="003216A6" w:rsidRDefault="009B5A79" w:rsidP="003216A6">
      <w:pPr>
        <w:pStyle w:val="paragraphsub"/>
      </w:pPr>
      <w:r w:rsidRPr="003216A6">
        <w:tab/>
        <w:t>(vi)</w:t>
      </w:r>
      <w:r w:rsidRPr="003216A6">
        <w:tab/>
        <w:t>the making of a radio or television broadcast</w:t>
      </w:r>
      <w:r w:rsidR="002F6749" w:rsidRPr="003216A6">
        <w:t>.</w:t>
      </w:r>
    </w:p>
    <w:p w:rsidR="009B5A79" w:rsidRPr="003216A6" w:rsidRDefault="00B13916" w:rsidP="003216A6">
      <w:pPr>
        <w:pStyle w:val="ItemHead"/>
      </w:pPr>
      <w:r w:rsidRPr="003216A6">
        <w:t>43</w:t>
      </w:r>
      <w:r w:rsidR="009B5A79" w:rsidRPr="003216A6">
        <w:t xml:space="preserve">  At the end of section</w:t>
      </w:r>
      <w:r w:rsidR="003216A6" w:rsidRPr="003216A6">
        <w:t> </w:t>
      </w:r>
      <w:r w:rsidR="009B5A79" w:rsidRPr="003216A6">
        <w:t>69B</w:t>
      </w:r>
    </w:p>
    <w:p w:rsidR="009B5A79" w:rsidRPr="003216A6" w:rsidRDefault="009B5A79" w:rsidP="003216A6">
      <w:pPr>
        <w:pStyle w:val="Item"/>
      </w:pPr>
      <w:r w:rsidRPr="003216A6">
        <w:t>Add:</w:t>
      </w:r>
    </w:p>
    <w:p w:rsidR="009B5A79" w:rsidRPr="003216A6" w:rsidRDefault="009B5A79" w:rsidP="003216A6">
      <w:pPr>
        <w:pStyle w:val="subsection"/>
      </w:pPr>
      <w:r w:rsidRPr="003216A6">
        <w:tab/>
        <w:t>(3)</w:t>
      </w:r>
      <w:r w:rsidRPr="003216A6">
        <w:tab/>
        <w:t xml:space="preserve">A term used in </w:t>
      </w:r>
      <w:r w:rsidR="003216A6" w:rsidRPr="003216A6">
        <w:t>subsection (</w:t>
      </w:r>
      <w:r w:rsidRPr="003216A6">
        <w:t>2) and the Constitution has the same meaning in that subsection as it has in the Constitution</w:t>
      </w:r>
      <w:r w:rsidR="002F6749" w:rsidRPr="003216A6">
        <w:t>.</w:t>
      </w:r>
    </w:p>
    <w:p w:rsidR="009B5A79" w:rsidRPr="003216A6" w:rsidRDefault="00B13916" w:rsidP="003216A6">
      <w:pPr>
        <w:pStyle w:val="ItemHead"/>
      </w:pPr>
      <w:r w:rsidRPr="003216A6">
        <w:t>44</w:t>
      </w:r>
      <w:r w:rsidR="009B5A79" w:rsidRPr="003216A6">
        <w:t xml:space="preserve">  After section</w:t>
      </w:r>
      <w:r w:rsidR="003216A6" w:rsidRPr="003216A6">
        <w:t> </w:t>
      </w:r>
      <w:r w:rsidR="009B5A79" w:rsidRPr="003216A6">
        <w:t>69F</w:t>
      </w:r>
    </w:p>
    <w:p w:rsidR="009B5A79" w:rsidRPr="003216A6" w:rsidRDefault="009B5A79" w:rsidP="003216A6">
      <w:pPr>
        <w:pStyle w:val="Item"/>
      </w:pPr>
      <w:r w:rsidRPr="003216A6">
        <w:t>Insert:</w:t>
      </w:r>
    </w:p>
    <w:p w:rsidR="009B5A79" w:rsidRPr="003216A6" w:rsidRDefault="009B5A79" w:rsidP="003216A6">
      <w:pPr>
        <w:pStyle w:val="ActHead5"/>
      </w:pPr>
      <w:bookmarkStart w:id="75" w:name="_Toc486251914"/>
      <w:r w:rsidRPr="003216A6">
        <w:rPr>
          <w:rStyle w:val="CharSectno"/>
        </w:rPr>
        <w:t>69G</w:t>
      </w:r>
      <w:r w:rsidRPr="003216A6">
        <w:t xml:space="preserve">  Regulations concerning manufacture etc</w:t>
      </w:r>
      <w:r w:rsidR="002F6749" w:rsidRPr="003216A6">
        <w:t>.</w:t>
      </w:r>
      <w:r w:rsidRPr="003216A6">
        <w:t xml:space="preserve"> of equipment containing scheduled substances</w:t>
      </w:r>
      <w:bookmarkEnd w:id="75"/>
    </w:p>
    <w:p w:rsidR="009B5A79" w:rsidRPr="003216A6" w:rsidRDefault="009B5A79" w:rsidP="003216A6">
      <w:pPr>
        <w:pStyle w:val="subsection"/>
      </w:pPr>
      <w:r w:rsidRPr="003216A6">
        <w:tab/>
        <w:t>(1)</w:t>
      </w:r>
      <w:r w:rsidRPr="003216A6">
        <w:tab/>
        <w:t>The regulations may include provisions prohibiting or regulating the manufacture, import, export, distribution or use of equipment that:</w:t>
      </w:r>
    </w:p>
    <w:p w:rsidR="009B5A79" w:rsidRPr="003216A6" w:rsidRDefault="009B5A79" w:rsidP="003216A6">
      <w:pPr>
        <w:pStyle w:val="paragraph"/>
      </w:pPr>
      <w:r w:rsidRPr="003216A6">
        <w:tab/>
        <w:t>(a)</w:t>
      </w:r>
      <w:r w:rsidRPr="003216A6">
        <w:tab/>
        <w:t>contains scheduled substances; or</w:t>
      </w:r>
    </w:p>
    <w:p w:rsidR="009B5A79" w:rsidRPr="003216A6" w:rsidRDefault="009B5A79" w:rsidP="003216A6">
      <w:pPr>
        <w:pStyle w:val="paragraph"/>
      </w:pPr>
      <w:r w:rsidRPr="003216A6">
        <w:tab/>
        <w:t>(b)</w:t>
      </w:r>
      <w:r w:rsidRPr="003216A6">
        <w:tab/>
      </w:r>
      <w:r w:rsidR="00AC2D00" w:rsidRPr="003216A6">
        <w:t xml:space="preserve">uses </w:t>
      </w:r>
      <w:r w:rsidRPr="003216A6">
        <w:t xml:space="preserve">scheduled substances </w:t>
      </w:r>
      <w:r w:rsidR="00AC2D00" w:rsidRPr="003216A6">
        <w:t xml:space="preserve">in </w:t>
      </w:r>
      <w:r w:rsidRPr="003216A6">
        <w:t>its operation</w:t>
      </w:r>
      <w:r w:rsidR="002F6749" w:rsidRPr="003216A6">
        <w:t>.</w:t>
      </w:r>
    </w:p>
    <w:p w:rsidR="009B5A79" w:rsidRPr="003216A6" w:rsidRDefault="009B5A79" w:rsidP="003216A6">
      <w:pPr>
        <w:pStyle w:val="subsection"/>
      </w:pPr>
      <w:r w:rsidRPr="003216A6">
        <w:lastRenderedPageBreak/>
        <w:tab/>
        <w:t>(2)</w:t>
      </w:r>
      <w:r w:rsidRPr="003216A6">
        <w:tab/>
        <w:t>The provisions that may be made by the regulations include, but are not limited to, provisions:</w:t>
      </w:r>
    </w:p>
    <w:p w:rsidR="009B5A79" w:rsidRPr="003216A6" w:rsidRDefault="009B5A79" w:rsidP="003216A6">
      <w:pPr>
        <w:pStyle w:val="paragraph"/>
      </w:pPr>
      <w:r w:rsidRPr="003216A6">
        <w:tab/>
        <w:t>(a)</w:t>
      </w:r>
      <w:r w:rsidRPr="003216A6">
        <w:tab/>
        <w:t>prohibiting the manufacture, import, export, distribution or use of particular kinds of equipment;</w:t>
      </w:r>
      <w:r w:rsidR="00B50369" w:rsidRPr="003216A6">
        <w:t xml:space="preserve"> or</w:t>
      </w:r>
    </w:p>
    <w:p w:rsidR="009B5A79" w:rsidRPr="003216A6" w:rsidRDefault="009B5A79" w:rsidP="003216A6">
      <w:pPr>
        <w:pStyle w:val="paragraph"/>
      </w:pPr>
      <w:r w:rsidRPr="003216A6">
        <w:tab/>
        <w:t>(b)</w:t>
      </w:r>
      <w:r w:rsidRPr="003216A6">
        <w:tab/>
        <w:t>prohibiting the manufacture, import, export, distribution or use of particular kinds of equipment except in accordance with prescribed requirements;</w:t>
      </w:r>
      <w:r w:rsidR="00B50369" w:rsidRPr="003216A6">
        <w:t xml:space="preserve"> or</w:t>
      </w:r>
    </w:p>
    <w:p w:rsidR="009B5A79" w:rsidRPr="003216A6" w:rsidRDefault="009B5A79" w:rsidP="003216A6">
      <w:pPr>
        <w:pStyle w:val="paragraph"/>
      </w:pPr>
      <w:r w:rsidRPr="003216A6">
        <w:tab/>
        <w:t>(c)</w:t>
      </w:r>
      <w:r w:rsidRPr="003216A6">
        <w:tab/>
        <w:t>prohibiting the manufacture or import of equipment by a person who has not complied with a code of practice relating to the recovery, recycling or disposal of scheduled substances used in equipment manufactured or imported by that person; or</w:t>
      </w:r>
    </w:p>
    <w:p w:rsidR="009B5A79" w:rsidRPr="003216A6" w:rsidRDefault="009B5A79" w:rsidP="003216A6">
      <w:pPr>
        <w:pStyle w:val="paragraph"/>
      </w:pPr>
      <w:r w:rsidRPr="003216A6">
        <w:tab/>
        <w:t>(d)</w:t>
      </w:r>
      <w:r w:rsidRPr="003216A6">
        <w:tab/>
        <w:t>prohibiting the distribution of equipment that is not labelled or marked in accordance with the regulations</w:t>
      </w:r>
      <w:r w:rsidR="002F6749" w:rsidRPr="003216A6">
        <w:t>.</w:t>
      </w:r>
    </w:p>
    <w:p w:rsidR="009B5A79" w:rsidRPr="003216A6" w:rsidRDefault="009B5A79" w:rsidP="003216A6">
      <w:pPr>
        <w:pStyle w:val="subsection"/>
      </w:pPr>
      <w:r w:rsidRPr="003216A6">
        <w:tab/>
        <w:t>(3)</w:t>
      </w:r>
      <w:r w:rsidRPr="003216A6">
        <w:tab/>
        <w:t>To avoid doubt, the provisions that may be made by the regulations include, but are not limited to, provisions prohibiting or regulating the import of ODS equipment or SGG equipment</w:t>
      </w:r>
      <w:r w:rsidR="002F6749" w:rsidRPr="003216A6">
        <w:t>.</w:t>
      </w:r>
    </w:p>
    <w:p w:rsidR="009B5A79" w:rsidRPr="003216A6" w:rsidRDefault="009B5A79" w:rsidP="003216A6">
      <w:pPr>
        <w:pStyle w:val="notetext"/>
      </w:pPr>
      <w:r w:rsidRPr="003216A6">
        <w:t>Note:</w:t>
      </w:r>
      <w:r w:rsidRPr="003216A6">
        <w:tab/>
        <w:t>Importing ODS equipment or SGG equipment is prohibited under paragraph</w:t>
      </w:r>
      <w:r w:rsidR="003216A6" w:rsidRPr="003216A6">
        <w:t> </w:t>
      </w:r>
      <w:r w:rsidRPr="003216A6">
        <w:t>13(1)(b), except to the extent it is a Schedule</w:t>
      </w:r>
      <w:r w:rsidR="003216A6" w:rsidRPr="003216A6">
        <w:t> </w:t>
      </w:r>
      <w:r w:rsidRPr="003216A6">
        <w:t>4 activity (and therefore prohibited under paragraph</w:t>
      </w:r>
      <w:r w:rsidR="003216A6" w:rsidRPr="003216A6">
        <w:t> </w:t>
      </w:r>
      <w:r w:rsidRPr="003216A6">
        <w:t>13(1)(c)) or is prohibited by the regulations made for the purposes of this section</w:t>
      </w:r>
      <w:r w:rsidR="002F6749" w:rsidRPr="003216A6">
        <w:t>.</w:t>
      </w:r>
    </w:p>
    <w:p w:rsidR="009B5A79" w:rsidRPr="003216A6" w:rsidRDefault="009B5A79" w:rsidP="003216A6">
      <w:pPr>
        <w:pStyle w:val="subsection"/>
      </w:pPr>
      <w:r w:rsidRPr="003216A6">
        <w:tab/>
        <w:t>(4)</w:t>
      </w:r>
      <w:r w:rsidRPr="003216A6">
        <w:tab/>
        <w:t>A person does not contravene a regulation made for the purposes of this section by carrying out a section</w:t>
      </w:r>
      <w:r w:rsidR="003216A6" w:rsidRPr="003216A6">
        <w:t> </w:t>
      </w:r>
      <w:r w:rsidRPr="003216A6">
        <w:t>69G activity if the person holds an equipment licence that allows the activity</w:t>
      </w:r>
      <w:r w:rsidR="002F6749" w:rsidRPr="003216A6">
        <w:t>.</w:t>
      </w:r>
    </w:p>
    <w:p w:rsidR="009B5A79" w:rsidRPr="003216A6" w:rsidRDefault="009B5A79" w:rsidP="003216A6">
      <w:pPr>
        <w:pStyle w:val="subsection"/>
      </w:pPr>
      <w:r w:rsidRPr="003216A6">
        <w:tab/>
        <w:t>(5)</w:t>
      </w:r>
      <w:r w:rsidRPr="003216A6">
        <w:tab/>
        <w:t>Subsection</w:t>
      </w:r>
      <w:r w:rsidR="003216A6" w:rsidRPr="003216A6">
        <w:t> </w:t>
      </w:r>
      <w:r w:rsidRPr="003216A6">
        <w:t>13(</w:t>
      </w:r>
      <w:r w:rsidR="00F55B02" w:rsidRPr="003216A6">
        <w:t>5</w:t>
      </w:r>
      <w:r w:rsidRPr="003216A6">
        <w:t>) (exception for certain private or domestic use) applies in relation to a regulation made for the purposes of this section in the same way as that subsection applies in relation to paragraph</w:t>
      </w:r>
      <w:r w:rsidR="003216A6" w:rsidRPr="003216A6">
        <w:t> </w:t>
      </w:r>
      <w:r w:rsidRPr="003216A6">
        <w:t>13(1)(b) or (c)</w:t>
      </w:r>
      <w:r w:rsidR="002F6749" w:rsidRPr="003216A6">
        <w:t>.</w:t>
      </w:r>
    </w:p>
    <w:p w:rsidR="009B5A79" w:rsidRPr="003216A6" w:rsidRDefault="00B13916" w:rsidP="003216A6">
      <w:pPr>
        <w:pStyle w:val="ItemHead"/>
      </w:pPr>
      <w:r w:rsidRPr="003216A6">
        <w:t>45</w:t>
      </w:r>
      <w:r w:rsidR="009B5A79" w:rsidRPr="003216A6">
        <w:t xml:space="preserve">  Schedule</w:t>
      </w:r>
      <w:r w:rsidR="003216A6" w:rsidRPr="003216A6">
        <w:t> </w:t>
      </w:r>
      <w:r w:rsidR="009B5A79" w:rsidRPr="003216A6">
        <w:t>4 (note to Schedule heading)</w:t>
      </w:r>
    </w:p>
    <w:p w:rsidR="009B5A79" w:rsidRPr="003216A6" w:rsidRDefault="009B5A79" w:rsidP="003216A6">
      <w:pPr>
        <w:pStyle w:val="Item"/>
      </w:pPr>
      <w:r w:rsidRPr="003216A6">
        <w:t>Repeal the note, substitute:</w:t>
      </w:r>
    </w:p>
    <w:p w:rsidR="009B5A79" w:rsidRPr="003216A6" w:rsidRDefault="009B5A79" w:rsidP="003216A6">
      <w:pPr>
        <w:pStyle w:val="notemargin"/>
      </w:pPr>
      <w:r w:rsidRPr="003216A6">
        <w:t>Note:</w:t>
      </w:r>
      <w:r w:rsidRPr="003216A6">
        <w:tab/>
        <w:t xml:space="preserve">See the definition of </w:t>
      </w:r>
      <w:r w:rsidRPr="003216A6">
        <w:rPr>
          <w:b/>
          <w:i/>
        </w:rPr>
        <w:t>Schedule</w:t>
      </w:r>
      <w:r w:rsidR="003216A6" w:rsidRPr="003216A6">
        <w:rPr>
          <w:b/>
          <w:i/>
        </w:rPr>
        <w:t> </w:t>
      </w:r>
      <w:r w:rsidRPr="003216A6">
        <w:rPr>
          <w:b/>
          <w:i/>
        </w:rPr>
        <w:t>4 activity</w:t>
      </w:r>
      <w:r w:rsidRPr="003216A6">
        <w:t xml:space="preserve"> in section</w:t>
      </w:r>
      <w:r w:rsidR="003216A6" w:rsidRPr="003216A6">
        <w:t> </w:t>
      </w:r>
      <w:r w:rsidRPr="003216A6">
        <w:t>7</w:t>
      </w:r>
      <w:r w:rsidR="002F6749" w:rsidRPr="003216A6">
        <w:t>.</w:t>
      </w:r>
    </w:p>
    <w:p w:rsidR="009B5A79" w:rsidRPr="003216A6" w:rsidRDefault="00B13916" w:rsidP="003216A6">
      <w:pPr>
        <w:pStyle w:val="ItemHead"/>
      </w:pPr>
      <w:r w:rsidRPr="003216A6">
        <w:t>46</w:t>
      </w:r>
      <w:r w:rsidR="009B5A79" w:rsidRPr="003216A6">
        <w:t xml:space="preserve">  Subclause</w:t>
      </w:r>
      <w:r w:rsidR="003216A6" w:rsidRPr="003216A6">
        <w:t> </w:t>
      </w:r>
      <w:r w:rsidR="009B5A79" w:rsidRPr="003216A6">
        <w:t>5(1) of Schedule</w:t>
      </w:r>
      <w:r w:rsidR="003216A6" w:rsidRPr="003216A6">
        <w:t> </w:t>
      </w:r>
      <w:r w:rsidR="009B5A79" w:rsidRPr="003216A6">
        <w:t>4</w:t>
      </w:r>
    </w:p>
    <w:p w:rsidR="009B5A79" w:rsidRPr="003216A6" w:rsidRDefault="009B5A79" w:rsidP="003216A6">
      <w:pPr>
        <w:pStyle w:val="Item"/>
      </w:pPr>
      <w:r w:rsidRPr="003216A6">
        <w:t xml:space="preserve">Omit </w:t>
      </w:r>
      <w:r w:rsidR="00BF3C85" w:rsidRPr="003216A6">
        <w:t>“</w:t>
      </w:r>
      <w:r w:rsidRPr="003216A6">
        <w:t>unless the manufacture or importation is in accordance with an exemption granted to the person under section</w:t>
      </w:r>
      <w:r w:rsidR="003216A6" w:rsidRPr="003216A6">
        <w:t> </w:t>
      </w:r>
      <w:r w:rsidRPr="003216A6">
        <w:t>40</w:t>
      </w:r>
      <w:r w:rsidR="00BF3C85" w:rsidRPr="003216A6">
        <w:t>”</w:t>
      </w:r>
      <w:r w:rsidR="002F6749" w:rsidRPr="003216A6">
        <w:t>.</w:t>
      </w:r>
    </w:p>
    <w:p w:rsidR="009B5A79" w:rsidRPr="003216A6" w:rsidRDefault="00B13916" w:rsidP="003216A6">
      <w:pPr>
        <w:pStyle w:val="ItemHead"/>
      </w:pPr>
      <w:r w:rsidRPr="003216A6">
        <w:lastRenderedPageBreak/>
        <w:t>47</w:t>
      </w:r>
      <w:r w:rsidR="009B5A79" w:rsidRPr="003216A6">
        <w:t xml:space="preserve">  Clause</w:t>
      </w:r>
      <w:r w:rsidR="003216A6" w:rsidRPr="003216A6">
        <w:t> </w:t>
      </w:r>
      <w:r w:rsidR="009B5A79" w:rsidRPr="003216A6">
        <w:t>8 of Schedule</w:t>
      </w:r>
      <w:r w:rsidR="003216A6" w:rsidRPr="003216A6">
        <w:t> </w:t>
      </w:r>
      <w:r w:rsidR="009B5A79" w:rsidRPr="003216A6">
        <w:t>4</w:t>
      </w:r>
    </w:p>
    <w:p w:rsidR="009B5A79" w:rsidRPr="003216A6" w:rsidRDefault="009B5A79" w:rsidP="003216A6">
      <w:pPr>
        <w:pStyle w:val="Item"/>
      </w:pPr>
      <w:r w:rsidRPr="003216A6">
        <w:t xml:space="preserve">After </w:t>
      </w:r>
      <w:r w:rsidR="00BF3C85" w:rsidRPr="003216A6">
        <w:t>“</w:t>
      </w:r>
      <w:r w:rsidRPr="003216A6">
        <w:t>must not manufacture</w:t>
      </w:r>
      <w:r w:rsidR="00BF3C85" w:rsidRPr="003216A6">
        <w:t>”</w:t>
      </w:r>
      <w:r w:rsidRPr="003216A6">
        <w:t xml:space="preserve">, insert </w:t>
      </w:r>
      <w:r w:rsidR="00BF3C85" w:rsidRPr="003216A6">
        <w:t>“</w:t>
      </w:r>
      <w:r w:rsidRPr="003216A6">
        <w:t>or import</w:t>
      </w:r>
      <w:r w:rsidR="00BF3C85" w:rsidRPr="003216A6">
        <w:t>”</w:t>
      </w:r>
      <w:r w:rsidR="002F6749" w:rsidRPr="003216A6">
        <w:t>.</w:t>
      </w:r>
    </w:p>
    <w:p w:rsidR="009B5A79" w:rsidRPr="003216A6" w:rsidRDefault="009B5A79" w:rsidP="003216A6">
      <w:pPr>
        <w:pStyle w:val="ActHead8"/>
      </w:pPr>
      <w:bookmarkStart w:id="76" w:name="_Toc486251915"/>
      <w:r w:rsidRPr="003216A6">
        <w:t>Division</w:t>
      </w:r>
      <w:r w:rsidR="003216A6" w:rsidRPr="003216A6">
        <w:t> </w:t>
      </w:r>
      <w:r w:rsidR="004B64B3" w:rsidRPr="003216A6">
        <w:t>3</w:t>
      </w:r>
      <w:r w:rsidRPr="003216A6">
        <w:t>—Application, saving and transitional provisions</w:t>
      </w:r>
      <w:bookmarkEnd w:id="76"/>
    </w:p>
    <w:p w:rsidR="009B5A79" w:rsidRPr="003216A6" w:rsidRDefault="00B13916" w:rsidP="003216A6">
      <w:pPr>
        <w:pStyle w:val="ItemHead"/>
      </w:pPr>
      <w:r w:rsidRPr="003216A6">
        <w:t>48</w:t>
      </w:r>
      <w:r w:rsidR="009B5A79" w:rsidRPr="003216A6">
        <w:t xml:space="preserve">  Application of amendments</w:t>
      </w:r>
    </w:p>
    <w:p w:rsidR="009B5A79" w:rsidRPr="003216A6" w:rsidRDefault="009B5A79" w:rsidP="003216A6">
      <w:pPr>
        <w:pStyle w:val="Subitem"/>
      </w:pPr>
      <w:r w:rsidRPr="003216A6">
        <w:t>(1)</w:t>
      </w:r>
      <w:r w:rsidRPr="003216A6">
        <w:tab/>
        <w:t>The amendments of section</w:t>
      </w:r>
      <w:r w:rsidR="003216A6" w:rsidRPr="003216A6">
        <w:t> </w:t>
      </w:r>
      <w:r w:rsidRPr="003216A6">
        <w:t xml:space="preserve">17 of the </w:t>
      </w:r>
      <w:r w:rsidRPr="003216A6">
        <w:rPr>
          <w:i/>
        </w:rPr>
        <w:t>Ozone Protection and Synthetic Greenhouse Gas Management Act 1989</w:t>
      </w:r>
      <w:r w:rsidRPr="003216A6">
        <w:t xml:space="preserve"> made by this Part apply in relation to notice given under section</w:t>
      </w:r>
      <w:r w:rsidR="003216A6" w:rsidRPr="003216A6">
        <w:t> </w:t>
      </w:r>
      <w:r w:rsidRPr="003216A6">
        <w:t>15 of that Act on or after the commencement of this item in relation to an application for a licence, whether the application was made before, on or after that commencement</w:t>
      </w:r>
      <w:r w:rsidR="002F6749" w:rsidRPr="003216A6">
        <w:t>.</w:t>
      </w:r>
    </w:p>
    <w:p w:rsidR="009B5A79" w:rsidRPr="003216A6" w:rsidRDefault="009B5A79" w:rsidP="003216A6">
      <w:pPr>
        <w:pStyle w:val="Subitem"/>
      </w:pPr>
      <w:r w:rsidRPr="003216A6">
        <w:t>(2)</w:t>
      </w:r>
      <w:r w:rsidRPr="003216A6">
        <w:tab/>
        <w:t>Division</w:t>
      </w:r>
      <w:r w:rsidR="003216A6" w:rsidRPr="003216A6">
        <w:t> </w:t>
      </w:r>
      <w:r w:rsidRPr="003216A6">
        <w:t>5 of Part</w:t>
      </w:r>
      <w:r w:rsidR="003216A6" w:rsidRPr="003216A6">
        <w:t> </w:t>
      </w:r>
      <w:r w:rsidRPr="003216A6">
        <w:t xml:space="preserve">III of the </w:t>
      </w:r>
      <w:r w:rsidRPr="003216A6">
        <w:rPr>
          <w:i/>
        </w:rPr>
        <w:t>Ozone Protection and Synthetic Greenhouse Gas Management Act 1989</w:t>
      </w:r>
      <w:r w:rsidRPr="003216A6">
        <w:t>, as inserted by this Part, applies in relation to an application made under that Act on or after the commencement of this item for the renewal of a licence, whether the licence was granted before, on or after that commencement</w:t>
      </w:r>
      <w:r w:rsidR="002F6749" w:rsidRPr="003216A6">
        <w:t>.</w:t>
      </w:r>
    </w:p>
    <w:p w:rsidR="009B5A79" w:rsidRPr="003216A6" w:rsidRDefault="00B13916" w:rsidP="003216A6">
      <w:pPr>
        <w:pStyle w:val="ItemHead"/>
      </w:pPr>
      <w:r w:rsidRPr="003216A6">
        <w:t>49</w:t>
      </w:r>
      <w:r w:rsidR="009B5A79" w:rsidRPr="003216A6">
        <w:t xml:space="preserve">  Transitional—applications, licences and exemptions</w:t>
      </w:r>
    </w:p>
    <w:p w:rsidR="009B5A79" w:rsidRPr="003216A6" w:rsidRDefault="009B5A79" w:rsidP="003216A6">
      <w:pPr>
        <w:pStyle w:val="SubitemHead"/>
      </w:pPr>
      <w:r w:rsidRPr="003216A6">
        <w:t>Applications</w:t>
      </w:r>
    </w:p>
    <w:p w:rsidR="009B5A79" w:rsidRPr="003216A6" w:rsidRDefault="009B5A79" w:rsidP="003216A6">
      <w:pPr>
        <w:pStyle w:val="Subitem"/>
      </w:pPr>
      <w:r w:rsidRPr="003216A6">
        <w:t>(1)</w:t>
      </w:r>
      <w:r w:rsidRPr="003216A6">
        <w:tab/>
        <w:t>If:</w:t>
      </w:r>
    </w:p>
    <w:p w:rsidR="009B5A79" w:rsidRPr="003216A6" w:rsidRDefault="009B5A79" w:rsidP="003216A6">
      <w:pPr>
        <w:pStyle w:val="paragraph"/>
      </w:pPr>
      <w:r w:rsidRPr="003216A6">
        <w:tab/>
        <w:t>(a)</w:t>
      </w:r>
      <w:r w:rsidRPr="003216A6">
        <w:tab/>
        <w:t>before the commencement of this item, a person applied for a licence under subsection</w:t>
      </w:r>
      <w:r w:rsidR="003216A6" w:rsidRPr="003216A6">
        <w:t> </w:t>
      </w:r>
      <w:r w:rsidRPr="003216A6">
        <w:t xml:space="preserve">13A(1) of the </w:t>
      </w:r>
      <w:r w:rsidRPr="003216A6">
        <w:rPr>
          <w:i/>
        </w:rPr>
        <w:t>Ozone Protection and Synthetic Greenhouse Gas Management Act 1989</w:t>
      </w:r>
      <w:r w:rsidRPr="003216A6">
        <w:t>; and</w:t>
      </w:r>
    </w:p>
    <w:p w:rsidR="009B5A79" w:rsidRPr="003216A6" w:rsidRDefault="009B5A79" w:rsidP="003216A6">
      <w:pPr>
        <w:pStyle w:val="paragraph"/>
      </w:pPr>
      <w:r w:rsidRPr="003216A6">
        <w:tab/>
        <w:t>(b)</w:t>
      </w:r>
      <w:r w:rsidRPr="003216A6">
        <w:tab/>
        <w:t>immediately before that commencement, the Minister had neither granted the licence nor refused the application;</w:t>
      </w:r>
    </w:p>
    <w:p w:rsidR="009B5A79" w:rsidRPr="003216A6" w:rsidRDefault="009B5A79" w:rsidP="003216A6">
      <w:pPr>
        <w:pStyle w:val="subsection2"/>
      </w:pPr>
      <w:r w:rsidRPr="003216A6">
        <w:t>the application has effect, from that commencement, as if it were an application made under subsection</w:t>
      </w:r>
      <w:r w:rsidR="003216A6" w:rsidRPr="003216A6">
        <w:t> </w:t>
      </w:r>
      <w:r w:rsidRPr="003216A6">
        <w:t>14(1) of that Act, as amended by this Part</w:t>
      </w:r>
      <w:r w:rsidR="002F6749" w:rsidRPr="003216A6">
        <w:t>.</w:t>
      </w:r>
    </w:p>
    <w:p w:rsidR="009B5A79" w:rsidRPr="003216A6" w:rsidRDefault="009B5A79" w:rsidP="003216A6">
      <w:pPr>
        <w:pStyle w:val="Subitem"/>
      </w:pPr>
      <w:r w:rsidRPr="003216A6">
        <w:t>(2)</w:t>
      </w:r>
      <w:r w:rsidRPr="003216A6">
        <w:tab/>
        <w:t>If:</w:t>
      </w:r>
    </w:p>
    <w:p w:rsidR="009B5A79" w:rsidRPr="003216A6" w:rsidRDefault="009B5A79" w:rsidP="003216A6">
      <w:pPr>
        <w:pStyle w:val="paragraph"/>
      </w:pPr>
      <w:r w:rsidRPr="003216A6">
        <w:tab/>
        <w:t>(a)</w:t>
      </w:r>
      <w:r w:rsidRPr="003216A6">
        <w:tab/>
        <w:t>before the commencement of this item, a person applied for an exemption under subsection</w:t>
      </w:r>
      <w:r w:rsidR="003216A6" w:rsidRPr="003216A6">
        <w:t> </w:t>
      </w:r>
      <w:r w:rsidRPr="003216A6">
        <w:t xml:space="preserve">40(1) of the </w:t>
      </w:r>
      <w:r w:rsidRPr="003216A6">
        <w:rPr>
          <w:i/>
        </w:rPr>
        <w:t>Ozone Protection and Synthetic Greenhouse Gas Management Act 1989</w:t>
      </w:r>
      <w:r w:rsidRPr="003216A6">
        <w:t>; and</w:t>
      </w:r>
    </w:p>
    <w:p w:rsidR="009B5A79" w:rsidRPr="003216A6" w:rsidRDefault="009B5A79" w:rsidP="003216A6">
      <w:pPr>
        <w:pStyle w:val="paragraph"/>
      </w:pPr>
      <w:r w:rsidRPr="003216A6">
        <w:lastRenderedPageBreak/>
        <w:tab/>
        <w:t>(b)</w:t>
      </w:r>
      <w:r w:rsidRPr="003216A6">
        <w:tab/>
        <w:t>immediately before that commencement, the Minister had neither granted the exemption nor refused the application;</w:t>
      </w:r>
    </w:p>
    <w:p w:rsidR="009B5A79" w:rsidRPr="003216A6" w:rsidRDefault="009B5A79" w:rsidP="003216A6">
      <w:pPr>
        <w:pStyle w:val="subsection2"/>
      </w:pPr>
      <w:r w:rsidRPr="003216A6">
        <w:t>the application has effect, from that commencement, as if it were an application made under subsection</w:t>
      </w:r>
      <w:r w:rsidR="003216A6" w:rsidRPr="003216A6">
        <w:t> </w:t>
      </w:r>
      <w:r w:rsidR="00264989" w:rsidRPr="003216A6">
        <w:t>14(1</w:t>
      </w:r>
      <w:r w:rsidRPr="003216A6">
        <w:t>) of that Act, as amended by this Part, for an equipment licence</w:t>
      </w:r>
      <w:r w:rsidR="002F6749" w:rsidRPr="003216A6">
        <w:t>.</w:t>
      </w:r>
    </w:p>
    <w:p w:rsidR="009B5A79" w:rsidRPr="003216A6" w:rsidRDefault="009B5A79" w:rsidP="003216A6">
      <w:pPr>
        <w:pStyle w:val="SubitemHead"/>
      </w:pPr>
      <w:r w:rsidRPr="003216A6">
        <w:t>ODS/SGG equipment licences</w:t>
      </w:r>
    </w:p>
    <w:p w:rsidR="009B5A79" w:rsidRPr="003216A6" w:rsidRDefault="009B5A79" w:rsidP="003216A6">
      <w:pPr>
        <w:pStyle w:val="Subitem"/>
      </w:pPr>
      <w:r w:rsidRPr="003216A6">
        <w:t>(3)</w:t>
      </w:r>
      <w:r w:rsidRPr="003216A6">
        <w:tab/>
        <w:t>An ODS/SGG equipment licence that:</w:t>
      </w:r>
    </w:p>
    <w:p w:rsidR="009B5A79" w:rsidRPr="003216A6" w:rsidRDefault="009B5A79" w:rsidP="003216A6">
      <w:pPr>
        <w:pStyle w:val="paragraph"/>
      </w:pPr>
      <w:r w:rsidRPr="003216A6">
        <w:tab/>
        <w:t>(a)</w:t>
      </w:r>
      <w:r w:rsidRPr="003216A6">
        <w:tab/>
        <w:t xml:space="preserve">was granted under the </w:t>
      </w:r>
      <w:r w:rsidRPr="003216A6">
        <w:rPr>
          <w:i/>
        </w:rPr>
        <w:t>Ozone Protection and Synthetic Greenhouse Gas Management Act 1989</w:t>
      </w:r>
      <w:r w:rsidRPr="003216A6">
        <w:t xml:space="preserve"> before the commencement of this item; and</w:t>
      </w:r>
    </w:p>
    <w:p w:rsidR="009B5A79" w:rsidRPr="003216A6" w:rsidRDefault="009B5A79" w:rsidP="003216A6">
      <w:pPr>
        <w:pStyle w:val="paragraph"/>
      </w:pPr>
      <w:r w:rsidRPr="003216A6">
        <w:tab/>
        <w:t>(b)</w:t>
      </w:r>
      <w:r w:rsidRPr="003216A6">
        <w:tab/>
        <w:t>immediately before that commencement:</w:t>
      </w:r>
    </w:p>
    <w:p w:rsidR="009B5A79" w:rsidRPr="003216A6" w:rsidRDefault="009B5A79" w:rsidP="003216A6">
      <w:pPr>
        <w:pStyle w:val="paragraphsub"/>
      </w:pPr>
      <w:r w:rsidRPr="003216A6">
        <w:tab/>
        <w:t>(i)</w:t>
      </w:r>
      <w:r w:rsidRPr="003216A6">
        <w:tab/>
        <w:t>was in force; or</w:t>
      </w:r>
    </w:p>
    <w:p w:rsidR="009B5A79" w:rsidRPr="003216A6" w:rsidRDefault="009B5A79" w:rsidP="003216A6">
      <w:pPr>
        <w:pStyle w:val="paragraphsub"/>
      </w:pPr>
      <w:r w:rsidRPr="003216A6">
        <w:tab/>
        <w:t>(ii)</w:t>
      </w:r>
      <w:r w:rsidRPr="003216A6">
        <w:tab/>
        <w:t>had not yet come into force and had not been terminated or cancelled;</w:t>
      </w:r>
    </w:p>
    <w:p w:rsidR="009B5A79" w:rsidRPr="003216A6" w:rsidRDefault="009B5A79" w:rsidP="003216A6">
      <w:pPr>
        <w:pStyle w:val="Item"/>
      </w:pPr>
      <w:r w:rsidRPr="003216A6">
        <w:t>has effect, from that commencement, as if the ODS/SGG equipment licence were an equipment licence granted under that Act, as amended by this Part</w:t>
      </w:r>
      <w:r w:rsidR="002F6749" w:rsidRPr="003216A6">
        <w:t>.</w:t>
      </w:r>
    </w:p>
    <w:p w:rsidR="009B5A79" w:rsidRPr="003216A6" w:rsidRDefault="009B5A79" w:rsidP="003216A6">
      <w:pPr>
        <w:pStyle w:val="SubitemHead"/>
      </w:pPr>
      <w:r w:rsidRPr="003216A6">
        <w:t>Exemptions</w:t>
      </w:r>
    </w:p>
    <w:p w:rsidR="009B5A79" w:rsidRPr="003216A6" w:rsidRDefault="009B5A79" w:rsidP="003216A6">
      <w:pPr>
        <w:pStyle w:val="Subitem"/>
      </w:pPr>
      <w:r w:rsidRPr="003216A6">
        <w:t>(4)</w:t>
      </w:r>
      <w:r w:rsidRPr="003216A6">
        <w:tab/>
        <w:t>An exemption that:</w:t>
      </w:r>
    </w:p>
    <w:p w:rsidR="009B5A79" w:rsidRPr="003216A6" w:rsidRDefault="009B5A79" w:rsidP="003216A6">
      <w:pPr>
        <w:pStyle w:val="paragraph"/>
      </w:pPr>
      <w:r w:rsidRPr="003216A6">
        <w:tab/>
        <w:t>(a)</w:t>
      </w:r>
      <w:r w:rsidRPr="003216A6">
        <w:tab/>
        <w:t>was granted under section</w:t>
      </w:r>
      <w:r w:rsidR="003216A6" w:rsidRPr="003216A6">
        <w:t> </w:t>
      </w:r>
      <w:r w:rsidRPr="003216A6">
        <w:t xml:space="preserve">40 of the </w:t>
      </w:r>
      <w:r w:rsidRPr="003216A6">
        <w:rPr>
          <w:i/>
        </w:rPr>
        <w:t>Ozone Protection and Synthetic Greenhouse Gas Management Act 1989</w:t>
      </w:r>
      <w:r w:rsidRPr="003216A6">
        <w:t>; and</w:t>
      </w:r>
    </w:p>
    <w:p w:rsidR="009B5A79" w:rsidRPr="003216A6" w:rsidRDefault="009B5A79" w:rsidP="003216A6">
      <w:pPr>
        <w:pStyle w:val="paragraph"/>
      </w:pPr>
      <w:r w:rsidRPr="003216A6">
        <w:tab/>
        <w:t>(b)</w:t>
      </w:r>
      <w:r w:rsidRPr="003216A6">
        <w:tab/>
        <w:t>immediately before the commencement of this item:</w:t>
      </w:r>
    </w:p>
    <w:p w:rsidR="009B5A79" w:rsidRPr="003216A6" w:rsidRDefault="009B5A79" w:rsidP="003216A6">
      <w:pPr>
        <w:pStyle w:val="paragraphsub"/>
      </w:pPr>
      <w:r w:rsidRPr="003216A6">
        <w:tab/>
        <w:t>(i)</w:t>
      </w:r>
      <w:r w:rsidRPr="003216A6">
        <w:tab/>
        <w:t>was in force; or</w:t>
      </w:r>
    </w:p>
    <w:p w:rsidR="009B5A79" w:rsidRPr="003216A6" w:rsidRDefault="009B5A79" w:rsidP="003216A6">
      <w:pPr>
        <w:pStyle w:val="paragraphsub"/>
      </w:pPr>
      <w:r w:rsidRPr="003216A6">
        <w:tab/>
        <w:t>(ii)</w:t>
      </w:r>
      <w:r w:rsidRPr="003216A6">
        <w:tab/>
        <w:t>had not yet come into force and had not been cancelled;</w:t>
      </w:r>
    </w:p>
    <w:p w:rsidR="009B5A79" w:rsidRPr="003216A6" w:rsidRDefault="009B5A79" w:rsidP="003216A6">
      <w:pPr>
        <w:pStyle w:val="Item"/>
      </w:pPr>
      <w:r w:rsidRPr="003216A6">
        <w:t>has effect, from that commencement or from when the instrument comes into force after that commencement, as if:</w:t>
      </w:r>
    </w:p>
    <w:p w:rsidR="009B5A79" w:rsidRPr="003216A6" w:rsidRDefault="009B5A79" w:rsidP="003216A6">
      <w:pPr>
        <w:pStyle w:val="paragraph"/>
      </w:pPr>
      <w:r w:rsidRPr="003216A6">
        <w:tab/>
        <w:t>(c)</w:t>
      </w:r>
      <w:r w:rsidRPr="003216A6">
        <w:tab/>
        <w:t>the exemption were an equipment licence granted under that Act, as amended by this Part; and</w:t>
      </w:r>
    </w:p>
    <w:p w:rsidR="009B5A79" w:rsidRPr="003216A6" w:rsidRDefault="009B5A79" w:rsidP="003216A6">
      <w:pPr>
        <w:pStyle w:val="paragraph"/>
      </w:pPr>
      <w:r w:rsidRPr="003216A6">
        <w:tab/>
        <w:t>(d)</w:t>
      </w:r>
      <w:r w:rsidRPr="003216A6">
        <w:tab/>
        <w:t>the licence specified, as Schedule</w:t>
      </w:r>
      <w:r w:rsidR="003216A6" w:rsidRPr="003216A6">
        <w:t> </w:t>
      </w:r>
      <w:r w:rsidRPr="003216A6">
        <w:t>4 activities or section</w:t>
      </w:r>
      <w:r w:rsidR="003216A6" w:rsidRPr="003216A6">
        <w:t> </w:t>
      </w:r>
      <w:r w:rsidRPr="003216A6">
        <w:t>69G activities it allowed, the activities that would contravene the obligation to which the exemption related; and</w:t>
      </w:r>
    </w:p>
    <w:p w:rsidR="009B5A79" w:rsidRPr="003216A6" w:rsidRDefault="009B5A79" w:rsidP="003216A6">
      <w:pPr>
        <w:pStyle w:val="paragraph"/>
      </w:pPr>
      <w:r w:rsidRPr="003216A6">
        <w:tab/>
        <w:t>(e)</w:t>
      </w:r>
      <w:r w:rsidRPr="003216A6">
        <w:tab/>
        <w:t>the licence specified, under paragraph</w:t>
      </w:r>
      <w:r w:rsidR="003216A6" w:rsidRPr="003216A6">
        <w:t> </w:t>
      </w:r>
      <w:r w:rsidRPr="003216A6">
        <w:t>19(3)(b) of that Act, the period that was specified in relation to the exemption under subsection</w:t>
      </w:r>
      <w:r w:rsidR="003216A6" w:rsidRPr="003216A6">
        <w:t> </w:t>
      </w:r>
      <w:r w:rsidRPr="003216A6">
        <w:t>40(6) immediately before that commencement; and</w:t>
      </w:r>
    </w:p>
    <w:p w:rsidR="009B5A79" w:rsidRPr="003216A6" w:rsidRDefault="009B5A79" w:rsidP="003216A6">
      <w:pPr>
        <w:pStyle w:val="paragraph"/>
      </w:pPr>
      <w:r w:rsidRPr="003216A6">
        <w:lastRenderedPageBreak/>
        <w:tab/>
        <w:t>(f)</w:t>
      </w:r>
      <w:r w:rsidRPr="003216A6">
        <w:tab/>
        <w:t>any condition to which the exemption was subject under subsection</w:t>
      </w:r>
      <w:r w:rsidR="003216A6" w:rsidRPr="003216A6">
        <w:t> </w:t>
      </w:r>
      <w:r w:rsidRPr="003216A6">
        <w:t>40(6A) of that Act immediately before that commencement were a condition imposed on the licence under subsection</w:t>
      </w:r>
      <w:r w:rsidR="003216A6" w:rsidRPr="003216A6">
        <w:t> </w:t>
      </w:r>
      <w:r w:rsidRPr="003216A6">
        <w:t>18(4)</w:t>
      </w:r>
      <w:r w:rsidR="002F6749" w:rsidRPr="003216A6">
        <w:t>.</w:t>
      </w:r>
    </w:p>
    <w:p w:rsidR="009B5A79" w:rsidRPr="003216A6" w:rsidRDefault="009B5A79" w:rsidP="003216A6">
      <w:pPr>
        <w:pStyle w:val="ActHead7"/>
        <w:pageBreakBefore/>
      </w:pPr>
      <w:bookmarkStart w:id="77" w:name="_Toc486251916"/>
      <w:r w:rsidRPr="003216A6">
        <w:rPr>
          <w:rStyle w:val="CharAmPartNo"/>
        </w:rPr>
        <w:lastRenderedPageBreak/>
        <w:t>Part</w:t>
      </w:r>
      <w:r w:rsidR="003216A6" w:rsidRPr="003216A6">
        <w:rPr>
          <w:rStyle w:val="CharAmPartNo"/>
        </w:rPr>
        <w:t> </w:t>
      </w:r>
      <w:r w:rsidRPr="003216A6">
        <w:rPr>
          <w:rStyle w:val="CharAmPartNo"/>
        </w:rPr>
        <w:t>2</w:t>
      </w:r>
      <w:r w:rsidRPr="003216A6">
        <w:t>—</w:t>
      </w:r>
      <w:r w:rsidRPr="003216A6">
        <w:rPr>
          <w:rStyle w:val="CharAmPartText"/>
        </w:rPr>
        <w:t>Levy periods, threshold and penalty interest</w:t>
      </w:r>
      <w:bookmarkEnd w:id="77"/>
    </w:p>
    <w:p w:rsidR="005E28A2" w:rsidRPr="003216A6" w:rsidRDefault="005E28A2" w:rsidP="003216A6">
      <w:pPr>
        <w:pStyle w:val="ActHead9"/>
        <w:rPr>
          <w:i w:val="0"/>
        </w:rPr>
      </w:pPr>
      <w:bookmarkStart w:id="78" w:name="_Toc486251917"/>
      <w:r w:rsidRPr="003216A6">
        <w:t>Evidence Act 1995</w:t>
      </w:r>
      <w:bookmarkEnd w:id="78"/>
    </w:p>
    <w:p w:rsidR="005E28A2" w:rsidRPr="003216A6" w:rsidRDefault="00B13916" w:rsidP="003216A6">
      <w:pPr>
        <w:pStyle w:val="ItemHead"/>
      </w:pPr>
      <w:r w:rsidRPr="003216A6">
        <w:t>50</w:t>
      </w:r>
      <w:r w:rsidR="005E28A2" w:rsidRPr="003216A6">
        <w:t xml:space="preserve">  Part</w:t>
      </w:r>
      <w:r w:rsidR="003216A6" w:rsidRPr="003216A6">
        <w:t> </w:t>
      </w:r>
      <w:r w:rsidR="005E28A2" w:rsidRPr="003216A6">
        <w:t>1 of the Dictionary (</w:t>
      </w:r>
      <w:r w:rsidR="003216A6" w:rsidRPr="003216A6">
        <w:t>subparagraph (</w:t>
      </w:r>
      <w:r w:rsidR="005E28A2" w:rsidRPr="003216A6">
        <w:t xml:space="preserve">b)(vi) of the definition of </w:t>
      </w:r>
      <w:r w:rsidR="005E28A2" w:rsidRPr="003216A6">
        <w:rPr>
          <w:i/>
        </w:rPr>
        <w:t>Commonwealth document</w:t>
      </w:r>
      <w:r w:rsidR="005E28A2" w:rsidRPr="003216A6">
        <w:t>)</w:t>
      </w:r>
    </w:p>
    <w:p w:rsidR="005E28A2" w:rsidRPr="003216A6" w:rsidRDefault="005E28A2" w:rsidP="003216A6">
      <w:pPr>
        <w:pStyle w:val="Item"/>
      </w:pPr>
      <w:r w:rsidRPr="003216A6">
        <w:t xml:space="preserve">Omit </w:t>
      </w:r>
      <w:r w:rsidR="00BF3C85" w:rsidRPr="003216A6">
        <w:t>“</w:t>
      </w:r>
      <w:r w:rsidRPr="003216A6">
        <w:t>or 46A</w:t>
      </w:r>
      <w:r w:rsidR="00BF3C85" w:rsidRPr="003216A6">
        <w:t>”</w:t>
      </w:r>
      <w:r w:rsidR="002F6749" w:rsidRPr="003216A6">
        <w:t>.</w:t>
      </w:r>
    </w:p>
    <w:p w:rsidR="009B5A79" w:rsidRPr="003216A6" w:rsidRDefault="009B5A79" w:rsidP="003216A6">
      <w:pPr>
        <w:pStyle w:val="ActHead9"/>
        <w:rPr>
          <w:i w:val="0"/>
        </w:rPr>
      </w:pPr>
      <w:bookmarkStart w:id="79" w:name="_Toc486251918"/>
      <w:r w:rsidRPr="003216A6">
        <w:t>Ozone Protection and Synthetic Greenhouse Gas (Import Levy) Act 1995</w:t>
      </w:r>
      <w:bookmarkEnd w:id="79"/>
    </w:p>
    <w:p w:rsidR="009B5A79" w:rsidRPr="003216A6" w:rsidRDefault="00B13916" w:rsidP="003216A6">
      <w:pPr>
        <w:pStyle w:val="ItemHead"/>
      </w:pPr>
      <w:r w:rsidRPr="003216A6">
        <w:t>51</w:t>
      </w:r>
      <w:r w:rsidR="009B5A79" w:rsidRPr="003216A6">
        <w:t xml:space="preserve">  Paragraph 3A(1)(b)</w:t>
      </w:r>
    </w:p>
    <w:p w:rsidR="009B5A79" w:rsidRPr="003216A6" w:rsidRDefault="009B5A79" w:rsidP="003216A6">
      <w:pPr>
        <w:pStyle w:val="Item"/>
      </w:pPr>
      <w:r w:rsidRPr="003216A6">
        <w:t xml:space="preserve">Omit </w:t>
      </w:r>
      <w:r w:rsidR="00BF3C85" w:rsidRPr="003216A6">
        <w:t>“</w:t>
      </w:r>
      <w:r w:rsidRPr="003216A6">
        <w:t>quarter</w:t>
      </w:r>
      <w:r w:rsidR="00BF3C85" w:rsidRPr="003216A6">
        <w:t>”</w:t>
      </w:r>
      <w:r w:rsidRPr="003216A6">
        <w:t xml:space="preserve">, substitute </w:t>
      </w:r>
      <w:r w:rsidR="00BF3C85" w:rsidRPr="003216A6">
        <w:t>“</w:t>
      </w:r>
      <w:r w:rsidRPr="003216A6">
        <w:t>reporting period</w:t>
      </w:r>
      <w:r w:rsidR="00BF3C85" w:rsidRPr="003216A6">
        <w:t>”</w:t>
      </w:r>
      <w:r w:rsidR="002F6749" w:rsidRPr="003216A6">
        <w:t>.</w:t>
      </w:r>
    </w:p>
    <w:p w:rsidR="009B5A79" w:rsidRPr="003216A6" w:rsidRDefault="00B13916" w:rsidP="003216A6">
      <w:pPr>
        <w:pStyle w:val="ItemHead"/>
      </w:pPr>
      <w:r w:rsidRPr="003216A6">
        <w:t>52</w:t>
      </w:r>
      <w:r w:rsidR="009B5A79" w:rsidRPr="003216A6">
        <w:t xml:space="preserve">  Subsections</w:t>
      </w:r>
      <w:r w:rsidR="003216A6" w:rsidRPr="003216A6">
        <w:t> </w:t>
      </w:r>
      <w:r w:rsidR="009B5A79" w:rsidRPr="003216A6">
        <w:t>3A(6) and (7)</w:t>
      </w:r>
    </w:p>
    <w:p w:rsidR="009B5A79" w:rsidRPr="003216A6" w:rsidRDefault="009B5A79" w:rsidP="003216A6">
      <w:pPr>
        <w:pStyle w:val="Item"/>
      </w:pPr>
      <w:r w:rsidRPr="003216A6">
        <w:t xml:space="preserve">Omit </w:t>
      </w:r>
      <w:r w:rsidR="00BF3C85" w:rsidRPr="003216A6">
        <w:t>“</w:t>
      </w:r>
      <w:r w:rsidRPr="003216A6">
        <w:t>quarter</w:t>
      </w:r>
      <w:r w:rsidR="00BF3C85" w:rsidRPr="003216A6">
        <w:t>”</w:t>
      </w:r>
      <w:r w:rsidRPr="003216A6">
        <w:t xml:space="preserve"> (wherever occurring), substitute </w:t>
      </w:r>
      <w:r w:rsidR="00BF3C85" w:rsidRPr="003216A6">
        <w:t>“</w:t>
      </w:r>
      <w:r w:rsidRPr="003216A6">
        <w:t>reporting period</w:t>
      </w:r>
      <w:r w:rsidR="00BF3C85" w:rsidRPr="003216A6">
        <w:t>”</w:t>
      </w:r>
      <w:r w:rsidR="002F6749" w:rsidRPr="003216A6">
        <w:t>.</w:t>
      </w:r>
    </w:p>
    <w:p w:rsidR="009B5A79" w:rsidRPr="003216A6" w:rsidRDefault="00B13916" w:rsidP="003216A6">
      <w:pPr>
        <w:pStyle w:val="ItemHead"/>
      </w:pPr>
      <w:r w:rsidRPr="003216A6">
        <w:t>53</w:t>
      </w:r>
      <w:r w:rsidR="009B5A79" w:rsidRPr="003216A6">
        <w:t xml:space="preserve">  Paragraph 4(1)(b)</w:t>
      </w:r>
    </w:p>
    <w:p w:rsidR="009B5A79" w:rsidRPr="003216A6" w:rsidRDefault="009B5A79" w:rsidP="003216A6">
      <w:pPr>
        <w:pStyle w:val="Item"/>
      </w:pPr>
      <w:r w:rsidRPr="003216A6">
        <w:t xml:space="preserve">Omit </w:t>
      </w:r>
      <w:r w:rsidR="00BF3C85" w:rsidRPr="003216A6">
        <w:t>“</w:t>
      </w:r>
      <w:r w:rsidRPr="003216A6">
        <w:t>quarter</w:t>
      </w:r>
      <w:r w:rsidR="00BF3C85" w:rsidRPr="003216A6">
        <w:t>”</w:t>
      </w:r>
      <w:r w:rsidRPr="003216A6">
        <w:t xml:space="preserve">, substitute </w:t>
      </w:r>
      <w:r w:rsidR="00BF3C85" w:rsidRPr="003216A6">
        <w:t>“</w:t>
      </w:r>
      <w:r w:rsidRPr="003216A6">
        <w:t>reporting period</w:t>
      </w:r>
      <w:r w:rsidR="00BF3C85" w:rsidRPr="003216A6">
        <w:t>”</w:t>
      </w:r>
      <w:r w:rsidR="002F6749" w:rsidRPr="003216A6">
        <w:t>.</w:t>
      </w:r>
    </w:p>
    <w:p w:rsidR="009B5A79" w:rsidRPr="003216A6" w:rsidRDefault="00B13916" w:rsidP="003216A6">
      <w:pPr>
        <w:pStyle w:val="ItemHead"/>
      </w:pPr>
      <w:r w:rsidRPr="003216A6">
        <w:t>54</w:t>
      </w:r>
      <w:r w:rsidR="009B5A79" w:rsidRPr="003216A6">
        <w:t xml:space="preserve">  Subsection</w:t>
      </w:r>
      <w:r w:rsidR="003216A6" w:rsidRPr="003216A6">
        <w:t> </w:t>
      </w:r>
      <w:r w:rsidR="009B5A79" w:rsidRPr="003216A6">
        <w:t>4(4)</w:t>
      </w:r>
    </w:p>
    <w:p w:rsidR="009B5A79" w:rsidRPr="003216A6" w:rsidRDefault="009B5A79" w:rsidP="003216A6">
      <w:pPr>
        <w:pStyle w:val="Item"/>
      </w:pPr>
      <w:r w:rsidRPr="003216A6">
        <w:t xml:space="preserve">Omit </w:t>
      </w:r>
      <w:r w:rsidR="00BF3C85" w:rsidRPr="003216A6">
        <w:t>“</w:t>
      </w:r>
      <w:r w:rsidRPr="003216A6">
        <w:t>quarter</w:t>
      </w:r>
      <w:r w:rsidR="00BF3C85" w:rsidRPr="003216A6">
        <w:t>”</w:t>
      </w:r>
      <w:r w:rsidRPr="003216A6">
        <w:t xml:space="preserve"> (wherever occurring), substitute </w:t>
      </w:r>
      <w:r w:rsidR="00BF3C85" w:rsidRPr="003216A6">
        <w:t>“</w:t>
      </w:r>
      <w:r w:rsidRPr="003216A6">
        <w:t>reporting period</w:t>
      </w:r>
      <w:r w:rsidR="00BF3C85" w:rsidRPr="003216A6">
        <w:t>”</w:t>
      </w:r>
      <w:r w:rsidR="002F6749" w:rsidRPr="003216A6">
        <w:t>.</w:t>
      </w:r>
    </w:p>
    <w:p w:rsidR="009B5A79" w:rsidRPr="003216A6" w:rsidRDefault="00B13916" w:rsidP="003216A6">
      <w:pPr>
        <w:pStyle w:val="ItemHead"/>
      </w:pPr>
      <w:r w:rsidRPr="003216A6">
        <w:t>55</w:t>
      </w:r>
      <w:r w:rsidR="009B5A79" w:rsidRPr="003216A6">
        <w:t xml:space="preserve">  Paragraph 4A(1)(b)</w:t>
      </w:r>
    </w:p>
    <w:p w:rsidR="009B5A79" w:rsidRPr="003216A6" w:rsidRDefault="009B5A79" w:rsidP="003216A6">
      <w:pPr>
        <w:pStyle w:val="Item"/>
      </w:pPr>
      <w:r w:rsidRPr="003216A6">
        <w:t xml:space="preserve">Omit </w:t>
      </w:r>
      <w:r w:rsidR="00BF3C85" w:rsidRPr="003216A6">
        <w:t>“</w:t>
      </w:r>
      <w:r w:rsidRPr="003216A6">
        <w:t>quarter</w:t>
      </w:r>
      <w:r w:rsidR="00BF3C85" w:rsidRPr="003216A6">
        <w:t>”</w:t>
      </w:r>
      <w:r w:rsidRPr="003216A6">
        <w:t xml:space="preserve">, substitute </w:t>
      </w:r>
      <w:r w:rsidR="00BF3C85" w:rsidRPr="003216A6">
        <w:t>“</w:t>
      </w:r>
      <w:r w:rsidRPr="003216A6">
        <w:t>reporting period</w:t>
      </w:r>
      <w:r w:rsidR="00BF3C85" w:rsidRPr="003216A6">
        <w:t>”</w:t>
      </w:r>
      <w:r w:rsidR="002F6749" w:rsidRPr="003216A6">
        <w:t>.</w:t>
      </w:r>
    </w:p>
    <w:p w:rsidR="009B5A79" w:rsidRPr="003216A6" w:rsidRDefault="00B13916" w:rsidP="003216A6">
      <w:pPr>
        <w:pStyle w:val="ItemHead"/>
      </w:pPr>
      <w:r w:rsidRPr="003216A6">
        <w:t>56</w:t>
      </w:r>
      <w:r w:rsidR="009B5A79" w:rsidRPr="003216A6">
        <w:t xml:space="preserve">  Subsections</w:t>
      </w:r>
      <w:r w:rsidR="003216A6" w:rsidRPr="003216A6">
        <w:t> </w:t>
      </w:r>
      <w:r w:rsidR="009B5A79" w:rsidRPr="003216A6">
        <w:t>4A(4) and (5)</w:t>
      </w:r>
    </w:p>
    <w:p w:rsidR="009B5A79" w:rsidRPr="003216A6" w:rsidRDefault="009B5A79" w:rsidP="003216A6">
      <w:pPr>
        <w:pStyle w:val="Item"/>
      </w:pPr>
      <w:r w:rsidRPr="003216A6">
        <w:t xml:space="preserve">Omit </w:t>
      </w:r>
      <w:r w:rsidR="00BF3C85" w:rsidRPr="003216A6">
        <w:t>“</w:t>
      </w:r>
      <w:r w:rsidRPr="003216A6">
        <w:t>quarter</w:t>
      </w:r>
      <w:r w:rsidR="00BF3C85" w:rsidRPr="003216A6">
        <w:t>”</w:t>
      </w:r>
      <w:r w:rsidRPr="003216A6">
        <w:t xml:space="preserve"> (wherever occurring), substitute </w:t>
      </w:r>
      <w:r w:rsidR="00BF3C85" w:rsidRPr="003216A6">
        <w:t>“</w:t>
      </w:r>
      <w:r w:rsidRPr="003216A6">
        <w:t>reporting period</w:t>
      </w:r>
      <w:r w:rsidR="00BF3C85" w:rsidRPr="003216A6">
        <w:t>”</w:t>
      </w:r>
      <w:r w:rsidR="002F6749" w:rsidRPr="003216A6">
        <w:t>.</w:t>
      </w:r>
    </w:p>
    <w:p w:rsidR="009B5A79" w:rsidRPr="003216A6" w:rsidRDefault="00B13916" w:rsidP="003216A6">
      <w:pPr>
        <w:pStyle w:val="ItemHead"/>
      </w:pPr>
      <w:r w:rsidRPr="003216A6">
        <w:t>57</w:t>
      </w:r>
      <w:r w:rsidR="009B5A79" w:rsidRPr="003216A6">
        <w:t xml:space="preserve">  Paragraph 4B(1)(b)</w:t>
      </w:r>
    </w:p>
    <w:p w:rsidR="009B5A79" w:rsidRPr="003216A6" w:rsidRDefault="009B5A79" w:rsidP="003216A6">
      <w:pPr>
        <w:pStyle w:val="Item"/>
      </w:pPr>
      <w:r w:rsidRPr="003216A6">
        <w:t xml:space="preserve">Omit </w:t>
      </w:r>
      <w:r w:rsidR="00BF3C85" w:rsidRPr="003216A6">
        <w:t>“</w:t>
      </w:r>
      <w:r w:rsidRPr="003216A6">
        <w:t>quarter</w:t>
      </w:r>
      <w:r w:rsidR="00BF3C85" w:rsidRPr="003216A6">
        <w:t>”</w:t>
      </w:r>
      <w:r w:rsidRPr="003216A6">
        <w:t xml:space="preserve">, substitute </w:t>
      </w:r>
      <w:r w:rsidR="00BF3C85" w:rsidRPr="003216A6">
        <w:t>“</w:t>
      </w:r>
      <w:r w:rsidRPr="003216A6">
        <w:t>reporting period</w:t>
      </w:r>
      <w:r w:rsidR="00BF3C85" w:rsidRPr="003216A6">
        <w:t>”</w:t>
      </w:r>
      <w:r w:rsidR="002F6749" w:rsidRPr="003216A6">
        <w:t>.</w:t>
      </w:r>
    </w:p>
    <w:p w:rsidR="009B5A79" w:rsidRPr="003216A6" w:rsidRDefault="00B13916" w:rsidP="003216A6">
      <w:pPr>
        <w:pStyle w:val="ItemHead"/>
      </w:pPr>
      <w:r w:rsidRPr="003216A6">
        <w:t>58</w:t>
      </w:r>
      <w:r w:rsidR="009B5A79" w:rsidRPr="003216A6">
        <w:t xml:space="preserve">  Subsection</w:t>
      </w:r>
      <w:r w:rsidR="003216A6" w:rsidRPr="003216A6">
        <w:t> </w:t>
      </w:r>
      <w:r w:rsidR="009B5A79" w:rsidRPr="003216A6">
        <w:t>4B(3)</w:t>
      </w:r>
    </w:p>
    <w:p w:rsidR="009B5A79" w:rsidRPr="003216A6" w:rsidRDefault="009B5A79" w:rsidP="003216A6">
      <w:pPr>
        <w:pStyle w:val="Item"/>
      </w:pPr>
      <w:r w:rsidRPr="003216A6">
        <w:t xml:space="preserve">Omit </w:t>
      </w:r>
      <w:r w:rsidR="00BF3C85" w:rsidRPr="003216A6">
        <w:t>“</w:t>
      </w:r>
      <w:r w:rsidRPr="003216A6">
        <w:t>quarter</w:t>
      </w:r>
      <w:r w:rsidR="00BF3C85" w:rsidRPr="003216A6">
        <w:t>”</w:t>
      </w:r>
      <w:r w:rsidRPr="003216A6">
        <w:t xml:space="preserve"> (wherever occurring), substitute </w:t>
      </w:r>
      <w:r w:rsidR="00BF3C85" w:rsidRPr="003216A6">
        <w:t>“</w:t>
      </w:r>
      <w:r w:rsidRPr="003216A6">
        <w:t>reporting period</w:t>
      </w:r>
      <w:r w:rsidR="00BF3C85" w:rsidRPr="003216A6">
        <w:t>”</w:t>
      </w:r>
      <w:r w:rsidR="002F6749" w:rsidRPr="003216A6">
        <w:t>.</w:t>
      </w:r>
    </w:p>
    <w:p w:rsidR="009B5A79" w:rsidRPr="003216A6" w:rsidRDefault="009B5A79" w:rsidP="003216A6">
      <w:pPr>
        <w:pStyle w:val="ActHead9"/>
        <w:rPr>
          <w:i w:val="0"/>
        </w:rPr>
      </w:pPr>
      <w:bookmarkStart w:id="80" w:name="_Toc486251919"/>
      <w:r w:rsidRPr="003216A6">
        <w:lastRenderedPageBreak/>
        <w:t>Ozone Protection and Synthetic Greenhouse Gas Management Act 1989</w:t>
      </w:r>
      <w:bookmarkEnd w:id="80"/>
    </w:p>
    <w:p w:rsidR="009B5A79" w:rsidRPr="003216A6" w:rsidRDefault="00B13916" w:rsidP="003216A6">
      <w:pPr>
        <w:pStyle w:val="ItemHead"/>
      </w:pPr>
      <w:r w:rsidRPr="003216A6">
        <w:t>59</w:t>
      </w:r>
      <w:r w:rsidR="009B5A79" w:rsidRPr="003216A6">
        <w:t xml:space="preserve">  Section</w:t>
      </w:r>
      <w:r w:rsidR="003216A6" w:rsidRPr="003216A6">
        <w:t> </w:t>
      </w:r>
      <w:r w:rsidR="009B5A79" w:rsidRPr="003216A6">
        <w:t xml:space="preserve">7 (definition of </w:t>
      </w:r>
      <w:r w:rsidR="009B5A79" w:rsidRPr="003216A6">
        <w:rPr>
          <w:i/>
        </w:rPr>
        <w:t>quarter</w:t>
      </w:r>
      <w:r w:rsidR="009B5A79" w:rsidRPr="003216A6">
        <w:t>)</w:t>
      </w:r>
    </w:p>
    <w:p w:rsidR="009B5A79" w:rsidRPr="003216A6" w:rsidRDefault="009B5A79" w:rsidP="003216A6">
      <w:pPr>
        <w:pStyle w:val="Item"/>
      </w:pPr>
      <w:r w:rsidRPr="003216A6">
        <w:t>Repeal the definition</w:t>
      </w:r>
      <w:r w:rsidR="002F6749" w:rsidRPr="003216A6">
        <w:t>.</w:t>
      </w:r>
    </w:p>
    <w:p w:rsidR="009B5A79" w:rsidRPr="003216A6" w:rsidRDefault="00B13916" w:rsidP="003216A6">
      <w:pPr>
        <w:pStyle w:val="ItemHead"/>
      </w:pPr>
      <w:r w:rsidRPr="003216A6">
        <w:t>60</w:t>
      </w:r>
      <w:r w:rsidR="009B5A79" w:rsidRPr="003216A6">
        <w:t xml:space="preserve">  Section</w:t>
      </w:r>
      <w:r w:rsidR="003216A6" w:rsidRPr="003216A6">
        <w:t> </w:t>
      </w:r>
      <w:r w:rsidR="009B5A79" w:rsidRPr="003216A6">
        <w:t>7</w:t>
      </w:r>
    </w:p>
    <w:p w:rsidR="009B5A79" w:rsidRPr="003216A6" w:rsidRDefault="009B5A79" w:rsidP="003216A6">
      <w:pPr>
        <w:pStyle w:val="Item"/>
      </w:pPr>
      <w:r w:rsidRPr="003216A6">
        <w:t>Insert:</w:t>
      </w:r>
    </w:p>
    <w:p w:rsidR="009B5A79" w:rsidRPr="003216A6" w:rsidRDefault="009B5A79" w:rsidP="003216A6">
      <w:pPr>
        <w:pStyle w:val="Definition"/>
      </w:pPr>
      <w:r w:rsidRPr="003216A6">
        <w:rPr>
          <w:b/>
          <w:i/>
        </w:rPr>
        <w:t>reporting period</w:t>
      </w:r>
      <w:r w:rsidRPr="003216A6">
        <w:t xml:space="preserve"> means a period of 6 months starting on 1</w:t>
      </w:r>
      <w:r w:rsidR="003216A6" w:rsidRPr="003216A6">
        <w:t> </w:t>
      </w:r>
      <w:r w:rsidRPr="003216A6">
        <w:t>January or 1</w:t>
      </w:r>
      <w:r w:rsidR="003216A6" w:rsidRPr="003216A6">
        <w:t> </w:t>
      </w:r>
      <w:r w:rsidRPr="003216A6">
        <w:t>July</w:t>
      </w:r>
      <w:r w:rsidR="002F6749" w:rsidRPr="003216A6">
        <w:t>.</w:t>
      </w:r>
    </w:p>
    <w:p w:rsidR="009B5A79" w:rsidRPr="003216A6" w:rsidRDefault="00B13916" w:rsidP="003216A6">
      <w:pPr>
        <w:pStyle w:val="ItemHead"/>
      </w:pPr>
      <w:r w:rsidRPr="003216A6">
        <w:t>61</w:t>
      </w:r>
      <w:r w:rsidR="009B5A79" w:rsidRPr="003216A6">
        <w:t xml:space="preserve">  Section</w:t>
      </w:r>
      <w:r w:rsidR="003216A6" w:rsidRPr="003216A6">
        <w:t> </w:t>
      </w:r>
      <w:r w:rsidR="009B5A79" w:rsidRPr="003216A6">
        <w:t>46 (heading)</w:t>
      </w:r>
    </w:p>
    <w:p w:rsidR="009B5A79" w:rsidRPr="003216A6" w:rsidRDefault="009B5A79" w:rsidP="003216A6">
      <w:pPr>
        <w:pStyle w:val="Item"/>
      </w:pPr>
      <w:r w:rsidRPr="003216A6">
        <w:t>Repeal the heading, substitute:</w:t>
      </w:r>
    </w:p>
    <w:p w:rsidR="009B5A79" w:rsidRPr="003216A6" w:rsidRDefault="009B5A79" w:rsidP="003216A6">
      <w:pPr>
        <w:pStyle w:val="ActHead5"/>
      </w:pPr>
      <w:bookmarkStart w:id="81" w:name="_Toc486251920"/>
      <w:r w:rsidRPr="003216A6">
        <w:rPr>
          <w:rStyle w:val="CharSectno"/>
        </w:rPr>
        <w:t>46</w:t>
      </w:r>
      <w:r w:rsidRPr="003216A6">
        <w:t xml:space="preserve">  Periodic reports by manufacturers, importers and exporters of scheduled substances</w:t>
      </w:r>
      <w:bookmarkEnd w:id="81"/>
    </w:p>
    <w:p w:rsidR="009B5A79" w:rsidRPr="003216A6" w:rsidRDefault="00B13916" w:rsidP="003216A6">
      <w:pPr>
        <w:pStyle w:val="ItemHead"/>
      </w:pPr>
      <w:r w:rsidRPr="003216A6">
        <w:t>62</w:t>
      </w:r>
      <w:r w:rsidR="009B5A79" w:rsidRPr="003216A6">
        <w:t xml:space="preserve">  Subsections</w:t>
      </w:r>
      <w:r w:rsidR="003216A6" w:rsidRPr="003216A6">
        <w:t> </w:t>
      </w:r>
      <w:r w:rsidR="009B5A79" w:rsidRPr="003216A6">
        <w:t>46(1) to (2)</w:t>
      </w:r>
    </w:p>
    <w:p w:rsidR="009B5A79" w:rsidRPr="003216A6" w:rsidRDefault="009B5A79" w:rsidP="003216A6">
      <w:pPr>
        <w:pStyle w:val="Item"/>
      </w:pPr>
      <w:r w:rsidRPr="003216A6">
        <w:t>Repeal the subsections, substitute:</w:t>
      </w:r>
    </w:p>
    <w:p w:rsidR="009B5A79" w:rsidRPr="003216A6" w:rsidRDefault="009B5A79" w:rsidP="003216A6">
      <w:pPr>
        <w:pStyle w:val="SubsectionHead"/>
      </w:pPr>
      <w:r w:rsidRPr="003216A6">
        <w:t>Requirement to report</w:t>
      </w:r>
    </w:p>
    <w:p w:rsidR="009B5A79" w:rsidRPr="003216A6" w:rsidRDefault="009B5A79" w:rsidP="003216A6">
      <w:pPr>
        <w:pStyle w:val="subsection"/>
      </w:pPr>
      <w:r w:rsidRPr="003216A6">
        <w:tab/>
        <w:t>(1)</w:t>
      </w:r>
      <w:r w:rsidRPr="003216A6">
        <w:tab/>
        <w:t xml:space="preserve">A person who engages, during a reporting period, in an activity set out in column 1 of an item of the following table must give to the Minister a report in relation to the activity in accordance with </w:t>
      </w:r>
      <w:r w:rsidR="003216A6" w:rsidRPr="003216A6">
        <w:t>subsection (</w:t>
      </w:r>
      <w:r w:rsidRPr="003216A6">
        <w:t>1A) and the regulations, unless an exception in column 2 of the item applies</w:t>
      </w:r>
      <w:r w:rsidR="002F6749" w:rsidRPr="003216A6">
        <w:t>.</w:t>
      </w:r>
    </w:p>
    <w:p w:rsidR="009B5A79" w:rsidRPr="003216A6" w:rsidRDefault="009B5A79" w:rsidP="003216A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9B5A79" w:rsidRPr="003216A6" w:rsidTr="00041003">
        <w:trPr>
          <w:tblHeader/>
        </w:trPr>
        <w:tc>
          <w:tcPr>
            <w:tcW w:w="7086" w:type="dxa"/>
            <w:gridSpan w:val="3"/>
            <w:tcBorders>
              <w:top w:val="single" w:sz="12" w:space="0" w:color="auto"/>
              <w:bottom w:val="single" w:sz="6" w:space="0" w:color="auto"/>
            </w:tcBorders>
            <w:shd w:val="clear" w:color="auto" w:fill="auto"/>
          </w:tcPr>
          <w:p w:rsidR="009B5A79" w:rsidRPr="003216A6" w:rsidRDefault="009B5A79" w:rsidP="003216A6">
            <w:pPr>
              <w:pStyle w:val="TableHeading"/>
            </w:pPr>
            <w:r w:rsidRPr="003216A6">
              <w:t>Reportable activities</w:t>
            </w:r>
          </w:p>
        </w:tc>
      </w:tr>
      <w:tr w:rsidR="009B5A79" w:rsidRPr="003216A6" w:rsidTr="00041003">
        <w:trPr>
          <w:tblHeader/>
        </w:trPr>
        <w:tc>
          <w:tcPr>
            <w:tcW w:w="714"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Item</w:t>
            </w:r>
          </w:p>
        </w:tc>
        <w:tc>
          <w:tcPr>
            <w:tcW w:w="3186"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Column 1</w:t>
            </w:r>
          </w:p>
          <w:p w:rsidR="009B5A79" w:rsidRPr="003216A6" w:rsidRDefault="009B5A79" w:rsidP="003216A6">
            <w:pPr>
              <w:pStyle w:val="TableHeading"/>
            </w:pPr>
            <w:r w:rsidRPr="003216A6">
              <w:t>Activity</w:t>
            </w:r>
          </w:p>
        </w:tc>
        <w:tc>
          <w:tcPr>
            <w:tcW w:w="3186"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Column 2</w:t>
            </w:r>
          </w:p>
          <w:p w:rsidR="009B5A79" w:rsidRPr="003216A6" w:rsidRDefault="009B5A79" w:rsidP="003216A6">
            <w:pPr>
              <w:pStyle w:val="TableHeading"/>
            </w:pPr>
            <w:r w:rsidRPr="003216A6">
              <w:t>Exceptions</w:t>
            </w:r>
          </w:p>
        </w:tc>
      </w:tr>
      <w:tr w:rsidR="009B5A79" w:rsidRPr="003216A6" w:rsidTr="00041003">
        <w:tc>
          <w:tcPr>
            <w:tcW w:w="714" w:type="dxa"/>
            <w:tcBorders>
              <w:top w:val="single" w:sz="12" w:space="0" w:color="auto"/>
            </w:tcBorders>
            <w:shd w:val="clear" w:color="auto" w:fill="auto"/>
          </w:tcPr>
          <w:p w:rsidR="009B5A79" w:rsidRPr="003216A6" w:rsidRDefault="009B5A79" w:rsidP="003216A6">
            <w:pPr>
              <w:pStyle w:val="Tabletext"/>
            </w:pPr>
            <w:r w:rsidRPr="003216A6">
              <w:t>1</w:t>
            </w:r>
          </w:p>
        </w:tc>
        <w:tc>
          <w:tcPr>
            <w:tcW w:w="3186" w:type="dxa"/>
            <w:tcBorders>
              <w:top w:val="single" w:sz="12" w:space="0" w:color="auto"/>
            </w:tcBorders>
            <w:shd w:val="clear" w:color="auto" w:fill="auto"/>
          </w:tcPr>
          <w:p w:rsidR="009B5A79" w:rsidRPr="003216A6" w:rsidRDefault="009B5A79" w:rsidP="003216A6">
            <w:pPr>
              <w:pStyle w:val="Tabletext"/>
            </w:pPr>
            <w:r w:rsidRPr="003216A6">
              <w:t>manufacturing, importing, exporting or destroying a scheduled substance</w:t>
            </w:r>
          </w:p>
        </w:tc>
        <w:tc>
          <w:tcPr>
            <w:tcW w:w="3186" w:type="dxa"/>
            <w:tcBorders>
              <w:top w:val="single" w:sz="12" w:space="0" w:color="auto"/>
            </w:tcBorders>
            <w:shd w:val="clear" w:color="auto" w:fill="auto"/>
          </w:tcPr>
          <w:p w:rsidR="009B5A79" w:rsidRPr="003216A6" w:rsidRDefault="009B5A79" w:rsidP="003216A6">
            <w:pPr>
              <w:pStyle w:val="Tablea"/>
            </w:pPr>
            <w:r w:rsidRPr="003216A6">
              <w:t>(a) the scheduled substance is an SGG; or</w:t>
            </w:r>
          </w:p>
          <w:p w:rsidR="009B5A79" w:rsidRPr="003216A6" w:rsidRDefault="009B5A79" w:rsidP="003216A6">
            <w:pPr>
              <w:pStyle w:val="Tablea"/>
            </w:pPr>
            <w:r w:rsidRPr="003216A6">
              <w:t xml:space="preserve">(b) the scheduled substance is </w:t>
            </w:r>
            <w:r w:rsidR="0038349A" w:rsidRPr="003216A6">
              <w:t xml:space="preserve">contained </w:t>
            </w:r>
            <w:r w:rsidRPr="003216A6">
              <w:t>in ODS equipment or SGG equipment; or</w:t>
            </w:r>
          </w:p>
          <w:p w:rsidR="009B5A79" w:rsidRPr="003216A6" w:rsidRDefault="009B5A79" w:rsidP="003216A6">
            <w:pPr>
              <w:pStyle w:val="Tablea"/>
            </w:pPr>
            <w:r w:rsidRPr="003216A6">
              <w:t>(c)</w:t>
            </w:r>
            <w:r w:rsidR="001A4003" w:rsidRPr="003216A6">
              <w:t xml:space="preserve"> </w:t>
            </w:r>
            <w:r w:rsidRPr="003216A6">
              <w:t>the activity is a Schedule</w:t>
            </w:r>
            <w:r w:rsidR="003216A6" w:rsidRPr="003216A6">
              <w:t> </w:t>
            </w:r>
            <w:r w:rsidRPr="003216A6">
              <w:t xml:space="preserve">4 </w:t>
            </w:r>
            <w:r w:rsidRPr="003216A6">
              <w:lastRenderedPageBreak/>
              <w:t>activity or section</w:t>
            </w:r>
            <w:r w:rsidR="003216A6" w:rsidRPr="003216A6">
              <w:t> </w:t>
            </w:r>
            <w:r w:rsidRPr="003216A6">
              <w:t>69G activity</w:t>
            </w:r>
          </w:p>
        </w:tc>
      </w:tr>
      <w:tr w:rsidR="009B5A79" w:rsidRPr="003216A6" w:rsidTr="00041003">
        <w:tc>
          <w:tcPr>
            <w:tcW w:w="714" w:type="dxa"/>
            <w:shd w:val="clear" w:color="auto" w:fill="auto"/>
          </w:tcPr>
          <w:p w:rsidR="009B5A79" w:rsidRPr="003216A6" w:rsidRDefault="009B5A79" w:rsidP="003216A6">
            <w:pPr>
              <w:pStyle w:val="Tabletext"/>
            </w:pPr>
            <w:r w:rsidRPr="003216A6">
              <w:lastRenderedPageBreak/>
              <w:t>2</w:t>
            </w:r>
          </w:p>
        </w:tc>
        <w:tc>
          <w:tcPr>
            <w:tcW w:w="3186" w:type="dxa"/>
            <w:shd w:val="clear" w:color="auto" w:fill="auto"/>
          </w:tcPr>
          <w:p w:rsidR="009B5A79" w:rsidRPr="003216A6" w:rsidRDefault="009B5A79" w:rsidP="003216A6">
            <w:pPr>
              <w:pStyle w:val="Tabletext"/>
            </w:pPr>
            <w:r w:rsidRPr="003216A6">
              <w:t>manufacturing, importing,</w:t>
            </w:r>
            <w:r w:rsidR="00387363" w:rsidRPr="003216A6">
              <w:t xml:space="preserve"> exporting or destroying an SGG</w:t>
            </w:r>
          </w:p>
        </w:tc>
        <w:tc>
          <w:tcPr>
            <w:tcW w:w="3186" w:type="dxa"/>
            <w:shd w:val="clear" w:color="auto" w:fill="auto"/>
          </w:tcPr>
          <w:p w:rsidR="009B5A79" w:rsidRPr="003216A6" w:rsidRDefault="009B5A79" w:rsidP="003216A6">
            <w:pPr>
              <w:pStyle w:val="Tablea"/>
            </w:pPr>
            <w:r w:rsidRPr="003216A6">
              <w:t xml:space="preserve">(a) the SGG is </w:t>
            </w:r>
            <w:r w:rsidR="0038349A" w:rsidRPr="003216A6">
              <w:t xml:space="preserve">contained </w:t>
            </w:r>
            <w:r w:rsidRPr="003216A6">
              <w:t>in ODS equipment or SGG equipment; or</w:t>
            </w:r>
          </w:p>
          <w:p w:rsidR="009B5A79" w:rsidRPr="003216A6" w:rsidRDefault="009B5A79" w:rsidP="003216A6">
            <w:pPr>
              <w:pStyle w:val="Tablea"/>
            </w:pPr>
            <w:r w:rsidRPr="003216A6">
              <w:t>(b)</w:t>
            </w:r>
            <w:r w:rsidR="001A4003" w:rsidRPr="003216A6">
              <w:t xml:space="preserve"> </w:t>
            </w:r>
            <w:r w:rsidRPr="003216A6">
              <w:t>the activity is a Schedule</w:t>
            </w:r>
            <w:r w:rsidR="003216A6" w:rsidRPr="003216A6">
              <w:t> </w:t>
            </w:r>
            <w:r w:rsidRPr="003216A6">
              <w:t>4 activity or section</w:t>
            </w:r>
            <w:r w:rsidR="003216A6" w:rsidRPr="003216A6">
              <w:t> </w:t>
            </w:r>
            <w:r w:rsidRPr="003216A6">
              <w:t>69G activity; or</w:t>
            </w:r>
          </w:p>
          <w:p w:rsidR="009B5A79" w:rsidRPr="003216A6" w:rsidRDefault="009B5A79" w:rsidP="003216A6">
            <w:pPr>
              <w:pStyle w:val="Tablea"/>
            </w:pPr>
            <w:r w:rsidRPr="003216A6">
              <w:t>(c) the activity occurs in circumstances prescribed by the regulations for the purposes of subsection</w:t>
            </w:r>
            <w:r w:rsidR="003216A6" w:rsidRPr="003216A6">
              <w:t> </w:t>
            </w:r>
            <w:r w:rsidRPr="003216A6">
              <w:t>13(3)</w:t>
            </w:r>
          </w:p>
        </w:tc>
      </w:tr>
      <w:tr w:rsidR="009B5A79" w:rsidRPr="003216A6" w:rsidTr="00041003">
        <w:tc>
          <w:tcPr>
            <w:tcW w:w="714" w:type="dxa"/>
            <w:tcBorders>
              <w:bottom w:val="single" w:sz="2" w:space="0" w:color="auto"/>
            </w:tcBorders>
            <w:shd w:val="clear" w:color="auto" w:fill="auto"/>
          </w:tcPr>
          <w:p w:rsidR="009B5A79" w:rsidRPr="003216A6" w:rsidRDefault="009B5A79" w:rsidP="003216A6">
            <w:pPr>
              <w:pStyle w:val="Tabletext"/>
            </w:pPr>
            <w:r w:rsidRPr="003216A6">
              <w:t>3</w:t>
            </w:r>
          </w:p>
        </w:tc>
        <w:tc>
          <w:tcPr>
            <w:tcW w:w="3186" w:type="dxa"/>
            <w:tcBorders>
              <w:bottom w:val="single" w:sz="2" w:space="0" w:color="auto"/>
            </w:tcBorders>
            <w:shd w:val="clear" w:color="auto" w:fill="auto"/>
          </w:tcPr>
          <w:p w:rsidR="009B5A79" w:rsidRPr="003216A6" w:rsidRDefault="009B5A79" w:rsidP="003216A6">
            <w:pPr>
              <w:pStyle w:val="Tabletext"/>
            </w:pPr>
            <w:r w:rsidRPr="003216A6">
              <w:t>importing ODS equipment or SGG equipment</w:t>
            </w:r>
          </w:p>
        </w:tc>
        <w:tc>
          <w:tcPr>
            <w:tcW w:w="3186" w:type="dxa"/>
            <w:tcBorders>
              <w:bottom w:val="single" w:sz="2" w:space="0" w:color="auto"/>
            </w:tcBorders>
            <w:shd w:val="clear" w:color="auto" w:fill="auto"/>
          </w:tcPr>
          <w:p w:rsidR="009B5A79" w:rsidRPr="003216A6" w:rsidRDefault="009B5A79" w:rsidP="003216A6">
            <w:pPr>
              <w:pStyle w:val="Tablea"/>
            </w:pPr>
            <w:r w:rsidRPr="003216A6">
              <w:t>(a)</w:t>
            </w:r>
            <w:r w:rsidR="001A4003" w:rsidRPr="003216A6">
              <w:t xml:space="preserve"> </w:t>
            </w:r>
            <w:r w:rsidRPr="003216A6">
              <w:t>the importing is a Schedule</w:t>
            </w:r>
            <w:r w:rsidR="003216A6" w:rsidRPr="003216A6">
              <w:t> </w:t>
            </w:r>
            <w:r w:rsidRPr="003216A6">
              <w:t>4 activity or section</w:t>
            </w:r>
            <w:r w:rsidR="003216A6" w:rsidRPr="003216A6">
              <w:t> </w:t>
            </w:r>
            <w:r w:rsidRPr="003216A6">
              <w:t>69G activity; or</w:t>
            </w:r>
          </w:p>
          <w:p w:rsidR="009B5A79" w:rsidRPr="003216A6" w:rsidRDefault="009B5A79" w:rsidP="003216A6">
            <w:pPr>
              <w:pStyle w:val="Tablea"/>
            </w:pPr>
            <w:r w:rsidRPr="003216A6">
              <w:t>(b) the importing is covered by subsection</w:t>
            </w:r>
            <w:r w:rsidR="003216A6" w:rsidRPr="003216A6">
              <w:t> </w:t>
            </w:r>
            <w:r w:rsidRPr="003216A6">
              <w:t>13(</w:t>
            </w:r>
            <w:r w:rsidR="00F55B02" w:rsidRPr="003216A6">
              <w:t>5</w:t>
            </w:r>
            <w:r w:rsidRPr="003216A6">
              <w:t>) or (</w:t>
            </w:r>
            <w:r w:rsidR="00F55B02" w:rsidRPr="003216A6">
              <w:t>6</w:t>
            </w:r>
            <w:r w:rsidRPr="003216A6">
              <w:t>)</w:t>
            </w:r>
          </w:p>
        </w:tc>
      </w:tr>
      <w:tr w:rsidR="009B5A79" w:rsidRPr="003216A6" w:rsidTr="00041003">
        <w:tc>
          <w:tcPr>
            <w:tcW w:w="714" w:type="dxa"/>
            <w:tcBorders>
              <w:top w:val="single" w:sz="2" w:space="0" w:color="auto"/>
              <w:bottom w:val="single" w:sz="12" w:space="0" w:color="auto"/>
            </w:tcBorders>
            <w:shd w:val="clear" w:color="auto" w:fill="auto"/>
          </w:tcPr>
          <w:p w:rsidR="009B5A79" w:rsidRPr="003216A6" w:rsidRDefault="009B5A79" w:rsidP="003216A6">
            <w:pPr>
              <w:pStyle w:val="Tabletext"/>
            </w:pPr>
            <w:r w:rsidRPr="003216A6">
              <w:t>4</w:t>
            </w:r>
          </w:p>
        </w:tc>
        <w:tc>
          <w:tcPr>
            <w:tcW w:w="3186" w:type="dxa"/>
            <w:tcBorders>
              <w:top w:val="single" w:sz="2" w:space="0" w:color="auto"/>
              <w:bottom w:val="single" w:sz="12" w:space="0" w:color="auto"/>
            </w:tcBorders>
            <w:shd w:val="clear" w:color="auto" w:fill="auto"/>
          </w:tcPr>
          <w:p w:rsidR="009B5A79" w:rsidRPr="003216A6" w:rsidRDefault="009B5A79" w:rsidP="003216A6">
            <w:pPr>
              <w:pStyle w:val="Tabletext"/>
            </w:pPr>
            <w:r w:rsidRPr="003216A6">
              <w:t>a Schedule</w:t>
            </w:r>
            <w:r w:rsidR="003216A6" w:rsidRPr="003216A6">
              <w:t> </w:t>
            </w:r>
            <w:r w:rsidRPr="003216A6">
              <w:t>4 activity or a section</w:t>
            </w:r>
            <w:r w:rsidR="003216A6" w:rsidRPr="003216A6">
              <w:t> </w:t>
            </w:r>
            <w:r w:rsidRPr="003216A6">
              <w:t>69G activity</w:t>
            </w:r>
          </w:p>
        </w:tc>
        <w:tc>
          <w:tcPr>
            <w:tcW w:w="3186" w:type="dxa"/>
            <w:tcBorders>
              <w:top w:val="single" w:sz="2" w:space="0" w:color="auto"/>
              <w:bottom w:val="single" w:sz="12" w:space="0" w:color="auto"/>
            </w:tcBorders>
            <w:shd w:val="clear" w:color="auto" w:fill="auto"/>
          </w:tcPr>
          <w:p w:rsidR="009B5A79" w:rsidRPr="003216A6" w:rsidRDefault="009B5A79" w:rsidP="003216A6">
            <w:pPr>
              <w:pStyle w:val="Tabletext"/>
            </w:pPr>
            <w:r w:rsidRPr="003216A6">
              <w:t>the activity is covered by subsection</w:t>
            </w:r>
            <w:r w:rsidR="003216A6" w:rsidRPr="003216A6">
              <w:t> </w:t>
            </w:r>
            <w:r w:rsidRPr="003216A6">
              <w:t>13(</w:t>
            </w:r>
            <w:r w:rsidR="00F55B02" w:rsidRPr="003216A6">
              <w:t>5</w:t>
            </w:r>
            <w:r w:rsidRPr="003216A6">
              <w:t>)</w:t>
            </w:r>
          </w:p>
        </w:tc>
      </w:tr>
    </w:tbl>
    <w:p w:rsidR="009B5A79" w:rsidRPr="003216A6" w:rsidRDefault="009B5A79" w:rsidP="003216A6">
      <w:pPr>
        <w:pStyle w:val="SubsectionHead"/>
      </w:pPr>
      <w:r w:rsidRPr="003216A6">
        <w:t>When report must be given</w:t>
      </w:r>
    </w:p>
    <w:p w:rsidR="009B5A79" w:rsidRPr="003216A6" w:rsidRDefault="009B5A79" w:rsidP="003216A6">
      <w:pPr>
        <w:pStyle w:val="subsection"/>
      </w:pPr>
      <w:r w:rsidRPr="003216A6">
        <w:tab/>
        <w:t>(1A)</w:t>
      </w:r>
      <w:r w:rsidRPr="003216A6">
        <w:tab/>
        <w:t>The report must be given to the Minister before the 15th day after the end of the reporting period</w:t>
      </w:r>
      <w:r w:rsidR="002F6749" w:rsidRPr="003216A6">
        <w:t>.</w:t>
      </w:r>
    </w:p>
    <w:p w:rsidR="009B5A79" w:rsidRPr="003216A6" w:rsidRDefault="009B5A79" w:rsidP="003216A6">
      <w:pPr>
        <w:pStyle w:val="SubsectionHead"/>
      </w:pPr>
      <w:r w:rsidRPr="003216A6">
        <w:t>Quarterly reporting</w:t>
      </w:r>
    </w:p>
    <w:p w:rsidR="009B5A79" w:rsidRPr="003216A6" w:rsidRDefault="009B5A79" w:rsidP="003216A6">
      <w:pPr>
        <w:pStyle w:val="subsection"/>
      </w:pPr>
      <w:r w:rsidRPr="003216A6">
        <w:tab/>
        <w:t>(1B)</w:t>
      </w:r>
      <w:r w:rsidRPr="003216A6">
        <w:tab/>
        <w:t xml:space="preserve">Without limiting </w:t>
      </w:r>
      <w:r w:rsidR="003216A6" w:rsidRPr="003216A6">
        <w:t>subsection (</w:t>
      </w:r>
      <w:r w:rsidRPr="003216A6">
        <w:t>1), a person may comply with that section by giving separate reports in relation to each half of the reporting period</w:t>
      </w:r>
      <w:r w:rsidR="002F6749" w:rsidRPr="003216A6">
        <w:t>.</w:t>
      </w:r>
    </w:p>
    <w:p w:rsidR="009B5A79" w:rsidRPr="003216A6" w:rsidRDefault="009B5A79" w:rsidP="003216A6">
      <w:pPr>
        <w:pStyle w:val="SubsectionHead"/>
      </w:pPr>
      <w:r w:rsidRPr="003216A6">
        <w:t>Penalties</w:t>
      </w:r>
    </w:p>
    <w:p w:rsidR="009B5A79" w:rsidRPr="003216A6" w:rsidRDefault="009B5A79" w:rsidP="003216A6">
      <w:pPr>
        <w:pStyle w:val="subsection"/>
      </w:pPr>
      <w:r w:rsidRPr="003216A6">
        <w:tab/>
        <w:t>(2)</w:t>
      </w:r>
      <w:r w:rsidRPr="003216A6">
        <w:tab/>
        <w:t xml:space="preserve">A person commits an offence if the person contravenes </w:t>
      </w:r>
      <w:r w:rsidR="003216A6" w:rsidRPr="003216A6">
        <w:t>subsection (</w:t>
      </w:r>
      <w:r w:rsidRPr="003216A6">
        <w:t>1)</w:t>
      </w:r>
      <w:r w:rsidR="002F6749" w:rsidRPr="003216A6">
        <w:t>.</w:t>
      </w:r>
    </w:p>
    <w:p w:rsidR="009B5A79" w:rsidRPr="003216A6" w:rsidRDefault="009B5A79" w:rsidP="003216A6">
      <w:pPr>
        <w:pStyle w:val="Penalty"/>
      </w:pPr>
      <w:r w:rsidRPr="003216A6">
        <w:t>Penalty:</w:t>
      </w:r>
      <w:r w:rsidRPr="003216A6">
        <w:tab/>
        <w:t>60 penalty units</w:t>
      </w:r>
      <w:r w:rsidR="002F6749" w:rsidRPr="003216A6">
        <w:t>.</w:t>
      </w:r>
    </w:p>
    <w:p w:rsidR="009B5A79" w:rsidRPr="003216A6" w:rsidRDefault="00B13916" w:rsidP="003216A6">
      <w:pPr>
        <w:pStyle w:val="ItemHead"/>
      </w:pPr>
      <w:r w:rsidRPr="003216A6">
        <w:t>63</w:t>
      </w:r>
      <w:r w:rsidR="009B5A79" w:rsidRPr="003216A6">
        <w:t xml:space="preserve">  Subsection</w:t>
      </w:r>
      <w:r w:rsidR="003216A6" w:rsidRPr="003216A6">
        <w:t> </w:t>
      </w:r>
      <w:r w:rsidR="009B5A79" w:rsidRPr="003216A6">
        <w:t>46(2C)</w:t>
      </w:r>
    </w:p>
    <w:p w:rsidR="009B5A79" w:rsidRPr="003216A6" w:rsidRDefault="009B5A79" w:rsidP="003216A6">
      <w:pPr>
        <w:pStyle w:val="Item"/>
      </w:pPr>
      <w:r w:rsidRPr="003216A6">
        <w:t xml:space="preserve">Omit </w:t>
      </w:r>
      <w:r w:rsidR="00BF3C85" w:rsidRPr="003216A6">
        <w:t>“</w:t>
      </w:r>
      <w:r w:rsidRPr="003216A6">
        <w:t>or (1AA)</w:t>
      </w:r>
      <w:r w:rsidR="00BF3C85" w:rsidRPr="003216A6">
        <w:t>”</w:t>
      </w:r>
      <w:r w:rsidR="002F6749" w:rsidRPr="003216A6">
        <w:t>.</w:t>
      </w:r>
    </w:p>
    <w:p w:rsidR="009B5A79" w:rsidRPr="003216A6" w:rsidRDefault="00B13916" w:rsidP="003216A6">
      <w:pPr>
        <w:pStyle w:val="ItemHead"/>
      </w:pPr>
      <w:r w:rsidRPr="003216A6">
        <w:lastRenderedPageBreak/>
        <w:t>64</w:t>
      </w:r>
      <w:r w:rsidR="009B5A79" w:rsidRPr="003216A6">
        <w:t xml:space="preserve">  Subsection</w:t>
      </w:r>
      <w:r w:rsidR="003216A6" w:rsidRPr="003216A6">
        <w:t> </w:t>
      </w:r>
      <w:r w:rsidR="009B5A79" w:rsidRPr="003216A6">
        <w:t>46(3)</w:t>
      </w:r>
    </w:p>
    <w:p w:rsidR="009B5A79" w:rsidRPr="003216A6" w:rsidRDefault="009B5A79" w:rsidP="003216A6">
      <w:pPr>
        <w:pStyle w:val="Item"/>
      </w:pPr>
      <w:r w:rsidRPr="003216A6">
        <w:t>Repeal the subsection</w:t>
      </w:r>
      <w:r w:rsidR="002F6749" w:rsidRPr="003216A6">
        <w:t>.</w:t>
      </w:r>
    </w:p>
    <w:p w:rsidR="009B5A79" w:rsidRPr="003216A6" w:rsidRDefault="00B13916" w:rsidP="003216A6">
      <w:pPr>
        <w:pStyle w:val="ItemHead"/>
      </w:pPr>
      <w:r w:rsidRPr="003216A6">
        <w:t>65</w:t>
      </w:r>
      <w:r w:rsidR="009B5A79" w:rsidRPr="003216A6">
        <w:t xml:space="preserve">  Section</w:t>
      </w:r>
      <w:r w:rsidR="003216A6" w:rsidRPr="003216A6">
        <w:t> </w:t>
      </w:r>
      <w:r w:rsidR="009B5A79" w:rsidRPr="003216A6">
        <w:t>46A</w:t>
      </w:r>
    </w:p>
    <w:p w:rsidR="009B5A79" w:rsidRPr="003216A6" w:rsidRDefault="009B5A79" w:rsidP="003216A6">
      <w:pPr>
        <w:pStyle w:val="Item"/>
      </w:pPr>
      <w:r w:rsidRPr="003216A6">
        <w:t>Repeal the section</w:t>
      </w:r>
      <w:r w:rsidR="002F6749" w:rsidRPr="003216A6">
        <w:t>.</w:t>
      </w:r>
    </w:p>
    <w:p w:rsidR="009B5A79" w:rsidRPr="003216A6" w:rsidRDefault="00B13916" w:rsidP="003216A6">
      <w:pPr>
        <w:pStyle w:val="ItemHead"/>
      </w:pPr>
      <w:r w:rsidRPr="003216A6">
        <w:t>66</w:t>
      </w:r>
      <w:r w:rsidR="009B5A79" w:rsidRPr="003216A6">
        <w:t xml:space="preserve">  At the end of subparagraph</w:t>
      </w:r>
      <w:r w:rsidR="003216A6" w:rsidRPr="003216A6">
        <w:t> </w:t>
      </w:r>
      <w:r w:rsidR="009B5A79" w:rsidRPr="003216A6">
        <w:t>65AA(1)(a)(vii)</w:t>
      </w:r>
    </w:p>
    <w:p w:rsidR="009B5A79" w:rsidRPr="003216A6" w:rsidRDefault="009B5A79" w:rsidP="003216A6">
      <w:pPr>
        <w:pStyle w:val="Item"/>
      </w:pPr>
      <w:r w:rsidRPr="003216A6">
        <w:t xml:space="preserve">Add </w:t>
      </w:r>
      <w:r w:rsidR="00BF3C85" w:rsidRPr="003216A6">
        <w:t>“</w:t>
      </w:r>
      <w:r w:rsidRPr="003216A6">
        <w:t>or</w:t>
      </w:r>
      <w:r w:rsidR="00BF3C85" w:rsidRPr="003216A6">
        <w:t>”</w:t>
      </w:r>
      <w:r w:rsidR="002F6749" w:rsidRPr="003216A6">
        <w:t>.</w:t>
      </w:r>
    </w:p>
    <w:p w:rsidR="009B5A79" w:rsidRPr="003216A6" w:rsidRDefault="00B13916" w:rsidP="003216A6">
      <w:pPr>
        <w:pStyle w:val="ItemHead"/>
      </w:pPr>
      <w:r w:rsidRPr="003216A6">
        <w:t>67</w:t>
      </w:r>
      <w:r w:rsidR="009B5A79" w:rsidRPr="003216A6">
        <w:t xml:space="preserve">  Subparagraph 65AA(1)(a)(viii)</w:t>
      </w:r>
    </w:p>
    <w:p w:rsidR="009B5A79" w:rsidRPr="003216A6" w:rsidRDefault="009B5A79" w:rsidP="003216A6">
      <w:pPr>
        <w:pStyle w:val="Item"/>
      </w:pPr>
      <w:r w:rsidRPr="003216A6">
        <w:t>Repeal the subparagraph</w:t>
      </w:r>
      <w:r w:rsidR="002F6749" w:rsidRPr="003216A6">
        <w:t>.</w:t>
      </w:r>
    </w:p>
    <w:p w:rsidR="009B5A79" w:rsidRPr="003216A6" w:rsidRDefault="00B13916" w:rsidP="003216A6">
      <w:pPr>
        <w:pStyle w:val="ItemHead"/>
      </w:pPr>
      <w:r w:rsidRPr="003216A6">
        <w:t>68</w:t>
      </w:r>
      <w:r w:rsidR="009B5A79" w:rsidRPr="003216A6">
        <w:t xml:space="preserve">  Paragraph 65C(1)(d)</w:t>
      </w:r>
    </w:p>
    <w:p w:rsidR="009B5A79" w:rsidRPr="003216A6" w:rsidRDefault="009B5A79" w:rsidP="003216A6">
      <w:pPr>
        <w:pStyle w:val="Item"/>
      </w:pPr>
      <w:r w:rsidRPr="003216A6">
        <w:t>Repeal the paragraph</w:t>
      </w:r>
      <w:r w:rsidR="002F6749" w:rsidRPr="003216A6">
        <w:t>.</w:t>
      </w:r>
    </w:p>
    <w:p w:rsidR="009B5A79" w:rsidRPr="003216A6" w:rsidRDefault="00B13916" w:rsidP="003216A6">
      <w:pPr>
        <w:pStyle w:val="ItemHead"/>
      </w:pPr>
      <w:r w:rsidRPr="003216A6">
        <w:t>69</w:t>
      </w:r>
      <w:r w:rsidR="009B5A79" w:rsidRPr="003216A6">
        <w:t xml:space="preserve">  Paragraph 69(1)(a)</w:t>
      </w:r>
    </w:p>
    <w:p w:rsidR="009B5A79" w:rsidRPr="003216A6" w:rsidRDefault="009B5A79" w:rsidP="003216A6">
      <w:pPr>
        <w:pStyle w:val="Item"/>
      </w:pPr>
      <w:r w:rsidRPr="003216A6">
        <w:t xml:space="preserve">Omit </w:t>
      </w:r>
      <w:r w:rsidR="00BF3C85" w:rsidRPr="003216A6">
        <w:t>“</w:t>
      </w:r>
      <w:r w:rsidRPr="003216A6">
        <w:t>quarter</w:t>
      </w:r>
      <w:r w:rsidR="00BF3C85" w:rsidRPr="003216A6">
        <w:t>”</w:t>
      </w:r>
      <w:r w:rsidRPr="003216A6">
        <w:t xml:space="preserve">, substitute </w:t>
      </w:r>
      <w:r w:rsidR="00BF3C85" w:rsidRPr="003216A6">
        <w:t>“</w:t>
      </w:r>
      <w:r w:rsidRPr="003216A6">
        <w:t>reporting period</w:t>
      </w:r>
      <w:r w:rsidR="00BF3C85" w:rsidRPr="003216A6">
        <w:t>”</w:t>
      </w:r>
      <w:r w:rsidR="002F6749" w:rsidRPr="003216A6">
        <w:t>.</w:t>
      </w:r>
    </w:p>
    <w:p w:rsidR="009B5A79" w:rsidRPr="003216A6" w:rsidRDefault="00B13916" w:rsidP="003216A6">
      <w:pPr>
        <w:pStyle w:val="ItemHead"/>
      </w:pPr>
      <w:r w:rsidRPr="003216A6">
        <w:t>70</w:t>
      </w:r>
      <w:r w:rsidR="009B5A79" w:rsidRPr="003216A6">
        <w:t xml:space="preserve">  Subsections</w:t>
      </w:r>
      <w:r w:rsidR="003216A6" w:rsidRPr="003216A6">
        <w:t> </w:t>
      </w:r>
      <w:r w:rsidR="009B5A79" w:rsidRPr="003216A6">
        <w:t>69(2) and (3)</w:t>
      </w:r>
    </w:p>
    <w:p w:rsidR="009B5A79" w:rsidRPr="003216A6" w:rsidRDefault="009B5A79" w:rsidP="003216A6">
      <w:pPr>
        <w:pStyle w:val="Item"/>
      </w:pPr>
      <w:r w:rsidRPr="003216A6">
        <w:t>Repeal the subsections, substitute:</w:t>
      </w:r>
    </w:p>
    <w:p w:rsidR="009B5A79" w:rsidRPr="003216A6" w:rsidRDefault="009B5A79" w:rsidP="003216A6">
      <w:pPr>
        <w:pStyle w:val="subsection"/>
      </w:pPr>
      <w:r w:rsidRPr="003216A6">
        <w:tab/>
        <w:t>(2)</w:t>
      </w:r>
      <w:r w:rsidRPr="003216A6">
        <w:tab/>
        <w:t>A licence levy is:</w:t>
      </w:r>
    </w:p>
    <w:p w:rsidR="009B5A79" w:rsidRPr="003216A6" w:rsidRDefault="009B5A79" w:rsidP="003216A6">
      <w:pPr>
        <w:pStyle w:val="paragraph"/>
      </w:pPr>
      <w:r w:rsidRPr="003216A6">
        <w:tab/>
        <w:t>(a)</w:t>
      </w:r>
      <w:r w:rsidRPr="003216A6">
        <w:tab/>
        <w:t>a debt due to the Commonwealth by the licensee concerned; and</w:t>
      </w:r>
    </w:p>
    <w:p w:rsidR="009B5A79" w:rsidRPr="003216A6" w:rsidRDefault="009B5A79" w:rsidP="003216A6">
      <w:pPr>
        <w:pStyle w:val="paragraph"/>
      </w:pPr>
      <w:r w:rsidRPr="003216A6">
        <w:tab/>
        <w:t>(b)</w:t>
      </w:r>
      <w:r w:rsidRPr="003216A6">
        <w:tab/>
        <w:t>may be recovered by the Minister, on behalf of the Commonwealth, by action in a designated court</w:t>
      </w:r>
      <w:r w:rsidR="002F6749" w:rsidRPr="003216A6">
        <w:t>.</w:t>
      </w:r>
    </w:p>
    <w:p w:rsidR="009B5A79" w:rsidRPr="003216A6" w:rsidRDefault="009B5A79" w:rsidP="003216A6">
      <w:pPr>
        <w:pStyle w:val="subsection"/>
      </w:pPr>
      <w:r w:rsidRPr="003216A6">
        <w:tab/>
        <w:t>(3)</w:t>
      </w:r>
      <w:r w:rsidRPr="003216A6">
        <w:tab/>
        <w:t>A licence levy in relation to a reporting period is not payable by a licensee if the total of the licence levies that would by payable by the licensee in relation to the reporting period, apart from this subsection, is less than or equal to the amount (if any) prescribed by the regulations for the purposes of this subsection</w:t>
      </w:r>
      <w:r w:rsidR="002F6749" w:rsidRPr="003216A6">
        <w:t>.</w:t>
      </w:r>
    </w:p>
    <w:p w:rsidR="009B5A79" w:rsidRPr="003216A6" w:rsidRDefault="009B5A79" w:rsidP="003216A6">
      <w:pPr>
        <w:pStyle w:val="ActHead9"/>
        <w:rPr>
          <w:i w:val="0"/>
        </w:rPr>
      </w:pPr>
      <w:bookmarkStart w:id="82" w:name="_Toc486251921"/>
      <w:r w:rsidRPr="003216A6">
        <w:t>Ozone Protection and Synthetic Greenhouse Gas (Manufacture Levy) Act 1995</w:t>
      </w:r>
      <w:bookmarkEnd w:id="82"/>
    </w:p>
    <w:p w:rsidR="009B5A79" w:rsidRPr="003216A6" w:rsidRDefault="00B13916" w:rsidP="003216A6">
      <w:pPr>
        <w:pStyle w:val="ItemHead"/>
      </w:pPr>
      <w:r w:rsidRPr="003216A6">
        <w:t>71</w:t>
      </w:r>
      <w:r w:rsidR="009B5A79" w:rsidRPr="003216A6">
        <w:t xml:space="preserve">  Paragraph 3A(1)(b)</w:t>
      </w:r>
    </w:p>
    <w:p w:rsidR="009B5A79" w:rsidRPr="003216A6" w:rsidRDefault="009B5A79" w:rsidP="003216A6">
      <w:pPr>
        <w:pStyle w:val="Item"/>
      </w:pPr>
      <w:r w:rsidRPr="003216A6">
        <w:t xml:space="preserve">Omit </w:t>
      </w:r>
      <w:r w:rsidR="00BF3C85" w:rsidRPr="003216A6">
        <w:t>“</w:t>
      </w:r>
      <w:r w:rsidRPr="003216A6">
        <w:t>quarter</w:t>
      </w:r>
      <w:r w:rsidR="00BF3C85" w:rsidRPr="003216A6">
        <w:t>”</w:t>
      </w:r>
      <w:r w:rsidRPr="003216A6">
        <w:t xml:space="preserve">, substitute </w:t>
      </w:r>
      <w:r w:rsidR="00BF3C85" w:rsidRPr="003216A6">
        <w:t>“</w:t>
      </w:r>
      <w:r w:rsidRPr="003216A6">
        <w:t>reporting period</w:t>
      </w:r>
      <w:r w:rsidR="00BF3C85" w:rsidRPr="003216A6">
        <w:t>”</w:t>
      </w:r>
      <w:r w:rsidR="002F6749" w:rsidRPr="003216A6">
        <w:t>.</w:t>
      </w:r>
    </w:p>
    <w:p w:rsidR="009B5A79" w:rsidRPr="003216A6" w:rsidRDefault="00B13916" w:rsidP="003216A6">
      <w:pPr>
        <w:pStyle w:val="ItemHead"/>
      </w:pPr>
      <w:r w:rsidRPr="003216A6">
        <w:lastRenderedPageBreak/>
        <w:t>72</w:t>
      </w:r>
      <w:r w:rsidR="009B5A79" w:rsidRPr="003216A6">
        <w:t xml:space="preserve">  Subsections</w:t>
      </w:r>
      <w:r w:rsidR="003216A6" w:rsidRPr="003216A6">
        <w:t> </w:t>
      </w:r>
      <w:r w:rsidR="009B5A79" w:rsidRPr="003216A6">
        <w:t>3A(4) and (5)</w:t>
      </w:r>
    </w:p>
    <w:p w:rsidR="009B5A79" w:rsidRPr="003216A6" w:rsidRDefault="009B5A79" w:rsidP="003216A6">
      <w:pPr>
        <w:pStyle w:val="Item"/>
      </w:pPr>
      <w:r w:rsidRPr="003216A6">
        <w:t xml:space="preserve">Omit </w:t>
      </w:r>
      <w:r w:rsidR="00BF3C85" w:rsidRPr="003216A6">
        <w:t>“</w:t>
      </w:r>
      <w:r w:rsidRPr="003216A6">
        <w:t>quarter</w:t>
      </w:r>
      <w:r w:rsidR="00BF3C85" w:rsidRPr="003216A6">
        <w:t>”</w:t>
      </w:r>
      <w:r w:rsidRPr="003216A6">
        <w:t xml:space="preserve"> (wherever occurring), substitute </w:t>
      </w:r>
      <w:r w:rsidR="00BF3C85" w:rsidRPr="003216A6">
        <w:t>“</w:t>
      </w:r>
      <w:r w:rsidRPr="003216A6">
        <w:t>reporting period</w:t>
      </w:r>
      <w:r w:rsidR="00BF3C85" w:rsidRPr="003216A6">
        <w:t>”</w:t>
      </w:r>
      <w:r w:rsidR="002F6749" w:rsidRPr="003216A6">
        <w:t>.</w:t>
      </w:r>
    </w:p>
    <w:p w:rsidR="009B5A79" w:rsidRPr="003216A6" w:rsidRDefault="00B13916" w:rsidP="003216A6">
      <w:pPr>
        <w:pStyle w:val="ItemHead"/>
      </w:pPr>
      <w:r w:rsidRPr="003216A6">
        <w:t>73</w:t>
      </w:r>
      <w:r w:rsidR="009B5A79" w:rsidRPr="003216A6">
        <w:t xml:space="preserve">  Paragraph 4(1)(b)</w:t>
      </w:r>
    </w:p>
    <w:p w:rsidR="009B5A79" w:rsidRPr="003216A6" w:rsidRDefault="009B5A79" w:rsidP="003216A6">
      <w:pPr>
        <w:pStyle w:val="Item"/>
      </w:pPr>
      <w:r w:rsidRPr="003216A6">
        <w:t xml:space="preserve">Omit </w:t>
      </w:r>
      <w:r w:rsidR="00BF3C85" w:rsidRPr="003216A6">
        <w:t>“</w:t>
      </w:r>
      <w:r w:rsidRPr="003216A6">
        <w:t>quarter</w:t>
      </w:r>
      <w:r w:rsidR="00BF3C85" w:rsidRPr="003216A6">
        <w:t>”</w:t>
      </w:r>
      <w:r w:rsidRPr="003216A6">
        <w:t xml:space="preserve">, substitute </w:t>
      </w:r>
      <w:r w:rsidR="00BF3C85" w:rsidRPr="003216A6">
        <w:t>“</w:t>
      </w:r>
      <w:r w:rsidRPr="003216A6">
        <w:t>reporting period</w:t>
      </w:r>
      <w:r w:rsidR="00BF3C85" w:rsidRPr="003216A6">
        <w:t>”</w:t>
      </w:r>
      <w:r w:rsidR="002F6749" w:rsidRPr="003216A6">
        <w:t>.</w:t>
      </w:r>
    </w:p>
    <w:p w:rsidR="009B5A79" w:rsidRPr="003216A6" w:rsidRDefault="00B13916" w:rsidP="003216A6">
      <w:pPr>
        <w:pStyle w:val="ItemHead"/>
      </w:pPr>
      <w:r w:rsidRPr="003216A6">
        <w:t>74</w:t>
      </w:r>
      <w:r w:rsidR="009B5A79" w:rsidRPr="003216A6">
        <w:t xml:space="preserve">  Subsection</w:t>
      </w:r>
      <w:r w:rsidR="003216A6" w:rsidRPr="003216A6">
        <w:t> </w:t>
      </w:r>
      <w:r w:rsidR="009B5A79" w:rsidRPr="003216A6">
        <w:t>4(3)</w:t>
      </w:r>
    </w:p>
    <w:p w:rsidR="009B5A79" w:rsidRPr="003216A6" w:rsidRDefault="009B5A79" w:rsidP="003216A6">
      <w:pPr>
        <w:pStyle w:val="Item"/>
      </w:pPr>
      <w:r w:rsidRPr="003216A6">
        <w:t xml:space="preserve">Omit </w:t>
      </w:r>
      <w:r w:rsidR="00BF3C85" w:rsidRPr="003216A6">
        <w:t>“</w:t>
      </w:r>
      <w:r w:rsidRPr="003216A6">
        <w:t>quarter</w:t>
      </w:r>
      <w:r w:rsidR="00BF3C85" w:rsidRPr="003216A6">
        <w:t>”</w:t>
      </w:r>
      <w:r w:rsidRPr="003216A6">
        <w:t xml:space="preserve"> (wherever occurring), substitute </w:t>
      </w:r>
      <w:r w:rsidR="00BF3C85" w:rsidRPr="003216A6">
        <w:t>“</w:t>
      </w:r>
      <w:r w:rsidRPr="003216A6">
        <w:t>reporting period</w:t>
      </w:r>
      <w:r w:rsidR="00BF3C85" w:rsidRPr="003216A6">
        <w:t>”</w:t>
      </w:r>
      <w:r w:rsidR="002F6749" w:rsidRPr="003216A6">
        <w:t>.</w:t>
      </w:r>
    </w:p>
    <w:p w:rsidR="009B5A79" w:rsidRPr="003216A6" w:rsidRDefault="00B13916" w:rsidP="003216A6">
      <w:pPr>
        <w:pStyle w:val="ItemHead"/>
      </w:pPr>
      <w:r w:rsidRPr="003216A6">
        <w:t>75</w:t>
      </w:r>
      <w:r w:rsidR="009B5A79" w:rsidRPr="003216A6">
        <w:t xml:space="preserve">  Application of amendments</w:t>
      </w:r>
    </w:p>
    <w:p w:rsidR="009B5A79" w:rsidRPr="003216A6" w:rsidRDefault="009B5A79" w:rsidP="003216A6">
      <w:pPr>
        <w:pStyle w:val="Subitem"/>
      </w:pPr>
      <w:r w:rsidRPr="003216A6">
        <w:t>(1)</w:t>
      </w:r>
      <w:r w:rsidRPr="003216A6">
        <w:tab/>
        <w:t xml:space="preserve">Subject to </w:t>
      </w:r>
      <w:r w:rsidR="003216A6" w:rsidRPr="003216A6">
        <w:t>subitems (</w:t>
      </w:r>
      <w:r w:rsidRPr="003216A6">
        <w:t>3) to (6), the amendments made by this Part apply in relation to:</w:t>
      </w:r>
    </w:p>
    <w:p w:rsidR="009B5A79" w:rsidRPr="003216A6" w:rsidRDefault="009B5A79" w:rsidP="003216A6">
      <w:pPr>
        <w:pStyle w:val="paragraph"/>
      </w:pPr>
      <w:r w:rsidRPr="003216A6">
        <w:tab/>
        <w:t>(a)</w:t>
      </w:r>
      <w:r w:rsidRPr="003216A6">
        <w:tab/>
        <w:t xml:space="preserve">the first reporting period (the </w:t>
      </w:r>
      <w:r w:rsidRPr="003216A6">
        <w:rPr>
          <w:b/>
          <w:i/>
        </w:rPr>
        <w:t>first reporting period</w:t>
      </w:r>
      <w:r w:rsidRPr="003216A6">
        <w:t>) starting on or after the commencement of this item; and</w:t>
      </w:r>
    </w:p>
    <w:p w:rsidR="009B5A79" w:rsidRPr="003216A6" w:rsidRDefault="009B5A79" w:rsidP="003216A6">
      <w:pPr>
        <w:pStyle w:val="paragraph"/>
      </w:pPr>
      <w:r w:rsidRPr="003216A6">
        <w:tab/>
        <w:t>(b)</w:t>
      </w:r>
      <w:r w:rsidRPr="003216A6">
        <w:tab/>
        <w:t>later reporting periods</w:t>
      </w:r>
      <w:r w:rsidR="002F6749" w:rsidRPr="003216A6">
        <w:t>.</w:t>
      </w:r>
    </w:p>
    <w:p w:rsidR="009B5A79" w:rsidRPr="003216A6" w:rsidRDefault="009B5A79" w:rsidP="003216A6">
      <w:pPr>
        <w:pStyle w:val="Subitem"/>
      </w:pPr>
      <w:r w:rsidRPr="003216A6">
        <w:t>(2)</w:t>
      </w:r>
      <w:r w:rsidRPr="003216A6">
        <w:tab/>
        <w:t xml:space="preserve">To avoid doubt, the amendments do not, subject to </w:t>
      </w:r>
      <w:r w:rsidR="003216A6" w:rsidRPr="003216A6">
        <w:t>subitems (</w:t>
      </w:r>
      <w:r w:rsidRPr="003216A6">
        <w:t>3) to (6), apply in relation to quarters ending before the start of the first reporting period</w:t>
      </w:r>
      <w:r w:rsidR="002F6749" w:rsidRPr="003216A6">
        <w:t>.</w:t>
      </w:r>
    </w:p>
    <w:p w:rsidR="009B5A79" w:rsidRPr="003216A6" w:rsidRDefault="009B5A79" w:rsidP="003216A6">
      <w:pPr>
        <w:pStyle w:val="SubitemHead"/>
      </w:pPr>
      <w:r w:rsidRPr="003216A6">
        <w:t>Recovery and threshold</w:t>
      </w:r>
    </w:p>
    <w:p w:rsidR="009B5A79" w:rsidRPr="003216A6" w:rsidRDefault="009B5A79" w:rsidP="003216A6">
      <w:pPr>
        <w:pStyle w:val="Subitem"/>
      </w:pPr>
      <w:r w:rsidRPr="003216A6">
        <w:t>(3)</w:t>
      </w:r>
      <w:r w:rsidRPr="003216A6">
        <w:tab/>
        <w:t>Subsection</w:t>
      </w:r>
      <w:r w:rsidR="003216A6" w:rsidRPr="003216A6">
        <w:t> </w:t>
      </w:r>
      <w:r w:rsidRPr="003216A6">
        <w:t xml:space="preserve">69(2) of the </w:t>
      </w:r>
      <w:r w:rsidRPr="003216A6">
        <w:rPr>
          <w:i/>
        </w:rPr>
        <w:t>Ozone Protection and Synthetic Greenhouse Gas Management Act 1989</w:t>
      </w:r>
      <w:r w:rsidRPr="003216A6">
        <w:t xml:space="preserve">, as amended by this </w:t>
      </w:r>
      <w:r w:rsidR="00A56D6E" w:rsidRPr="003216A6">
        <w:t>Part</w:t>
      </w:r>
      <w:r w:rsidRPr="003216A6">
        <w:t>, applies in relation to a licence levy that:</w:t>
      </w:r>
    </w:p>
    <w:p w:rsidR="009B5A79" w:rsidRPr="003216A6" w:rsidRDefault="009B5A79" w:rsidP="003216A6">
      <w:pPr>
        <w:pStyle w:val="paragraph"/>
      </w:pPr>
      <w:r w:rsidRPr="003216A6">
        <w:tab/>
        <w:t>(a)</w:t>
      </w:r>
      <w:r w:rsidRPr="003216A6">
        <w:tab/>
        <w:t>becomes due and payable on or after the commencement of this item; or</w:t>
      </w:r>
    </w:p>
    <w:p w:rsidR="009B5A79" w:rsidRPr="003216A6" w:rsidRDefault="009B5A79" w:rsidP="003216A6">
      <w:pPr>
        <w:pStyle w:val="paragraph"/>
      </w:pPr>
      <w:r w:rsidRPr="003216A6">
        <w:tab/>
        <w:t>(b)</w:t>
      </w:r>
      <w:r w:rsidRPr="003216A6">
        <w:tab/>
        <w:t>became due and payable before that commencement, to the extent the levy is not paid before that commencement;</w:t>
      </w:r>
    </w:p>
    <w:p w:rsidR="009B5A79" w:rsidRPr="003216A6" w:rsidRDefault="009B5A79" w:rsidP="003216A6">
      <w:pPr>
        <w:pStyle w:val="Item"/>
      </w:pPr>
      <w:r w:rsidRPr="003216A6">
        <w:t>whether the quarter or reporting period to which the levy relates ended before, on or after that commencement</w:t>
      </w:r>
      <w:r w:rsidR="002F6749" w:rsidRPr="003216A6">
        <w:t>.</w:t>
      </w:r>
    </w:p>
    <w:p w:rsidR="009B5A79" w:rsidRPr="003216A6" w:rsidRDefault="009B5A79" w:rsidP="003216A6">
      <w:pPr>
        <w:pStyle w:val="Subitem"/>
      </w:pPr>
      <w:r w:rsidRPr="003216A6">
        <w:t>(4)</w:t>
      </w:r>
      <w:r w:rsidRPr="003216A6">
        <w:tab/>
        <w:t>Subsection</w:t>
      </w:r>
      <w:r w:rsidR="003216A6" w:rsidRPr="003216A6">
        <w:t> </w:t>
      </w:r>
      <w:r w:rsidRPr="003216A6">
        <w:t xml:space="preserve">69(3) of the </w:t>
      </w:r>
      <w:r w:rsidRPr="003216A6">
        <w:rPr>
          <w:i/>
        </w:rPr>
        <w:t>Ozone Protection and Synthetic Greenhouse Gas Management Act 1989</w:t>
      </w:r>
      <w:r w:rsidRPr="003216A6">
        <w:t xml:space="preserve">, as amended by this </w:t>
      </w:r>
      <w:r w:rsidR="00A56D6E" w:rsidRPr="003216A6">
        <w:t>Part</w:t>
      </w:r>
      <w:r w:rsidRPr="003216A6">
        <w:t>, applies in relation to a licence levy that becomes due and payable on or after the commencement of this item, whether the quarter or reporting period to which the levy relates ended before, on or after that commencement</w:t>
      </w:r>
      <w:r w:rsidR="002F6749" w:rsidRPr="003216A6">
        <w:t>.</w:t>
      </w:r>
    </w:p>
    <w:p w:rsidR="009B5A79" w:rsidRPr="003216A6" w:rsidRDefault="009B5A79" w:rsidP="003216A6">
      <w:pPr>
        <w:pStyle w:val="Subitem"/>
      </w:pPr>
      <w:r w:rsidRPr="003216A6">
        <w:lastRenderedPageBreak/>
        <w:t>(5)</w:t>
      </w:r>
      <w:r w:rsidRPr="003216A6">
        <w:tab/>
        <w:t>For the purposes of that subsection, a licence levy that relates to a quarter ending before the first reporting period is taken to relate to the reporting period in which the quarter occurs</w:t>
      </w:r>
      <w:r w:rsidR="002F6749" w:rsidRPr="003216A6">
        <w:t>.</w:t>
      </w:r>
    </w:p>
    <w:p w:rsidR="009B5A79" w:rsidRPr="003216A6" w:rsidRDefault="009B5A79" w:rsidP="003216A6">
      <w:pPr>
        <w:pStyle w:val="SubitemHead"/>
      </w:pPr>
      <w:r w:rsidRPr="003216A6">
        <w:t>Penalty interest</w:t>
      </w:r>
    </w:p>
    <w:p w:rsidR="009B5A79" w:rsidRPr="003216A6" w:rsidRDefault="009B5A79" w:rsidP="003216A6">
      <w:pPr>
        <w:pStyle w:val="Subitem"/>
      </w:pPr>
      <w:r w:rsidRPr="003216A6">
        <w:t>(6)</w:t>
      </w:r>
      <w:r w:rsidRPr="003216A6">
        <w:tab/>
        <w:t>Penalty interest is not incurred on or after the commencement of this item under subsection</w:t>
      </w:r>
      <w:r w:rsidR="003216A6" w:rsidRPr="003216A6">
        <w:t> </w:t>
      </w:r>
      <w:r w:rsidRPr="003216A6">
        <w:t xml:space="preserve">69(2) of the </w:t>
      </w:r>
      <w:r w:rsidRPr="003216A6">
        <w:rPr>
          <w:i/>
        </w:rPr>
        <w:t>Ozone Protection and Synthetic Greenhouse Gas Management Act 1989</w:t>
      </w:r>
      <w:r w:rsidRPr="003216A6">
        <w:t>, as in force immediately before that commencement, in relation to a licence levy, whether the quarter or reporting period to which the levy relates ended before, on or after that commencement</w:t>
      </w:r>
      <w:r w:rsidR="002F6749" w:rsidRPr="003216A6">
        <w:t>.</w:t>
      </w:r>
    </w:p>
    <w:p w:rsidR="009B5A79" w:rsidRPr="003216A6" w:rsidRDefault="00B13916" w:rsidP="003216A6">
      <w:pPr>
        <w:pStyle w:val="ItemHead"/>
      </w:pPr>
      <w:r w:rsidRPr="003216A6">
        <w:t>76</w:t>
      </w:r>
      <w:r w:rsidR="009B5A79" w:rsidRPr="003216A6">
        <w:t xml:space="preserve">  Transitional provision</w:t>
      </w:r>
    </w:p>
    <w:p w:rsidR="009B5A79" w:rsidRPr="003216A6" w:rsidRDefault="009B5A79" w:rsidP="003216A6">
      <w:pPr>
        <w:pStyle w:val="Item"/>
      </w:pPr>
      <w:r w:rsidRPr="003216A6">
        <w:t>If, immediately before the commencement of this item, the total of the debts due and payable by a person to the Commonwealth under section</w:t>
      </w:r>
      <w:r w:rsidR="003216A6" w:rsidRPr="003216A6">
        <w:t> </w:t>
      </w:r>
      <w:r w:rsidRPr="003216A6">
        <w:t xml:space="preserve">69 of the </w:t>
      </w:r>
      <w:r w:rsidRPr="003216A6">
        <w:rPr>
          <w:i/>
        </w:rPr>
        <w:t>Ozone Protection and Synthetic Greenhouse Gas Management Act 1989</w:t>
      </w:r>
      <w:r w:rsidRPr="003216A6">
        <w:t xml:space="preserve"> is equal to or less than $330, those debts cease to be payable at that commencement</w:t>
      </w:r>
      <w:r w:rsidR="002F6749" w:rsidRPr="003216A6">
        <w:t>.</w:t>
      </w:r>
    </w:p>
    <w:p w:rsidR="009B5A79" w:rsidRPr="003216A6" w:rsidRDefault="009B5A79" w:rsidP="003216A6">
      <w:pPr>
        <w:pStyle w:val="ActHead7"/>
        <w:pageBreakBefore/>
      </w:pPr>
      <w:bookmarkStart w:id="83" w:name="_Toc486251922"/>
      <w:r w:rsidRPr="003216A6">
        <w:rPr>
          <w:rStyle w:val="CharAmPartNo"/>
        </w:rPr>
        <w:lastRenderedPageBreak/>
        <w:t>Part</w:t>
      </w:r>
      <w:r w:rsidR="003216A6" w:rsidRPr="003216A6">
        <w:rPr>
          <w:rStyle w:val="CharAmPartNo"/>
        </w:rPr>
        <w:t> </w:t>
      </w:r>
      <w:r w:rsidRPr="003216A6">
        <w:rPr>
          <w:rStyle w:val="CharAmPartNo"/>
        </w:rPr>
        <w:t>3</w:t>
      </w:r>
      <w:r w:rsidRPr="003216A6">
        <w:t>—</w:t>
      </w:r>
      <w:r w:rsidRPr="003216A6">
        <w:rPr>
          <w:rStyle w:val="CharAmPartText"/>
        </w:rPr>
        <w:t>Licence quantity limits</w:t>
      </w:r>
      <w:bookmarkEnd w:id="83"/>
    </w:p>
    <w:p w:rsidR="009B5A79" w:rsidRPr="003216A6" w:rsidRDefault="009B5A79" w:rsidP="003216A6">
      <w:pPr>
        <w:pStyle w:val="ActHead9"/>
        <w:rPr>
          <w:i w:val="0"/>
        </w:rPr>
      </w:pPr>
      <w:bookmarkStart w:id="84" w:name="_Toc486251923"/>
      <w:r w:rsidRPr="003216A6">
        <w:t>Ozone Protection and Synthetic Greenhouse Gas Management Act 1989</w:t>
      </w:r>
      <w:bookmarkEnd w:id="84"/>
    </w:p>
    <w:p w:rsidR="009B5A79" w:rsidRPr="003216A6" w:rsidRDefault="00B13916" w:rsidP="003216A6">
      <w:pPr>
        <w:pStyle w:val="ItemHead"/>
      </w:pPr>
      <w:r w:rsidRPr="003216A6">
        <w:t>77</w:t>
      </w:r>
      <w:r w:rsidR="009B5A79" w:rsidRPr="003216A6">
        <w:t xml:space="preserve">  Subsection</w:t>
      </w:r>
      <w:r w:rsidR="003216A6" w:rsidRPr="003216A6">
        <w:t> </w:t>
      </w:r>
      <w:r w:rsidR="009B5A79" w:rsidRPr="003216A6">
        <w:t>16(3)</w:t>
      </w:r>
    </w:p>
    <w:p w:rsidR="009B5A79" w:rsidRPr="003216A6" w:rsidRDefault="009B5A79" w:rsidP="003216A6">
      <w:pPr>
        <w:pStyle w:val="Item"/>
      </w:pPr>
      <w:r w:rsidRPr="003216A6">
        <w:t>Repeal the subsection, substitute:</w:t>
      </w:r>
    </w:p>
    <w:p w:rsidR="009B5A79" w:rsidRPr="003216A6" w:rsidRDefault="009B5A79" w:rsidP="003216A6">
      <w:pPr>
        <w:pStyle w:val="subsection"/>
      </w:pPr>
      <w:r w:rsidRPr="003216A6">
        <w:tab/>
        <w:t>(3)</w:t>
      </w:r>
      <w:r w:rsidRPr="003216A6">
        <w:tab/>
        <w:t>A licence (other than an HCFC licence, an SGG licence or an equipment licence):</w:t>
      </w:r>
    </w:p>
    <w:p w:rsidR="009B5A79" w:rsidRPr="003216A6" w:rsidRDefault="009B5A79" w:rsidP="003216A6">
      <w:pPr>
        <w:pStyle w:val="paragraph"/>
      </w:pPr>
      <w:r w:rsidRPr="003216A6">
        <w:tab/>
        <w:t>(a)</w:t>
      </w:r>
      <w:r w:rsidRPr="003216A6">
        <w:tab/>
        <w:t>must specify:</w:t>
      </w:r>
    </w:p>
    <w:p w:rsidR="009B5A79" w:rsidRPr="003216A6" w:rsidRDefault="009B5A79" w:rsidP="003216A6">
      <w:pPr>
        <w:pStyle w:val="paragraphsub"/>
      </w:pPr>
      <w:r w:rsidRPr="003216A6">
        <w:tab/>
        <w:t>(i)</w:t>
      </w:r>
      <w:r w:rsidRPr="003216A6">
        <w:tab/>
        <w:t>the substance or substances to which it relates; and</w:t>
      </w:r>
    </w:p>
    <w:p w:rsidR="009B5A79" w:rsidRPr="003216A6" w:rsidRDefault="009B5A79" w:rsidP="003216A6">
      <w:pPr>
        <w:pStyle w:val="paragraphsub"/>
      </w:pPr>
      <w:r w:rsidRPr="003216A6">
        <w:tab/>
        <w:t>(ii)</w:t>
      </w:r>
      <w:r w:rsidRPr="003216A6">
        <w:tab/>
        <w:t>the activities it allows; and</w:t>
      </w:r>
    </w:p>
    <w:p w:rsidR="009B5A79" w:rsidRPr="003216A6" w:rsidRDefault="009B5A79" w:rsidP="003216A6">
      <w:pPr>
        <w:pStyle w:val="paragraph"/>
      </w:pPr>
      <w:r w:rsidRPr="003216A6">
        <w:tab/>
        <w:t>(b)</w:t>
      </w:r>
      <w:r w:rsidRPr="003216A6">
        <w:tab/>
        <w:t>may specify the maximum quantities of any or all of those substances allowed for any or all of those activities</w:t>
      </w:r>
      <w:r w:rsidR="002F6749" w:rsidRPr="003216A6">
        <w:t>.</w:t>
      </w:r>
    </w:p>
    <w:p w:rsidR="009B5A79" w:rsidRPr="003216A6" w:rsidRDefault="009B5A79" w:rsidP="003216A6">
      <w:pPr>
        <w:pStyle w:val="ActHead7"/>
        <w:pageBreakBefore/>
      </w:pPr>
      <w:bookmarkStart w:id="85" w:name="_Toc486251924"/>
      <w:r w:rsidRPr="003216A6">
        <w:rPr>
          <w:rStyle w:val="CharAmPartNo"/>
        </w:rPr>
        <w:lastRenderedPageBreak/>
        <w:t>Part</w:t>
      </w:r>
      <w:r w:rsidR="003216A6" w:rsidRPr="003216A6">
        <w:rPr>
          <w:rStyle w:val="CharAmPartNo"/>
        </w:rPr>
        <w:t> </w:t>
      </w:r>
      <w:r w:rsidRPr="003216A6">
        <w:rPr>
          <w:rStyle w:val="CharAmPartNo"/>
        </w:rPr>
        <w:t>4</w:t>
      </w:r>
      <w:r w:rsidRPr="003216A6">
        <w:t>—</w:t>
      </w:r>
      <w:r w:rsidRPr="003216A6">
        <w:rPr>
          <w:rStyle w:val="CharAmPartText"/>
        </w:rPr>
        <w:t>Synthetic greenhouse gases</w:t>
      </w:r>
      <w:bookmarkEnd w:id="85"/>
    </w:p>
    <w:p w:rsidR="009B5A79" w:rsidRPr="003216A6" w:rsidRDefault="009B5A79" w:rsidP="003216A6">
      <w:pPr>
        <w:pStyle w:val="ActHead9"/>
        <w:rPr>
          <w:i w:val="0"/>
        </w:rPr>
      </w:pPr>
      <w:bookmarkStart w:id="86" w:name="_Toc486251925"/>
      <w:r w:rsidRPr="003216A6">
        <w:t>Ozone Protection and Synthetic Greenhouse Gas Management Act 1989</w:t>
      </w:r>
      <w:bookmarkEnd w:id="86"/>
    </w:p>
    <w:p w:rsidR="009B5A79" w:rsidRPr="003216A6" w:rsidRDefault="00B13916" w:rsidP="003216A6">
      <w:pPr>
        <w:pStyle w:val="ItemHead"/>
      </w:pPr>
      <w:r w:rsidRPr="003216A6">
        <w:t>78</w:t>
      </w:r>
      <w:r w:rsidR="009B5A79" w:rsidRPr="003216A6">
        <w:t xml:space="preserve">  Section</w:t>
      </w:r>
      <w:r w:rsidR="003216A6" w:rsidRPr="003216A6">
        <w:t> </w:t>
      </w:r>
      <w:r w:rsidR="009B5A79" w:rsidRPr="003216A6">
        <w:t>7</w:t>
      </w:r>
    </w:p>
    <w:p w:rsidR="009B5A79" w:rsidRPr="003216A6" w:rsidRDefault="009B5A79" w:rsidP="003216A6">
      <w:pPr>
        <w:pStyle w:val="Item"/>
      </w:pPr>
      <w:r w:rsidRPr="003216A6">
        <w:t>Insert:</w:t>
      </w:r>
    </w:p>
    <w:p w:rsidR="009B5A79" w:rsidRPr="003216A6" w:rsidRDefault="009B5A79" w:rsidP="003216A6">
      <w:pPr>
        <w:pStyle w:val="Definition"/>
      </w:pPr>
      <w:r w:rsidRPr="003216A6">
        <w:rPr>
          <w:b/>
          <w:i/>
        </w:rPr>
        <w:t>nitrogen trifluoride</w:t>
      </w:r>
      <w:r w:rsidRPr="003216A6">
        <w:t xml:space="preserve"> means the substance referred to in Part</w:t>
      </w:r>
      <w:r w:rsidR="003216A6" w:rsidRPr="003216A6">
        <w:t> </w:t>
      </w:r>
      <w:r w:rsidRPr="003216A6">
        <w:t>XII of Schedule</w:t>
      </w:r>
      <w:r w:rsidR="003216A6" w:rsidRPr="003216A6">
        <w:t> </w:t>
      </w:r>
      <w:r w:rsidRPr="003216A6">
        <w:t>1, whether existing alone or in a mixture</w:t>
      </w:r>
      <w:r w:rsidR="002F6749" w:rsidRPr="003216A6">
        <w:t>.</w:t>
      </w:r>
    </w:p>
    <w:p w:rsidR="009B5A79" w:rsidRPr="003216A6" w:rsidRDefault="00B13916" w:rsidP="003216A6">
      <w:pPr>
        <w:pStyle w:val="ItemHead"/>
      </w:pPr>
      <w:r w:rsidRPr="003216A6">
        <w:t>79</w:t>
      </w:r>
      <w:r w:rsidR="009B5A79" w:rsidRPr="003216A6">
        <w:t xml:space="preserve">  Section</w:t>
      </w:r>
      <w:r w:rsidR="003216A6" w:rsidRPr="003216A6">
        <w:t> </w:t>
      </w:r>
      <w:r w:rsidR="009B5A79" w:rsidRPr="003216A6">
        <w:t xml:space="preserve">7 (definition of </w:t>
      </w:r>
      <w:r w:rsidR="009B5A79" w:rsidRPr="003216A6">
        <w:rPr>
          <w:i/>
        </w:rPr>
        <w:t>SGG</w:t>
      </w:r>
      <w:r w:rsidR="009B5A79" w:rsidRPr="003216A6">
        <w:t>)</w:t>
      </w:r>
    </w:p>
    <w:p w:rsidR="009B5A79" w:rsidRPr="003216A6" w:rsidRDefault="009B5A79" w:rsidP="003216A6">
      <w:pPr>
        <w:pStyle w:val="Item"/>
      </w:pPr>
      <w:r w:rsidRPr="003216A6">
        <w:t>Repeal the definition, substitute:</w:t>
      </w:r>
    </w:p>
    <w:p w:rsidR="009B5A79" w:rsidRPr="003216A6" w:rsidRDefault="009B5A79" w:rsidP="003216A6">
      <w:pPr>
        <w:pStyle w:val="Definition"/>
      </w:pPr>
      <w:r w:rsidRPr="003216A6">
        <w:rPr>
          <w:b/>
          <w:i/>
        </w:rPr>
        <w:t>SGG</w:t>
      </w:r>
      <w:r w:rsidRPr="003216A6">
        <w:t xml:space="preserve"> or </w:t>
      </w:r>
      <w:r w:rsidRPr="003216A6">
        <w:rPr>
          <w:b/>
          <w:i/>
        </w:rPr>
        <w:t>synthetic greenhouse gas</w:t>
      </w:r>
      <w:r w:rsidRPr="003216A6">
        <w:t xml:space="preserve"> means any of the following:</w:t>
      </w:r>
    </w:p>
    <w:p w:rsidR="009B5A79" w:rsidRPr="003216A6" w:rsidRDefault="009B5A79" w:rsidP="003216A6">
      <w:pPr>
        <w:pStyle w:val="paragraph"/>
      </w:pPr>
      <w:r w:rsidRPr="003216A6">
        <w:tab/>
        <w:t>(a)</w:t>
      </w:r>
      <w:r w:rsidRPr="003216A6">
        <w:tab/>
        <w:t>an HFC;</w:t>
      </w:r>
    </w:p>
    <w:p w:rsidR="009B5A79" w:rsidRPr="003216A6" w:rsidRDefault="009B5A79" w:rsidP="003216A6">
      <w:pPr>
        <w:pStyle w:val="paragraph"/>
      </w:pPr>
      <w:r w:rsidRPr="003216A6">
        <w:tab/>
        <w:t>(b)</w:t>
      </w:r>
      <w:r w:rsidRPr="003216A6">
        <w:tab/>
        <w:t>nitrogen trifluoride;</w:t>
      </w:r>
    </w:p>
    <w:p w:rsidR="009B5A79" w:rsidRPr="003216A6" w:rsidRDefault="009B5A79" w:rsidP="003216A6">
      <w:pPr>
        <w:pStyle w:val="paragraph"/>
      </w:pPr>
      <w:r w:rsidRPr="003216A6">
        <w:tab/>
        <w:t>(c)</w:t>
      </w:r>
      <w:r w:rsidRPr="003216A6">
        <w:tab/>
        <w:t>a PFC;</w:t>
      </w:r>
    </w:p>
    <w:p w:rsidR="009B5A79" w:rsidRPr="003216A6" w:rsidRDefault="009B5A79" w:rsidP="003216A6">
      <w:pPr>
        <w:pStyle w:val="paragraph"/>
      </w:pPr>
      <w:r w:rsidRPr="003216A6">
        <w:tab/>
        <w:t>(d)</w:t>
      </w:r>
      <w:r w:rsidRPr="003216A6">
        <w:tab/>
        <w:t>sulfur hexafluoride</w:t>
      </w:r>
      <w:r w:rsidR="002F6749" w:rsidRPr="003216A6">
        <w:t>.</w:t>
      </w:r>
    </w:p>
    <w:p w:rsidR="009B5A79" w:rsidRPr="003216A6" w:rsidRDefault="00B13916" w:rsidP="003216A6">
      <w:pPr>
        <w:pStyle w:val="ItemHead"/>
      </w:pPr>
      <w:r w:rsidRPr="003216A6">
        <w:t>80</w:t>
      </w:r>
      <w:r w:rsidR="009B5A79" w:rsidRPr="003216A6">
        <w:t xml:space="preserve">  Paragraph 8D(1)(b)</w:t>
      </w:r>
    </w:p>
    <w:p w:rsidR="009B5A79" w:rsidRPr="003216A6" w:rsidRDefault="009B5A79" w:rsidP="003216A6">
      <w:pPr>
        <w:pStyle w:val="Item"/>
      </w:pPr>
      <w:r w:rsidRPr="003216A6">
        <w:t xml:space="preserve">Before </w:t>
      </w:r>
      <w:r w:rsidR="00BF3C85" w:rsidRPr="003216A6">
        <w:t>“</w:t>
      </w:r>
      <w:r w:rsidRPr="003216A6">
        <w:t>sulfur hexafluoride</w:t>
      </w:r>
      <w:r w:rsidR="00BF3C85" w:rsidRPr="003216A6">
        <w:t>”</w:t>
      </w:r>
      <w:r w:rsidRPr="003216A6">
        <w:t xml:space="preserve">, insert </w:t>
      </w:r>
      <w:r w:rsidR="00BF3C85" w:rsidRPr="003216A6">
        <w:t>“</w:t>
      </w:r>
      <w:r w:rsidRPr="003216A6">
        <w:t>nitrogen trifluoride or</w:t>
      </w:r>
      <w:r w:rsidR="00BF3C85" w:rsidRPr="003216A6">
        <w:t>”</w:t>
      </w:r>
      <w:r w:rsidR="002F6749" w:rsidRPr="003216A6">
        <w:t>.</w:t>
      </w:r>
    </w:p>
    <w:p w:rsidR="009B5A79" w:rsidRPr="003216A6" w:rsidRDefault="00B13916" w:rsidP="003216A6">
      <w:pPr>
        <w:pStyle w:val="ItemHead"/>
      </w:pPr>
      <w:r w:rsidRPr="003216A6">
        <w:t>81</w:t>
      </w:r>
      <w:r w:rsidR="009B5A79" w:rsidRPr="003216A6">
        <w:t xml:space="preserve">  Subsection</w:t>
      </w:r>
      <w:r w:rsidR="003216A6" w:rsidRPr="003216A6">
        <w:t> </w:t>
      </w:r>
      <w:r w:rsidR="009B5A79" w:rsidRPr="003216A6">
        <w:t>9(1)</w:t>
      </w:r>
    </w:p>
    <w:p w:rsidR="009B5A79" w:rsidRPr="003216A6" w:rsidRDefault="009B5A79" w:rsidP="003216A6">
      <w:pPr>
        <w:pStyle w:val="Item"/>
      </w:pPr>
      <w:r w:rsidRPr="003216A6">
        <w:t xml:space="preserve">Omit </w:t>
      </w:r>
      <w:r w:rsidR="00BF3C85" w:rsidRPr="003216A6">
        <w:t>“</w:t>
      </w:r>
      <w:r w:rsidRPr="003216A6">
        <w:t>or XI</w:t>
      </w:r>
      <w:r w:rsidR="00BF3C85" w:rsidRPr="003216A6">
        <w:t>”</w:t>
      </w:r>
      <w:r w:rsidRPr="003216A6">
        <w:t xml:space="preserve">, substitute </w:t>
      </w:r>
      <w:r w:rsidR="00BF3C85" w:rsidRPr="003216A6">
        <w:t>“</w:t>
      </w:r>
      <w:r w:rsidRPr="003216A6">
        <w:t>, XI or XII</w:t>
      </w:r>
      <w:r w:rsidR="00BF3C85" w:rsidRPr="003216A6">
        <w:t>”</w:t>
      </w:r>
      <w:r w:rsidR="002F6749" w:rsidRPr="003216A6">
        <w:t>.</w:t>
      </w:r>
    </w:p>
    <w:p w:rsidR="002F41FD" w:rsidRPr="003216A6" w:rsidRDefault="00B13916" w:rsidP="003216A6">
      <w:pPr>
        <w:pStyle w:val="ItemHead"/>
      </w:pPr>
      <w:r w:rsidRPr="003216A6">
        <w:t>82</w:t>
      </w:r>
      <w:r w:rsidR="002F41FD" w:rsidRPr="003216A6">
        <w:t xml:space="preserve">  Schedule</w:t>
      </w:r>
      <w:r w:rsidR="003216A6" w:rsidRPr="003216A6">
        <w:t> </w:t>
      </w:r>
      <w:r w:rsidR="002F41FD" w:rsidRPr="003216A6">
        <w:t>1 (note to the Schedule heading)</w:t>
      </w:r>
    </w:p>
    <w:p w:rsidR="002F41FD" w:rsidRPr="003216A6" w:rsidRDefault="002F41FD" w:rsidP="003216A6">
      <w:pPr>
        <w:pStyle w:val="Item"/>
      </w:pPr>
      <w:r w:rsidRPr="003216A6">
        <w:t>Repeal the note, substitute:</w:t>
      </w:r>
    </w:p>
    <w:p w:rsidR="002F41FD" w:rsidRPr="003216A6" w:rsidRDefault="002F41FD" w:rsidP="003216A6">
      <w:pPr>
        <w:pStyle w:val="notemargin"/>
      </w:pPr>
      <w:r w:rsidRPr="003216A6">
        <w:t>Note:</w:t>
      </w:r>
      <w:r w:rsidRPr="003216A6">
        <w:tab/>
        <w:t>See section</w:t>
      </w:r>
      <w:r w:rsidR="003216A6" w:rsidRPr="003216A6">
        <w:t> </w:t>
      </w:r>
      <w:r w:rsidRPr="003216A6">
        <w:t>7.</w:t>
      </w:r>
    </w:p>
    <w:p w:rsidR="009B5A79" w:rsidRPr="003216A6" w:rsidRDefault="00B13916" w:rsidP="003216A6">
      <w:pPr>
        <w:pStyle w:val="ItemHead"/>
      </w:pPr>
      <w:r w:rsidRPr="003216A6">
        <w:t>83</w:t>
      </w:r>
      <w:r w:rsidR="009B5A79" w:rsidRPr="003216A6">
        <w:t xml:space="preserve">  Part</w:t>
      </w:r>
      <w:r w:rsidR="003216A6" w:rsidRPr="003216A6">
        <w:t> </w:t>
      </w:r>
      <w:r w:rsidR="009B5A79" w:rsidRPr="003216A6">
        <w:t>X of Schedule</w:t>
      </w:r>
      <w:r w:rsidR="003216A6" w:rsidRPr="003216A6">
        <w:t> </w:t>
      </w:r>
      <w:r w:rsidR="009B5A79" w:rsidRPr="003216A6">
        <w:t>1</w:t>
      </w:r>
    </w:p>
    <w:p w:rsidR="009B5A79" w:rsidRPr="003216A6" w:rsidRDefault="009B5A79" w:rsidP="003216A6">
      <w:pPr>
        <w:pStyle w:val="Item"/>
      </w:pPr>
      <w:r w:rsidRPr="003216A6">
        <w:t>Repeal the Part, substitute:</w:t>
      </w:r>
    </w:p>
    <w:p w:rsidR="009B5A79" w:rsidRPr="003216A6" w:rsidRDefault="009B5A79" w:rsidP="003216A6">
      <w:pPr>
        <w:pStyle w:val="ActHead2"/>
      </w:pPr>
      <w:bookmarkStart w:id="87" w:name="_Toc486251926"/>
      <w:r w:rsidRPr="003216A6">
        <w:rPr>
          <w:rStyle w:val="CharPartNo"/>
        </w:rPr>
        <w:lastRenderedPageBreak/>
        <w:t>Part</w:t>
      </w:r>
      <w:r w:rsidR="003216A6" w:rsidRPr="003216A6">
        <w:rPr>
          <w:rStyle w:val="CharPartNo"/>
        </w:rPr>
        <w:t> </w:t>
      </w:r>
      <w:r w:rsidRPr="003216A6">
        <w:rPr>
          <w:rStyle w:val="CharPartNo"/>
        </w:rPr>
        <w:t>X</w:t>
      </w:r>
      <w:r w:rsidRPr="003216A6">
        <w:t>—</w:t>
      </w:r>
      <w:r w:rsidRPr="003216A6">
        <w:rPr>
          <w:rStyle w:val="CharPartText"/>
        </w:rPr>
        <w:t>PFCs</w:t>
      </w:r>
      <w:bookmarkEnd w:id="87"/>
    </w:p>
    <w:p w:rsidR="009B5A79" w:rsidRPr="003216A6" w:rsidRDefault="009B5A79" w:rsidP="003216A6">
      <w:pPr>
        <w:pStyle w:val="Header"/>
      </w:pPr>
      <w:r w:rsidRPr="003216A6">
        <w:rPr>
          <w:rStyle w:val="CharDivNo"/>
        </w:rPr>
        <w:t xml:space="preserve"> </w:t>
      </w:r>
      <w:r w:rsidRPr="003216A6">
        <w:rPr>
          <w:rStyle w:val="CharDivText"/>
        </w:rPr>
        <w:t xml:space="preserve"> </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tblGrid>
      <w:tr w:rsidR="009B5A79" w:rsidRPr="003216A6" w:rsidTr="00041003">
        <w:trPr>
          <w:tblHeader/>
        </w:trPr>
        <w:tc>
          <w:tcPr>
            <w:tcW w:w="3539" w:type="dxa"/>
            <w:gridSpan w:val="2"/>
            <w:tcBorders>
              <w:top w:val="single" w:sz="12" w:space="0" w:color="auto"/>
              <w:bottom w:val="single" w:sz="6" w:space="0" w:color="auto"/>
            </w:tcBorders>
            <w:shd w:val="clear" w:color="auto" w:fill="auto"/>
          </w:tcPr>
          <w:p w:rsidR="009B5A79" w:rsidRPr="003216A6" w:rsidRDefault="009B5A79" w:rsidP="003216A6">
            <w:pPr>
              <w:pStyle w:val="TableHeading"/>
            </w:pPr>
            <w:r w:rsidRPr="003216A6">
              <w:t>PFCs</w:t>
            </w:r>
          </w:p>
        </w:tc>
      </w:tr>
      <w:tr w:rsidR="009B5A79" w:rsidRPr="003216A6" w:rsidTr="00041003">
        <w:trPr>
          <w:tblHeader/>
        </w:trPr>
        <w:tc>
          <w:tcPr>
            <w:tcW w:w="714"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Item</w:t>
            </w:r>
          </w:p>
        </w:tc>
        <w:tc>
          <w:tcPr>
            <w:tcW w:w="2825"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Substance</w:t>
            </w:r>
          </w:p>
        </w:tc>
      </w:tr>
      <w:tr w:rsidR="009B5A79" w:rsidRPr="003216A6" w:rsidTr="00041003">
        <w:tc>
          <w:tcPr>
            <w:tcW w:w="714" w:type="dxa"/>
            <w:tcBorders>
              <w:top w:val="single" w:sz="12" w:space="0" w:color="auto"/>
            </w:tcBorders>
            <w:shd w:val="clear" w:color="auto" w:fill="auto"/>
          </w:tcPr>
          <w:p w:rsidR="009B5A79" w:rsidRPr="003216A6" w:rsidRDefault="009B5A79" w:rsidP="003216A6">
            <w:pPr>
              <w:pStyle w:val="Tabletext"/>
            </w:pPr>
            <w:r w:rsidRPr="003216A6">
              <w:t>1</w:t>
            </w:r>
          </w:p>
        </w:tc>
        <w:tc>
          <w:tcPr>
            <w:tcW w:w="2825" w:type="dxa"/>
            <w:tcBorders>
              <w:top w:val="single" w:sz="12" w:space="0" w:color="auto"/>
            </w:tcBorders>
            <w:shd w:val="clear" w:color="auto" w:fill="auto"/>
          </w:tcPr>
          <w:p w:rsidR="009B5A79" w:rsidRPr="003216A6" w:rsidRDefault="009B5A79" w:rsidP="003216A6">
            <w:pPr>
              <w:pStyle w:val="Tabletext"/>
            </w:pPr>
            <w:r w:rsidRPr="003216A6">
              <w:t>CF</w:t>
            </w:r>
            <w:r w:rsidRPr="003216A6">
              <w:rPr>
                <w:sz w:val="16"/>
                <w:szCs w:val="16"/>
              </w:rPr>
              <w:t xml:space="preserve">4 </w:t>
            </w:r>
            <w:r w:rsidRPr="003216A6">
              <w:t>(PFC</w:t>
            </w:r>
            <w:r w:rsidR="00753724">
              <w:noBreakHyphen/>
            </w:r>
            <w:r w:rsidRPr="003216A6">
              <w:t>14)</w:t>
            </w:r>
          </w:p>
        </w:tc>
      </w:tr>
      <w:tr w:rsidR="009B5A79" w:rsidRPr="003216A6" w:rsidTr="00041003">
        <w:tc>
          <w:tcPr>
            <w:tcW w:w="714" w:type="dxa"/>
            <w:shd w:val="clear" w:color="auto" w:fill="auto"/>
          </w:tcPr>
          <w:p w:rsidR="009B5A79" w:rsidRPr="003216A6" w:rsidRDefault="009B5A79" w:rsidP="003216A6">
            <w:pPr>
              <w:pStyle w:val="Tabletext"/>
            </w:pPr>
            <w:r w:rsidRPr="003216A6">
              <w:t>2</w:t>
            </w:r>
          </w:p>
        </w:tc>
        <w:tc>
          <w:tcPr>
            <w:tcW w:w="2825" w:type="dxa"/>
            <w:shd w:val="clear" w:color="auto" w:fill="auto"/>
          </w:tcPr>
          <w:p w:rsidR="009B5A79" w:rsidRPr="003216A6" w:rsidRDefault="009B5A79" w:rsidP="003216A6">
            <w:pPr>
              <w:pStyle w:val="Tabletext"/>
            </w:pPr>
            <w:r w:rsidRPr="003216A6">
              <w:t>C</w:t>
            </w:r>
            <w:r w:rsidRPr="003216A6">
              <w:rPr>
                <w:sz w:val="16"/>
                <w:szCs w:val="16"/>
              </w:rPr>
              <w:t>2</w:t>
            </w:r>
            <w:r w:rsidRPr="003216A6">
              <w:t>F</w:t>
            </w:r>
            <w:r w:rsidRPr="003216A6">
              <w:rPr>
                <w:sz w:val="16"/>
                <w:szCs w:val="16"/>
              </w:rPr>
              <w:t xml:space="preserve">6 </w:t>
            </w:r>
            <w:r w:rsidRPr="003216A6">
              <w:t>(PFC</w:t>
            </w:r>
            <w:r w:rsidR="00753724">
              <w:noBreakHyphen/>
            </w:r>
            <w:r w:rsidRPr="003216A6">
              <w:t>116)</w:t>
            </w:r>
          </w:p>
        </w:tc>
      </w:tr>
      <w:tr w:rsidR="009B5A79" w:rsidRPr="003216A6" w:rsidTr="00041003">
        <w:tc>
          <w:tcPr>
            <w:tcW w:w="714" w:type="dxa"/>
            <w:shd w:val="clear" w:color="auto" w:fill="auto"/>
          </w:tcPr>
          <w:p w:rsidR="009B5A79" w:rsidRPr="003216A6" w:rsidRDefault="009B5A79" w:rsidP="003216A6">
            <w:pPr>
              <w:pStyle w:val="Tabletext"/>
            </w:pPr>
            <w:r w:rsidRPr="003216A6">
              <w:t>3</w:t>
            </w:r>
          </w:p>
        </w:tc>
        <w:tc>
          <w:tcPr>
            <w:tcW w:w="2825" w:type="dxa"/>
            <w:shd w:val="clear" w:color="auto" w:fill="auto"/>
          </w:tcPr>
          <w:p w:rsidR="009B5A79" w:rsidRPr="003216A6" w:rsidRDefault="009B5A79" w:rsidP="003216A6">
            <w:pPr>
              <w:pStyle w:val="Tabletext"/>
            </w:pPr>
            <w:r w:rsidRPr="003216A6">
              <w:t>C</w:t>
            </w:r>
            <w:r w:rsidRPr="003216A6">
              <w:rPr>
                <w:sz w:val="16"/>
                <w:szCs w:val="16"/>
              </w:rPr>
              <w:t>3</w:t>
            </w:r>
            <w:r w:rsidRPr="003216A6">
              <w:t>F</w:t>
            </w:r>
            <w:r w:rsidRPr="003216A6">
              <w:rPr>
                <w:sz w:val="16"/>
                <w:szCs w:val="16"/>
              </w:rPr>
              <w:t xml:space="preserve">8 </w:t>
            </w:r>
            <w:r w:rsidRPr="003216A6">
              <w:t>(PFC</w:t>
            </w:r>
            <w:r w:rsidR="00753724">
              <w:noBreakHyphen/>
            </w:r>
            <w:r w:rsidRPr="003216A6">
              <w:t>218)</w:t>
            </w:r>
          </w:p>
        </w:tc>
      </w:tr>
      <w:tr w:rsidR="009B5A79" w:rsidRPr="003216A6" w:rsidTr="00041003">
        <w:tc>
          <w:tcPr>
            <w:tcW w:w="714" w:type="dxa"/>
            <w:shd w:val="clear" w:color="auto" w:fill="auto"/>
          </w:tcPr>
          <w:p w:rsidR="009B5A79" w:rsidRPr="003216A6" w:rsidRDefault="009B5A79" w:rsidP="003216A6">
            <w:pPr>
              <w:pStyle w:val="Tabletext"/>
            </w:pPr>
            <w:r w:rsidRPr="003216A6">
              <w:t>4</w:t>
            </w:r>
          </w:p>
        </w:tc>
        <w:tc>
          <w:tcPr>
            <w:tcW w:w="2825" w:type="dxa"/>
            <w:shd w:val="clear" w:color="auto" w:fill="auto"/>
          </w:tcPr>
          <w:p w:rsidR="009B5A79" w:rsidRPr="003216A6" w:rsidRDefault="009B5A79" w:rsidP="003216A6">
            <w:pPr>
              <w:pStyle w:val="Tabletext"/>
            </w:pPr>
            <w:r w:rsidRPr="003216A6">
              <w:t>C</w:t>
            </w:r>
            <w:r w:rsidRPr="003216A6">
              <w:rPr>
                <w:sz w:val="16"/>
                <w:szCs w:val="16"/>
              </w:rPr>
              <w:t>4</w:t>
            </w:r>
            <w:r w:rsidRPr="003216A6">
              <w:t>F</w:t>
            </w:r>
            <w:r w:rsidRPr="003216A6">
              <w:rPr>
                <w:sz w:val="16"/>
                <w:szCs w:val="16"/>
              </w:rPr>
              <w:t xml:space="preserve">10 </w:t>
            </w:r>
            <w:r w:rsidRPr="003216A6">
              <w:t>(PFC</w:t>
            </w:r>
            <w:r w:rsidR="00753724">
              <w:noBreakHyphen/>
            </w:r>
            <w:r w:rsidRPr="003216A6">
              <w:t>3</w:t>
            </w:r>
            <w:r w:rsidR="00753724">
              <w:noBreakHyphen/>
            </w:r>
            <w:r w:rsidRPr="003216A6">
              <w:t>1</w:t>
            </w:r>
            <w:r w:rsidR="00753724">
              <w:noBreakHyphen/>
            </w:r>
            <w:r w:rsidRPr="003216A6">
              <w:t>10)</w:t>
            </w:r>
          </w:p>
        </w:tc>
      </w:tr>
      <w:tr w:rsidR="009B5A79" w:rsidRPr="003216A6" w:rsidTr="00041003">
        <w:tc>
          <w:tcPr>
            <w:tcW w:w="714" w:type="dxa"/>
            <w:shd w:val="clear" w:color="auto" w:fill="auto"/>
          </w:tcPr>
          <w:p w:rsidR="009B5A79" w:rsidRPr="003216A6" w:rsidRDefault="009B5A79" w:rsidP="003216A6">
            <w:pPr>
              <w:pStyle w:val="Tabletext"/>
            </w:pPr>
            <w:r w:rsidRPr="003216A6">
              <w:t>5</w:t>
            </w:r>
          </w:p>
        </w:tc>
        <w:tc>
          <w:tcPr>
            <w:tcW w:w="2825" w:type="dxa"/>
            <w:shd w:val="clear" w:color="auto" w:fill="auto"/>
          </w:tcPr>
          <w:p w:rsidR="009B5A79" w:rsidRPr="003216A6" w:rsidRDefault="009B5A79" w:rsidP="003216A6">
            <w:pPr>
              <w:pStyle w:val="Tabletext"/>
            </w:pPr>
            <w:r w:rsidRPr="003216A6">
              <w:t>c</w:t>
            </w:r>
            <w:r w:rsidR="00753724">
              <w:noBreakHyphen/>
            </w:r>
            <w:r w:rsidRPr="003216A6">
              <w:t>C</w:t>
            </w:r>
            <w:r w:rsidRPr="003216A6">
              <w:rPr>
                <w:sz w:val="16"/>
                <w:szCs w:val="16"/>
              </w:rPr>
              <w:t>4</w:t>
            </w:r>
            <w:r w:rsidRPr="003216A6">
              <w:t>F</w:t>
            </w:r>
            <w:r w:rsidRPr="003216A6">
              <w:rPr>
                <w:sz w:val="16"/>
                <w:szCs w:val="16"/>
              </w:rPr>
              <w:t xml:space="preserve">8 </w:t>
            </w:r>
            <w:r w:rsidRPr="003216A6">
              <w:t>(PFC</w:t>
            </w:r>
            <w:r w:rsidR="00753724">
              <w:noBreakHyphen/>
            </w:r>
            <w:r w:rsidRPr="003216A6">
              <w:t>318)</w:t>
            </w:r>
          </w:p>
        </w:tc>
      </w:tr>
      <w:tr w:rsidR="009B5A79" w:rsidRPr="003216A6" w:rsidTr="00041003">
        <w:tc>
          <w:tcPr>
            <w:tcW w:w="714" w:type="dxa"/>
            <w:shd w:val="clear" w:color="auto" w:fill="auto"/>
          </w:tcPr>
          <w:p w:rsidR="009B5A79" w:rsidRPr="003216A6" w:rsidRDefault="009B5A79" w:rsidP="003216A6">
            <w:pPr>
              <w:pStyle w:val="Tabletext"/>
            </w:pPr>
            <w:r w:rsidRPr="003216A6">
              <w:t>6</w:t>
            </w:r>
          </w:p>
        </w:tc>
        <w:tc>
          <w:tcPr>
            <w:tcW w:w="2825" w:type="dxa"/>
            <w:shd w:val="clear" w:color="auto" w:fill="auto"/>
          </w:tcPr>
          <w:p w:rsidR="009B5A79" w:rsidRPr="003216A6" w:rsidRDefault="009B5A79" w:rsidP="003216A6">
            <w:pPr>
              <w:pStyle w:val="Tabletext"/>
            </w:pPr>
            <w:r w:rsidRPr="003216A6">
              <w:t>C</w:t>
            </w:r>
            <w:r w:rsidRPr="003216A6">
              <w:rPr>
                <w:sz w:val="16"/>
                <w:szCs w:val="16"/>
              </w:rPr>
              <w:t>5</w:t>
            </w:r>
            <w:r w:rsidRPr="003216A6">
              <w:t>F</w:t>
            </w:r>
            <w:r w:rsidRPr="003216A6">
              <w:rPr>
                <w:sz w:val="16"/>
                <w:szCs w:val="16"/>
              </w:rPr>
              <w:t xml:space="preserve">12 </w:t>
            </w:r>
            <w:r w:rsidRPr="003216A6">
              <w:t>(PFC</w:t>
            </w:r>
            <w:r w:rsidR="00753724">
              <w:noBreakHyphen/>
            </w:r>
            <w:r w:rsidRPr="003216A6">
              <w:t>4</w:t>
            </w:r>
            <w:r w:rsidR="00753724">
              <w:noBreakHyphen/>
            </w:r>
            <w:r w:rsidRPr="003216A6">
              <w:t>1</w:t>
            </w:r>
            <w:r w:rsidR="00753724">
              <w:noBreakHyphen/>
            </w:r>
            <w:r w:rsidRPr="003216A6">
              <w:t>12)</w:t>
            </w:r>
          </w:p>
        </w:tc>
      </w:tr>
      <w:tr w:rsidR="009B5A79" w:rsidRPr="003216A6" w:rsidTr="00041003">
        <w:tc>
          <w:tcPr>
            <w:tcW w:w="714" w:type="dxa"/>
            <w:tcBorders>
              <w:bottom w:val="single" w:sz="2" w:space="0" w:color="auto"/>
            </w:tcBorders>
            <w:shd w:val="clear" w:color="auto" w:fill="auto"/>
          </w:tcPr>
          <w:p w:rsidR="009B5A79" w:rsidRPr="003216A6" w:rsidRDefault="009B5A79" w:rsidP="003216A6">
            <w:pPr>
              <w:pStyle w:val="Tabletext"/>
            </w:pPr>
            <w:r w:rsidRPr="003216A6">
              <w:t>7</w:t>
            </w:r>
          </w:p>
        </w:tc>
        <w:tc>
          <w:tcPr>
            <w:tcW w:w="2825" w:type="dxa"/>
            <w:tcBorders>
              <w:bottom w:val="single" w:sz="2" w:space="0" w:color="auto"/>
            </w:tcBorders>
            <w:shd w:val="clear" w:color="auto" w:fill="auto"/>
          </w:tcPr>
          <w:p w:rsidR="009B5A79" w:rsidRPr="003216A6" w:rsidRDefault="009B5A79" w:rsidP="003216A6">
            <w:pPr>
              <w:pStyle w:val="Tabletext"/>
            </w:pPr>
            <w:r w:rsidRPr="003216A6">
              <w:t>C</w:t>
            </w:r>
            <w:r w:rsidRPr="003216A6">
              <w:rPr>
                <w:sz w:val="16"/>
                <w:szCs w:val="16"/>
              </w:rPr>
              <w:t>6</w:t>
            </w:r>
            <w:r w:rsidRPr="003216A6">
              <w:t>F</w:t>
            </w:r>
            <w:r w:rsidRPr="003216A6">
              <w:rPr>
                <w:sz w:val="16"/>
                <w:szCs w:val="16"/>
              </w:rPr>
              <w:t xml:space="preserve">14 </w:t>
            </w:r>
            <w:r w:rsidRPr="003216A6">
              <w:t>(PFC</w:t>
            </w:r>
            <w:r w:rsidR="00753724">
              <w:noBreakHyphen/>
            </w:r>
            <w:r w:rsidRPr="003216A6">
              <w:t>5</w:t>
            </w:r>
            <w:r w:rsidR="00753724">
              <w:noBreakHyphen/>
            </w:r>
            <w:r w:rsidRPr="003216A6">
              <w:t>1</w:t>
            </w:r>
            <w:r w:rsidR="00753724">
              <w:noBreakHyphen/>
            </w:r>
            <w:r w:rsidRPr="003216A6">
              <w:t>14)</w:t>
            </w:r>
          </w:p>
        </w:tc>
      </w:tr>
      <w:tr w:rsidR="009B5A79" w:rsidRPr="003216A6" w:rsidTr="00041003">
        <w:tc>
          <w:tcPr>
            <w:tcW w:w="714" w:type="dxa"/>
            <w:tcBorders>
              <w:top w:val="single" w:sz="2" w:space="0" w:color="auto"/>
              <w:bottom w:val="single" w:sz="12" w:space="0" w:color="auto"/>
            </w:tcBorders>
            <w:shd w:val="clear" w:color="auto" w:fill="auto"/>
          </w:tcPr>
          <w:p w:rsidR="009B5A79" w:rsidRPr="003216A6" w:rsidRDefault="009B5A79" w:rsidP="003216A6">
            <w:pPr>
              <w:pStyle w:val="Tabletext"/>
            </w:pPr>
            <w:r w:rsidRPr="003216A6">
              <w:t>8</w:t>
            </w:r>
          </w:p>
        </w:tc>
        <w:tc>
          <w:tcPr>
            <w:tcW w:w="2825" w:type="dxa"/>
            <w:tcBorders>
              <w:top w:val="single" w:sz="2" w:space="0" w:color="auto"/>
              <w:bottom w:val="single" w:sz="12" w:space="0" w:color="auto"/>
            </w:tcBorders>
            <w:shd w:val="clear" w:color="auto" w:fill="auto"/>
          </w:tcPr>
          <w:p w:rsidR="009B5A79" w:rsidRPr="003216A6" w:rsidRDefault="009B5A79" w:rsidP="003216A6">
            <w:pPr>
              <w:pStyle w:val="Tabletext"/>
            </w:pPr>
            <w:r w:rsidRPr="003216A6">
              <w:t>C</w:t>
            </w:r>
            <w:r w:rsidRPr="003216A6">
              <w:rPr>
                <w:vertAlign w:val="subscript"/>
              </w:rPr>
              <w:t>10</w:t>
            </w:r>
            <w:r w:rsidRPr="003216A6">
              <w:t>F</w:t>
            </w:r>
            <w:r w:rsidRPr="003216A6">
              <w:rPr>
                <w:vertAlign w:val="subscript"/>
              </w:rPr>
              <w:t xml:space="preserve">18 </w:t>
            </w:r>
            <w:r w:rsidRPr="003216A6">
              <w:t>(PFC</w:t>
            </w:r>
            <w:r w:rsidR="00753724">
              <w:noBreakHyphen/>
            </w:r>
            <w:r w:rsidRPr="003216A6">
              <w:t>9</w:t>
            </w:r>
            <w:r w:rsidR="00753724">
              <w:noBreakHyphen/>
            </w:r>
            <w:r w:rsidRPr="003216A6">
              <w:t>1</w:t>
            </w:r>
            <w:r w:rsidR="00753724">
              <w:noBreakHyphen/>
            </w:r>
            <w:r w:rsidRPr="003216A6">
              <w:t>18)</w:t>
            </w:r>
          </w:p>
        </w:tc>
      </w:tr>
    </w:tbl>
    <w:p w:rsidR="009B5A79" w:rsidRPr="003216A6" w:rsidRDefault="00B13916" w:rsidP="003216A6">
      <w:pPr>
        <w:pStyle w:val="ItemHead"/>
      </w:pPr>
      <w:r w:rsidRPr="003216A6">
        <w:t>84</w:t>
      </w:r>
      <w:r w:rsidR="009B5A79" w:rsidRPr="003216A6">
        <w:t xml:space="preserve">  At the end of Schedule</w:t>
      </w:r>
      <w:r w:rsidR="003216A6" w:rsidRPr="003216A6">
        <w:t> </w:t>
      </w:r>
      <w:r w:rsidR="009B5A79" w:rsidRPr="003216A6">
        <w:t>1</w:t>
      </w:r>
    </w:p>
    <w:p w:rsidR="009B5A79" w:rsidRPr="003216A6" w:rsidRDefault="009B5A79" w:rsidP="003216A6">
      <w:pPr>
        <w:pStyle w:val="Item"/>
      </w:pPr>
      <w:r w:rsidRPr="003216A6">
        <w:t>Add:</w:t>
      </w:r>
    </w:p>
    <w:p w:rsidR="009B5A79" w:rsidRPr="003216A6" w:rsidRDefault="009B5A79" w:rsidP="003216A6">
      <w:pPr>
        <w:pStyle w:val="ActHead2"/>
      </w:pPr>
      <w:bookmarkStart w:id="88" w:name="_Toc486251927"/>
      <w:r w:rsidRPr="003216A6">
        <w:rPr>
          <w:rStyle w:val="CharPartNo"/>
        </w:rPr>
        <w:t>Part</w:t>
      </w:r>
      <w:r w:rsidR="003216A6" w:rsidRPr="003216A6">
        <w:rPr>
          <w:rStyle w:val="CharPartNo"/>
        </w:rPr>
        <w:t> </w:t>
      </w:r>
      <w:r w:rsidRPr="003216A6">
        <w:rPr>
          <w:rStyle w:val="CharPartNo"/>
        </w:rPr>
        <w:t>XII</w:t>
      </w:r>
      <w:r w:rsidRPr="003216A6">
        <w:t>—</w:t>
      </w:r>
      <w:r w:rsidRPr="003216A6">
        <w:rPr>
          <w:rStyle w:val="CharPartText"/>
        </w:rPr>
        <w:t>Nitrogen trifluoride</w:t>
      </w:r>
      <w:bookmarkEnd w:id="88"/>
    </w:p>
    <w:p w:rsidR="009B5A79" w:rsidRPr="003216A6" w:rsidRDefault="009B5A79" w:rsidP="003216A6">
      <w:pPr>
        <w:pStyle w:val="Header"/>
      </w:pPr>
      <w:r w:rsidRPr="003216A6">
        <w:rPr>
          <w:rStyle w:val="CharDivNo"/>
        </w:rPr>
        <w:t xml:space="preserve"> </w:t>
      </w:r>
      <w:r w:rsidRPr="003216A6">
        <w:rPr>
          <w:rStyle w:val="CharDivText"/>
        </w:rPr>
        <w:t xml:space="preserve"> </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tblGrid>
      <w:tr w:rsidR="009B5A79" w:rsidRPr="003216A6" w:rsidTr="00041003">
        <w:trPr>
          <w:tblHeader/>
        </w:trPr>
        <w:tc>
          <w:tcPr>
            <w:tcW w:w="3114" w:type="dxa"/>
            <w:gridSpan w:val="2"/>
            <w:tcBorders>
              <w:top w:val="single" w:sz="12" w:space="0" w:color="auto"/>
              <w:bottom w:val="single" w:sz="6" w:space="0" w:color="auto"/>
            </w:tcBorders>
            <w:shd w:val="clear" w:color="auto" w:fill="auto"/>
          </w:tcPr>
          <w:p w:rsidR="009B5A79" w:rsidRPr="003216A6" w:rsidRDefault="009B5A79" w:rsidP="003216A6">
            <w:pPr>
              <w:pStyle w:val="TableHeading"/>
            </w:pPr>
            <w:r w:rsidRPr="003216A6">
              <w:t>Nitrogen trifluoride</w:t>
            </w:r>
          </w:p>
        </w:tc>
      </w:tr>
      <w:tr w:rsidR="009B5A79" w:rsidRPr="003216A6" w:rsidTr="00041003">
        <w:trPr>
          <w:tblHeader/>
        </w:trPr>
        <w:tc>
          <w:tcPr>
            <w:tcW w:w="714"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Item</w:t>
            </w:r>
          </w:p>
        </w:tc>
        <w:tc>
          <w:tcPr>
            <w:tcW w:w="2400" w:type="dxa"/>
            <w:tcBorders>
              <w:top w:val="single" w:sz="6" w:space="0" w:color="auto"/>
              <w:bottom w:val="single" w:sz="12" w:space="0" w:color="auto"/>
            </w:tcBorders>
            <w:shd w:val="clear" w:color="auto" w:fill="auto"/>
          </w:tcPr>
          <w:p w:rsidR="009B5A79" w:rsidRPr="003216A6" w:rsidRDefault="009B5A79" w:rsidP="003216A6">
            <w:pPr>
              <w:pStyle w:val="TableHeading"/>
            </w:pPr>
            <w:r w:rsidRPr="003216A6">
              <w:t>Substance</w:t>
            </w:r>
          </w:p>
        </w:tc>
      </w:tr>
      <w:tr w:rsidR="009B5A79" w:rsidRPr="003216A6" w:rsidTr="00041003">
        <w:tc>
          <w:tcPr>
            <w:tcW w:w="714" w:type="dxa"/>
            <w:tcBorders>
              <w:top w:val="single" w:sz="12" w:space="0" w:color="auto"/>
              <w:bottom w:val="single" w:sz="12" w:space="0" w:color="auto"/>
            </w:tcBorders>
            <w:shd w:val="clear" w:color="auto" w:fill="auto"/>
          </w:tcPr>
          <w:p w:rsidR="009B5A79" w:rsidRPr="003216A6" w:rsidRDefault="009B5A79" w:rsidP="003216A6">
            <w:pPr>
              <w:pStyle w:val="Tabletext"/>
            </w:pPr>
            <w:r w:rsidRPr="003216A6">
              <w:t>1</w:t>
            </w:r>
          </w:p>
        </w:tc>
        <w:tc>
          <w:tcPr>
            <w:tcW w:w="2400" w:type="dxa"/>
            <w:tcBorders>
              <w:top w:val="single" w:sz="12" w:space="0" w:color="auto"/>
              <w:bottom w:val="single" w:sz="12" w:space="0" w:color="auto"/>
            </w:tcBorders>
            <w:shd w:val="clear" w:color="auto" w:fill="auto"/>
          </w:tcPr>
          <w:p w:rsidR="009B5A79" w:rsidRPr="003216A6" w:rsidRDefault="009B5A79" w:rsidP="003216A6">
            <w:pPr>
              <w:pStyle w:val="Tabletext"/>
            </w:pPr>
            <w:r w:rsidRPr="003216A6">
              <w:t>Nitrogen trifluoride (NF</w:t>
            </w:r>
            <w:r w:rsidRPr="003216A6">
              <w:rPr>
                <w:sz w:val="16"/>
                <w:szCs w:val="16"/>
              </w:rPr>
              <w:t>3</w:t>
            </w:r>
            <w:r w:rsidRPr="003216A6">
              <w:t>)</w:t>
            </w:r>
          </w:p>
        </w:tc>
      </w:tr>
    </w:tbl>
    <w:p w:rsidR="009B5A79" w:rsidRPr="003216A6" w:rsidRDefault="00B13916" w:rsidP="003216A6">
      <w:pPr>
        <w:pStyle w:val="ItemHead"/>
      </w:pPr>
      <w:r w:rsidRPr="003216A6">
        <w:t>85</w:t>
      </w:r>
      <w:r w:rsidR="009B5A79" w:rsidRPr="003216A6">
        <w:t xml:space="preserve">  Application of amendments</w:t>
      </w:r>
    </w:p>
    <w:p w:rsidR="009B5A79" w:rsidRPr="003216A6" w:rsidRDefault="009B5A79" w:rsidP="003216A6">
      <w:pPr>
        <w:pStyle w:val="Subitem"/>
      </w:pPr>
      <w:r w:rsidRPr="003216A6">
        <w:t>(1)</w:t>
      </w:r>
      <w:r w:rsidRPr="003216A6">
        <w:tab/>
        <w:t>The amendments made by this Part apply in relation to an import, export or manufacture of goods or a substance that occurs on or after the commencement of this item</w:t>
      </w:r>
      <w:r w:rsidR="002F6749" w:rsidRPr="003216A6">
        <w:t>.</w:t>
      </w:r>
    </w:p>
    <w:p w:rsidR="009B5A79" w:rsidRPr="003216A6" w:rsidRDefault="009B5A79" w:rsidP="003216A6">
      <w:pPr>
        <w:pStyle w:val="Subitem"/>
      </w:pPr>
      <w:r w:rsidRPr="003216A6">
        <w:t>(2)</w:t>
      </w:r>
      <w:r w:rsidRPr="003216A6">
        <w:tab/>
        <w:t>To avoid doubt, a controlled substances licence that:</w:t>
      </w:r>
    </w:p>
    <w:p w:rsidR="009B5A79" w:rsidRPr="003216A6" w:rsidRDefault="009B5A79" w:rsidP="003216A6">
      <w:pPr>
        <w:pStyle w:val="paragraph"/>
      </w:pPr>
      <w:r w:rsidRPr="003216A6">
        <w:tab/>
        <w:t>(a)</w:t>
      </w:r>
      <w:r w:rsidRPr="003216A6">
        <w:tab/>
        <w:t xml:space="preserve">was granted under the </w:t>
      </w:r>
      <w:r w:rsidRPr="003216A6">
        <w:rPr>
          <w:i/>
        </w:rPr>
        <w:t>Ozone Protection and Synthetic Greenhouse Gas Management Act 1989</w:t>
      </w:r>
      <w:r w:rsidRPr="003216A6">
        <w:t xml:space="preserve"> before the commencement of this item; and</w:t>
      </w:r>
    </w:p>
    <w:p w:rsidR="009B5A79" w:rsidRPr="003216A6" w:rsidRDefault="009B5A79" w:rsidP="003216A6">
      <w:pPr>
        <w:pStyle w:val="paragraph"/>
      </w:pPr>
      <w:r w:rsidRPr="003216A6">
        <w:tab/>
        <w:t>(b)</w:t>
      </w:r>
      <w:r w:rsidRPr="003216A6">
        <w:tab/>
        <w:t>related to SGGs immediately before that commencement; and</w:t>
      </w:r>
    </w:p>
    <w:p w:rsidR="009B5A79" w:rsidRPr="003216A6" w:rsidRDefault="009B5A79" w:rsidP="003216A6">
      <w:pPr>
        <w:pStyle w:val="paragraph"/>
      </w:pPr>
      <w:r w:rsidRPr="003216A6">
        <w:tab/>
        <w:t>(c)</w:t>
      </w:r>
      <w:r w:rsidRPr="003216A6">
        <w:tab/>
        <w:t>is in force on or after that commencement;</w:t>
      </w:r>
    </w:p>
    <w:p w:rsidR="009B5A79" w:rsidRPr="003216A6" w:rsidRDefault="009B5A79" w:rsidP="003216A6">
      <w:pPr>
        <w:pStyle w:val="subsection2"/>
      </w:pPr>
      <w:r w:rsidRPr="003216A6">
        <w:t xml:space="preserve">relates, from that commencement, to SGGs within the meaning of that Act, as amended by this </w:t>
      </w:r>
      <w:r w:rsidR="00CF64B9" w:rsidRPr="003216A6">
        <w:t>Schedule</w:t>
      </w:r>
      <w:r w:rsidR="002F6749" w:rsidRPr="003216A6">
        <w:t>.</w:t>
      </w:r>
    </w:p>
    <w:p w:rsidR="00E47FEA" w:rsidRPr="003216A6" w:rsidRDefault="00E47FEA" w:rsidP="003216A6">
      <w:pPr>
        <w:pStyle w:val="ActHead7"/>
        <w:pageBreakBefore/>
      </w:pPr>
      <w:bookmarkStart w:id="89" w:name="_Toc486251928"/>
      <w:r w:rsidRPr="003216A6">
        <w:rPr>
          <w:rStyle w:val="CharAmPartNo"/>
        </w:rPr>
        <w:lastRenderedPageBreak/>
        <w:t>Part</w:t>
      </w:r>
      <w:r w:rsidR="003216A6" w:rsidRPr="003216A6">
        <w:rPr>
          <w:rStyle w:val="CharAmPartNo"/>
        </w:rPr>
        <w:t> </w:t>
      </w:r>
      <w:r w:rsidRPr="003216A6">
        <w:rPr>
          <w:rStyle w:val="CharAmPartNo"/>
        </w:rPr>
        <w:t>5</w:t>
      </w:r>
      <w:r w:rsidRPr="003216A6">
        <w:t>—</w:t>
      </w:r>
      <w:r w:rsidRPr="003216A6">
        <w:rPr>
          <w:rStyle w:val="CharAmPartText"/>
        </w:rPr>
        <w:t>Export of HCFCs</w:t>
      </w:r>
      <w:bookmarkEnd w:id="89"/>
    </w:p>
    <w:p w:rsidR="00E47FEA" w:rsidRPr="003216A6" w:rsidRDefault="00E47FEA" w:rsidP="003216A6">
      <w:pPr>
        <w:pStyle w:val="ActHead9"/>
        <w:rPr>
          <w:i w:val="0"/>
        </w:rPr>
      </w:pPr>
      <w:bookmarkStart w:id="90" w:name="_Toc486251929"/>
      <w:r w:rsidRPr="003216A6">
        <w:t>Ozone Protection and Synthetic Greenhouse Gas Management Act 1989</w:t>
      </w:r>
      <w:bookmarkEnd w:id="90"/>
    </w:p>
    <w:p w:rsidR="00E47FEA" w:rsidRPr="003216A6" w:rsidRDefault="00B13916" w:rsidP="003216A6">
      <w:pPr>
        <w:pStyle w:val="ItemHead"/>
      </w:pPr>
      <w:r w:rsidRPr="003216A6">
        <w:t>86</w:t>
      </w:r>
      <w:r w:rsidR="00E47FEA" w:rsidRPr="003216A6">
        <w:t xml:space="preserve">  Subsection</w:t>
      </w:r>
      <w:r w:rsidR="003216A6" w:rsidRPr="003216A6">
        <w:t> </w:t>
      </w:r>
      <w:r w:rsidR="00E47FEA" w:rsidRPr="003216A6">
        <w:t>25A(2)</w:t>
      </w:r>
    </w:p>
    <w:p w:rsidR="00E47FEA" w:rsidRPr="003216A6" w:rsidRDefault="00E47FEA" w:rsidP="003216A6">
      <w:pPr>
        <w:pStyle w:val="Item"/>
      </w:pPr>
      <w:r w:rsidRPr="003216A6">
        <w:t>Repeal the subsection, substitute:</w:t>
      </w:r>
    </w:p>
    <w:p w:rsidR="00E47FEA" w:rsidRPr="003216A6" w:rsidRDefault="00E47FEA" w:rsidP="003216A6">
      <w:pPr>
        <w:pStyle w:val="subsection"/>
      </w:pPr>
      <w:r w:rsidRPr="003216A6">
        <w:tab/>
        <w:t>(2)</w:t>
      </w:r>
      <w:r w:rsidRPr="003216A6">
        <w:tab/>
        <w:t>For the purposes of this Act, the quantity of HCFCs that is taken to be involved in regulated HCFC activities engaged in by a licensee in a period is the greater of the quantity worked out using the following formula and nil:</w:t>
      </w:r>
    </w:p>
    <w:p w:rsidR="00E47FEA" w:rsidRPr="003216A6" w:rsidRDefault="00B87133" w:rsidP="003216A6">
      <w:pPr>
        <w:pStyle w:val="subsection2"/>
      </w:pPr>
      <w:bookmarkStart w:id="91" w:name="BKCheck15B_3"/>
      <w:bookmarkEnd w:id="91"/>
      <w:r>
        <w:rPr>
          <w:position w:val="-94"/>
        </w:rPr>
        <w:pict>
          <v:shape id="_x0000_i1028" type="#_x0000_t75" style="width:292.5pt;height:98.25pt">
            <v:imagedata r:id="rId22" o:title=""/>
          </v:shape>
        </w:pict>
      </w:r>
    </w:p>
    <w:p w:rsidR="00E47FEA" w:rsidRPr="003216A6" w:rsidRDefault="00E47FEA" w:rsidP="003216A6">
      <w:pPr>
        <w:pStyle w:val="subsection"/>
      </w:pPr>
      <w:r w:rsidRPr="003216A6">
        <w:tab/>
        <w:t>(3)</w:t>
      </w:r>
      <w:r w:rsidRPr="003216A6">
        <w:tab/>
        <w:t xml:space="preserve">For the purposes of </w:t>
      </w:r>
      <w:r w:rsidR="003216A6" w:rsidRPr="003216A6">
        <w:t>subsection (</w:t>
      </w:r>
      <w:r w:rsidRPr="003216A6">
        <w:t>2), the quantity of HCFCs exported by a licensee in a period is taken not to include any quantity exported under a direction given to the licensee under section</w:t>
      </w:r>
      <w:r w:rsidR="003216A6" w:rsidRPr="003216A6">
        <w:t> </w:t>
      </w:r>
      <w:r w:rsidRPr="003216A6">
        <w:t>35A (</w:t>
      </w:r>
      <w:r w:rsidR="009E723A" w:rsidRPr="003216A6">
        <w:t>d</w:t>
      </w:r>
      <w:r w:rsidRPr="003216A6">
        <w:t>irection to export HCFCs if quota exceeded)</w:t>
      </w:r>
      <w:r w:rsidR="002F6749" w:rsidRPr="003216A6">
        <w:t>.</w:t>
      </w:r>
    </w:p>
    <w:p w:rsidR="00E47FEA" w:rsidRPr="003216A6" w:rsidRDefault="00B13916" w:rsidP="003216A6">
      <w:pPr>
        <w:pStyle w:val="ItemHead"/>
      </w:pPr>
      <w:r w:rsidRPr="003216A6">
        <w:t>87</w:t>
      </w:r>
      <w:r w:rsidR="00E47FEA" w:rsidRPr="003216A6">
        <w:t xml:space="preserve">  Application of amendments</w:t>
      </w:r>
    </w:p>
    <w:p w:rsidR="00E47FEA" w:rsidRPr="003216A6" w:rsidRDefault="00E47FEA" w:rsidP="003216A6">
      <w:pPr>
        <w:pStyle w:val="Item"/>
      </w:pPr>
      <w:r w:rsidRPr="003216A6">
        <w:t>The amendment made by this Part applies in relation to periods starting on or after the commencement of this item</w:t>
      </w:r>
      <w:r w:rsidR="002F6749" w:rsidRPr="003216A6">
        <w:t>.</w:t>
      </w:r>
    </w:p>
    <w:p w:rsidR="009B5A79" w:rsidRPr="003216A6" w:rsidRDefault="009B5A79" w:rsidP="003216A6">
      <w:pPr>
        <w:pStyle w:val="ActHead6"/>
        <w:pageBreakBefore/>
      </w:pPr>
      <w:bookmarkStart w:id="92" w:name="_Toc486251930"/>
      <w:bookmarkStart w:id="93" w:name="opcCurrentFind"/>
      <w:r w:rsidRPr="003216A6">
        <w:rPr>
          <w:rStyle w:val="CharAmSchNo"/>
        </w:rPr>
        <w:lastRenderedPageBreak/>
        <w:t>Schedule</w:t>
      </w:r>
      <w:r w:rsidR="003216A6" w:rsidRPr="003216A6">
        <w:rPr>
          <w:rStyle w:val="CharAmSchNo"/>
        </w:rPr>
        <w:t> </w:t>
      </w:r>
      <w:r w:rsidRPr="003216A6">
        <w:rPr>
          <w:rStyle w:val="CharAmSchNo"/>
        </w:rPr>
        <w:t>3</w:t>
      </w:r>
      <w:r w:rsidRPr="003216A6">
        <w:t>—</w:t>
      </w:r>
      <w:r w:rsidRPr="003216A6">
        <w:rPr>
          <w:rStyle w:val="CharAmSchText"/>
        </w:rPr>
        <w:t>Amendments commencing 1</w:t>
      </w:r>
      <w:r w:rsidR="003216A6" w:rsidRPr="003216A6">
        <w:rPr>
          <w:rStyle w:val="CharAmSchText"/>
        </w:rPr>
        <w:t> </w:t>
      </w:r>
      <w:r w:rsidRPr="003216A6">
        <w:rPr>
          <w:rStyle w:val="CharAmSchText"/>
        </w:rPr>
        <w:t>January 2020</w:t>
      </w:r>
      <w:bookmarkEnd w:id="92"/>
    </w:p>
    <w:p w:rsidR="009B5A79" w:rsidRPr="003216A6" w:rsidRDefault="009B5A79" w:rsidP="003216A6">
      <w:pPr>
        <w:pStyle w:val="ActHead7"/>
      </w:pPr>
      <w:bookmarkStart w:id="94" w:name="_Toc486251931"/>
      <w:bookmarkEnd w:id="93"/>
      <w:r w:rsidRPr="003216A6">
        <w:rPr>
          <w:rStyle w:val="CharAmPartNo"/>
        </w:rPr>
        <w:t>Part</w:t>
      </w:r>
      <w:r w:rsidR="003216A6" w:rsidRPr="003216A6">
        <w:rPr>
          <w:rStyle w:val="CharAmPartNo"/>
        </w:rPr>
        <w:t> </w:t>
      </w:r>
      <w:r w:rsidRPr="003216A6">
        <w:rPr>
          <w:rStyle w:val="CharAmPartNo"/>
        </w:rPr>
        <w:t>1</w:t>
      </w:r>
      <w:r w:rsidRPr="003216A6">
        <w:t>—</w:t>
      </w:r>
      <w:r w:rsidRPr="003216A6">
        <w:rPr>
          <w:rStyle w:val="CharAmPartText"/>
        </w:rPr>
        <w:t>Bulk HCFC use</w:t>
      </w:r>
      <w:bookmarkEnd w:id="94"/>
    </w:p>
    <w:p w:rsidR="009B5A79" w:rsidRPr="003216A6" w:rsidRDefault="009B5A79" w:rsidP="003216A6">
      <w:pPr>
        <w:pStyle w:val="ActHead9"/>
        <w:rPr>
          <w:i w:val="0"/>
        </w:rPr>
      </w:pPr>
      <w:bookmarkStart w:id="95" w:name="_Toc486251932"/>
      <w:r w:rsidRPr="003216A6">
        <w:t>Ozone Protection and Synthetic Greenhouse Gas Management Act 1989</w:t>
      </w:r>
      <w:bookmarkEnd w:id="95"/>
    </w:p>
    <w:p w:rsidR="009B5A79" w:rsidRPr="003216A6" w:rsidRDefault="00B13916" w:rsidP="003216A6">
      <w:pPr>
        <w:pStyle w:val="ItemHead"/>
      </w:pPr>
      <w:r w:rsidRPr="003216A6">
        <w:t>1</w:t>
      </w:r>
      <w:r w:rsidR="009B5A79" w:rsidRPr="003216A6">
        <w:t xml:space="preserve">  At the end of paragraph</w:t>
      </w:r>
      <w:r w:rsidR="003216A6" w:rsidRPr="003216A6">
        <w:t> </w:t>
      </w:r>
      <w:r w:rsidR="009B5A79" w:rsidRPr="003216A6">
        <w:t>45A(1)(b)</w:t>
      </w:r>
    </w:p>
    <w:p w:rsidR="009B5A79" w:rsidRPr="003216A6" w:rsidRDefault="009B5A79" w:rsidP="003216A6">
      <w:pPr>
        <w:pStyle w:val="Item"/>
      </w:pPr>
      <w:r w:rsidRPr="003216A6">
        <w:t xml:space="preserve">Add </w:t>
      </w:r>
      <w:r w:rsidR="00BF3C85" w:rsidRPr="003216A6">
        <w:t>“</w:t>
      </w:r>
      <w:r w:rsidRPr="003216A6">
        <w:t>(other than a use of HCFCs that is prohibited under section</w:t>
      </w:r>
      <w:r w:rsidR="003216A6" w:rsidRPr="003216A6">
        <w:t> </w:t>
      </w:r>
      <w:r w:rsidRPr="003216A6">
        <w:t>45C)</w:t>
      </w:r>
      <w:r w:rsidR="00BF3C85" w:rsidRPr="003216A6">
        <w:t>”</w:t>
      </w:r>
      <w:r w:rsidR="002F6749" w:rsidRPr="003216A6">
        <w:t>.</w:t>
      </w:r>
    </w:p>
    <w:p w:rsidR="009B5A79" w:rsidRPr="003216A6" w:rsidRDefault="00B13916" w:rsidP="003216A6">
      <w:pPr>
        <w:pStyle w:val="ItemHead"/>
      </w:pPr>
      <w:r w:rsidRPr="003216A6">
        <w:t>2</w:t>
      </w:r>
      <w:r w:rsidR="009B5A79" w:rsidRPr="003216A6">
        <w:t xml:space="preserve">  At the end of Part</w:t>
      </w:r>
      <w:r w:rsidR="003216A6" w:rsidRPr="003216A6">
        <w:t> </w:t>
      </w:r>
      <w:r w:rsidR="009B5A79" w:rsidRPr="003216A6">
        <w:t>VIA</w:t>
      </w:r>
    </w:p>
    <w:p w:rsidR="009B5A79" w:rsidRPr="003216A6" w:rsidRDefault="009B5A79" w:rsidP="003216A6">
      <w:pPr>
        <w:pStyle w:val="Item"/>
      </w:pPr>
      <w:r w:rsidRPr="003216A6">
        <w:t>Add:</w:t>
      </w:r>
    </w:p>
    <w:p w:rsidR="009B5A79" w:rsidRPr="003216A6" w:rsidRDefault="009B5A79" w:rsidP="003216A6">
      <w:pPr>
        <w:pStyle w:val="ActHead5"/>
      </w:pPr>
      <w:bookmarkStart w:id="96" w:name="_Toc486251933"/>
      <w:r w:rsidRPr="003216A6">
        <w:rPr>
          <w:rStyle w:val="CharSectno"/>
        </w:rPr>
        <w:t>45C</w:t>
      </w:r>
      <w:r w:rsidRPr="003216A6">
        <w:t xml:space="preserve">  Use of HCFC</w:t>
      </w:r>
      <w:bookmarkEnd w:id="96"/>
    </w:p>
    <w:p w:rsidR="009B5A79" w:rsidRPr="003216A6" w:rsidRDefault="009B5A79" w:rsidP="003216A6">
      <w:pPr>
        <w:pStyle w:val="subsection"/>
      </w:pPr>
      <w:r w:rsidRPr="003216A6">
        <w:tab/>
        <w:t>(1)</w:t>
      </w:r>
      <w:r w:rsidRPr="003216A6">
        <w:tab/>
        <w:t>A person must not use an HCFC that was manufactured or imported on or after 1</w:t>
      </w:r>
      <w:r w:rsidR="003216A6" w:rsidRPr="003216A6">
        <w:t> </w:t>
      </w:r>
      <w:r w:rsidRPr="003216A6">
        <w:t>J</w:t>
      </w:r>
      <w:r w:rsidR="00A56D6E" w:rsidRPr="003216A6">
        <w:t>anuary</w:t>
      </w:r>
      <w:r w:rsidRPr="003216A6">
        <w:t xml:space="preserve"> 2020</w:t>
      </w:r>
      <w:r w:rsidR="002F6749" w:rsidRPr="003216A6">
        <w:t>.</w:t>
      </w:r>
    </w:p>
    <w:p w:rsidR="009B5A79" w:rsidRPr="003216A6" w:rsidRDefault="009B5A79" w:rsidP="003216A6">
      <w:pPr>
        <w:pStyle w:val="subsection"/>
      </w:pPr>
      <w:r w:rsidRPr="003216A6">
        <w:tab/>
        <w:t>(2)</w:t>
      </w:r>
      <w:r w:rsidRPr="003216A6">
        <w:tab/>
      </w:r>
      <w:r w:rsidR="003216A6" w:rsidRPr="003216A6">
        <w:t>Subsection (</w:t>
      </w:r>
      <w:r w:rsidRPr="003216A6">
        <w:t>1) does not apply if the use is for a purpose prescribed by the regulations for the purposes of this subsection</w:t>
      </w:r>
      <w:r w:rsidR="002F6749" w:rsidRPr="003216A6">
        <w:t>.</w:t>
      </w:r>
    </w:p>
    <w:p w:rsidR="009B5A79" w:rsidRPr="003216A6" w:rsidRDefault="009B5A79" w:rsidP="003216A6">
      <w:pPr>
        <w:pStyle w:val="notetext"/>
      </w:pPr>
      <w:r w:rsidRPr="003216A6">
        <w:t>Note:</w:t>
      </w:r>
      <w:r w:rsidRPr="003216A6">
        <w:tab/>
        <w:t xml:space="preserve">In a prosecution for an offence against </w:t>
      </w:r>
      <w:r w:rsidR="003216A6" w:rsidRPr="003216A6">
        <w:t>subsection (</w:t>
      </w:r>
      <w:r w:rsidRPr="003216A6">
        <w:t xml:space="preserve">3), a defendant bears an evidential burden in relation to the matter in this </w:t>
      </w:r>
      <w:r w:rsidR="003216A6" w:rsidRPr="003216A6">
        <w:t>subsection (</w:t>
      </w:r>
      <w:r w:rsidRPr="003216A6">
        <w:t>see subsection</w:t>
      </w:r>
      <w:r w:rsidR="003216A6" w:rsidRPr="003216A6">
        <w:t> </w:t>
      </w:r>
      <w:r w:rsidRPr="003216A6">
        <w:t>13</w:t>
      </w:r>
      <w:r w:rsidR="002F6749" w:rsidRPr="003216A6">
        <w:t>.</w:t>
      </w:r>
      <w:r w:rsidRPr="003216A6">
        <w:t xml:space="preserve">3(3) of the </w:t>
      </w:r>
      <w:r w:rsidRPr="003216A6">
        <w:rPr>
          <w:i/>
        </w:rPr>
        <w:t>Criminal Code</w:t>
      </w:r>
      <w:r w:rsidRPr="003216A6">
        <w:t>)</w:t>
      </w:r>
      <w:r w:rsidR="002F6749" w:rsidRPr="003216A6">
        <w:t>.</w:t>
      </w:r>
    </w:p>
    <w:p w:rsidR="009B5A79" w:rsidRPr="003216A6" w:rsidRDefault="009B5A79" w:rsidP="003216A6">
      <w:pPr>
        <w:pStyle w:val="SubsectionHead"/>
      </w:pPr>
      <w:r w:rsidRPr="003216A6">
        <w:t>Penalties</w:t>
      </w:r>
    </w:p>
    <w:p w:rsidR="009B5A79" w:rsidRPr="003216A6" w:rsidRDefault="009B5A79" w:rsidP="003216A6">
      <w:pPr>
        <w:pStyle w:val="subsection"/>
      </w:pPr>
      <w:r w:rsidRPr="003216A6">
        <w:tab/>
        <w:t>(3)</w:t>
      </w:r>
      <w:r w:rsidRPr="003216A6">
        <w:tab/>
        <w:t xml:space="preserve">A person commits an offence of strict liability if the person contravenes </w:t>
      </w:r>
      <w:r w:rsidR="003216A6" w:rsidRPr="003216A6">
        <w:t>subsection (</w:t>
      </w:r>
      <w:r w:rsidRPr="003216A6">
        <w:t>1)</w:t>
      </w:r>
      <w:r w:rsidR="002F6749" w:rsidRPr="003216A6">
        <w:t>.</w:t>
      </w:r>
    </w:p>
    <w:p w:rsidR="009B5A79" w:rsidRPr="003216A6" w:rsidRDefault="009B5A79" w:rsidP="003216A6">
      <w:pPr>
        <w:pStyle w:val="Penalty"/>
      </w:pPr>
      <w:r w:rsidRPr="003216A6">
        <w:t>Penalty:</w:t>
      </w:r>
      <w:r w:rsidRPr="003216A6">
        <w:tab/>
        <w:t>300 penalty units</w:t>
      </w:r>
      <w:r w:rsidR="002F6749" w:rsidRPr="003216A6">
        <w:t>.</w:t>
      </w:r>
    </w:p>
    <w:p w:rsidR="009B5A79" w:rsidRPr="003216A6" w:rsidRDefault="009B5A79" w:rsidP="003216A6">
      <w:pPr>
        <w:pStyle w:val="subsection"/>
      </w:pPr>
      <w:r w:rsidRPr="003216A6">
        <w:tab/>
        <w:t>(4)</w:t>
      </w:r>
      <w:r w:rsidRPr="003216A6">
        <w:tab/>
      </w:r>
      <w:r w:rsidR="003216A6" w:rsidRPr="003216A6">
        <w:t>Subsection (</w:t>
      </w:r>
      <w:r w:rsidRPr="003216A6">
        <w:t xml:space="preserve">1) is a </w:t>
      </w:r>
      <w:r w:rsidRPr="003216A6">
        <w:rPr>
          <w:b/>
          <w:i/>
        </w:rPr>
        <w:t>civil penalty provision</w:t>
      </w:r>
      <w:r w:rsidR="002F6749" w:rsidRPr="003216A6">
        <w:t>.</w:t>
      </w:r>
    </w:p>
    <w:p w:rsidR="009B5A79" w:rsidRPr="003216A6" w:rsidRDefault="009B5A79" w:rsidP="003216A6">
      <w:pPr>
        <w:pStyle w:val="notetext"/>
      </w:pPr>
      <w:r w:rsidRPr="003216A6">
        <w:t>Note 1:</w:t>
      </w:r>
      <w:r w:rsidRPr="003216A6">
        <w:tab/>
        <w:t>Division</w:t>
      </w:r>
      <w:r w:rsidR="003216A6" w:rsidRPr="003216A6">
        <w:t> </w:t>
      </w:r>
      <w:r w:rsidRPr="003216A6">
        <w:t>7 of Part</w:t>
      </w:r>
      <w:r w:rsidR="003216A6" w:rsidRPr="003216A6">
        <w:t> </w:t>
      </w:r>
      <w:r w:rsidRPr="003216A6">
        <w:t>VIII provides for pecuniary penalties for breaches of civil penalty provisions</w:t>
      </w:r>
      <w:r w:rsidR="002F6749" w:rsidRPr="003216A6">
        <w:t>.</w:t>
      </w:r>
    </w:p>
    <w:p w:rsidR="009B5A79" w:rsidRPr="003216A6" w:rsidRDefault="009B5A79" w:rsidP="003216A6">
      <w:pPr>
        <w:pStyle w:val="notetext"/>
      </w:pPr>
      <w:r w:rsidRPr="003216A6">
        <w:t>Note 2:</w:t>
      </w:r>
      <w:r w:rsidRPr="003216A6">
        <w:tab/>
        <w:t>For maximum penalty, see subsection</w:t>
      </w:r>
      <w:r w:rsidR="003216A6" w:rsidRPr="003216A6">
        <w:t> </w:t>
      </w:r>
      <w:r w:rsidRPr="003216A6">
        <w:t>65AC(4)</w:t>
      </w:r>
      <w:r w:rsidR="002F6749" w:rsidRPr="003216A6">
        <w:t>.</w:t>
      </w:r>
    </w:p>
    <w:p w:rsidR="009B5A79" w:rsidRPr="003216A6" w:rsidRDefault="009B5A79" w:rsidP="003216A6">
      <w:pPr>
        <w:pStyle w:val="ActHead7"/>
        <w:pageBreakBefore/>
      </w:pPr>
      <w:bookmarkStart w:id="97" w:name="_Toc486251934"/>
      <w:r w:rsidRPr="003216A6">
        <w:rPr>
          <w:rStyle w:val="CharAmPartNo"/>
        </w:rPr>
        <w:lastRenderedPageBreak/>
        <w:t>Part</w:t>
      </w:r>
      <w:r w:rsidR="003216A6" w:rsidRPr="003216A6">
        <w:rPr>
          <w:rStyle w:val="CharAmPartNo"/>
        </w:rPr>
        <w:t> </w:t>
      </w:r>
      <w:r w:rsidRPr="003216A6">
        <w:rPr>
          <w:rStyle w:val="CharAmPartNo"/>
        </w:rPr>
        <w:t>2</w:t>
      </w:r>
      <w:r w:rsidRPr="003216A6">
        <w:t>—</w:t>
      </w:r>
      <w:r w:rsidRPr="003216A6">
        <w:rPr>
          <w:rStyle w:val="CharAmPartText"/>
        </w:rPr>
        <w:t>HCFC equipment</w:t>
      </w:r>
      <w:bookmarkEnd w:id="97"/>
    </w:p>
    <w:p w:rsidR="009B5A79" w:rsidRPr="003216A6" w:rsidRDefault="009B5A79" w:rsidP="003216A6">
      <w:pPr>
        <w:pStyle w:val="ActHead9"/>
        <w:rPr>
          <w:i w:val="0"/>
        </w:rPr>
      </w:pPr>
      <w:bookmarkStart w:id="98" w:name="_Toc486251935"/>
      <w:r w:rsidRPr="003216A6">
        <w:t>Ozone Protection and Synthetic Greenhouse Gas (Import Levy) Act 1995</w:t>
      </w:r>
      <w:bookmarkEnd w:id="98"/>
    </w:p>
    <w:p w:rsidR="009B5A79" w:rsidRPr="003216A6" w:rsidRDefault="00B13916" w:rsidP="003216A6">
      <w:pPr>
        <w:pStyle w:val="ItemHead"/>
      </w:pPr>
      <w:r w:rsidRPr="003216A6">
        <w:t>3</w:t>
      </w:r>
      <w:r w:rsidR="009B5A79" w:rsidRPr="003216A6">
        <w:t xml:space="preserve">  Subsection</w:t>
      </w:r>
      <w:r w:rsidR="003216A6" w:rsidRPr="003216A6">
        <w:t> </w:t>
      </w:r>
      <w:r w:rsidR="009B5A79" w:rsidRPr="003216A6">
        <w:t>4B(2)</w:t>
      </w:r>
    </w:p>
    <w:p w:rsidR="009B5A79" w:rsidRPr="003216A6" w:rsidRDefault="009B5A79" w:rsidP="003216A6">
      <w:pPr>
        <w:pStyle w:val="Item"/>
      </w:pPr>
      <w:r w:rsidRPr="003216A6">
        <w:t xml:space="preserve">Omit </w:t>
      </w:r>
      <w:r w:rsidR="00BF3C85" w:rsidRPr="003216A6">
        <w:t>“</w:t>
      </w:r>
      <w:r w:rsidRPr="003216A6">
        <w:t>or (5)</w:t>
      </w:r>
      <w:r w:rsidR="00BF3C85" w:rsidRPr="003216A6">
        <w:t>”</w:t>
      </w:r>
      <w:r w:rsidR="002F6749" w:rsidRPr="003216A6">
        <w:t>.</w:t>
      </w:r>
    </w:p>
    <w:p w:rsidR="009B5A79" w:rsidRPr="003216A6" w:rsidRDefault="009B5A79" w:rsidP="003216A6">
      <w:pPr>
        <w:pStyle w:val="ActHead9"/>
        <w:rPr>
          <w:i w:val="0"/>
        </w:rPr>
      </w:pPr>
      <w:bookmarkStart w:id="99" w:name="_Toc486251936"/>
      <w:r w:rsidRPr="003216A6">
        <w:t>Ozone Protection and Synthetic Greenhouse Gas Management Act 1989</w:t>
      </w:r>
      <w:bookmarkEnd w:id="99"/>
    </w:p>
    <w:p w:rsidR="009B5A79" w:rsidRPr="003216A6" w:rsidRDefault="00B13916" w:rsidP="003216A6">
      <w:pPr>
        <w:pStyle w:val="ItemHead"/>
      </w:pPr>
      <w:r w:rsidRPr="003216A6">
        <w:t>4</w:t>
      </w:r>
      <w:r w:rsidR="009B5A79" w:rsidRPr="003216A6">
        <w:t xml:space="preserve">  Paragraph 13(1)(b)</w:t>
      </w:r>
    </w:p>
    <w:p w:rsidR="009B5A79" w:rsidRPr="003216A6" w:rsidRDefault="009B5A79" w:rsidP="003216A6">
      <w:pPr>
        <w:pStyle w:val="Item"/>
      </w:pPr>
      <w:r w:rsidRPr="003216A6">
        <w:t xml:space="preserve">Omit </w:t>
      </w:r>
      <w:r w:rsidR="00BF3C85" w:rsidRPr="003216A6">
        <w:t>“</w:t>
      </w:r>
      <w:r w:rsidRPr="003216A6">
        <w:t>ODS equipment or</w:t>
      </w:r>
      <w:r w:rsidR="00BF3C85" w:rsidRPr="003216A6">
        <w:t>”</w:t>
      </w:r>
      <w:r w:rsidR="002F6749" w:rsidRPr="003216A6">
        <w:t>.</w:t>
      </w:r>
    </w:p>
    <w:p w:rsidR="009B5A79" w:rsidRPr="003216A6" w:rsidRDefault="00B13916" w:rsidP="003216A6">
      <w:pPr>
        <w:pStyle w:val="ItemHead"/>
      </w:pPr>
      <w:r w:rsidRPr="003216A6">
        <w:t>5</w:t>
      </w:r>
      <w:r w:rsidR="009B5A79" w:rsidRPr="003216A6">
        <w:t xml:space="preserve">  Subsection</w:t>
      </w:r>
      <w:r w:rsidR="003216A6" w:rsidRPr="003216A6">
        <w:t> </w:t>
      </w:r>
      <w:r w:rsidR="009B5A79" w:rsidRPr="003216A6">
        <w:t>13(</w:t>
      </w:r>
      <w:r w:rsidR="00F55B02" w:rsidRPr="003216A6">
        <w:t>6</w:t>
      </w:r>
      <w:r w:rsidR="009B5A79" w:rsidRPr="003216A6">
        <w:t>)</w:t>
      </w:r>
    </w:p>
    <w:p w:rsidR="009B5A79" w:rsidRPr="003216A6" w:rsidRDefault="009B5A79" w:rsidP="003216A6">
      <w:pPr>
        <w:pStyle w:val="Item"/>
      </w:pPr>
      <w:r w:rsidRPr="003216A6">
        <w:t xml:space="preserve">Omit </w:t>
      </w:r>
      <w:r w:rsidR="00BF3C85" w:rsidRPr="003216A6">
        <w:t>“</w:t>
      </w:r>
      <w:r w:rsidRPr="003216A6">
        <w:t>ODS equipment or</w:t>
      </w:r>
      <w:r w:rsidR="00BF3C85" w:rsidRPr="003216A6">
        <w:t>”</w:t>
      </w:r>
      <w:r w:rsidR="002F6749" w:rsidRPr="003216A6">
        <w:t>.</w:t>
      </w:r>
    </w:p>
    <w:p w:rsidR="009B5A79" w:rsidRPr="003216A6" w:rsidRDefault="00B13916" w:rsidP="003216A6">
      <w:pPr>
        <w:pStyle w:val="ItemHead"/>
      </w:pPr>
      <w:r w:rsidRPr="003216A6">
        <w:t>6</w:t>
      </w:r>
      <w:r w:rsidR="009B5A79" w:rsidRPr="003216A6">
        <w:t xml:space="preserve">  Paragraph 13(</w:t>
      </w:r>
      <w:r w:rsidR="00F55B02" w:rsidRPr="003216A6">
        <w:t>6</w:t>
      </w:r>
      <w:r w:rsidR="009B5A79" w:rsidRPr="003216A6">
        <w:t>)(a)</w:t>
      </w:r>
    </w:p>
    <w:p w:rsidR="009B5A79" w:rsidRPr="003216A6" w:rsidRDefault="009B5A79" w:rsidP="003216A6">
      <w:pPr>
        <w:pStyle w:val="Item"/>
      </w:pPr>
      <w:r w:rsidRPr="003216A6">
        <w:t>Repeal the paragraph</w:t>
      </w:r>
      <w:r w:rsidR="002F6749" w:rsidRPr="003216A6">
        <w:t>.</w:t>
      </w:r>
    </w:p>
    <w:p w:rsidR="009B5A79" w:rsidRPr="003216A6" w:rsidRDefault="00B13916" w:rsidP="003216A6">
      <w:pPr>
        <w:pStyle w:val="ItemHead"/>
      </w:pPr>
      <w:r w:rsidRPr="003216A6">
        <w:t>7</w:t>
      </w:r>
      <w:r w:rsidR="009B5A79" w:rsidRPr="003216A6">
        <w:t xml:space="preserve">  Paragraph 13(</w:t>
      </w:r>
      <w:r w:rsidR="00F55B02" w:rsidRPr="003216A6">
        <w:t>6</w:t>
      </w:r>
      <w:r w:rsidR="009B5A79" w:rsidRPr="003216A6">
        <w:t>)(b)</w:t>
      </w:r>
    </w:p>
    <w:p w:rsidR="009B5A79" w:rsidRPr="003216A6" w:rsidRDefault="009B5A79" w:rsidP="003216A6">
      <w:pPr>
        <w:pStyle w:val="Item"/>
      </w:pPr>
      <w:r w:rsidRPr="003216A6">
        <w:t xml:space="preserve">Omit </w:t>
      </w:r>
      <w:r w:rsidR="00BF3C85" w:rsidRPr="003216A6">
        <w:t>“</w:t>
      </w:r>
      <w:r w:rsidRPr="003216A6">
        <w:t>in the case of SGG equipment—</w:t>
      </w:r>
      <w:r w:rsidR="00BF3C85" w:rsidRPr="003216A6">
        <w:t>”</w:t>
      </w:r>
      <w:r w:rsidR="002F6749" w:rsidRPr="003216A6">
        <w:t>.</w:t>
      </w:r>
    </w:p>
    <w:p w:rsidR="009B5A79" w:rsidRPr="003216A6" w:rsidRDefault="00B13916" w:rsidP="003216A6">
      <w:pPr>
        <w:pStyle w:val="ItemHead"/>
      </w:pPr>
      <w:r w:rsidRPr="003216A6">
        <w:t>8</w:t>
      </w:r>
      <w:r w:rsidR="009B5A79" w:rsidRPr="003216A6">
        <w:t xml:space="preserve">  Paragraph 13(</w:t>
      </w:r>
      <w:r w:rsidR="00F55B02" w:rsidRPr="003216A6">
        <w:t>6</w:t>
      </w:r>
      <w:r w:rsidR="009B5A79" w:rsidRPr="003216A6">
        <w:t>)(c)</w:t>
      </w:r>
    </w:p>
    <w:p w:rsidR="009B5A79" w:rsidRPr="003216A6" w:rsidRDefault="009B5A79" w:rsidP="003216A6">
      <w:pPr>
        <w:pStyle w:val="Item"/>
      </w:pPr>
      <w:r w:rsidRPr="003216A6">
        <w:t xml:space="preserve">Omit </w:t>
      </w:r>
      <w:r w:rsidR="00BF3C85" w:rsidRPr="003216A6">
        <w:t>“</w:t>
      </w:r>
      <w:r w:rsidRPr="003216A6">
        <w:t>in any case—</w:t>
      </w:r>
      <w:r w:rsidR="00BF3C85" w:rsidRPr="003216A6">
        <w:t>”</w:t>
      </w:r>
      <w:r w:rsidR="002F6749" w:rsidRPr="003216A6">
        <w:t>.</w:t>
      </w:r>
    </w:p>
    <w:p w:rsidR="009B5A79" w:rsidRPr="003216A6" w:rsidRDefault="00B13916" w:rsidP="003216A6">
      <w:pPr>
        <w:pStyle w:val="ItemHead"/>
      </w:pPr>
      <w:r w:rsidRPr="003216A6">
        <w:t>9</w:t>
      </w:r>
      <w:r w:rsidR="009B5A79" w:rsidRPr="003216A6">
        <w:t xml:space="preserve">  Paragraph 13A(5)(a)</w:t>
      </w:r>
    </w:p>
    <w:p w:rsidR="009B5A79" w:rsidRPr="003216A6" w:rsidRDefault="009B5A79" w:rsidP="003216A6">
      <w:pPr>
        <w:pStyle w:val="Item"/>
      </w:pPr>
      <w:r w:rsidRPr="003216A6">
        <w:t xml:space="preserve">Omit </w:t>
      </w:r>
      <w:r w:rsidR="00BF3C85" w:rsidRPr="003216A6">
        <w:t>“</w:t>
      </w:r>
      <w:r w:rsidRPr="003216A6">
        <w:t>ODS equipment or</w:t>
      </w:r>
      <w:r w:rsidR="00BF3C85" w:rsidRPr="003216A6">
        <w:t>”</w:t>
      </w:r>
      <w:r w:rsidR="002F6749" w:rsidRPr="003216A6">
        <w:t>.</w:t>
      </w:r>
    </w:p>
    <w:p w:rsidR="009B5A79" w:rsidRPr="003216A6" w:rsidRDefault="00B13916" w:rsidP="003216A6">
      <w:pPr>
        <w:pStyle w:val="ItemHead"/>
      </w:pPr>
      <w:r w:rsidRPr="003216A6">
        <w:t>10</w:t>
      </w:r>
      <w:r w:rsidR="009B5A79" w:rsidRPr="003216A6">
        <w:t xml:space="preserve">  Subsection</w:t>
      </w:r>
      <w:r w:rsidR="003216A6" w:rsidRPr="003216A6">
        <w:t> </w:t>
      </w:r>
      <w:r w:rsidR="009B5A79" w:rsidRPr="003216A6">
        <w:t>13A(6)</w:t>
      </w:r>
    </w:p>
    <w:p w:rsidR="009B5A79" w:rsidRPr="003216A6" w:rsidRDefault="009B5A79" w:rsidP="003216A6">
      <w:pPr>
        <w:pStyle w:val="Item"/>
      </w:pPr>
      <w:r w:rsidRPr="003216A6">
        <w:t xml:space="preserve">Omit </w:t>
      </w:r>
      <w:r w:rsidR="00BF3C85" w:rsidRPr="003216A6">
        <w:t>“</w:t>
      </w:r>
      <w:r w:rsidRPr="003216A6">
        <w:t>ODS equipment or</w:t>
      </w:r>
      <w:r w:rsidR="00BF3C85" w:rsidRPr="003216A6">
        <w:t>”</w:t>
      </w:r>
      <w:r w:rsidR="002F6749" w:rsidRPr="003216A6">
        <w:t>.</w:t>
      </w:r>
    </w:p>
    <w:p w:rsidR="009B5A79" w:rsidRPr="003216A6" w:rsidRDefault="00B13916" w:rsidP="003216A6">
      <w:pPr>
        <w:pStyle w:val="ItemHead"/>
      </w:pPr>
      <w:r w:rsidRPr="003216A6">
        <w:t>11</w:t>
      </w:r>
      <w:r w:rsidR="009B5A79" w:rsidRPr="003216A6">
        <w:t xml:space="preserve">  Paragraph 16(3AB)(a)</w:t>
      </w:r>
    </w:p>
    <w:p w:rsidR="009B5A79" w:rsidRPr="003216A6" w:rsidRDefault="009B5A79" w:rsidP="003216A6">
      <w:pPr>
        <w:pStyle w:val="Item"/>
      </w:pPr>
      <w:r w:rsidRPr="003216A6">
        <w:t xml:space="preserve">Omit </w:t>
      </w:r>
      <w:r w:rsidR="00BF3C85" w:rsidRPr="003216A6">
        <w:t>“</w:t>
      </w:r>
      <w:r w:rsidRPr="003216A6">
        <w:t>ODS equipment or</w:t>
      </w:r>
      <w:r w:rsidR="00BF3C85" w:rsidRPr="003216A6">
        <w:t>”</w:t>
      </w:r>
      <w:r w:rsidR="002F6749" w:rsidRPr="003216A6">
        <w:t>.</w:t>
      </w:r>
    </w:p>
    <w:p w:rsidR="009B5A79" w:rsidRPr="003216A6" w:rsidRDefault="00B13916" w:rsidP="003216A6">
      <w:pPr>
        <w:pStyle w:val="ItemHead"/>
      </w:pPr>
      <w:r w:rsidRPr="003216A6">
        <w:lastRenderedPageBreak/>
        <w:t>12</w:t>
      </w:r>
      <w:r w:rsidR="009B5A79" w:rsidRPr="003216A6">
        <w:t xml:space="preserve">  Subsection</w:t>
      </w:r>
      <w:r w:rsidR="003216A6" w:rsidRPr="003216A6">
        <w:t> </w:t>
      </w:r>
      <w:r w:rsidR="009B5A79" w:rsidRPr="003216A6">
        <w:t>46(1) (table items</w:t>
      </w:r>
      <w:r w:rsidR="003216A6" w:rsidRPr="003216A6">
        <w:t> </w:t>
      </w:r>
      <w:r w:rsidR="009B5A79" w:rsidRPr="003216A6">
        <w:t>1, 2 and 3)</w:t>
      </w:r>
    </w:p>
    <w:p w:rsidR="009B5A79" w:rsidRPr="003216A6" w:rsidRDefault="009B5A79" w:rsidP="003216A6">
      <w:pPr>
        <w:pStyle w:val="Item"/>
      </w:pPr>
      <w:r w:rsidRPr="003216A6">
        <w:t xml:space="preserve">Omit </w:t>
      </w:r>
      <w:r w:rsidR="00BF3C85" w:rsidRPr="003216A6">
        <w:t>“</w:t>
      </w:r>
      <w:r w:rsidRPr="003216A6">
        <w:t>ODS equipment or</w:t>
      </w:r>
      <w:r w:rsidR="00BF3C85" w:rsidRPr="003216A6">
        <w:t>”</w:t>
      </w:r>
      <w:r w:rsidR="002F6749" w:rsidRPr="003216A6">
        <w:t>.</w:t>
      </w:r>
    </w:p>
    <w:p w:rsidR="009B5A79" w:rsidRPr="003216A6" w:rsidRDefault="00B13916" w:rsidP="003216A6">
      <w:pPr>
        <w:pStyle w:val="ItemHead"/>
      </w:pPr>
      <w:r w:rsidRPr="003216A6">
        <w:t>13</w:t>
      </w:r>
      <w:r w:rsidR="009B5A79" w:rsidRPr="003216A6">
        <w:t xml:space="preserve">  Subsection</w:t>
      </w:r>
      <w:r w:rsidR="003216A6" w:rsidRPr="003216A6">
        <w:t> </w:t>
      </w:r>
      <w:r w:rsidR="009B5A79" w:rsidRPr="003216A6">
        <w:t>69G(3)</w:t>
      </w:r>
    </w:p>
    <w:p w:rsidR="009B5A79" w:rsidRPr="003216A6" w:rsidRDefault="009B5A79" w:rsidP="003216A6">
      <w:pPr>
        <w:pStyle w:val="Item"/>
      </w:pPr>
      <w:r w:rsidRPr="003216A6">
        <w:t xml:space="preserve">Omit </w:t>
      </w:r>
      <w:r w:rsidR="00BF3C85" w:rsidRPr="003216A6">
        <w:t>“</w:t>
      </w:r>
      <w:r w:rsidRPr="003216A6">
        <w:t>ODS equipment or</w:t>
      </w:r>
      <w:r w:rsidR="00BF3C85" w:rsidRPr="003216A6">
        <w:t>”</w:t>
      </w:r>
      <w:r w:rsidR="002F6749" w:rsidRPr="003216A6">
        <w:t>.</w:t>
      </w:r>
    </w:p>
    <w:p w:rsidR="009B5A79" w:rsidRPr="003216A6" w:rsidRDefault="00B13916" w:rsidP="003216A6">
      <w:pPr>
        <w:pStyle w:val="ItemHead"/>
      </w:pPr>
      <w:r w:rsidRPr="003216A6">
        <w:t>14</w:t>
      </w:r>
      <w:r w:rsidR="009B5A79" w:rsidRPr="003216A6">
        <w:t xml:space="preserve">  Subsection</w:t>
      </w:r>
      <w:r w:rsidR="003216A6" w:rsidRPr="003216A6">
        <w:t> </w:t>
      </w:r>
      <w:r w:rsidR="009B5A79" w:rsidRPr="003216A6">
        <w:t>69G(3) (note)</w:t>
      </w:r>
    </w:p>
    <w:p w:rsidR="009B5A79" w:rsidRPr="003216A6" w:rsidRDefault="009B5A79" w:rsidP="003216A6">
      <w:pPr>
        <w:pStyle w:val="Item"/>
      </w:pPr>
      <w:r w:rsidRPr="003216A6">
        <w:t xml:space="preserve">Omit </w:t>
      </w:r>
      <w:r w:rsidR="00BF3C85" w:rsidRPr="003216A6">
        <w:t>“</w:t>
      </w:r>
      <w:r w:rsidRPr="003216A6">
        <w:t>ODS equipment or</w:t>
      </w:r>
      <w:r w:rsidR="00BF3C85" w:rsidRPr="003216A6">
        <w:t>”</w:t>
      </w:r>
      <w:r w:rsidR="002F6749" w:rsidRPr="003216A6">
        <w:t>.</w:t>
      </w:r>
    </w:p>
    <w:p w:rsidR="009B5A79" w:rsidRPr="003216A6" w:rsidRDefault="00B13916" w:rsidP="003216A6">
      <w:pPr>
        <w:pStyle w:val="ItemHead"/>
      </w:pPr>
      <w:r w:rsidRPr="003216A6">
        <w:t>15</w:t>
      </w:r>
      <w:r w:rsidR="009B5A79" w:rsidRPr="003216A6">
        <w:t xml:space="preserve">  Paragraph 10(1)(a) of Schedule</w:t>
      </w:r>
      <w:r w:rsidR="003216A6" w:rsidRPr="003216A6">
        <w:t> </w:t>
      </w:r>
      <w:r w:rsidR="009B5A79" w:rsidRPr="003216A6">
        <w:t>4</w:t>
      </w:r>
    </w:p>
    <w:p w:rsidR="009B5A79" w:rsidRPr="003216A6" w:rsidRDefault="009B5A79" w:rsidP="003216A6">
      <w:pPr>
        <w:pStyle w:val="Item"/>
      </w:pPr>
      <w:r w:rsidRPr="003216A6">
        <w:t xml:space="preserve">Omit </w:t>
      </w:r>
      <w:r w:rsidR="00BF3C85" w:rsidRPr="003216A6">
        <w:t>“</w:t>
      </w:r>
      <w:r w:rsidRPr="003216A6">
        <w:t>or an HCFC refrigerant</w:t>
      </w:r>
      <w:r w:rsidR="00BF3C85" w:rsidRPr="003216A6">
        <w:t>”</w:t>
      </w:r>
      <w:r w:rsidR="002F6749" w:rsidRPr="003216A6">
        <w:t>.</w:t>
      </w:r>
    </w:p>
    <w:p w:rsidR="009B5A79" w:rsidRPr="003216A6" w:rsidRDefault="00B13916" w:rsidP="003216A6">
      <w:pPr>
        <w:pStyle w:val="ItemHead"/>
      </w:pPr>
      <w:r w:rsidRPr="003216A6">
        <w:t>16</w:t>
      </w:r>
      <w:r w:rsidR="009B5A79" w:rsidRPr="003216A6">
        <w:t xml:space="preserve">  Paragraph 10(1)(b) of Schedule</w:t>
      </w:r>
      <w:r w:rsidR="003216A6" w:rsidRPr="003216A6">
        <w:t> </w:t>
      </w:r>
      <w:r w:rsidR="009B5A79" w:rsidRPr="003216A6">
        <w:t>4</w:t>
      </w:r>
    </w:p>
    <w:p w:rsidR="009B5A79" w:rsidRPr="003216A6" w:rsidRDefault="009B5A79" w:rsidP="003216A6">
      <w:pPr>
        <w:pStyle w:val="Item"/>
      </w:pPr>
      <w:r w:rsidRPr="003216A6">
        <w:t>Repeal the paragraph, substitute:</w:t>
      </w:r>
    </w:p>
    <w:p w:rsidR="009B5A79" w:rsidRPr="003216A6" w:rsidRDefault="009B5A79" w:rsidP="003216A6">
      <w:pPr>
        <w:pStyle w:val="paragraph"/>
      </w:pPr>
      <w:r w:rsidRPr="003216A6">
        <w:tab/>
        <w:t>(b)</w:t>
      </w:r>
      <w:r w:rsidRPr="003216A6">
        <w:tab/>
        <w:t>the equipment is designed to operate solely using a CFC refrigerant; or</w:t>
      </w:r>
    </w:p>
    <w:p w:rsidR="009B5A79" w:rsidRPr="003216A6" w:rsidRDefault="00B13916" w:rsidP="003216A6">
      <w:pPr>
        <w:pStyle w:val="ItemHead"/>
      </w:pPr>
      <w:r w:rsidRPr="003216A6">
        <w:t>17</w:t>
      </w:r>
      <w:r w:rsidR="009B5A79" w:rsidRPr="003216A6">
        <w:t xml:space="preserve">  Paragraph 10(1)(c) of Schedule</w:t>
      </w:r>
      <w:r w:rsidR="003216A6" w:rsidRPr="003216A6">
        <w:t> </w:t>
      </w:r>
      <w:r w:rsidR="009B5A79" w:rsidRPr="003216A6">
        <w:t>4</w:t>
      </w:r>
    </w:p>
    <w:p w:rsidR="009B5A79" w:rsidRPr="003216A6" w:rsidRDefault="009B5A79" w:rsidP="003216A6">
      <w:pPr>
        <w:pStyle w:val="Item"/>
      </w:pPr>
      <w:r w:rsidRPr="003216A6">
        <w:t xml:space="preserve">Omit </w:t>
      </w:r>
      <w:r w:rsidR="00BF3C85" w:rsidRPr="003216A6">
        <w:t>“</w:t>
      </w:r>
      <w:r w:rsidRPr="003216A6">
        <w:t>or an HCFC</w:t>
      </w:r>
      <w:r w:rsidR="00BF3C85" w:rsidRPr="003216A6">
        <w:t>”</w:t>
      </w:r>
      <w:r w:rsidR="002F6749" w:rsidRPr="003216A6">
        <w:t>.</w:t>
      </w:r>
    </w:p>
    <w:p w:rsidR="009B5A79" w:rsidRPr="003216A6" w:rsidRDefault="00B13916" w:rsidP="003216A6">
      <w:pPr>
        <w:pStyle w:val="ItemHead"/>
      </w:pPr>
      <w:r w:rsidRPr="003216A6">
        <w:t>18</w:t>
      </w:r>
      <w:r w:rsidR="009B5A79" w:rsidRPr="003216A6">
        <w:t xml:space="preserve">  At the end of Schedule</w:t>
      </w:r>
      <w:r w:rsidR="003216A6" w:rsidRPr="003216A6">
        <w:t> </w:t>
      </w:r>
      <w:r w:rsidR="009B5A79" w:rsidRPr="003216A6">
        <w:t>4</w:t>
      </w:r>
    </w:p>
    <w:p w:rsidR="009B5A79" w:rsidRPr="003216A6" w:rsidRDefault="009B5A79" w:rsidP="003216A6">
      <w:pPr>
        <w:pStyle w:val="Item"/>
      </w:pPr>
      <w:r w:rsidRPr="003216A6">
        <w:t>Add:</w:t>
      </w:r>
    </w:p>
    <w:p w:rsidR="009B5A79" w:rsidRPr="003216A6" w:rsidRDefault="009B5A79" w:rsidP="003216A6">
      <w:pPr>
        <w:pStyle w:val="ActHead5"/>
      </w:pPr>
      <w:bookmarkStart w:id="100" w:name="_Toc486251937"/>
      <w:r w:rsidRPr="003216A6">
        <w:rPr>
          <w:rStyle w:val="CharSectno"/>
        </w:rPr>
        <w:t>11</w:t>
      </w:r>
      <w:r w:rsidRPr="003216A6">
        <w:t xml:space="preserve">  HCFC equipment</w:t>
      </w:r>
      <w:bookmarkEnd w:id="100"/>
    </w:p>
    <w:p w:rsidR="009B5A79" w:rsidRPr="003216A6" w:rsidRDefault="009B5A79" w:rsidP="003216A6">
      <w:pPr>
        <w:pStyle w:val="subsection"/>
      </w:pPr>
      <w:r w:rsidRPr="003216A6">
        <w:tab/>
      </w:r>
      <w:r w:rsidRPr="003216A6">
        <w:tab/>
        <w:t>A person must not manufacture or import equipment that:</w:t>
      </w:r>
    </w:p>
    <w:p w:rsidR="009B5A79" w:rsidRPr="003216A6" w:rsidRDefault="009B5A79" w:rsidP="003216A6">
      <w:pPr>
        <w:pStyle w:val="paragraph"/>
      </w:pPr>
      <w:r w:rsidRPr="003216A6">
        <w:tab/>
        <w:t>(a)</w:t>
      </w:r>
      <w:r w:rsidRPr="003216A6">
        <w:tab/>
        <w:t>contains HCFCs; or</w:t>
      </w:r>
    </w:p>
    <w:p w:rsidR="009B5A79" w:rsidRPr="003216A6" w:rsidRDefault="009B5A79" w:rsidP="003216A6">
      <w:pPr>
        <w:pStyle w:val="paragraph"/>
      </w:pPr>
      <w:r w:rsidRPr="003216A6">
        <w:tab/>
        <w:t>(b)</w:t>
      </w:r>
      <w:r w:rsidRPr="003216A6">
        <w:tab/>
        <w:t>uses HCFCs in its operation</w:t>
      </w:r>
      <w:r w:rsidR="002F6749" w:rsidRPr="003216A6">
        <w:t>.</w:t>
      </w:r>
    </w:p>
    <w:p w:rsidR="009B5A79" w:rsidRPr="003216A6" w:rsidRDefault="00B13916" w:rsidP="003216A6">
      <w:pPr>
        <w:pStyle w:val="ItemHead"/>
      </w:pPr>
      <w:r w:rsidRPr="003216A6">
        <w:t>19</w:t>
      </w:r>
      <w:r w:rsidR="009B5A79" w:rsidRPr="003216A6">
        <w:t xml:space="preserve">  Application of amendments</w:t>
      </w:r>
    </w:p>
    <w:p w:rsidR="009B5A79" w:rsidRPr="003216A6" w:rsidRDefault="009B5A79" w:rsidP="003216A6">
      <w:pPr>
        <w:pStyle w:val="Subitem"/>
      </w:pPr>
      <w:r w:rsidRPr="003216A6">
        <w:t>(1)</w:t>
      </w:r>
      <w:r w:rsidRPr="003216A6">
        <w:tab/>
        <w:t>The amendments made by this Part apply in relation to manufacturing or importing that occurs on or after the commencement of this item</w:t>
      </w:r>
      <w:r w:rsidR="002F6749" w:rsidRPr="003216A6">
        <w:t>.</w:t>
      </w:r>
    </w:p>
    <w:p w:rsidR="009B5A79" w:rsidRPr="003216A6" w:rsidRDefault="009B5A79" w:rsidP="003216A6">
      <w:pPr>
        <w:pStyle w:val="Subitem"/>
      </w:pPr>
      <w:r w:rsidRPr="003216A6">
        <w:t>(2)</w:t>
      </w:r>
      <w:r w:rsidRPr="003216A6">
        <w:tab/>
        <w:t>To avoid doubt, an equipment licence that:</w:t>
      </w:r>
    </w:p>
    <w:p w:rsidR="009B5A79" w:rsidRPr="003216A6" w:rsidRDefault="009B5A79" w:rsidP="003216A6">
      <w:pPr>
        <w:pStyle w:val="paragraph"/>
      </w:pPr>
      <w:r w:rsidRPr="003216A6">
        <w:tab/>
        <w:t>(a)</w:t>
      </w:r>
      <w:r w:rsidRPr="003216A6">
        <w:tab/>
        <w:t xml:space="preserve">was granted under the </w:t>
      </w:r>
      <w:r w:rsidRPr="003216A6">
        <w:rPr>
          <w:i/>
        </w:rPr>
        <w:t>Ozone Protection and Synthetic Greenhouse Gas Management Act 1989</w:t>
      </w:r>
      <w:r w:rsidRPr="003216A6">
        <w:t xml:space="preserve"> before the commencement of this item; and</w:t>
      </w:r>
    </w:p>
    <w:p w:rsidR="009B5A79" w:rsidRPr="003216A6" w:rsidRDefault="009B5A79" w:rsidP="003216A6">
      <w:pPr>
        <w:pStyle w:val="paragraph"/>
      </w:pPr>
      <w:r w:rsidRPr="003216A6">
        <w:lastRenderedPageBreak/>
        <w:tab/>
        <w:t>(b)</w:t>
      </w:r>
      <w:r w:rsidRPr="003216A6">
        <w:tab/>
        <w:t>immediately before that commencement:</w:t>
      </w:r>
    </w:p>
    <w:p w:rsidR="009B5A79" w:rsidRPr="003216A6" w:rsidRDefault="009B5A79" w:rsidP="003216A6">
      <w:pPr>
        <w:pStyle w:val="paragraphsub"/>
      </w:pPr>
      <w:r w:rsidRPr="003216A6">
        <w:tab/>
        <w:t>(i)</w:t>
      </w:r>
      <w:r w:rsidRPr="003216A6">
        <w:tab/>
        <w:t>was in force; or</w:t>
      </w:r>
    </w:p>
    <w:p w:rsidR="009B5A79" w:rsidRPr="003216A6" w:rsidRDefault="009B5A79" w:rsidP="003216A6">
      <w:pPr>
        <w:pStyle w:val="paragraphsub"/>
      </w:pPr>
      <w:r w:rsidRPr="003216A6">
        <w:tab/>
        <w:t>(ii)</w:t>
      </w:r>
      <w:r w:rsidRPr="003216A6">
        <w:tab/>
        <w:t>had not yet come into force and had not been terminated or cancelled;</w:t>
      </w:r>
    </w:p>
    <w:p w:rsidR="00753724" w:rsidRDefault="009B5A79" w:rsidP="003216A6">
      <w:pPr>
        <w:pStyle w:val="subsection2"/>
      </w:pPr>
      <w:r w:rsidRPr="003216A6">
        <w:t>does not, after that commencement, allow the licensee to import ODS equipment unless that activity is specified in the licence as mentioned in paragraph</w:t>
      </w:r>
      <w:r w:rsidR="003216A6" w:rsidRPr="003216A6">
        <w:t> </w:t>
      </w:r>
      <w:r w:rsidRPr="003216A6">
        <w:t>13A(5)(b) of that Act</w:t>
      </w:r>
      <w:r w:rsidR="002F6749" w:rsidRPr="003216A6">
        <w:t>.</w:t>
      </w:r>
    </w:p>
    <w:p w:rsidR="00C0551E" w:rsidRDefault="00C0551E" w:rsidP="00A42596"/>
    <w:p w:rsidR="00C0551E" w:rsidRDefault="00C0551E" w:rsidP="00027C40">
      <w:pPr>
        <w:pStyle w:val="AssentBk"/>
        <w:keepNext/>
      </w:pPr>
    </w:p>
    <w:p w:rsidR="00C0551E" w:rsidRDefault="00C0551E" w:rsidP="00027C40">
      <w:pPr>
        <w:pStyle w:val="AssentBk"/>
        <w:keepNext/>
      </w:pPr>
    </w:p>
    <w:p w:rsidR="00A42596" w:rsidRDefault="00A42596" w:rsidP="000C5962">
      <w:pPr>
        <w:pStyle w:val="2ndRd"/>
        <w:keepNext/>
        <w:pBdr>
          <w:top w:val="single" w:sz="2" w:space="1" w:color="auto"/>
        </w:pBdr>
      </w:pPr>
    </w:p>
    <w:p w:rsidR="00A42596" w:rsidRDefault="00A42596" w:rsidP="000C5962">
      <w:pPr>
        <w:pStyle w:val="2ndRd"/>
        <w:keepNext/>
        <w:spacing w:line="260" w:lineRule="atLeast"/>
        <w:rPr>
          <w:i/>
        </w:rPr>
      </w:pPr>
      <w:r>
        <w:t>[</w:t>
      </w:r>
      <w:r>
        <w:rPr>
          <w:i/>
        </w:rPr>
        <w:t>Minister’s second reading speech made in—</w:t>
      </w:r>
    </w:p>
    <w:p w:rsidR="00A42596" w:rsidRDefault="00A42596" w:rsidP="000C5962">
      <w:pPr>
        <w:pStyle w:val="2ndRd"/>
        <w:keepNext/>
        <w:spacing w:line="260" w:lineRule="atLeast"/>
        <w:rPr>
          <w:i/>
        </w:rPr>
      </w:pPr>
      <w:r>
        <w:rPr>
          <w:i/>
        </w:rPr>
        <w:t>House of Representatives on 30 March 2017</w:t>
      </w:r>
    </w:p>
    <w:p w:rsidR="00A42596" w:rsidRDefault="00A42596" w:rsidP="000C5962">
      <w:pPr>
        <w:pStyle w:val="2ndRd"/>
        <w:keepNext/>
        <w:spacing w:line="260" w:lineRule="atLeast"/>
        <w:rPr>
          <w:i/>
        </w:rPr>
      </w:pPr>
      <w:r>
        <w:rPr>
          <w:i/>
        </w:rPr>
        <w:t>Senate on 14 June 2017</w:t>
      </w:r>
      <w:r>
        <w:t>]</w:t>
      </w:r>
    </w:p>
    <w:p w:rsidR="00A42596" w:rsidRDefault="00A42596" w:rsidP="000C5962"/>
    <w:p w:rsidR="00C0551E" w:rsidRPr="00A42596" w:rsidRDefault="00A42596" w:rsidP="00A42596">
      <w:pPr>
        <w:framePr w:hSpace="180" w:wrap="around" w:vAnchor="text" w:hAnchor="page" w:x="2401" w:y="6299"/>
      </w:pPr>
      <w:r>
        <w:t>(64/17)</w:t>
      </w:r>
    </w:p>
    <w:p w:rsidR="00A42596" w:rsidRDefault="00A42596"/>
    <w:sectPr w:rsidR="00A42596" w:rsidSect="00C0551E">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6E9" w:rsidRDefault="00B256E9" w:rsidP="0048364F">
      <w:pPr>
        <w:spacing w:line="240" w:lineRule="auto"/>
      </w:pPr>
      <w:r>
        <w:separator/>
      </w:r>
    </w:p>
  </w:endnote>
  <w:endnote w:type="continuationSeparator" w:id="0">
    <w:p w:rsidR="00B256E9" w:rsidRDefault="00B256E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Pr="005F1388" w:rsidRDefault="00B256E9" w:rsidP="003216A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596" w:rsidRDefault="00A42596" w:rsidP="007517B8">
    <w:pPr>
      <w:pStyle w:val="ScalePlusRef"/>
    </w:pPr>
    <w:r>
      <w:t>Note: An electronic version of this Act is available on the Federal Register of Legislation (</w:t>
    </w:r>
    <w:hyperlink r:id="rId1" w:history="1">
      <w:r>
        <w:t>https://www.legislation.gov.au/</w:t>
      </w:r>
    </w:hyperlink>
    <w:r>
      <w:t>)</w:t>
    </w:r>
  </w:p>
  <w:p w:rsidR="00A42596" w:rsidRDefault="00A42596" w:rsidP="007517B8"/>
  <w:p w:rsidR="00A42596" w:rsidRDefault="00A42596" w:rsidP="007517B8"/>
  <w:p w:rsidR="00B256E9" w:rsidRDefault="00B256E9" w:rsidP="003216A6">
    <w:pPr>
      <w:pStyle w:val="Footer"/>
      <w:spacing w:before="120"/>
    </w:pPr>
  </w:p>
  <w:p w:rsidR="00B256E9" w:rsidRPr="005F1388" w:rsidRDefault="00B256E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Pr="00ED79B6" w:rsidRDefault="00B256E9" w:rsidP="003216A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Default="00B256E9" w:rsidP="003216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256E9" w:rsidTr="00041003">
      <w:tc>
        <w:tcPr>
          <w:tcW w:w="646" w:type="dxa"/>
        </w:tcPr>
        <w:p w:rsidR="00B256E9" w:rsidRDefault="00B256E9" w:rsidP="0004100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7133">
            <w:rPr>
              <w:i/>
              <w:noProof/>
              <w:sz w:val="18"/>
            </w:rPr>
            <w:t>ii</w:t>
          </w:r>
          <w:r w:rsidRPr="00ED79B6">
            <w:rPr>
              <w:i/>
              <w:sz w:val="18"/>
            </w:rPr>
            <w:fldChar w:fldCharType="end"/>
          </w:r>
        </w:p>
      </w:tc>
      <w:tc>
        <w:tcPr>
          <w:tcW w:w="5387" w:type="dxa"/>
        </w:tcPr>
        <w:p w:rsidR="00B256E9" w:rsidRDefault="00CE6E78" w:rsidP="00041003">
          <w:pPr>
            <w:jc w:val="center"/>
            <w:rPr>
              <w:sz w:val="18"/>
            </w:rPr>
          </w:pPr>
          <w:r>
            <w:rPr>
              <w:i/>
              <w:sz w:val="18"/>
            </w:rPr>
            <w:t>Ozone Protection and Synthetic Greenhouse Gas Management Legislation Amendment Act 2017</w:t>
          </w:r>
        </w:p>
      </w:tc>
      <w:tc>
        <w:tcPr>
          <w:tcW w:w="1270" w:type="dxa"/>
        </w:tcPr>
        <w:p w:rsidR="00B256E9" w:rsidRDefault="00A42596" w:rsidP="00041003">
          <w:pPr>
            <w:jc w:val="right"/>
            <w:rPr>
              <w:sz w:val="18"/>
            </w:rPr>
          </w:pPr>
          <w:r>
            <w:rPr>
              <w:i/>
              <w:sz w:val="18"/>
            </w:rPr>
            <w:t>No. 67, 2017</w:t>
          </w:r>
        </w:p>
      </w:tc>
    </w:tr>
  </w:tbl>
  <w:p w:rsidR="00B256E9" w:rsidRDefault="00B256E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Default="00B256E9" w:rsidP="003216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256E9" w:rsidTr="00041003">
      <w:tc>
        <w:tcPr>
          <w:tcW w:w="1247" w:type="dxa"/>
        </w:tcPr>
        <w:p w:rsidR="00B256E9" w:rsidRDefault="00CE6E78" w:rsidP="00A42596">
          <w:pPr>
            <w:rPr>
              <w:i/>
              <w:sz w:val="18"/>
            </w:rPr>
          </w:pPr>
          <w:r>
            <w:rPr>
              <w:i/>
              <w:sz w:val="18"/>
            </w:rPr>
            <w:t xml:space="preserve">No. </w:t>
          </w:r>
          <w:r w:rsidR="00A42596">
            <w:rPr>
              <w:i/>
              <w:sz w:val="18"/>
            </w:rPr>
            <w:t>67</w:t>
          </w:r>
          <w:r>
            <w:rPr>
              <w:i/>
              <w:sz w:val="18"/>
            </w:rPr>
            <w:t>, 2017</w:t>
          </w:r>
        </w:p>
      </w:tc>
      <w:tc>
        <w:tcPr>
          <w:tcW w:w="5387" w:type="dxa"/>
        </w:tcPr>
        <w:p w:rsidR="00B256E9" w:rsidRDefault="00CE6E78" w:rsidP="00041003">
          <w:pPr>
            <w:jc w:val="center"/>
            <w:rPr>
              <w:i/>
              <w:sz w:val="18"/>
            </w:rPr>
          </w:pPr>
          <w:r>
            <w:rPr>
              <w:i/>
              <w:sz w:val="18"/>
            </w:rPr>
            <w:t>Ozone Protection and Synthetic Greenhouse Gas Management Legislation Amendment Act 2017</w:t>
          </w:r>
        </w:p>
      </w:tc>
      <w:tc>
        <w:tcPr>
          <w:tcW w:w="669" w:type="dxa"/>
        </w:tcPr>
        <w:p w:rsidR="00B256E9" w:rsidRDefault="00B256E9" w:rsidP="0004100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87133">
            <w:rPr>
              <w:i/>
              <w:noProof/>
              <w:sz w:val="18"/>
            </w:rPr>
            <w:t>i</w:t>
          </w:r>
          <w:r w:rsidRPr="00ED79B6">
            <w:rPr>
              <w:i/>
              <w:sz w:val="18"/>
            </w:rPr>
            <w:fldChar w:fldCharType="end"/>
          </w:r>
        </w:p>
      </w:tc>
    </w:tr>
  </w:tbl>
  <w:p w:rsidR="00B256E9" w:rsidRPr="00ED79B6" w:rsidRDefault="00B256E9"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Pr="00A961C4" w:rsidRDefault="00B256E9" w:rsidP="003216A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256E9" w:rsidTr="003216A6">
      <w:tc>
        <w:tcPr>
          <w:tcW w:w="646" w:type="dxa"/>
        </w:tcPr>
        <w:p w:rsidR="00B256E9" w:rsidRDefault="00B256E9" w:rsidP="0004100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87133">
            <w:rPr>
              <w:i/>
              <w:noProof/>
              <w:sz w:val="18"/>
            </w:rPr>
            <w:t>70</w:t>
          </w:r>
          <w:r w:rsidRPr="007A1328">
            <w:rPr>
              <w:i/>
              <w:sz w:val="18"/>
            </w:rPr>
            <w:fldChar w:fldCharType="end"/>
          </w:r>
        </w:p>
      </w:tc>
      <w:tc>
        <w:tcPr>
          <w:tcW w:w="5387" w:type="dxa"/>
        </w:tcPr>
        <w:p w:rsidR="00B256E9" w:rsidRDefault="00CE6E78" w:rsidP="00041003">
          <w:pPr>
            <w:jc w:val="center"/>
            <w:rPr>
              <w:sz w:val="18"/>
            </w:rPr>
          </w:pPr>
          <w:r>
            <w:rPr>
              <w:i/>
              <w:sz w:val="18"/>
            </w:rPr>
            <w:t>Ozone Protection and Synthetic Greenhouse Gas Management Legislation Amendment Act 2017</w:t>
          </w:r>
        </w:p>
      </w:tc>
      <w:tc>
        <w:tcPr>
          <w:tcW w:w="1270" w:type="dxa"/>
        </w:tcPr>
        <w:p w:rsidR="00B256E9" w:rsidRDefault="00A42596" w:rsidP="00041003">
          <w:pPr>
            <w:jc w:val="right"/>
            <w:rPr>
              <w:sz w:val="18"/>
            </w:rPr>
          </w:pPr>
          <w:r>
            <w:rPr>
              <w:i/>
              <w:sz w:val="18"/>
            </w:rPr>
            <w:t>No. 67, 2017</w:t>
          </w:r>
        </w:p>
      </w:tc>
    </w:tr>
  </w:tbl>
  <w:p w:rsidR="00B256E9" w:rsidRPr="00A961C4" w:rsidRDefault="00B256E9"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Pr="00A961C4" w:rsidRDefault="00B256E9" w:rsidP="003216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256E9" w:rsidTr="003216A6">
      <w:tc>
        <w:tcPr>
          <w:tcW w:w="1247" w:type="dxa"/>
        </w:tcPr>
        <w:p w:rsidR="00B256E9" w:rsidRDefault="00A42596" w:rsidP="00041003">
          <w:pPr>
            <w:rPr>
              <w:sz w:val="18"/>
            </w:rPr>
          </w:pPr>
          <w:r>
            <w:rPr>
              <w:i/>
              <w:sz w:val="18"/>
            </w:rPr>
            <w:t>No. 67, 2017</w:t>
          </w:r>
        </w:p>
      </w:tc>
      <w:tc>
        <w:tcPr>
          <w:tcW w:w="5387" w:type="dxa"/>
        </w:tcPr>
        <w:p w:rsidR="00B256E9" w:rsidRDefault="00CE6E78" w:rsidP="00041003">
          <w:pPr>
            <w:jc w:val="center"/>
            <w:rPr>
              <w:sz w:val="18"/>
            </w:rPr>
          </w:pPr>
          <w:r>
            <w:rPr>
              <w:i/>
              <w:sz w:val="18"/>
            </w:rPr>
            <w:t>Ozone Protection and Synthetic Greenhouse Gas Management Legislation Amendment Act 2017</w:t>
          </w:r>
        </w:p>
      </w:tc>
      <w:tc>
        <w:tcPr>
          <w:tcW w:w="669" w:type="dxa"/>
        </w:tcPr>
        <w:p w:rsidR="00B256E9" w:rsidRDefault="00B256E9" w:rsidP="000410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87133">
            <w:rPr>
              <w:i/>
              <w:noProof/>
              <w:sz w:val="18"/>
            </w:rPr>
            <w:t>69</w:t>
          </w:r>
          <w:r w:rsidRPr="007A1328">
            <w:rPr>
              <w:i/>
              <w:sz w:val="18"/>
            </w:rPr>
            <w:fldChar w:fldCharType="end"/>
          </w:r>
        </w:p>
      </w:tc>
    </w:tr>
  </w:tbl>
  <w:p w:rsidR="00B256E9" w:rsidRPr="00055B5C" w:rsidRDefault="00B256E9"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Pr="00A961C4" w:rsidRDefault="00B256E9" w:rsidP="003216A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256E9" w:rsidTr="003216A6">
      <w:tc>
        <w:tcPr>
          <w:tcW w:w="1247" w:type="dxa"/>
        </w:tcPr>
        <w:p w:rsidR="00B256E9" w:rsidRDefault="00A42596" w:rsidP="00041003">
          <w:pPr>
            <w:rPr>
              <w:sz w:val="18"/>
            </w:rPr>
          </w:pPr>
          <w:r>
            <w:rPr>
              <w:i/>
              <w:sz w:val="18"/>
            </w:rPr>
            <w:t>No. 67, 2017</w:t>
          </w:r>
        </w:p>
      </w:tc>
      <w:tc>
        <w:tcPr>
          <w:tcW w:w="5387" w:type="dxa"/>
        </w:tcPr>
        <w:p w:rsidR="00B256E9" w:rsidRDefault="00CE6E78" w:rsidP="00041003">
          <w:pPr>
            <w:jc w:val="center"/>
            <w:rPr>
              <w:sz w:val="18"/>
            </w:rPr>
          </w:pPr>
          <w:r>
            <w:rPr>
              <w:i/>
              <w:sz w:val="18"/>
            </w:rPr>
            <w:t>Ozone Protection and Synthetic Greenhouse Gas Management Legislation Amendment Act 2017</w:t>
          </w:r>
        </w:p>
      </w:tc>
      <w:tc>
        <w:tcPr>
          <w:tcW w:w="669" w:type="dxa"/>
        </w:tcPr>
        <w:p w:rsidR="00B256E9" w:rsidRDefault="00B256E9" w:rsidP="000410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87133">
            <w:rPr>
              <w:i/>
              <w:noProof/>
              <w:sz w:val="18"/>
            </w:rPr>
            <w:t>1</w:t>
          </w:r>
          <w:r w:rsidRPr="007A1328">
            <w:rPr>
              <w:i/>
              <w:sz w:val="18"/>
            </w:rPr>
            <w:fldChar w:fldCharType="end"/>
          </w:r>
        </w:p>
      </w:tc>
    </w:tr>
  </w:tbl>
  <w:p w:rsidR="00B256E9" w:rsidRPr="00A961C4" w:rsidRDefault="00B256E9"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6E9" w:rsidRDefault="00B256E9" w:rsidP="0048364F">
      <w:pPr>
        <w:spacing w:line="240" w:lineRule="auto"/>
      </w:pPr>
      <w:r>
        <w:separator/>
      </w:r>
    </w:p>
  </w:footnote>
  <w:footnote w:type="continuationSeparator" w:id="0">
    <w:p w:rsidR="00B256E9" w:rsidRDefault="00B256E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Pr="005F1388" w:rsidRDefault="00B256E9"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Pr="005F1388" w:rsidRDefault="00B256E9"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Pr="005F1388" w:rsidRDefault="00B256E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Pr="00ED79B6" w:rsidRDefault="00B256E9"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Pr="00ED79B6" w:rsidRDefault="00B256E9"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Pr="00ED79B6" w:rsidRDefault="00B256E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Pr="00A961C4" w:rsidRDefault="00B256E9" w:rsidP="0048364F">
    <w:pPr>
      <w:rPr>
        <w:b/>
        <w:sz w:val="20"/>
      </w:rPr>
    </w:pPr>
    <w:r>
      <w:rPr>
        <w:b/>
        <w:sz w:val="20"/>
      </w:rPr>
      <w:fldChar w:fldCharType="begin"/>
    </w:r>
    <w:r>
      <w:rPr>
        <w:b/>
        <w:sz w:val="20"/>
      </w:rPr>
      <w:instrText xml:space="preserve"> STYLEREF CharAmSchNo </w:instrText>
    </w:r>
    <w:r w:rsidR="00B87133">
      <w:rPr>
        <w:b/>
        <w:sz w:val="20"/>
      </w:rPr>
      <w:fldChar w:fldCharType="separate"/>
    </w:r>
    <w:r w:rsidR="00B87133">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87133">
      <w:rPr>
        <w:sz w:val="20"/>
      </w:rPr>
      <w:fldChar w:fldCharType="separate"/>
    </w:r>
    <w:r w:rsidR="00B87133">
      <w:rPr>
        <w:noProof/>
        <w:sz w:val="20"/>
      </w:rPr>
      <w:t>Amendments commencing 1 January 2020</w:t>
    </w:r>
    <w:r>
      <w:rPr>
        <w:sz w:val="20"/>
      </w:rPr>
      <w:fldChar w:fldCharType="end"/>
    </w:r>
  </w:p>
  <w:p w:rsidR="00B256E9" w:rsidRPr="00A961C4" w:rsidRDefault="00B256E9" w:rsidP="0048364F">
    <w:pPr>
      <w:rPr>
        <w:b/>
        <w:sz w:val="20"/>
      </w:rPr>
    </w:pPr>
    <w:r>
      <w:rPr>
        <w:b/>
        <w:sz w:val="20"/>
      </w:rPr>
      <w:fldChar w:fldCharType="begin"/>
    </w:r>
    <w:r>
      <w:rPr>
        <w:b/>
        <w:sz w:val="20"/>
      </w:rPr>
      <w:instrText xml:space="preserve"> STYLEREF CharAmPartNo </w:instrText>
    </w:r>
    <w:r w:rsidR="00B87133">
      <w:rPr>
        <w:b/>
        <w:sz w:val="20"/>
      </w:rPr>
      <w:fldChar w:fldCharType="separate"/>
    </w:r>
    <w:r w:rsidR="00B87133">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87133">
      <w:rPr>
        <w:sz w:val="20"/>
      </w:rPr>
      <w:fldChar w:fldCharType="separate"/>
    </w:r>
    <w:r w:rsidR="00B87133">
      <w:rPr>
        <w:noProof/>
        <w:sz w:val="20"/>
      </w:rPr>
      <w:t>HCFC equipment</w:t>
    </w:r>
    <w:r>
      <w:rPr>
        <w:sz w:val="20"/>
      </w:rPr>
      <w:fldChar w:fldCharType="end"/>
    </w:r>
  </w:p>
  <w:p w:rsidR="00B256E9" w:rsidRPr="00A961C4" w:rsidRDefault="00B256E9"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Pr="00A961C4" w:rsidRDefault="00B256E9" w:rsidP="0048364F">
    <w:pPr>
      <w:jc w:val="right"/>
      <w:rPr>
        <w:sz w:val="20"/>
      </w:rPr>
    </w:pPr>
    <w:r w:rsidRPr="00A961C4">
      <w:rPr>
        <w:sz w:val="20"/>
      </w:rPr>
      <w:fldChar w:fldCharType="begin"/>
    </w:r>
    <w:r w:rsidRPr="00A961C4">
      <w:rPr>
        <w:sz w:val="20"/>
      </w:rPr>
      <w:instrText xml:space="preserve"> STYLEREF CharAmSchText </w:instrText>
    </w:r>
    <w:r w:rsidR="00B87133">
      <w:rPr>
        <w:sz w:val="20"/>
      </w:rPr>
      <w:fldChar w:fldCharType="separate"/>
    </w:r>
    <w:r w:rsidR="00B87133">
      <w:rPr>
        <w:noProof/>
        <w:sz w:val="20"/>
      </w:rPr>
      <w:t>Amendments commencing 1 January 2020</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87133">
      <w:rPr>
        <w:b/>
        <w:sz w:val="20"/>
      </w:rPr>
      <w:fldChar w:fldCharType="separate"/>
    </w:r>
    <w:r w:rsidR="00B87133">
      <w:rPr>
        <w:b/>
        <w:noProof/>
        <w:sz w:val="20"/>
      </w:rPr>
      <w:t>Schedule 3</w:t>
    </w:r>
    <w:r>
      <w:rPr>
        <w:b/>
        <w:sz w:val="20"/>
      </w:rPr>
      <w:fldChar w:fldCharType="end"/>
    </w:r>
  </w:p>
  <w:p w:rsidR="00B256E9" w:rsidRPr="00A961C4" w:rsidRDefault="00B256E9" w:rsidP="0048364F">
    <w:pPr>
      <w:jc w:val="right"/>
      <w:rPr>
        <w:b/>
        <w:sz w:val="20"/>
      </w:rPr>
    </w:pPr>
    <w:r w:rsidRPr="00A961C4">
      <w:rPr>
        <w:sz w:val="20"/>
      </w:rPr>
      <w:fldChar w:fldCharType="begin"/>
    </w:r>
    <w:r w:rsidRPr="00A961C4">
      <w:rPr>
        <w:sz w:val="20"/>
      </w:rPr>
      <w:instrText xml:space="preserve"> STYLEREF CharAmPartText </w:instrText>
    </w:r>
    <w:r w:rsidR="00B87133">
      <w:rPr>
        <w:sz w:val="20"/>
      </w:rPr>
      <w:fldChar w:fldCharType="separate"/>
    </w:r>
    <w:r w:rsidR="00B87133">
      <w:rPr>
        <w:noProof/>
        <w:sz w:val="20"/>
      </w:rPr>
      <w:t>HCFC equipment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87133">
      <w:rPr>
        <w:b/>
        <w:sz w:val="20"/>
      </w:rPr>
      <w:fldChar w:fldCharType="separate"/>
    </w:r>
    <w:r w:rsidR="00B87133">
      <w:rPr>
        <w:b/>
        <w:noProof/>
        <w:sz w:val="20"/>
      </w:rPr>
      <w:t>Part 2</w:t>
    </w:r>
    <w:r w:rsidRPr="00A961C4">
      <w:rPr>
        <w:b/>
        <w:sz w:val="20"/>
      </w:rPr>
      <w:fldChar w:fldCharType="end"/>
    </w:r>
  </w:p>
  <w:p w:rsidR="00B256E9" w:rsidRPr="00A961C4" w:rsidRDefault="00B256E9"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6E9" w:rsidRPr="00A961C4" w:rsidRDefault="00B256E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FF132DE"/>
    <w:multiLevelType w:val="multilevel"/>
    <w:tmpl w:val="0C09001F"/>
    <w:numStyleLink w:val="111111"/>
  </w:abstractNum>
  <w:abstractNum w:abstractNumId="12">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F977EAE"/>
    <w:multiLevelType w:val="hybridMultilevel"/>
    <w:tmpl w:val="5502820E"/>
    <w:lvl w:ilvl="0" w:tplc="D71499CA">
      <w:start w:val="1"/>
      <w:numFmt w:val="decimal"/>
      <w:lvlText w:val="%1."/>
      <w:lvlJc w:val="left"/>
      <w:pPr>
        <w:ind w:left="720" w:hanging="360"/>
      </w:pPr>
      <w:rPr>
        <w:rFonts w:ascii="Arial" w:hAnsi="Arial" w:cs="Arial" w:hint="default"/>
        <w:b w:val="0"/>
      </w:rPr>
    </w:lvl>
    <w:lvl w:ilvl="1" w:tplc="0C09001B">
      <w:start w:val="1"/>
      <w:numFmt w:val="lowerRoman"/>
      <w:lvlText w:val="%2."/>
      <w:lvlJc w:val="right"/>
      <w:pPr>
        <w:ind w:left="1440" w:hanging="360"/>
      </w:p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F6B2AE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5"/>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79"/>
    <w:rsid w:val="0000144A"/>
    <w:rsid w:val="000113BC"/>
    <w:rsid w:val="000136AF"/>
    <w:rsid w:val="000216D2"/>
    <w:rsid w:val="00041003"/>
    <w:rsid w:val="000417C9"/>
    <w:rsid w:val="00055B5C"/>
    <w:rsid w:val="00056391"/>
    <w:rsid w:val="00060FF9"/>
    <w:rsid w:val="000614BF"/>
    <w:rsid w:val="00077DD2"/>
    <w:rsid w:val="0008603C"/>
    <w:rsid w:val="00087EDE"/>
    <w:rsid w:val="000B1FD2"/>
    <w:rsid w:val="000B3325"/>
    <w:rsid w:val="000D05EF"/>
    <w:rsid w:val="000D307E"/>
    <w:rsid w:val="000F21C1"/>
    <w:rsid w:val="000F4F33"/>
    <w:rsid w:val="00100B0D"/>
    <w:rsid w:val="00101D90"/>
    <w:rsid w:val="00105A70"/>
    <w:rsid w:val="0010745C"/>
    <w:rsid w:val="00113BD1"/>
    <w:rsid w:val="00116260"/>
    <w:rsid w:val="00122206"/>
    <w:rsid w:val="0012364F"/>
    <w:rsid w:val="00123D13"/>
    <w:rsid w:val="00134615"/>
    <w:rsid w:val="00136C64"/>
    <w:rsid w:val="001467B3"/>
    <w:rsid w:val="001520B1"/>
    <w:rsid w:val="00155580"/>
    <w:rsid w:val="0015646E"/>
    <w:rsid w:val="001615B0"/>
    <w:rsid w:val="001643C9"/>
    <w:rsid w:val="00165568"/>
    <w:rsid w:val="00166C2F"/>
    <w:rsid w:val="001713A4"/>
    <w:rsid w:val="001716C9"/>
    <w:rsid w:val="00172B77"/>
    <w:rsid w:val="00173363"/>
    <w:rsid w:val="00173B94"/>
    <w:rsid w:val="00180F7A"/>
    <w:rsid w:val="001854B4"/>
    <w:rsid w:val="00190155"/>
    <w:rsid w:val="001939E1"/>
    <w:rsid w:val="00195382"/>
    <w:rsid w:val="001A3658"/>
    <w:rsid w:val="001A4003"/>
    <w:rsid w:val="001A759A"/>
    <w:rsid w:val="001B7A5D"/>
    <w:rsid w:val="001C2418"/>
    <w:rsid w:val="001C69C4"/>
    <w:rsid w:val="001D01EF"/>
    <w:rsid w:val="001E3590"/>
    <w:rsid w:val="001E7407"/>
    <w:rsid w:val="00201D27"/>
    <w:rsid w:val="00202618"/>
    <w:rsid w:val="002038B5"/>
    <w:rsid w:val="002116E9"/>
    <w:rsid w:val="00233BD1"/>
    <w:rsid w:val="002359B8"/>
    <w:rsid w:val="00240749"/>
    <w:rsid w:val="00253F20"/>
    <w:rsid w:val="00263820"/>
    <w:rsid w:val="00264989"/>
    <w:rsid w:val="00267CA4"/>
    <w:rsid w:val="00270E6B"/>
    <w:rsid w:val="00275197"/>
    <w:rsid w:val="00293B89"/>
    <w:rsid w:val="00296A0C"/>
    <w:rsid w:val="00297ECB"/>
    <w:rsid w:val="002A3DF0"/>
    <w:rsid w:val="002B5A30"/>
    <w:rsid w:val="002D043A"/>
    <w:rsid w:val="002D395A"/>
    <w:rsid w:val="002F41FD"/>
    <w:rsid w:val="002F6749"/>
    <w:rsid w:val="00302742"/>
    <w:rsid w:val="003216A6"/>
    <w:rsid w:val="00323973"/>
    <w:rsid w:val="003319AE"/>
    <w:rsid w:val="00333B61"/>
    <w:rsid w:val="00340911"/>
    <w:rsid w:val="003415D3"/>
    <w:rsid w:val="00350417"/>
    <w:rsid w:val="00352B0F"/>
    <w:rsid w:val="003742E2"/>
    <w:rsid w:val="00375C6C"/>
    <w:rsid w:val="0038349A"/>
    <w:rsid w:val="00387363"/>
    <w:rsid w:val="003940D2"/>
    <w:rsid w:val="003B1CA4"/>
    <w:rsid w:val="003C5F2B"/>
    <w:rsid w:val="003D0BFE"/>
    <w:rsid w:val="003D5700"/>
    <w:rsid w:val="003D7590"/>
    <w:rsid w:val="003E1C82"/>
    <w:rsid w:val="003E70BB"/>
    <w:rsid w:val="003F6966"/>
    <w:rsid w:val="00405579"/>
    <w:rsid w:val="00410B8E"/>
    <w:rsid w:val="004116CD"/>
    <w:rsid w:val="00411D5A"/>
    <w:rsid w:val="00413434"/>
    <w:rsid w:val="0042047B"/>
    <w:rsid w:val="00421FC1"/>
    <w:rsid w:val="004229C7"/>
    <w:rsid w:val="00424CA9"/>
    <w:rsid w:val="00434DD4"/>
    <w:rsid w:val="00436785"/>
    <w:rsid w:val="00436BD5"/>
    <w:rsid w:val="00437E4B"/>
    <w:rsid w:val="0044291A"/>
    <w:rsid w:val="00465AEA"/>
    <w:rsid w:val="0048196B"/>
    <w:rsid w:val="0048364F"/>
    <w:rsid w:val="004856E9"/>
    <w:rsid w:val="00496F97"/>
    <w:rsid w:val="004A6E50"/>
    <w:rsid w:val="004B2B35"/>
    <w:rsid w:val="004B64B3"/>
    <w:rsid w:val="004C0225"/>
    <w:rsid w:val="004C7C8C"/>
    <w:rsid w:val="004D2BF1"/>
    <w:rsid w:val="004D7952"/>
    <w:rsid w:val="004E2A4A"/>
    <w:rsid w:val="004F0D23"/>
    <w:rsid w:val="004F1FAC"/>
    <w:rsid w:val="004F558B"/>
    <w:rsid w:val="00516B8D"/>
    <w:rsid w:val="00527D97"/>
    <w:rsid w:val="00537FBC"/>
    <w:rsid w:val="00543469"/>
    <w:rsid w:val="005441D9"/>
    <w:rsid w:val="00544D5E"/>
    <w:rsid w:val="00551B54"/>
    <w:rsid w:val="005548E4"/>
    <w:rsid w:val="00580277"/>
    <w:rsid w:val="00584811"/>
    <w:rsid w:val="00593AA6"/>
    <w:rsid w:val="00594161"/>
    <w:rsid w:val="00594749"/>
    <w:rsid w:val="005A042D"/>
    <w:rsid w:val="005A0D92"/>
    <w:rsid w:val="005A759A"/>
    <w:rsid w:val="005B0530"/>
    <w:rsid w:val="005B4067"/>
    <w:rsid w:val="005C30B3"/>
    <w:rsid w:val="005C3F41"/>
    <w:rsid w:val="005E152A"/>
    <w:rsid w:val="005E28A2"/>
    <w:rsid w:val="005E2952"/>
    <w:rsid w:val="005F0931"/>
    <w:rsid w:val="00600219"/>
    <w:rsid w:val="0060212E"/>
    <w:rsid w:val="006120D0"/>
    <w:rsid w:val="00617654"/>
    <w:rsid w:val="00625FA8"/>
    <w:rsid w:val="00626D5A"/>
    <w:rsid w:val="00641DE5"/>
    <w:rsid w:val="00643413"/>
    <w:rsid w:val="006555B2"/>
    <w:rsid w:val="00656F0C"/>
    <w:rsid w:val="00657005"/>
    <w:rsid w:val="006603EA"/>
    <w:rsid w:val="0066447C"/>
    <w:rsid w:val="00675505"/>
    <w:rsid w:val="00677CC2"/>
    <w:rsid w:val="00681F92"/>
    <w:rsid w:val="006842C2"/>
    <w:rsid w:val="00685F42"/>
    <w:rsid w:val="0069207B"/>
    <w:rsid w:val="006B052E"/>
    <w:rsid w:val="006B1818"/>
    <w:rsid w:val="006C2874"/>
    <w:rsid w:val="006C4F0B"/>
    <w:rsid w:val="006C7F8C"/>
    <w:rsid w:val="006D380D"/>
    <w:rsid w:val="006D5094"/>
    <w:rsid w:val="006E0135"/>
    <w:rsid w:val="006E303A"/>
    <w:rsid w:val="006E51FD"/>
    <w:rsid w:val="006E64B0"/>
    <w:rsid w:val="006F7E19"/>
    <w:rsid w:val="00700B2C"/>
    <w:rsid w:val="00705FFE"/>
    <w:rsid w:val="00712D8D"/>
    <w:rsid w:val="00713084"/>
    <w:rsid w:val="00714B26"/>
    <w:rsid w:val="00731E00"/>
    <w:rsid w:val="007334B9"/>
    <w:rsid w:val="007440B7"/>
    <w:rsid w:val="00753724"/>
    <w:rsid w:val="00762F86"/>
    <w:rsid w:val="007634AD"/>
    <w:rsid w:val="00765676"/>
    <w:rsid w:val="0076571A"/>
    <w:rsid w:val="00765922"/>
    <w:rsid w:val="007715C9"/>
    <w:rsid w:val="00774EDD"/>
    <w:rsid w:val="007757EC"/>
    <w:rsid w:val="007758E3"/>
    <w:rsid w:val="00775DF0"/>
    <w:rsid w:val="0079554E"/>
    <w:rsid w:val="007A0312"/>
    <w:rsid w:val="007A083A"/>
    <w:rsid w:val="007A4D2D"/>
    <w:rsid w:val="007C51CC"/>
    <w:rsid w:val="007E0EA5"/>
    <w:rsid w:val="007E7D4A"/>
    <w:rsid w:val="007F36F9"/>
    <w:rsid w:val="007F6AA0"/>
    <w:rsid w:val="008006CC"/>
    <w:rsid w:val="0080697C"/>
    <w:rsid w:val="00807F18"/>
    <w:rsid w:val="008236B1"/>
    <w:rsid w:val="00827BEB"/>
    <w:rsid w:val="0083063C"/>
    <w:rsid w:val="00831E8D"/>
    <w:rsid w:val="00852936"/>
    <w:rsid w:val="00853C31"/>
    <w:rsid w:val="00856A31"/>
    <w:rsid w:val="00857D6B"/>
    <w:rsid w:val="0086730B"/>
    <w:rsid w:val="008735E7"/>
    <w:rsid w:val="008754D0"/>
    <w:rsid w:val="00877D48"/>
    <w:rsid w:val="00880E13"/>
    <w:rsid w:val="0088347E"/>
    <w:rsid w:val="00883781"/>
    <w:rsid w:val="00885570"/>
    <w:rsid w:val="00893958"/>
    <w:rsid w:val="00894AFA"/>
    <w:rsid w:val="008A2E77"/>
    <w:rsid w:val="008A77E3"/>
    <w:rsid w:val="008C6F6F"/>
    <w:rsid w:val="008D0EE0"/>
    <w:rsid w:val="008D4302"/>
    <w:rsid w:val="008E441C"/>
    <w:rsid w:val="008F4F1C"/>
    <w:rsid w:val="008F5C84"/>
    <w:rsid w:val="008F77C4"/>
    <w:rsid w:val="009103F3"/>
    <w:rsid w:val="00926126"/>
    <w:rsid w:val="00931DE2"/>
    <w:rsid w:val="00932285"/>
    <w:rsid w:val="00932377"/>
    <w:rsid w:val="00940475"/>
    <w:rsid w:val="00947E76"/>
    <w:rsid w:val="00967042"/>
    <w:rsid w:val="0097718C"/>
    <w:rsid w:val="0098255A"/>
    <w:rsid w:val="009845BE"/>
    <w:rsid w:val="00993703"/>
    <w:rsid w:val="009969C9"/>
    <w:rsid w:val="009A3B7D"/>
    <w:rsid w:val="009B5A79"/>
    <w:rsid w:val="009C055A"/>
    <w:rsid w:val="009D2CD0"/>
    <w:rsid w:val="009E0D87"/>
    <w:rsid w:val="009E576C"/>
    <w:rsid w:val="009E723A"/>
    <w:rsid w:val="00A048FF"/>
    <w:rsid w:val="00A10775"/>
    <w:rsid w:val="00A15871"/>
    <w:rsid w:val="00A231E2"/>
    <w:rsid w:val="00A36C48"/>
    <w:rsid w:val="00A41E0B"/>
    <w:rsid w:val="00A42596"/>
    <w:rsid w:val="00A54846"/>
    <w:rsid w:val="00A55631"/>
    <w:rsid w:val="00A5621B"/>
    <w:rsid w:val="00A56D6E"/>
    <w:rsid w:val="00A61D5F"/>
    <w:rsid w:val="00A64912"/>
    <w:rsid w:val="00A70A74"/>
    <w:rsid w:val="00A7225F"/>
    <w:rsid w:val="00A903E7"/>
    <w:rsid w:val="00AA3795"/>
    <w:rsid w:val="00AC0CF6"/>
    <w:rsid w:val="00AC1E75"/>
    <w:rsid w:val="00AC2D00"/>
    <w:rsid w:val="00AD3F14"/>
    <w:rsid w:val="00AD5641"/>
    <w:rsid w:val="00AD79BB"/>
    <w:rsid w:val="00AE1088"/>
    <w:rsid w:val="00AE5B21"/>
    <w:rsid w:val="00AF1BA4"/>
    <w:rsid w:val="00B032D8"/>
    <w:rsid w:val="00B13916"/>
    <w:rsid w:val="00B237EC"/>
    <w:rsid w:val="00B256E9"/>
    <w:rsid w:val="00B33B3C"/>
    <w:rsid w:val="00B40DC2"/>
    <w:rsid w:val="00B50369"/>
    <w:rsid w:val="00B6152F"/>
    <w:rsid w:val="00B6382D"/>
    <w:rsid w:val="00B83DDA"/>
    <w:rsid w:val="00B87133"/>
    <w:rsid w:val="00B95CCA"/>
    <w:rsid w:val="00BA31B6"/>
    <w:rsid w:val="00BA5026"/>
    <w:rsid w:val="00BB40BF"/>
    <w:rsid w:val="00BC0CD1"/>
    <w:rsid w:val="00BE0F2B"/>
    <w:rsid w:val="00BE25D9"/>
    <w:rsid w:val="00BE50F5"/>
    <w:rsid w:val="00BE719A"/>
    <w:rsid w:val="00BE720A"/>
    <w:rsid w:val="00BF0461"/>
    <w:rsid w:val="00BF3C01"/>
    <w:rsid w:val="00BF3C85"/>
    <w:rsid w:val="00BF4944"/>
    <w:rsid w:val="00BF56D4"/>
    <w:rsid w:val="00C0059E"/>
    <w:rsid w:val="00C02A49"/>
    <w:rsid w:val="00C03BA8"/>
    <w:rsid w:val="00C04409"/>
    <w:rsid w:val="00C0551E"/>
    <w:rsid w:val="00C067E5"/>
    <w:rsid w:val="00C164CA"/>
    <w:rsid w:val="00C176CF"/>
    <w:rsid w:val="00C41952"/>
    <w:rsid w:val="00C42BF8"/>
    <w:rsid w:val="00C460AE"/>
    <w:rsid w:val="00C50043"/>
    <w:rsid w:val="00C52FFD"/>
    <w:rsid w:val="00C54E84"/>
    <w:rsid w:val="00C61901"/>
    <w:rsid w:val="00C70158"/>
    <w:rsid w:val="00C7573B"/>
    <w:rsid w:val="00C76CF3"/>
    <w:rsid w:val="00C85039"/>
    <w:rsid w:val="00C87948"/>
    <w:rsid w:val="00CA7F37"/>
    <w:rsid w:val="00CC39E2"/>
    <w:rsid w:val="00CE1E31"/>
    <w:rsid w:val="00CE6E78"/>
    <w:rsid w:val="00CF0BB2"/>
    <w:rsid w:val="00CF64B9"/>
    <w:rsid w:val="00D00EAA"/>
    <w:rsid w:val="00D023C3"/>
    <w:rsid w:val="00D132EF"/>
    <w:rsid w:val="00D13441"/>
    <w:rsid w:val="00D1726A"/>
    <w:rsid w:val="00D24046"/>
    <w:rsid w:val="00D243A3"/>
    <w:rsid w:val="00D35779"/>
    <w:rsid w:val="00D35D25"/>
    <w:rsid w:val="00D361DD"/>
    <w:rsid w:val="00D4355D"/>
    <w:rsid w:val="00D46F87"/>
    <w:rsid w:val="00D477C3"/>
    <w:rsid w:val="00D52EFE"/>
    <w:rsid w:val="00D63EF6"/>
    <w:rsid w:val="00D70DFB"/>
    <w:rsid w:val="00D73029"/>
    <w:rsid w:val="00D766DF"/>
    <w:rsid w:val="00D81D0C"/>
    <w:rsid w:val="00D82848"/>
    <w:rsid w:val="00D90833"/>
    <w:rsid w:val="00D976F9"/>
    <w:rsid w:val="00DB5F4E"/>
    <w:rsid w:val="00DC43F9"/>
    <w:rsid w:val="00DC46D1"/>
    <w:rsid w:val="00DE2002"/>
    <w:rsid w:val="00DF2437"/>
    <w:rsid w:val="00DF3B34"/>
    <w:rsid w:val="00DF7AE9"/>
    <w:rsid w:val="00E05704"/>
    <w:rsid w:val="00E10DD8"/>
    <w:rsid w:val="00E245A7"/>
    <w:rsid w:val="00E24D66"/>
    <w:rsid w:val="00E352DA"/>
    <w:rsid w:val="00E3778E"/>
    <w:rsid w:val="00E47FEA"/>
    <w:rsid w:val="00E54292"/>
    <w:rsid w:val="00E62394"/>
    <w:rsid w:val="00E67294"/>
    <w:rsid w:val="00E74DC7"/>
    <w:rsid w:val="00E82A8E"/>
    <w:rsid w:val="00E87699"/>
    <w:rsid w:val="00E87E5E"/>
    <w:rsid w:val="00E91F89"/>
    <w:rsid w:val="00EA5DFB"/>
    <w:rsid w:val="00EB433C"/>
    <w:rsid w:val="00EB7703"/>
    <w:rsid w:val="00ED492F"/>
    <w:rsid w:val="00ED778B"/>
    <w:rsid w:val="00EF2E3A"/>
    <w:rsid w:val="00F047E2"/>
    <w:rsid w:val="00F078DC"/>
    <w:rsid w:val="00F11085"/>
    <w:rsid w:val="00F13E86"/>
    <w:rsid w:val="00F15C75"/>
    <w:rsid w:val="00F17B00"/>
    <w:rsid w:val="00F2653E"/>
    <w:rsid w:val="00F55B02"/>
    <w:rsid w:val="00F63AC9"/>
    <w:rsid w:val="00F677A9"/>
    <w:rsid w:val="00F84361"/>
    <w:rsid w:val="00F84CF5"/>
    <w:rsid w:val="00F87076"/>
    <w:rsid w:val="00F92D35"/>
    <w:rsid w:val="00FA2BC8"/>
    <w:rsid w:val="00FA420B"/>
    <w:rsid w:val="00FB51AE"/>
    <w:rsid w:val="00FC46E2"/>
    <w:rsid w:val="00FC5E4A"/>
    <w:rsid w:val="00FD1E13"/>
    <w:rsid w:val="00FD7BDB"/>
    <w:rsid w:val="00FD7EB1"/>
    <w:rsid w:val="00FE39B9"/>
    <w:rsid w:val="00FE41C9"/>
    <w:rsid w:val="00FE7F93"/>
    <w:rsid w:val="00FF18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16A6"/>
    <w:pPr>
      <w:spacing w:line="260" w:lineRule="atLeast"/>
    </w:pPr>
    <w:rPr>
      <w:sz w:val="22"/>
    </w:rPr>
  </w:style>
  <w:style w:type="paragraph" w:styleId="Heading1">
    <w:name w:val="heading 1"/>
    <w:basedOn w:val="Normal"/>
    <w:next w:val="Normal"/>
    <w:link w:val="Heading1Char"/>
    <w:uiPriority w:val="9"/>
    <w:qFormat/>
    <w:rsid w:val="009B5A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5A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5A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A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5A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5A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5A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A7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B5A7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16A6"/>
  </w:style>
  <w:style w:type="paragraph" w:customStyle="1" w:styleId="OPCParaBase">
    <w:name w:val="OPCParaBase"/>
    <w:link w:val="OPCParaBaseChar"/>
    <w:qFormat/>
    <w:rsid w:val="003216A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216A6"/>
    <w:pPr>
      <w:spacing w:line="240" w:lineRule="auto"/>
    </w:pPr>
    <w:rPr>
      <w:b/>
      <w:sz w:val="40"/>
    </w:rPr>
  </w:style>
  <w:style w:type="paragraph" w:customStyle="1" w:styleId="ActHead1">
    <w:name w:val="ActHead 1"/>
    <w:aliases w:val="c"/>
    <w:basedOn w:val="OPCParaBase"/>
    <w:next w:val="Normal"/>
    <w:qFormat/>
    <w:rsid w:val="003216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16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16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16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216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16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16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16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16A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216A6"/>
  </w:style>
  <w:style w:type="paragraph" w:customStyle="1" w:styleId="Blocks">
    <w:name w:val="Blocks"/>
    <w:aliases w:val="bb"/>
    <w:basedOn w:val="OPCParaBase"/>
    <w:qFormat/>
    <w:rsid w:val="003216A6"/>
    <w:pPr>
      <w:spacing w:line="240" w:lineRule="auto"/>
    </w:pPr>
    <w:rPr>
      <w:sz w:val="24"/>
    </w:rPr>
  </w:style>
  <w:style w:type="paragraph" w:customStyle="1" w:styleId="BoxText">
    <w:name w:val="BoxText"/>
    <w:aliases w:val="bt"/>
    <w:basedOn w:val="OPCParaBase"/>
    <w:qFormat/>
    <w:rsid w:val="003216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16A6"/>
    <w:rPr>
      <w:b/>
    </w:rPr>
  </w:style>
  <w:style w:type="paragraph" w:customStyle="1" w:styleId="BoxHeadItalic">
    <w:name w:val="BoxHeadItalic"/>
    <w:aliases w:val="bhi"/>
    <w:basedOn w:val="BoxText"/>
    <w:next w:val="BoxStep"/>
    <w:qFormat/>
    <w:rsid w:val="003216A6"/>
    <w:rPr>
      <w:i/>
    </w:rPr>
  </w:style>
  <w:style w:type="paragraph" w:customStyle="1" w:styleId="BoxList">
    <w:name w:val="BoxList"/>
    <w:aliases w:val="bl"/>
    <w:basedOn w:val="BoxText"/>
    <w:qFormat/>
    <w:rsid w:val="003216A6"/>
    <w:pPr>
      <w:ind w:left="1559" w:hanging="425"/>
    </w:pPr>
  </w:style>
  <w:style w:type="paragraph" w:customStyle="1" w:styleId="BoxNote">
    <w:name w:val="BoxNote"/>
    <w:aliases w:val="bn"/>
    <w:basedOn w:val="BoxText"/>
    <w:qFormat/>
    <w:rsid w:val="003216A6"/>
    <w:pPr>
      <w:tabs>
        <w:tab w:val="left" w:pos="1985"/>
      </w:tabs>
      <w:spacing w:before="122" w:line="198" w:lineRule="exact"/>
      <w:ind w:left="2948" w:hanging="1814"/>
    </w:pPr>
    <w:rPr>
      <w:sz w:val="18"/>
    </w:rPr>
  </w:style>
  <w:style w:type="paragraph" w:customStyle="1" w:styleId="BoxPara">
    <w:name w:val="BoxPara"/>
    <w:aliases w:val="bp"/>
    <w:basedOn w:val="BoxText"/>
    <w:qFormat/>
    <w:rsid w:val="003216A6"/>
    <w:pPr>
      <w:tabs>
        <w:tab w:val="right" w:pos="2268"/>
      </w:tabs>
      <w:ind w:left="2552" w:hanging="1418"/>
    </w:pPr>
  </w:style>
  <w:style w:type="paragraph" w:customStyle="1" w:styleId="BoxStep">
    <w:name w:val="BoxStep"/>
    <w:aliases w:val="bs"/>
    <w:basedOn w:val="BoxText"/>
    <w:qFormat/>
    <w:rsid w:val="003216A6"/>
    <w:pPr>
      <w:ind w:left="1985" w:hanging="851"/>
    </w:pPr>
  </w:style>
  <w:style w:type="character" w:customStyle="1" w:styleId="CharAmPartNo">
    <w:name w:val="CharAmPartNo"/>
    <w:basedOn w:val="OPCCharBase"/>
    <w:qFormat/>
    <w:rsid w:val="003216A6"/>
  </w:style>
  <w:style w:type="character" w:customStyle="1" w:styleId="CharAmPartText">
    <w:name w:val="CharAmPartText"/>
    <w:basedOn w:val="OPCCharBase"/>
    <w:qFormat/>
    <w:rsid w:val="003216A6"/>
  </w:style>
  <w:style w:type="character" w:customStyle="1" w:styleId="CharAmSchNo">
    <w:name w:val="CharAmSchNo"/>
    <w:basedOn w:val="OPCCharBase"/>
    <w:qFormat/>
    <w:rsid w:val="003216A6"/>
  </w:style>
  <w:style w:type="character" w:customStyle="1" w:styleId="CharAmSchText">
    <w:name w:val="CharAmSchText"/>
    <w:basedOn w:val="OPCCharBase"/>
    <w:qFormat/>
    <w:rsid w:val="003216A6"/>
  </w:style>
  <w:style w:type="character" w:customStyle="1" w:styleId="CharBoldItalic">
    <w:name w:val="CharBoldItalic"/>
    <w:basedOn w:val="OPCCharBase"/>
    <w:uiPriority w:val="1"/>
    <w:qFormat/>
    <w:rsid w:val="003216A6"/>
    <w:rPr>
      <w:b/>
      <w:i/>
    </w:rPr>
  </w:style>
  <w:style w:type="character" w:customStyle="1" w:styleId="CharChapNo">
    <w:name w:val="CharChapNo"/>
    <w:basedOn w:val="OPCCharBase"/>
    <w:uiPriority w:val="1"/>
    <w:qFormat/>
    <w:rsid w:val="003216A6"/>
  </w:style>
  <w:style w:type="character" w:customStyle="1" w:styleId="CharChapText">
    <w:name w:val="CharChapText"/>
    <w:basedOn w:val="OPCCharBase"/>
    <w:uiPriority w:val="1"/>
    <w:qFormat/>
    <w:rsid w:val="003216A6"/>
  </w:style>
  <w:style w:type="character" w:customStyle="1" w:styleId="CharDivNo">
    <w:name w:val="CharDivNo"/>
    <w:basedOn w:val="OPCCharBase"/>
    <w:uiPriority w:val="1"/>
    <w:qFormat/>
    <w:rsid w:val="003216A6"/>
  </w:style>
  <w:style w:type="character" w:customStyle="1" w:styleId="CharDivText">
    <w:name w:val="CharDivText"/>
    <w:basedOn w:val="OPCCharBase"/>
    <w:uiPriority w:val="1"/>
    <w:qFormat/>
    <w:rsid w:val="003216A6"/>
  </w:style>
  <w:style w:type="character" w:customStyle="1" w:styleId="CharItalic">
    <w:name w:val="CharItalic"/>
    <w:basedOn w:val="OPCCharBase"/>
    <w:uiPriority w:val="1"/>
    <w:qFormat/>
    <w:rsid w:val="003216A6"/>
    <w:rPr>
      <w:i/>
    </w:rPr>
  </w:style>
  <w:style w:type="character" w:customStyle="1" w:styleId="CharPartNo">
    <w:name w:val="CharPartNo"/>
    <w:basedOn w:val="OPCCharBase"/>
    <w:uiPriority w:val="1"/>
    <w:qFormat/>
    <w:rsid w:val="003216A6"/>
  </w:style>
  <w:style w:type="character" w:customStyle="1" w:styleId="CharPartText">
    <w:name w:val="CharPartText"/>
    <w:basedOn w:val="OPCCharBase"/>
    <w:uiPriority w:val="1"/>
    <w:qFormat/>
    <w:rsid w:val="003216A6"/>
  </w:style>
  <w:style w:type="character" w:customStyle="1" w:styleId="CharSectno">
    <w:name w:val="CharSectno"/>
    <w:basedOn w:val="OPCCharBase"/>
    <w:qFormat/>
    <w:rsid w:val="003216A6"/>
  </w:style>
  <w:style w:type="character" w:customStyle="1" w:styleId="CharSubdNo">
    <w:name w:val="CharSubdNo"/>
    <w:basedOn w:val="OPCCharBase"/>
    <w:uiPriority w:val="1"/>
    <w:qFormat/>
    <w:rsid w:val="003216A6"/>
  </w:style>
  <w:style w:type="character" w:customStyle="1" w:styleId="CharSubdText">
    <w:name w:val="CharSubdText"/>
    <w:basedOn w:val="OPCCharBase"/>
    <w:uiPriority w:val="1"/>
    <w:qFormat/>
    <w:rsid w:val="003216A6"/>
  </w:style>
  <w:style w:type="paragraph" w:customStyle="1" w:styleId="CTA--">
    <w:name w:val="CTA --"/>
    <w:basedOn w:val="OPCParaBase"/>
    <w:next w:val="Normal"/>
    <w:rsid w:val="003216A6"/>
    <w:pPr>
      <w:spacing w:before="60" w:line="240" w:lineRule="atLeast"/>
      <w:ind w:left="142" w:hanging="142"/>
    </w:pPr>
    <w:rPr>
      <w:sz w:val="20"/>
    </w:rPr>
  </w:style>
  <w:style w:type="paragraph" w:customStyle="1" w:styleId="CTA-">
    <w:name w:val="CTA -"/>
    <w:basedOn w:val="OPCParaBase"/>
    <w:rsid w:val="003216A6"/>
    <w:pPr>
      <w:spacing w:before="60" w:line="240" w:lineRule="atLeast"/>
      <w:ind w:left="85" w:hanging="85"/>
    </w:pPr>
    <w:rPr>
      <w:sz w:val="20"/>
    </w:rPr>
  </w:style>
  <w:style w:type="paragraph" w:customStyle="1" w:styleId="CTA---">
    <w:name w:val="CTA ---"/>
    <w:basedOn w:val="OPCParaBase"/>
    <w:next w:val="Normal"/>
    <w:rsid w:val="003216A6"/>
    <w:pPr>
      <w:spacing w:before="60" w:line="240" w:lineRule="atLeast"/>
      <w:ind w:left="198" w:hanging="198"/>
    </w:pPr>
    <w:rPr>
      <w:sz w:val="20"/>
    </w:rPr>
  </w:style>
  <w:style w:type="paragraph" w:customStyle="1" w:styleId="CTA----">
    <w:name w:val="CTA ----"/>
    <w:basedOn w:val="OPCParaBase"/>
    <w:next w:val="Normal"/>
    <w:rsid w:val="003216A6"/>
    <w:pPr>
      <w:spacing w:before="60" w:line="240" w:lineRule="atLeast"/>
      <w:ind w:left="255" w:hanging="255"/>
    </w:pPr>
    <w:rPr>
      <w:sz w:val="20"/>
    </w:rPr>
  </w:style>
  <w:style w:type="paragraph" w:customStyle="1" w:styleId="CTA1a">
    <w:name w:val="CTA 1(a)"/>
    <w:basedOn w:val="OPCParaBase"/>
    <w:rsid w:val="003216A6"/>
    <w:pPr>
      <w:tabs>
        <w:tab w:val="right" w:pos="414"/>
      </w:tabs>
      <w:spacing w:before="40" w:line="240" w:lineRule="atLeast"/>
      <w:ind w:left="675" w:hanging="675"/>
    </w:pPr>
    <w:rPr>
      <w:sz w:val="20"/>
    </w:rPr>
  </w:style>
  <w:style w:type="paragraph" w:customStyle="1" w:styleId="CTA1ai">
    <w:name w:val="CTA 1(a)(i)"/>
    <w:basedOn w:val="OPCParaBase"/>
    <w:rsid w:val="003216A6"/>
    <w:pPr>
      <w:tabs>
        <w:tab w:val="right" w:pos="1004"/>
      </w:tabs>
      <w:spacing w:before="40" w:line="240" w:lineRule="atLeast"/>
      <w:ind w:left="1253" w:hanging="1253"/>
    </w:pPr>
    <w:rPr>
      <w:sz w:val="20"/>
    </w:rPr>
  </w:style>
  <w:style w:type="paragraph" w:customStyle="1" w:styleId="CTA2a">
    <w:name w:val="CTA 2(a)"/>
    <w:basedOn w:val="OPCParaBase"/>
    <w:rsid w:val="003216A6"/>
    <w:pPr>
      <w:tabs>
        <w:tab w:val="right" w:pos="482"/>
      </w:tabs>
      <w:spacing w:before="40" w:line="240" w:lineRule="atLeast"/>
      <w:ind w:left="748" w:hanging="748"/>
    </w:pPr>
    <w:rPr>
      <w:sz w:val="20"/>
    </w:rPr>
  </w:style>
  <w:style w:type="paragraph" w:customStyle="1" w:styleId="CTA2ai">
    <w:name w:val="CTA 2(a)(i)"/>
    <w:basedOn w:val="OPCParaBase"/>
    <w:rsid w:val="003216A6"/>
    <w:pPr>
      <w:tabs>
        <w:tab w:val="right" w:pos="1089"/>
      </w:tabs>
      <w:spacing w:before="40" w:line="240" w:lineRule="atLeast"/>
      <w:ind w:left="1327" w:hanging="1327"/>
    </w:pPr>
    <w:rPr>
      <w:sz w:val="20"/>
    </w:rPr>
  </w:style>
  <w:style w:type="paragraph" w:customStyle="1" w:styleId="CTA3a">
    <w:name w:val="CTA 3(a)"/>
    <w:basedOn w:val="OPCParaBase"/>
    <w:rsid w:val="003216A6"/>
    <w:pPr>
      <w:tabs>
        <w:tab w:val="right" w:pos="556"/>
      </w:tabs>
      <w:spacing w:before="40" w:line="240" w:lineRule="atLeast"/>
      <w:ind w:left="805" w:hanging="805"/>
    </w:pPr>
    <w:rPr>
      <w:sz w:val="20"/>
    </w:rPr>
  </w:style>
  <w:style w:type="paragraph" w:customStyle="1" w:styleId="CTA3ai">
    <w:name w:val="CTA 3(a)(i)"/>
    <w:basedOn w:val="OPCParaBase"/>
    <w:rsid w:val="003216A6"/>
    <w:pPr>
      <w:tabs>
        <w:tab w:val="right" w:pos="1140"/>
      </w:tabs>
      <w:spacing w:before="40" w:line="240" w:lineRule="atLeast"/>
      <w:ind w:left="1361" w:hanging="1361"/>
    </w:pPr>
    <w:rPr>
      <w:sz w:val="20"/>
    </w:rPr>
  </w:style>
  <w:style w:type="paragraph" w:customStyle="1" w:styleId="CTA4a">
    <w:name w:val="CTA 4(a)"/>
    <w:basedOn w:val="OPCParaBase"/>
    <w:rsid w:val="003216A6"/>
    <w:pPr>
      <w:tabs>
        <w:tab w:val="right" w:pos="624"/>
      </w:tabs>
      <w:spacing w:before="40" w:line="240" w:lineRule="atLeast"/>
      <w:ind w:left="873" w:hanging="873"/>
    </w:pPr>
    <w:rPr>
      <w:sz w:val="20"/>
    </w:rPr>
  </w:style>
  <w:style w:type="paragraph" w:customStyle="1" w:styleId="CTA4ai">
    <w:name w:val="CTA 4(a)(i)"/>
    <w:basedOn w:val="OPCParaBase"/>
    <w:rsid w:val="003216A6"/>
    <w:pPr>
      <w:tabs>
        <w:tab w:val="right" w:pos="1213"/>
      </w:tabs>
      <w:spacing w:before="40" w:line="240" w:lineRule="atLeast"/>
      <w:ind w:left="1452" w:hanging="1452"/>
    </w:pPr>
    <w:rPr>
      <w:sz w:val="20"/>
    </w:rPr>
  </w:style>
  <w:style w:type="paragraph" w:customStyle="1" w:styleId="CTACAPS">
    <w:name w:val="CTA CAPS"/>
    <w:basedOn w:val="OPCParaBase"/>
    <w:rsid w:val="003216A6"/>
    <w:pPr>
      <w:spacing w:before="60" w:line="240" w:lineRule="atLeast"/>
    </w:pPr>
    <w:rPr>
      <w:sz w:val="20"/>
    </w:rPr>
  </w:style>
  <w:style w:type="paragraph" w:customStyle="1" w:styleId="CTAright">
    <w:name w:val="CTA right"/>
    <w:basedOn w:val="OPCParaBase"/>
    <w:rsid w:val="003216A6"/>
    <w:pPr>
      <w:spacing w:before="60" w:line="240" w:lineRule="auto"/>
      <w:jc w:val="right"/>
    </w:pPr>
    <w:rPr>
      <w:sz w:val="20"/>
    </w:rPr>
  </w:style>
  <w:style w:type="paragraph" w:customStyle="1" w:styleId="subsection">
    <w:name w:val="subsection"/>
    <w:aliases w:val="ss"/>
    <w:basedOn w:val="OPCParaBase"/>
    <w:link w:val="subsectionChar"/>
    <w:rsid w:val="003216A6"/>
    <w:pPr>
      <w:tabs>
        <w:tab w:val="right" w:pos="1021"/>
      </w:tabs>
      <w:spacing w:before="180" w:line="240" w:lineRule="auto"/>
      <w:ind w:left="1134" w:hanging="1134"/>
    </w:pPr>
  </w:style>
  <w:style w:type="paragraph" w:customStyle="1" w:styleId="Definition">
    <w:name w:val="Definition"/>
    <w:aliases w:val="dd"/>
    <w:basedOn w:val="OPCParaBase"/>
    <w:rsid w:val="003216A6"/>
    <w:pPr>
      <w:spacing w:before="180" w:line="240" w:lineRule="auto"/>
      <w:ind w:left="1134"/>
    </w:pPr>
  </w:style>
  <w:style w:type="paragraph" w:customStyle="1" w:styleId="ETAsubitem">
    <w:name w:val="ETA(subitem)"/>
    <w:basedOn w:val="OPCParaBase"/>
    <w:rsid w:val="003216A6"/>
    <w:pPr>
      <w:tabs>
        <w:tab w:val="right" w:pos="340"/>
      </w:tabs>
      <w:spacing w:before="60" w:line="240" w:lineRule="auto"/>
      <w:ind w:left="454" w:hanging="454"/>
    </w:pPr>
    <w:rPr>
      <w:sz w:val="20"/>
    </w:rPr>
  </w:style>
  <w:style w:type="paragraph" w:customStyle="1" w:styleId="ETApara">
    <w:name w:val="ETA(para)"/>
    <w:basedOn w:val="OPCParaBase"/>
    <w:rsid w:val="003216A6"/>
    <w:pPr>
      <w:tabs>
        <w:tab w:val="right" w:pos="754"/>
      </w:tabs>
      <w:spacing w:before="60" w:line="240" w:lineRule="auto"/>
      <w:ind w:left="828" w:hanging="828"/>
    </w:pPr>
    <w:rPr>
      <w:sz w:val="20"/>
    </w:rPr>
  </w:style>
  <w:style w:type="paragraph" w:customStyle="1" w:styleId="ETAsubpara">
    <w:name w:val="ETA(subpara)"/>
    <w:basedOn w:val="OPCParaBase"/>
    <w:rsid w:val="003216A6"/>
    <w:pPr>
      <w:tabs>
        <w:tab w:val="right" w:pos="1083"/>
      </w:tabs>
      <w:spacing w:before="60" w:line="240" w:lineRule="auto"/>
      <w:ind w:left="1191" w:hanging="1191"/>
    </w:pPr>
    <w:rPr>
      <w:sz w:val="20"/>
    </w:rPr>
  </w:style>
  <w:style w:type="paragraph" w:customStyle="1" w:styleId="ETAsub-subpara">
    <w:name w:val="ETA(sub-subpara)"/>
    <w:basedOn w:val="OPCParaBase"/>
    <w:rsid w:val="003216A6"/>
    <w:pPr>
      <w:tabs>
        <w:tab w:val="right" w:pos="1412"/>
      </w:tabs>
      <w:spacing w:before="60" w:line="240" w:lineRule="auto"/>
      <w:ind w:left="1525" w:hanging="1525"/>
    </w:pPr>
    <w:rPr>
      <w:sz w:val="20"/>
    </w:rPr>
  </w:style>
  <w:style w:type="paragraph" w:customStyle="1" w:styleId="Formula">
    <w:name w:val="Formula"/>
    <w:basedOn w:val="OPCParaBase"/>
    <w:rsid w:val="003216A6"/>
    <w:pPr>
      <w:spacing w:line="240" w:lineRule="auto"/>
      <w:ind w:left="1134"/>
    </w:pPr>
    <w:rPr>
      <w:sz w:val="20"/>
    </w:rPr>
  </w:style>
  <w:style w:type="paragraph" w:styleId="Header">
    <w:name w:val="header"/>
    <w:basedOn w:val="OPCParaBase"/>
    <w:link w:val="HeaderChar"/>
    <w:unhideWhenUsed/>
    <w:rsid w:val="003216A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16A6"/>
    <w:rPr>
      <w:rFonts w:eastAsia="Times New Roman" w:cs="Times New Roman"/>
      <w:sz w:val="16"/>
      <w:lang w:eastAsia="en-AU"/>
    </w:rPr>
  </w:style>
  <w:style w:type="paragraph" w:customStyle="1" w:styleId="House">
    <w:name w:val="House"/>
    <w:basedOn w:val="OPCParaBase"/>
    <w:rsid w:val="003216A6"/>
    <w:pPr>
      <w:spacing w:line="240" w:lineRule="auto"/>
    </w:pPr>
    <w:rPr>
      <w:sz w:val="28"/>
    </w:rPr>
  </w:style>
  <w:style w:type="paragraph" w:customStyle="1" w:styleId="Item">
    <w:name w:val="Item"/>
    <w:aliases w:val="i"/>
    <w:basedOn w:val="OPCParaBase"/>
    <w:next w:val="ItemHead"/>
    <w:rsid w:val="003216A6"/>
    <w:pPr>
      <w:keepLines/>
      <w:spacing w:before="80" w:line="240" w:lineRule="auto"/>
      <w:ind w:left="709"/>
    </w:pPr>
  </w:style>
  <w:style w:type="paragraph" w:customStyle="1" w:styleId="ItemHead">
    <w:name w:val="ItemHead"/>
    <w:aliases w:val="ih"/>
    <w:basedOn w:val="OPCParaBase"/>
    <w:next w:val="Item"/>
    <w:rsid w:val="003216A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16A6"/>
    <w:pPr>
      <w:spacing w:line="240" w:lineRule="auto"/>
    </w:pPr>
    <w:rPr>
      <w:b/>
      <w:sz w:val="32"/>
    </w:rPr>
  </w:style>
  <w:style w:type="paragraph" w:customStyle="1" w:styleId="notedraft">
    <w:name w:val="note(draft)"/>
    <w:aliases w:val="nd"/>
    <w:basedOn w:val="OPCParaBase"/>
    <w:rsid w:val="003216A6"/>
    <w:pPr>
      <w:spacing w:before="240" w:line="240" w:lineRule="auto"/>
      <w:ind w:left="284" w:hanging="284"/>
    </w:pPr>
    <w:rPr>
      <w:i/>
      <w:sz w:val="24"/>
    </w:rPr>
  </w:style>
  <w:style w:type="paragraph" w:customStyle="1" w:styleId="notemargin">
    <w:name w:val="note(margin)"/>
    <w:aliases w:val="nm"/>
    <w:basedOn w:val="OPCParaBase"/>
    <w:rsid w:val="003216A6"/>
    <w:pPr>
      <w:tabs>
        <w:tab w:val="left" w:pos="709"/>
      </w:tabs>
      <w:spacing w:before="122" w:line="198" w:lineRule="exact"/>
      <w:ind w:left="709" w:hanging="709"/>
    </w:pPr>
    <w:rPr>
      <w:sz w:val="18"/>
    </w:rPr>
  </w:style>
  <w:style w:type="paragraph" w:customStyle="1" w:styleId="noteToPara">
    <w:name w:val="noteToPara"/>
    <w:aliases w:val="ntp"/>
    <w:basedOn w:val="OPCParaBase"/>
    <w:rsid w:val="003216A6"/>
    <w:pPr>
      <w:spacing w:before="122" w:line="198" w:lineRule="exact"/>
      <w:ind w:left="2353" w:hanging="709"/>
    </w:pPr>
    <w:rPr>
      <w:sz w:val="18"/>
    </w:rPr>
  </w:style>
  <w:style w:type="paragraph" w:customStyle="1" w:styleId="noteParlAmend">
    <w:name w:val="note(ParlAmend)"/>
    <w:aliases w:val="npp"/>
    <w:basedOn w:val="OPCParaBase"/>
    <w:next w:val="ParlAmend"/>
    <w:rsid w:val="003216A6"/>
    <w:pPr>
      <w:spacing w:line="240" w:lineRule="auto"/>
      <w:jc w:val="right"/>
    </w:pPr>
    <w:rPr>
      <w:rFonts w:ascii="Arial" w:hAnsi="Arial"/>
      <w:b/>
      <w:i/>
    </w:rPr>
  </w:style>
  <w:style w:type="paragraph" w:customStyle="1" w:styleId="Page1">
    <w:name w:val="Page1"/>
    <w:basedOn w:val="OPCParaBase"/>
    <w:rsid w:val="003216A6"/>
    <w:pPr>
      <w:spacing w:before="400" w:line="240" w:lineRule="auto"/>
    </w:pPr>
    <w:rPr>
      <w:b/>
      <w:sz w:val="32"/>
    </w:rPr>
  </w:style>
  <w:style w:type="paragraph" w:customStyle="1" w:styleId="PageBreak">
    <w:name w:val="PageBreak"/>
    <w:aliases w:val="pb"/>
    <w:basedOn w:val="OPCParaBase"/>
    <w:rsid w:val="003216A6"/>
    <w:pPr>
      <w:spacing w:line="240" w:lineRule="auto"/>
    </w:pPr>
    <w:rPr>
      <w:sz w:val="20"/>
    </w:rPr>
  </w:style>
  <w:style w:type="paragraph" w:customStyle="1" w:styleId="paragraphsub">
    <w:name w:val="paragraph(sub)"/>
    <w:aliases w:val="aa"/>
    <w:basedOn w:val="OPCParaBase"/>
    <w:rsid w:val="003216A6"/>
    <w:pPr>
      <w:tabs>
        <w:tab w:val="right" w:pos="1985"/>
      </w:tabs>
      <w:spacing w:before="40" w:line="240" w:lineRule="auto"/>
      <w:ind w:left="2098" w:hanging="2098"/>
    </w:pPr>
  </w:style>
  <w:style w:type="paragraph" w:customStyle="1" w:styleId="paragraphsub-sub">
    <w:name w:val="paragraph(sub-sub)"/>
    <w:aliases w:val="aaa"/>
    <w:basedOn w:val="OPCParaBase"/>
    <w:rsid w:val="003216A6"/>
    <w:pPr>
      <w:tabs>
        <w:tab w:val="right" w:pos="2722"/>
      </w:tabs>
      <w:spacing w:before="40" w:line="240" w:lineRule="auto"/>
      <w:ind w:left="2835" w:hanging="2835"/>
    </w:pPr>
  </w:style>
  <w:style w:type="paragraph" w:customStyle="1" w:styleId="paragraph">
    <w:name w:val="paragraph"/>
    <w:aliases w:val="a"/>
    <w:basedOn w:val="OPCParaBase"/>
    <w:link w:val="paragraphChar"/>
    <w:rsid w:val="003216A6"/>
    <w:pPr>
      <w:tabs>
        <w:tab w:val="right" w:pos="1531"/>
      </w:tabs>
      <w:spacing w:before="40" w:line="240" w:lineRule="auto"/>
      <w:ind w:left="1644" w:hanging="1644"/>
    </w:pPr>
  </w:style>
  <w:style w:type="paragraph" w:customStyle="1" w:styleId="ParlAmend">
    <w:name w:val="ParlAmend"/>
    <w:aliases w:val="pp"/>
    <w:basedOn w:val="OPCParaBase"/>
    <w:rsid w:val="003216A6"/>
    <w:pPr>
      <w:spacing w:before="240" w:line="240" w:lineRule="atLeast"/>
      <w:ind w:hanging="567"/>
    </w:pPr>
    <w:rPr>
      <w:sz w:val="24"/>
    </w:rPr>
  </w:style>
  <w:style w:type="paragraph" w:customStyle="1" w:styleId="Penalty">
    <w:name w:val="Penalty"/>
    <w:basedOn w:val="OPCParaBase"/>
    <w:rsid w:val="003216A6"/>
    <w:pPr>
      <w:tabs>
        <w:tab w:val="left" w:pos="2977"/>
      </w:tabs>
      <w:spacing w:before="180" w:line="240" w:lineRule="auto"/>
      <w:ind w:left="1985" w:hanging="851"/>
    </w:pPr>
  </w:style>
  <w:style w:type="paragraph" w:customStyle="1" w:styleId="Portfolio">
    <w:name w:val="Portfolio"/>
    <w:basedOn w:val="OPCParaBase"/>
    <w:rsid w:val="003216A6"/>
    <w:pPr>
      <w:spacing w:line="240" w:lineRule="auto"/>
    </w:pPr>
    <w:rPr>
      <w:i/>
      <w:sz w:val="20"/>
    </w:rPr>
  </w:style>
  <w:style w:type="paragraph" w:customStyle="1" w:styleId="Preamble">
    <w:name w:val="Preamble"/>
    <w:basedOn w:val="OPCParaBase"/>
    <w:next w:val="Normal"/>
    <w:rsid w:val="003216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16A6"/>
    <w:pPr>
      <w:spacing w:line="240" w:lineRule="auto"/>
    </w:pPr>
    <w:rPr>
      <w:i/>
      <w:sz w:val="20"/>
    </w:rPr>
  </w:style>
  <w:style w:type="paragraph" w:customStyle="1" w:styleId="Session">
    <w:name w:val="Session"/>
    <w:basedOn w:val="OPCParaBase"/>
    <w:rsid w:val="003216A6"/>
    <w:pPr>
      <w:spacing w:line="240" w:lineRule="auto"/>
    </w:pPr>
    <w:rPr>
      <w:sz w:val="28"/>
    </w:rPr>
  </w:style>
  <w:style w:type="paragraph" w:customStyle="1" w:styleId="Sponsor">
    <w:name w:val="Sponsor"/>
    <w:basedOn w:val="OPCParaBase"/>
    <w:rsid w:val="003216A6"/>
    <w:pPr>
      <w:spacing w:line="240" w:lineRule="auto"/>
    </w:pPr>
    <w:rPr>
      <w:i/>
    </w:rPr>
  </w:style>
  <w:style w:type="paragraph" w:customStyle="1" w:styleId="Subitem">
    <w:name w:val="Subitem"/>
    <w:aliases w:val="iss"/>
    <w:basedOn w:val="OPCParaBase"/>
    <w:rsid w:val="003216A6"/>
    <w:pPr>
      <w:spacing w:before="180" w:line="240" w:lineRule="auto"/>
      <w:ind w:left="709" w:hanging="709"/>
    </w:pPr>
  </w:style>
  <w:style w:type="paragraph" w:customStyle="1" w:styleId="SubitemHead">
    <w:name w:val="SubitemHead"/>
    <w:aliases w:val="issh"/>
    <w:basedOn w:val="OPCParaBase"/>
    <w:rsid w:val="003216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16A6"/>
    <w:pPr>
      <w:spacing w:before="40" w:line="240" w:lineRule="auto"/>
      <w:ind w:left="1134"/>
    </w:pPr>
  </w:style>
  <w:style w:type="paragraph" w:customStyle="1" w:styleId="SubsectionHead">
    <w:name w:val="SubsectionHead"/>
    <w:aliases w:val="ssh"/>
    <w:basedOn w:val="OPCParaBase"/>
    <w:next w:val="subsection"/>
    <w:rsid w:val="003216A6"/>
    <w:pPr>
      <w:keepNext/>
      <w:keepLines/>
      <w:spacing w:before="240" w:line="240" w:lineRule="auto"/>
      <w:ind w:left="1134"/>
    </w:pPr>
    <w:rPr>
      <w:i/>
    </w:rPr>
  </w:style>
  <w:style w:type="paragraph" w:customStyle="1" w:styleId="Tablea">
    <w:name w:val="Table(a)"/>
    <w:aliases w:val="ta"/>
    <w:basedOn w:val="OPCParaBase"/>
    <w:rsid w:val="003216A6"/>
    <w:pPr>
      <w:spacing w:before="60" w:line="240" w:lineRule="auto"/>
      <w:ind w:left="284" w:hanging="284"/>
    </w:pPr>
    <w:rPr>
      <w:sz w:val="20"/>
    </w:rPr>
  </w:style>
  <w:style w:type="paragraph" w:customStyle="1" w:styleId="TableAA">
    <w:name w:val="Table(AA)"/>
    <w:aliases w:val="taaa"/>
    <w:basedOn w:val="OPCParaBase"/>
    <w:rsid w:val="003216A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16A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16A6"/>
    <w:pPr>
      <w:spacing w:before="60" w:line="240" w:lineRule="atLeast"/>
    </w:pPr>
    <w:rPr>
      <w:sz w:val="20"/>
    </w:rPr>
  </w:style>
  <w:style w:type="paragraph" w:customStyle="1" w:styleId="TLPBoxTextnote">
    <w:name w:val="TLPBoxText(note"/>
    <w:aliases w:val="right)"/>
    <w:basedOn w:val="OPCParaBase"/>
    <w:rsid w:val="003216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16A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16A6"/>
    <w:pPr>
      <w:spacing w:before="122" w:line="198" w:lineRule="exact"/>
      <w:ind w:left="1985" w:hanging="851"/>
      <w:jc w:val="right"/>
    </w:pPr>
    <w:rPr>
      <w:sz w:val="18"/>
    </w:rPr>
  </w:style>
  <w:style w:type="paragraph" w:customStyle="1" w:styleId="TLPTableBullet">
    <w:name w:val="TLPTableBullet"/>
    <w:aliases w:val="ttb"/>
    <w:basedOn w:val="OPCParaBase"/>
    <w:rsid w:val="003216A6"/>
    <w:pPr>
      <w:spacing w:line="240" w:lineRule="exact"/>
      <w:ind w:left="284" w:hanging="284"/>
    </w:pPr>
    <w:rPr>
      <w:sz w:val="20"/>
    </w:rPr>
  </w:style>
  <w:style w:type="paragraph" w:styleId="TOC1">
    <w:name w:val="toc 1"/>
    <w:basedOn w:val="OPCParaBase"/>
    <w:next w:val="Normal"/>
    <w:uiPriority w:val="39"/>
    <w:unhideWhenUsed/>
    <w:rsid w:val="003216A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16A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216A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216A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216A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216A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216A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216A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16A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16A6"/>
    <w:pPr>
      <w:keepLines/>
      <w:spacing w:before="240" w:after="120" w:line="240" w:lineRule="auto"/>
      <w:ind w:left="794"/>
    </w:pPr>
    <w:rPr>
      <w:b/>
      <w:kern w:val="28"/>
      <w:sz w:val="20"/>
    </w:rPr>
  </w:style>
  <w:style w:type="paragraph" w:customStyle="1" w:styleId="TofSectsHeading">
    <w:name w:val="TofSects(Heading)"/>
    <w:basedOn w:val="OPCParaBase"/>
    <w:rsid w:val="003216A6"/>
    <w:pPr>
      <w:spacing w:before="240" w:after="120" w:line="240" w:lineRule="auto"/>
    </w:pPr>
    <w:rPr>
      <w:b/>
      <w:sz w:val="24"/>
    </w:rPr>
  </w:style>
  <w:style w:type="paragraph" w:customStyle="1" w:styleId="TofSectsSection">
    <w:name w:val="TofSects(Section)"/>
    <w:basedOn w:val="OPCParaBase"/>
    <w:rsid w:val="003216A6"/>
    <w:pPr>
      <w:keepLines/>
      <w:spacing w:before="40" w:line="240" w:lineRule="auto"/>
      <w:ind w:left="1588" w:hanging="794"/>
    </w:pPr>
    <w:rPr>
      <w:kern w:val="28"/>
      <w:sz w:val="18"/>
    </w:rPr>
  </w:style>
  <w:style w:type="paragraph" w:customStyle="1" w:styleId="TofSectsSubdiv">
    <w:name w:val="TofSects(Subdiv)"/>
    <w:basedOn w:val="OPCParaBase"/>
    <w:rsid w:val="003216A6"/>
    <w:pPr>
      <w:keepLines/>
      <w:spacing w:before="80" w:line="240" w:lineRule="auto"/>
      <w:ind w:left="1588" w:hanging="794"/>
    </w:pPr>
    <w:rPr>
      <w:kern w:val="28"/>
    </w:rPr>
  </w:style>
  <w:style w:type="paragraph" w:customStyle="1" w:styleId="WRStyle">
    <w:name w:val="WR Style"/>
    <w:aliases w:val="WR"/>
    <w:basedOn w:val="OPCParaBase"/>
    <w:rsid w:val="003216A6"/>
    <w:pPr>
      <w:spacing w:before="240" w:line="240" w:lineRule="auto"/>
      <w:ind w:left="284" w:hanging="284"/>
    </w:pPr>
    <w:rPr>
      <w:b/>
      <w:i/>
      <w:kern w:val="28"/>
      <w:sz w:val="24"/>
    </w:rPr>
  </w:style>
  <w:style w:type="paragraph" w:customStyle="1" w:styleId="notepara">
    <w:name w:val="note(para)"/>
    <w:aliases w:val="na"/>
    <w:basedOn w:val="OPCParaBase"/>
    <w:rsid w:val="003216A6"/>
    <w:pPr>
      <w:spacing w:before="40" w:line="198" w:lineRule="exact"/>
      <w:ind w:left="2354" w:hanging="369"/>
    </w:pPr>
    <w:rPr>
      <w:sz w:val="18"/>
    </w:rPr>
  </w:style>
  <w:style w:type="paragraph" w:styleId="Footer">
    <w:name w:val="footer"/>
    <w:link w:val="FooterChar"/>
    <w:rsid w:val="003216A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16A6"/>
    <w:rPr>
      <w:rFonts w:eastAsia="Times New Roman" w:cs="Times New Roman"/>
      <w:sz w:val="22"/>
      <w:szCs w:val="24"/>
      <w:lang w:eastAsia="en-AU"/>
    </w:rPr>
  </w:style>
  <w:style w:type="character" w:styleId="LineNumber">
    <w:name w:val="line number"/>
    <w:basedOn w:val="OPCCharBase"/>
    <w:uiPriority w:val="99"/>
    <w:semiHidden/>
    <w:unhideWhenUsed/>
    <w:rsid w:val="003216A6"/>
    <w:rPr>
      <w:sz w:val="16"/>
    </w:rPr>
  </w:style>
  <w:style w:type="table" w:customStyle="1" w:styleId="CFlag">
    <w:name w:val="CFlag"/>
    <w:basedOn w:val="TableNormal"/>
    <w:uiPriority w:val="99"/>
    <w:rsid w:val="003216A6"/>
    <w:rPr>
      <w:rFonts w:eastAsia="Times New Roman" w:cs="Times New Roman"/>
      <w:lang w:eastAsia="en-AU"/>
    </w:rPr>
    <w:tblPr/>
  </w:style>
  <w:style w:type="paragraph" w:customStyle="1" w:styleId="NotesHeading1">
    <w:name w:val="NotesHeading 1"/>
    <w:basedOn w:val="OPCParaBase"/>
    <w:next w:val="Normal"/>
    <w:rsid w:val="003216A6"/>
    <w:rPr>
      <w:b/>
      <w:sz w:val="28"/>
      <w:szCs w:val="28"/>
    </w:rPr>
  </w:style>
  <w:style w:type="paragraph" w:customStyle="1" w:styleId="NotesHeading2">
    <w:name w:val="NotesHeading 2"/>
    <w:basedOn w:val="OPCParaBase"/>
    <w:next w:val="Normal"/>
    <w:rsid w:val="003216A6"/>
    <w:rPr>
      <w:b/>
      <w:sz w:val="28"/>
      <w:szCs w:val="28"/>
    </w:rPr>
  </w:style>
  <w:style w:type="paragraph" w:customStyle="1" w:styleId="SignCoverPageEnd">
    <w:name w:val="SignCoverPageEnd"/>
    <w:basedOn w:val="OPCParaBase"/>
    <w:next w:val="Normal"/>
    <w:rsid w:val="003216A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216A6"/>
    <w:pPr>
      <w:pBdr>
        <w:top w:val="single" w:sz="4" w:space="1" w:color="auto"/>
      </w:pBdr>
      <w:spacing w:before="360"/>
      <w:ind w:right="397"/>
      <w:jc w:val="both"/>
    </w:pPr>
  </w:style>
  <w:style w:type="paragraph" w:customStyle="1" w:styleId="Paragraphsub-sub-sub">
    <w:name w:val="Paragraph(sub-sub-sub)"/>
    <w:aliases w:val="aaaa"/>
    <w:basedOn w:val="OPCParaBase"/>
    <w:rsid w:val="003216A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216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16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216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16A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216A6"/>
    <w:pPr>
      <w:spacing w:before="120"/>
    </w:pPr>
  </w:style>
  <w:style w:type="paragraph" w:customStyle="1" w:styleId="TableTextEndNotes">
    <w:name w:val="TableTextEndNotes"/>
    <w:aliases w:val="Tten"/>
    <w:basedOn w:val="Normal"/>
    <w:rsid w:val="003216A6"/>
    <w:pPr>
      <w:spacing w:before="60" w:line="240" w:lineRule="auto"/>
    </w:pPr>
    <w:rPr>
      <w:rFonts w:cs="Arial"/>
      <w:sz w:val="20"/>
      <w:szCs w:val="22"/>
    </w:rPr>
  </w:style>
  <w:style w:type="paragraph" w:customStyle="1" w:styleId="TableHeading">
    <w:name w:val="TableHeading"/>
    <w:aliases w:val="th"/>
    <w:basedOn w:val="OPCParaBase"/>
    <w:next w:val="Tabletext"/>
    <w:rsid w:val="003216A6"/>
    <w:pPr>
      <w:keepNext/>
      <w:spacing w:before="60" w:line="240" w:lineRule="atLeast"/>
    </w:pPr>
    <w:rPr>
      <w:b/>
      <w:sz w:val="20"/>
    </w:rPr>
  </w:style>
  <w:style w:type="paragraph" w:customStyle="1" w:styleId="NoteToSubpara">
    <w:name w:val="NoteToSubpara"/>
    <w:aliases w:val="nts"/>
    <w:basedOn w:val="OPCParaBase"/>
    <w:rsid w:val="003216A6"/>
    <w:pPr>
      <w:spacing w:before="40" w:line="198" w:lineRule="exact"/>
      <w:ind w:left="2835" w:hanging="709"/>
    </w:pPr>
    <w:rPr>
      <w:sz w:val="18"/>
    </w:rPr>
  </w:style>
  <w:style w:type="paragraph" w:customStyle="1" w:styleId="ENoteTableHeading">
    <w:name w:val="ENoteTableHeading"/>
    <w:aliases w:val="enth"/>
    <w:basedOn w:val="OPCParaBase"/>
    <w:rsid w:val="003216A6"/>
    <w:pPr>
      <w:keepNext/>
      <w:spacing w:before="60" w:line="240" w:lineRule="atLeast"/>
    </w:pPr>
    <w:rPr>
      <w:rFonts w:ascii="Arial" w:hAnsi="Arial"/>
      <w:b/>
      <w:sz w:val="16"/>
    </w:rPr>
  </w:style>
  <w:style w:type="paragraph" w:customStyle="1" w:styleId="ENoteTTi">
    <w:name w:val="ENoteTTi"/>
    <w:aliases w:val="entti"/>
    <w:basedOn w:val="OPCParaBase"/>
    <w:rsid w:val="003216A6"/>
    <w:pPr>
      <w:keepNext/>
      <w:spacing w:before="60" w:line="240" w:lineRule="atLeast"/>
      <w:ind w:left="170"/>
    </w:pPr>
    <w:rPr>
      <w:sz w:val="16"/>
    </w:rPr>
  </w:style>
  <w:style w:type="paragraph" w:customStyle="1" w:styleId="ENotesHeading1">
    <w:name w:val="ENotesHeading 1"/>
    <w:aliases w:val="Enh1"/>
    <w:basedOn w:val="OPCParaBase"/>
    <w:next w:val="Normal"/>
    <w:rsid w:val="003216A6"/>
    <w:pPr>
      <w:spacing w:before="120"/>
      <w:outlineLvl w:val="1"/>
    </w:pPr>
    <w:rPr>
      <w:b/>
      <w:sz w:val="28"/>
      <w:szCs w:val="28"/>
    </w:rPr>
  </w:style>
  <w:style w:type="paragraph" w:customStyle="1" w:styleId="ENotesHeading2">
    <w:name w:val="ENotesHeading 2"/>
    <w:aliases w:val="Enh2"/>
    <w:basedOn w:val="OPCParaBase"/>
    <w:next w:val="Normal"/>
    <w:rsid w:val="003216A6"/>
    <w:pPr>
      <w:spacing w:before="120" w:after="120"/>
      <w:outlineLvl w:val="2"/>
    </w:pPr>
    <w:rPr>
      <w:b/>
      <w:sz w:val="24"/>
      <w:szCs w:val="28"/>
    </w:rPr>
  </w:style>
  <w:style w:type="paragraph" w:customStyle="1" w:styleId="ENoteTTIndentHeading">
    <w:name w:val="ENoteTTIndentHeading"/>
    <w:aliases w:val="enTTHi"/>
    <w:basedOn w:val="OPCParaBase"/>
    <w:rsid w:val="003216A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16A6"/>
    <w:pPr>
      <w:spacing w:before="60" w:line="240" w:lineRule="atLeast"/>
    </w:pPr>
    <w:rPr>
      <w:sz w:val="16"/>
    </w:rPr>
  </w:style>
  <w:style w:type="paragraph" w:customStyle="1" w:styleId="MadeunderText">
    <w:name w:val="MadeunderText"/>
    <w:basedOn w:val="OPCParaBase"/>
    <w:next w:val="Normal"/>
    <w:rsid w:val="003216A6"/>
    <w:pPr>
      <w:spacing w:before="240"/>
    </w:pPr>
    <w:rPr>
      <w:sz w:val="24"/>
      <w:szCs w:val="24"/>
    </w:rPr>
  </w:style>
  <w:style w:type="paragraph" w:customStyle="1" w:styleId="ENotesHeading3">
    <w:name w:val="ENotesHeading 3"/>
    <w:aliases w:val="Enh3"/>
    <w:basedOn w:val="OPCParaBase"/>
    <w:next w:val="Normal"/>
    <w:rsid w:val="003216A6"/>
    <w:pPr>
      <w:keepNext/>
      <w:spacing w:before="120" w:line="240" w:lineRule="auto"/>
      <w:outlineLvl w:val="4"/>
    </w:pPr>
    <w:rPr>
      <w:b/>
      <w:szCs w:val="24"/>
    </w:rPr>
  </w:style>
  <w:style w:type="paragraph" w:customStyle="1" w:styleId="SubPartCASA">
    <w:name w:val="SubPart(CASA)"/>
    <w:aliases w:val="csp"/>
    <w:basedOn w:val="OPCParaBase"/>
    <w:next w:val="ActHead3"/>
    <w:rsid w:val="003216A6"/>
    <w:pPr>
      <w:keepNext/>
      <w:keepLines/>
      <w:spacing w:before="280"/>
      <w:outlineLvl w:val="1"/>
    </w:pPr>
    <w:rPr>
      <w:b/>
      <w:kern w:val="28"/>
      <w:sz w:val="32"/>
    </w:rPr>
  </w:style>
  <w:style w:type="character" w:customStyle="1" w:styleId="CharSubPartTextCASA">
    <w:name w:val="CharSubPartText(CASA)"/>
    <w:basedOn w:val="OPCCharBase"/>
    <w:uiPriority w:val="1"/>
    <w:rsid w:val="003216A6"/>
  </w:style>
  <w:style w:type="character" w:customStyle="1" w:styleId="CharSubPartNoCASA">
    <w:name w:val="CharSubPartNo(CASA)"/>
    <w:basedOn w:val="OPCCharBase"/>
    <w:uiPriority w:val="1"/>
    <w:rsid w:val="003216A6"/>
  </w:style>
  <w:style w:type="paragraph" w:customStyle="1" w:styleId="ENoteTTIndentHeadingSub">
    <w:name w:val="ENoteTTIndentHeadingSub"/>
    <w:aliases w:val="enTTHis"/>
    <w:basedOn w:val="OPCParaBase"/>
    <w:rsid w:val="003216A6"/>
    <w:pPr>
      <w:keepNext/>
      <w:spacing w:before="60" w:line="240" w:lineRule="atLeast"/>
      <w:ind w:left="340"/>
    </w:pPr>
    <w:rPr>
      <w:b/>
      <w:sz w:val="16"/>
    </w:rPr>
  </w:style>
  <w:style w:type="paragraph" w:customStyle="1" w:styleId="ENoteTTiSub">
    <w:name w:val="ENoteTTiSub"/>
    <w:aliases w:val="enttis"/>
    <w:basedOn w:val="OPCParaBase"/>
    <w:rsid w:val="003216A6"/>
    <w:pPr>
      <w:keepNext/>
      <w:spacing w:before="60" w:line="240" w:lineRule="atLeast"/>
      <w:ind w:left="340"/>
    </w:pPr>
    <w:rPr>
      <w:sz w:val="16"/>
    </w:rPr>
  </w:style>
  <w:style w:type="paragraph" w:customStyle="1" w:styleId="SubDivisionMigration">
    <w:name w:val="SubDivisionMigration"/>
    <w:aliases w:val="sdm"/>
    <w:basedOn w:val="OPCParaBase"/>
    <w:rsid w:val="003216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16A6"/>
    <w:pPr>
      <w:keepNext/>
      <w:keepLines/>
      <w:spacing w:before="240" w:line="240" w:lineRule="auto"/>
      <w:ind w:left="1134" w:hanging="1134"/>
    </w:pPr>
    <w:rPr>
      <w:b/>
      <w:sz w:val="28"/>
    </w:rPr>
  </w:style>
  <w:style w:type="table" w:styleId="TableGrid">
    <w:name w:val="Table Grid"/>
    <w:basedOn w:val="TableNormal"/>
    <w:uiPriority w:val="59"/>
    <w:rsid w:val="0032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216A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216A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16A6"/>
    <w:rPr>
      <w:sz w:val="22"/>
    </w:rPr>
  </w:style>
  <w:style w:type="paragraph" w:customStyle="1" w:styleId="SOTextNote">
    <w:name w:val="SO TextNote"/>
    <w:aliases w:val="sont"/>
    <w:basedOn w:val="SOText"/>
    <w:qFormat/>
    <w:rsid w:val="003216A6"/>
    <w:pPr>
      <w:spacing w:before="122" w:line="198" w:lineRule="exact"/>
      <w:ind w:left="1843" w:hanging="709"/>
    </w:pPr>
    <w:rPr>
      <w:sz w:val="18"/>
    </w:rPr>
  </w:style>
  <w:style w:type="paragraph" w:customStyle="1" w:styleId="SOPara">
    <w:name w:val="SO Para"/>
    <w:aliases w:val="soa"/>
    <w:basedOn w:val="SOText"/>
    <w:link w:val="SOParaChar"/>
    <w:qFormat/>
    <w:rsid w:val="003216A6"/>
    <w:pPr>
      <w:tabs>
        <w:tab w:val="right" w:pos="1786"/>
      </w:tabs>
      <w:spacing w:before="40"/>
      <w:ind w:left="2070" w:hanging="936"/>
    </w:pPr>
  </w:style>
  <w:style w:type="character" w:customStyle="1" w:styleId="SOParaChar">
    <w:name w:val="SO Para Char"/>
    <w:aliases w:val="soa Char"/>
    <w:basedOn w:val="DefaultParagraphFont"/>
    <w:link w:val="SOPara"/>
    <w:rsid w:val="003216A6"/>
    <w:rPr>
      <w:sz w:val="22"/>
    </w:rPr>
  </w:style>
  <w:style w:type="paragraph" w:customStyle="1" w:styleId="FileName">
    <w:name w:val="FileName"/>
    <w:basedOn w:val="Normal"/>
    <w:rsid w:val="003216A6"/>
  </w:style>
  <w:style w:type="paragraph" w:customStyle="1" w:styleId="SOHeadBold">
    <w:name w:val="SO HeadBold"/>
    <w:aliases w:val="sohb"/>
    <w:basedOn w:val="SOText"/>
    <w:next w:val="SOText"/>
    <w:link w:val="SOHeadBoldChar"/>
    <w:qFormat/>
    <w:rsid w:val="003216A6"/>
    <w:rPr>
      <w:b/>
    </w:rPr>
  </w:style>
  <w:style w:type="character" w:customStyle="1" w:styleId="SOHeadBoldChar">
    <w:name w:val="SO HeadBold Char"/>
    <w:aliases w:val="sohb Char"/>
    <w:basedOn w:val="DefaultParagraphFont"/>
    <w:link w:val="SOHeadBold"/>
    <w:rsid w:val="003216A6"/>
    <w:rPr>
      <w:b/>
      <w:sz w:val="22"/>
    </w:rPr>
  </w:style>
  <w:style w:type="paragraph" w:customStyle="1" w:styleId="SOHeadItalic">
    <w:name w:val="SO HeadItalic"/>
    <w:aliases w:val="sohi"/>
    <w:basedOn w:val="SOText"/>
    <w:next w:val="SOText"/>
    <w:link w:val="SOHeadItalicChar"/>
    <w:qFormat/>
    <w:rsid w:val="003216A6"/>
    <w:rPr>
      <w:i/>
    </w:rPr>
  </w:style>
  <w:style w:type="character" w:customStyle="1" w:styleId="SOHeadItalicChar">
    <w:name w:val="SO HeadItalic Char"/>
    <w:aliases w:val="sohi Char"/>
    <w:basedOn w:val="DefaultParagraphFont"/>
    <w:link w:val="SOHeadItalic"/>
    <w:rsid w:val="003216A6"/>
    <w:rPr>
      <w:i/>
      <w:sz w:val="22"/>
    </w:rPr>
  </w:style>
  <w:style w:type="paragraph" w:customStyle="1" w:styleId="SOBullet">
    <w:name w:val="SO Bullet"/>
    <w:aliases w:val="sotb"/>
    <w:basedOn w:val="SOText"/>
    <w:link w:val="SOBulletChar"/>
    <w:qFormat/>
    <w:rsid w:val="003216A6"/>
    <w:pPr>
      <w:ind w:left="1559" w:hanging="425"/>
    </w:pPr>
  </w:style>
  <w:style w:type="character" w:customStyle="1" w:styleId="SOBulletChar">
    <w:name w:val="SO Bullet Char"/>
    <w:aliases w:val="sotb Char"/>
    <w:basedOn w:val="DefaultParagraphFont"/>
    <w:link w:val="SOBullet"/>
    <w:rsid w:val="003216A6"/>
    <w:rPr>
      <w:sz w:val="22"/>
    </w:rPr>
  </w:style>
  <w:style w:type="paragraph" w:customStyle="1" w:styleId="SOBulletNote">
    <w:name w:val="SO BulletNote"/>
    <w:aliases w:val="sonb"/>
    <w:basedOn w:val="SOTextNote"/>
    <w:link w:val="SOBulletNoteChar"/>
    <w:qFormat/>
    <w:rsid w:val="003216A6"/>
    <w:pPr>
      <w:tabs>
        <w:tab w:val="left" w:pos="1560"/>
      </w:tabs>
      <w:ind w:left="2268" w:hanging="1134"/>
    </w:pPr>
  </w:style>
  <w:style w:type="character" w:customStyle="1" w:styleId="SOBulletNoteChar">
    <w:name w:val="SO BulletNote Char"/>
    <w:aliases w:val="sonb Char"/>
    <w:basedOn w:val="DefaultParagraphFont"/>
    <w:link w:val="SOBulletNote"/>
    <w:rsid w:val="003216A6"/>
    <w:rPr>
      <w:sz w:val="18"/>
    </w:rPr>
  </w:style>
  <w:style w:type="paragraph" w:customStyle="1" w:styleId="SOText2">
    <w:name w:val="SO Text2"/>
    <w:aliases w:val="sot2"/>
    <w:basedOn w:val="Normal"/>
    <w:next w:val="SOText"/>
    <w:link w:val="SOText2Char"/>
    <w:rsid w:val="003216A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16A6"/>
    <w:rPr>
      <w:sz w:val="22"/>
    </w:rPr>
  </w:style>
  <w:style w:type="character" w:customStyle="1" w:styleId="Heading1Char">
    <w:name w:val="Heading 1 Char"/>
    <w:basedOn w:val="DefaultParagraphFont"/>
    <w:link w:val="Heading1"/>
    <w:uiPriority w:val="9"/>
    <w:rsid w:val="009B5A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B5A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5A7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B5A7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B5A7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B5A7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B5A7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B5A7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B5A79"/>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9B5A79"/>
    <w:rPr>
      <w:rFonts w:eastAsia="Times New Roman" w:cs="Times New Roman"/>
      <w:sz w:val="22"/>
      <w:lang w:eastAsia="en-AU"/>
    </w:rPr>
  </w:style>
  <w:style w:type="character" w:customStyle="1" w:styleId="paragraphChar">
    <w:name w:val="paragraph Char"/>
    <w:aliases w:val="a Char"/>
    <w:link w:val="paragraph"/>
    <w:rsid w:val="009B5A79"/>
    <w:rPr>
      <w:rFonts w:eastAsia="Times New Roman" w:cs="Times New Roman"/>
      <w:sz w:val="22"/>
      <w:lang w:eastAsia="en-AU"/>
    </w:rPr>
  </w:style>
  <w:style w:type="paragraph" w:styleId="BodyText">
    <w:name w:val="Body Text"/>
    <w:link w:val="BodyTextChar"/>
    <w:rsid w:val="009B5A79"/>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9B5A79"/>
    <w:rPr>
      <w:rFonts w:eastAsia="Times New Roman" w:cs="Times New Roman"/>
      <w:sz w:val="22"/>
      <w:szCs w:val="24"/>
      <w:lang w:eastAsia="en-AU"/>
    </w:rPr>
  </w:style>
  <w:style w:type="character" w:customStyle="1" w:styleId="notetextChar">
    <w:name w:val="note(text) Char"/>
    <w:aliases w:val="n Char"/>
    <w:basedOn w:val="DefaultParagraphFont"/>
    <w:link w:val="notetext"/>
    <w:rsid w:val="009B5A79"/>
    <w:rPr>
      <w:rFonts w:eastAsia="Times New Roman" w:cs="Times New Roman"/>
      <w:sz w:val="18"/>
      <w:lang w:eastAsia="en-AU"/>
    </w:rPr>
  </w:style>
  <w:style w:type="numbering" w:styleId="111111">
    <w:name w:val="Outline List 2"/>
    <w:basedOn w:val="NoList"/>
    <w:uiPriority w:val="99"/>
    <w:semiHidden/>
    <w:unhideWhenUsed/>
    <w:rsid w:val="009B5A79"/>
    <w:pPr>
      <w:numPr>
        <w:numId w:val="13"/>
      </w:numPr>
    </w:pPr>
  </w:style>
  <w:style w:type="paragraph" w:styleId="ListParagraph">
    <w:name w:val="List Paragraph"/>
    <w:basedOn w:val="Normal"/>
    <w:uiPriority w:val="34"/>
    <w:qFormat/>
    <w:rsid w:val="009B5A79"/>
    <w:pPr>
      <w:ind w:left="720"/>
      <w:contextualSpacing/>
    </w:pPr>
  </w:style>
  <w:style w:type="paragraph" w:customStyle="1" w:styleId="ShortTP1">
    <w:name w:val="ShortTP1"/>
    <w:basedOn w:val="ShortT"/>
    <w:link w:val="ShortTP1Char"/>
    <w:rsid w:val="00C0551E"/>
    <w:pPr>
      <w:spacing w:before="800"/>
    </w:pPr>
  </w:style>
  <w:style w:type="character" w:customStyle="1" w:styleId="OPCParaBaseChar">
    <w:name w:val="OPCParaBase Char"/>
    <w:basedOn w:val="DefaultParagraphFont"/>
    <w:link w:val="OPCParaBase"/>
    <w:rsid w:val="00C0551E"/>
    <w:rPr>
      <w:rFonts w:eastAsia="Times New Roman" w:cs="Times New Roman"/>
      <w:sz w:val="22"/>
      <w:lang w:eastAsia="en-AU"/>
    </w:rPr>
  </w:style>
  <w:style w:type="character" w:customStyle="1" w:styleId="ShortTChar">
    <w:name w:val="ShortT Char"/>
    <w:basedOn w:val="OPCParaBaseChar"/>
    <w:link w:val="ShortT"/>
    <w:rsid w:val="00C0551E"/>
    <w:rPr>
      <w:rFonts w:eastAsia="Times New Roman" w:cs="Times New Roman"/>
      <w:b/>
      <w:sz w:val="40"/>
      <w:lang w:eastAsia="en-AU"/>
    </w:rPr>
  </w:style>
  <w:style w:type="character" w:customStyle="1" w:styleId="ShortTP1Char">
    <w:name w:val="ShortTP1 Char"/>
    <w:basedOn w:val="ShortTChar"/>
    <w:link w:val="ShortTP1"/>
    <w:rsid w:val="00C0551E"/>
    <w:rPr>
      <w:rFonts w:eastAsia="Times New Roman" w:cs="Times New Roman"/>
      <w:b/>
      <w:sz w:val="40"/>
      <w:lang w:eastAsia="en-AU"/>
    </w:rPr>
  </w:style>
  <w:style w:type="paragraph" w:customStyle="1" w:styleId="ActNoP1">
    <w:name w:val="ActNoP1"/>
    <w:basedOn w:val="Actno"/>
    <w:link w:val="ActNoP1Char"/>
    <w:rsid w:val="00C0551E"/>
    <w:pPr>
      <w:spacing w:before="800"/>
    </w:pPr>
    <w:rPr>
      <w:sz w:val="28"/>
    </w:rPr>
  </w:style>
  <w:style w:type="character" w:customStyle="1" w:styleId="ActnoChar">
    <w:name w:val="Actno Char"/>
    <w:basedOn w:val="ShortTChar"/>
    <w:link w:val="Actno"/>
    <w:rsid w:val="00C0551E"/>
    <w:rPr>
      <w:rFonts w:eastAsia="Times New Roman" w:cs="Times New Roman"/>
      <w:b/>
      <w:sz w:val="40"/>
      <w:lang w:eastAsia="en-AU"/>
    </w:rPr>
  </w:style>
  <w:style w:type="character" w:customStyle="1" w:styleId="ActNoP1Char">
    <w:name w:val="ActNoP1 Char"/>
    <w:basedOn w:val="ActnoChar"/>
    <w:link w:val="ActNoP1"/>
    <w:rsid w:val="00C0551E"/>
    <w:rPr>
      <w:rFonts w:eastAsia="Times New Roman" w:cs="Times New Roman"/>
      <w:b/>
      <w:sz w:val="28"/>
      <w:lang w:eastAsia="en-AU"/>
    </w:rPr>
  </w:style>
  <w:style w:type="paragraph" w:customStyle="1" w:styleId="ShortTCP">
    <w:name w:val="ShortTCP"/>
    <w:basedOn w:val="ShortT"/>
    <w:link w:val="ShortTCPChar"/>
    <w:rsid w:val="00C0551E"/>
  </w:style>
  <w:style w:type="character" w:customStyle="1" w:styleId="ShortTCPChar">
    <w:name w:val="ShortTCP Char"/>
    <w:basedOn w:val="ShortTChar"/>
    <w:link w:val="ShortTCP"/>
    <w:rsid w:val="00C0551E"/>
    <w:rPr>
      <w:rFonts w:eastAsia="Times New Roman" w:cs="Times New Roman"/>
      <w:b/>
      <w:sz w:val="40"/>
      <w:lang w:eastAsia="en-AU"/>
    </w:rPr>
  </w:style>
  <w:style w:type="paragraph" w:customStyle="1" w:styleId="ActNoCP">
    <w:name w:val="ActNoCP"/>
    <w:basedOn w:val="Actno"/>
    <w:link w:val="ActNoCPChar"/>
    <w:rsid w:val="00C0551E"/>
    <w:pPr>
      <w:spacing w:before="400"/>
    </w:pPr>
  </w:style>
  <w:style w:type="character" w:customStyle="1" w:styleId="ActNoCPChar">
    <w:name w:val="ActNoCP Char"/>
    <w:basedOn w:val="ActnoChar"/>
    <w:link w:val="ActNoCP"/>
    <w:rsid w:val="00C0551E"/>
    <w:rPr>
      <w:rFonts w:eastAsia="Times New Roman" w:cs="Times New Roman"/>
      <w:b/>
      <w:sz w:val="40"/>
      <w:lang w:eastAsia="en-AU"/>
    </w:rPr>
  </w:style>
  <w:style w:type="paragraph" w:customStyle="1" w:styleId="AssentBk">
    <w:name w:val="AssentBk"/>
    <w:basedOn w:val="Normal"/>
    <w:rsid w:val="00C0551E"/>
    <w:pPr>
      <w:spacing w:line="240" w:lineRule="auto"/>
    </w:pPr>
    <w:rPr>
      <w:rFonts w:eastAsia="Times New Roman" w:cs="Times New Roman"/>
      <w:sz w:val="20"/>
      <w:lang w:eastAsia="en-AU"/>
    </w:rPr>
  </w:style>
  <w:style w:type="paragraph" w:customStyle="1" w:styleId="AssentDt">
    <w:name w:val="AssentDt"/>
    <w:basedOn w:val="Normal"/>
    <w:rsid w:val="00A42596"/>
    <w:pPr>
      <w:spacing w:line="240" w:lineRule="auto"/>
    </w:pPr>
    <w:rPr>
      <w:rFonts w:eastAsia="Times New Roman" w:cs="Times New Roman"/>
      <w:sz w:val="20"/>
      <w:lang w:eastAsia="en-AU"/>
    </w:rPr>
  </w:style>
  <w:style w:type="paragraph" w:customStyle="1" w:styleId="2ndRd">
    <w:name w:val="2ndRd"/>
    <w:basedOn w:val="Normal"/>
    <w:rsid w:val="00A42596"/>
    <w:pPr>
      <w:spacing w:line="240" w:lineRule="auto"/>
    </w:pPr>
    <w:rPr>
      <w:rFonts w:eastAsia="Times New Roman" w:cs="Times New Roman"/>
      <w:sz w:val="20"/>
      <w:lang w:eastAsia="en-AU"/>
    </w:rPr>
  </w:style>
  <w:style w:type="paragraph" w:customStyle="1" w:styleId="ScalePlusRef">
    <w:name w:val="ScalePlusRef"/>
    <w:basedOn w:val="Normal"/>
    <w:rsid w:val="00A4259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16A6"/>
    <w:pPr>
      <w:spacing w:line="260" w:lineRule="atLeast"/>
    </w:pPr>
    <w:rPr>
      <w:sz w:val="22"/>
    </w:rPr>
  </w:style>
  <w:style w:type="paragraph" w:styleId="Heading1">
    <w:name w:val="heading 1"/>
    <w:basedOn w:val="Normal"/>
    <w:next w:val="Normal"/>
    <w:link w:val="Heading1Char"/>
    <w:uiPriority w:val="9"/>
    <w:qFormat/>
    <w:rsid w:val="009B5A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5A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5A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A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5A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5A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5A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A7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B5A7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16A6"/>
  </w:style>
  <w:style w:type="paragraph" w:customStyle="1" w:styleId="OPCParaBase">
    <w:name w:val="OPCParaBase"/>
    <w:link w:val="OPCParaBaseChar"/>
    <w:qFormat/>
    <w:rsid w:val="003216A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216A6"/>
    <w:pPr>
      <w:spacing w:line="240" w:lineRule="auto"/>
    </w:pPr>
    <w:rPr>
      <w:b/>
      <w:sz w:val="40"/>
    </w:rPr>
  </w:style>
  <w:style w:type="paragraph" w:customStyle="1" w:styleId="ActHead1">
    <w:name w:val="ActHead 1"/>
    <w:aliases w:val="c"/>
    <w:basedOn w:val="OPCParaBase"/>
    <w:next w:val="Normal"/>
    <w:qFormat/>
    <w:rsid w:val="003216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16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16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16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216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16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16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16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16A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216A6"/>
  </w:style>
  <w:style w:type="paragraph" w:customStyle="1" w:styleId="Blocks">
    <w:name w:val="Blocks"/>
    <w:aliases w:val="bb"/>
    <w:basedOn w:val="OPCParaBase"/>
    <w:qFormat/>
    <w:rsid w:val="003216A6"/>
    <w:pPr>
      <w:spacing w:line="240" w:lineRule="auto"/>
    </w:pPr>
    <w:rPr>
      <w:sz w:val="24"/>
    </w:rPr>
  </w:style>
  <w:style w:type="paragraph" w:customStyle="1" w:styleId="BoxText">
    <w:name w:val="BoxText"/>
    <w:aliases w:val="bt"/>
    <w:basedOn w:val="OPCParaBase"/>
    <w:qFormat/>
    <w:rsid w:val="003216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16A6"/>
    <w:rPr>
      <w:b/>
    </w:rPr>
  </w:style>
  <w:style w:type="paragraph" w:customStyle="1" w:styleId="BoxHeadItalic">
    <w:name w:val="BoxHeadItalic"/>
    <w:aliases w:val="bhi"/>
    <w:basedOn w:val="BoxText"/>
    <w:next w:val="BoxStep"/>
    <w:qFormat/>
    <w:rsid w:val="003216A6"/>
    <w:rPr>
      <w:i/>
    </w:rPr>
  </w:style>
  <w:style w:type="paragraph" w:customStyle="1" w:styleId="BoxList">
    <w:name w:val="BoxList"/>
    <w:aliases w:val="bl"/>
    <w:basedOn w:val="BoxText"/>
    <w:qFormat/>
    <w:rsid w:val="003216A6"/>
    <w:pPr>
      <w:ind w:left="1559" w:hanging="425"/>
    </w:pPr>
  </w:style>
  <w:style w:type="paragraph" w:customStyle="1" w:styleId="BoxNote">
    <w:name w:val="BoxNote"/>
    <w:aliases w:val="bn"/>
    <w:basedOn w:val="BoxText"/>
    <w:qFormat/>
    <w:rsid w:val="003216A6"/>
    <w:pPr>
      <w:tabs>
        <w:tab w:val="left" w:pos="1985"/>
      </w:tabs>
      <w:spacing w:before="122" w:line="198" w:lineRule="exact"/>
      <w:ind w:left="2948" w:hanging="1814"/>
    </w:pPr>
    <w:rPr>
      <w:sz w:val="18"/>
    </w:rPr>
  </w:style>
  <w:style w:type="paragraph" w:customStyle="1" w:styleId="BoxPara">
    <w:name w:val="BoxPara"/>
    <w:aliases w:val="bp"/>
    <w:basedOn w:val="BoxText"/>
    <w:qFormat/>
    <w:rsid w:val="003216A6"/>
    <w:pPr>
      <w:tabs>
        <w:tab w:val="right" w:pos="2268"/>
      </w:tabs>
      <w:ind w:left="2552" w:hanging="1418"/>
    </w:pPr>
  </w:style>
  <w:style w:type="paragraph" w:customStyle="1" w:styleId="BoxStep">
    <w:name w:val="BoxStep"/>
    <w:aliases w:val="bs"/>
    <w:basedOn w:val="BoxText"/>
    <w:qFormat/>
    <w:rsid w:val="003216A6"/>
    <w:pPr>
      <w:ind w:left="1985" w:hanging="851"/>
    </w:pPr>
  </w:style>
  <w:style w:type="character" w:customStyle="1" w:styleId="CharAmPartNo">
    <w:name w:val="CharAmPartNo"/>
    <w:basedOn w:val="OPCCharBase"/>
    <w:qFormat/>
    <w:rsid w:val="003216A6"/>
  </w:style>
  <w:style w:type="character" w:customStyle="1" w:styleId="CharAmPartText">
    <w:name w:val="CharAmPartText"/>
    <w:basedOn w:val="OPCCharBase"/>
    <w:qFormat/>
    <w:rsid w:val="003216A6"/>
  </w:style>
  <w:style w:type="character" w:customStyle="1" w:styleId="CharAmSchNo">
    <w:name w:val="CharAmSchNo"/>
    <w:basedOn w:val="OPCCharBase"/>
    <w:qFormat/>
    <w:rsid w:val="003216A6"/>
  </w:style>
  <w:style w:type="character" w:customStyle="1" w:styleId="CharAmSchText">
    <w:name w:val="CharAmSchText"/>
    <w:basedOn w:val="OPCCharBase"/>
    <w:qFormat/>
    <w:rsid w:val="003216A6"/>
  </w:style>
  <w:style w:type="character" w:customStyle="1" w:styleId="CharBoldItalic">
    <w:name w:val="CharBoldItalic"/>
    <w:basedOn w:val="OPCCharBase"/>
    <w:uiPriority w:val="1"/>
    <w:qFormat/>
    <w:rsid w:val="003216A6"/>
    <w:rPr>
      <w:b/>
      <w:i/>
    </w:rPr>
  </w:style>
  <w:style w:type="character" w:customStyle="1" w:styleId="CharChapNo">
    <w:name w:val="CharChapNo"/>
    <w:basedOn w:val="OPCCharBase"/>
    <w:uiPriority w:val="1"/>
    <w:qFormat/>
    <w:rsid w:val="003216A6"/>
  </w:style>
  <w:style w:type="character" w:customStyle="1" w:styleId="CharChapText">
    <w:name w:val="CharChapText"/>
    <w:basedOn w:val="OPCCharBase"/>
    <w:uiPriority w:val="1"/>
    <w:qFormat/>
    <w:rsid w:val="003216A6"/>
  </w:style>
  <w:style w:type="character" w:customStyle="1" w:styleId="CharDivNo">
    <w:name w:val="CharDivNo"/>
    <w:basedOn w:val="OPCCharBase"/>
    <w:uiPriority w:val="1"/>
    <w:qFormat/>
    <w:rsid w:val="003216A6"/>
  </w:style>
  <w:style w:type="character" w:customStyle="1" w:styleId="CharDivText">
    <w:name w:val="CharDivText"/>
    <w:basedOn w:val="OPCCharBase"/>
    <w:uiPriority w:val="1"/>
    <w:qFormat/>
    <w:rsid w:val="003216A6"/>
  </w:style>
  <w:style w:type="character" w:customStyle="1" w:styleId="CharItalic">
    <w:name w:val="CharItalic"/>
    <w:basedOn w:val="OPCCharBase"/>
    <w:uiPriority w:val="1"/>
    <w:qFormat/>
    <w:rsid w:val="003216A6"/>
    <w:rPr>
      <w:i/>
    </w:rPr>
  </w:style>
  <w:style w:type="character" w:customStyle="1" w:styleId="CharPartNo">
    <w:name w:val="CharPartNo"/>
    <w:basedOn w:val="OPCCharBase"/>
    <w:uiPriority w:val="1"/>
    <w:qFormat/>
    <w:rsid w:val="003216A6"/>
  </w:style>
  <w:style w:type="character" w:customStyle="1" w:styleId="CharPartText">
    <w:name w:val="CharPartText"/>
    <w:basedOn w:val="OPCCharBase"/>
    <w:uiPriority w:val="1"/>
    <w:qFormat/>
    <w:rsid w:val="003216A6"/>
  </w:style>
  <w:style w:type="character" w:customStyle="1" w:styleId="CharSectno">
    <w:name w:val="CharSectno"/>
    <w:basedOn w:val="OPCCharBase"/>
    <w:qFormat/>
    <w:rsid w:val="003216A6"/>
  </w:style>
  <w:style w:type="character" w:customStyle="1" w:styleId="CharSubdNo">
    <w:name w:val="CharSubdNo"/>
    <w:basedOn w:val="OPCCharBase"/>
    <w:uiPriority w:val="1"/>
    <w:qFormat/>
    <w:rsid w:val="003216A6"/>
  </w:style>
  <w:style w:type="character" w:customStyle="1" w:styleId="CharSubdText">
    <w:name w:val="CharSubdText"/>
    <w:basedOn w:val="OPCCharBase"/>
    <w:uiPriority w:val="1"/>
    <w:qFormat/>
    <w:rsid w:val="003216A6"/>
  </w:style>
  <w:style w:type="paragraph" w:customStyle="1" w:styleId="CTA--">
    <w:name w:val="CTA --"/>
    <w:basedOn w:val="OPCParaBase"/>
    <w:next w:val="Normal"/>
    <w:rsid w:val="003216A6"/>
    <w:pPr>
      <w:spacing w:before="60" w:line="240" w:lineRule="atLeast"/>
      <w:ind w:left="142" w:hanging="142"/>
    </w:pPr>
    <w:rPr>
      <w:sz w:val="20"/>
    </w:rPr>
  </w:style>
  <w:style w:type="paragraph" w:customStyle="1" w:styleId="CTA-">
    <w:name w:val="CTA -"/>
    <w:basedOn w:val="OPCParaBase"/>
    <w:rsid w:val="003216A6"/>
    <w:pPr>
      <w:spacing w:before="60" w:line="240" w:lineRule="atLeast"/>
      <w:ind w:left="85" w:hanging="85"/>
    </w:pPr>
    <w:rPr>
      <w:sz w:val="20"/>
    </w:rPr>
  </w:style>
  <w:style w:type="paragraph" w:customStyle="1" w:styleId="CTA---">
    <w:name w:val="CTA ---"/>
    <w:basedOn w:val="OPCParaBase"/>
    <w:next w:val="Normal"/>
    <w:rsid w:val="003216A6"/>
    <w:pPr>
      <w:spacing w:before="60" w:line="240" w:lineRule="atLeast"/>
      <w:ind w:left="198" w:hanging="198"/>
    </w:pPr>
    <w:rPr>
      <w:sz w:val="20"/>
    </w:rPr>
  </w:style>
  <w:style w:type="paragraph" w:customStyle="1" w:styleId="CTA----">
    <w:name w:val="CTA ----"/>
    <w:basedOn w:val="OPCParaBase"/>
    <w:next w:val="Normal"/>
    <w:rsid w:val="003216A6"/>
    <w:pPr>
      <w:spacing w:before="60" w:line="240" w:lineRule="atLeast"/>
      <w:ind w:left="255" w:hanging="255"/>
    </w:pPr>
    <w:rPr>
      <w:sz w:val="20"/>
    </w:rPr>
  </w:style>
  <w:style w:type="paragraph" w:customStyle="1" w:styleId="CTA1a">
    <w:name w:val="CTA 1(a)"/>
    <w:basedOn w:val="OPCParaBase"/>
    <w:rsid w:val="003216A6"/>
    <w:pPr>
      <w:tabs>
        <w:tab w:val="right" w:pos="414"/>
      </w:tabs>
      <w:spacing w:before="40" w:line="240" w:lineRule="atLeast"/>
      <w:ind w:left="675" w:hanging="675"/>
    </w:pPr>
    <w:rPr>
      <w:sz w:val="20"/>
    </w:rPr>
  </w:style>
  <w:style w:type="paragraph" w:customStyle="1" w:styleId="CTA1ai">
    <w:name w:val="CTA 1(a)(i)"/>
    <w:basedOn w:val="OPCParaBase"/>
    <w:rsid w:val="003216A6"/>
    <w:pPr>
      <w:tabs>
        <w:tab w:val="right" w:pos="1004"/>
      </w:tabs>
      <w:spacing w:before="40" w:line="240" w:lineRule="atLeast"/>
      <w:ind w:left="1253" w:hanging="1253"/>
    </w:pPr>
    <w:rPr>
      <w:sz w:val="20"/>
    </w:rPr>
  </w:style>
  <w:style w:type="paragraph" w:customStyle="1" w:styleId="CTA2a">
    <w:name w:val="CTA 2(a)"/>
    <w:basedOn w:val="OPCParaBase"/>
    <w:rsid w:val="003216A6"/>
    <w:pPr>
      <w:tabs>
        <w:tab w:val="right" w:pos="482"/>
      </w:tabs>
      <w:spacing w:before="40" w:line="240" w:lineRule="atLeast"/>
      <w:ind w:left="748" w:hanging="748"/>
    </w:pPr>
    <w:rPr>
      <w:sz w:val="20"/>
    </w:rPr>
  </w:style>
  <w:style w:type="paragraph" w:customStyle="1" w:styleId="CTA2ai">
    <w:name w:val="CTA 2(a)(i)"/>
    <w:basedOn w:val="OPCParaBase"/>
    <w:rsid w:val="003216A6"/>
    <w:pPr>
      <w:tabs>
        <w:tab w:val="right" w:pos="1089"/>
      </w:tabs>
      <w:spacing w:before="40" w:line="240" w:lineRule="atLeast"/>
      <w:ind w:left="1327" w:hanging="1327"/>
    </w:pPr>
    <w:rPr>
      <w:sz w:val="20"/>
    </w:rPr>
  </w:style>
  <w:style w:type="paragraph" w:customStyle="1" w:styleId="CTA3a">
    <w:name w:val="CTA 3(a)"/>
    <w:basedOn w:val="OPCParaBase"/>
    <w:rsid w:val="003216A6"/>
    <w:pPr>
      <w:tabs>
        <w:tab w:val="right" w:pos="556"/>
      </w:tabs>
      <w:spacing w:before="40" w:line="240" w:lineRule="atLeast"/>
      <w:ind w:left="805" w:hanging="805"/>
    </w:pPr>
    <w:rPr>
      <w:sz w:val="20"/>
    </w:rPr>
  </w:style>
  <w:style w:type="paragraph" w:customStyle="1" w:styleId="CTA3ai">
    <w:name w:val="CTA 3(a)(i)"/>
    <w:basedOn w:val="OPCParaBase"/>
    <w:rsid w:val="003216A6"/>
    <w:pPr>
      <w:tabs>
        <w:tab w:val="right" w:pos="1140"/>
      </w:tabs>
      <w:spacing w:before="40" w:line="240" w:lineRule="atLeast"/>
      <w:ind w:left="1361" w:hanging="1361"/>
    </w:pPr>
    <w:rPr>
      <w:sz w:val="20"/>
    </w:rPr>
  </w:style>
  <w:style w:type="paragraph" w:customStyle="1" w:styleId="CTA4a">
    <w:name w:val="CTA 4(a)"/>
    <w:basedOn w:val="OPCParaBase"/>
    <w:rsid w:val="003216A6"/>
    <w:pPr>
      <w:tabs>
        <w:tab w:val="right" w:pos="624"/>
      </w:tabs>
      <w:spacing w:before="40" w:line="240" w:lineRule="atLeast"/>
      <w:ind w:left="873" w:hanging="873"/>
    </w:pPr>
    <w:rPr>
      <w:sz w:val="20"/>
    </w:rPr>
  </w:style>
  <w:style w:type="paragraph" w:customStyle="1" w:styleId="CTA4ai">
    <w:name w:val="CTA 4(a)(i)"/>
    <w:basedOn w:val="OPCParaBase"/>
    <w:rsid w:val="003216A6"/>
    <w:pPr>
      <w:tabs>
        <w:tab w:val="right" w:pos="1213"/>
      </w:tabs>
      <w:spacing w:before="40" w:line="240" w:lineRule="atLeast"/>
      <w:ind w:left="1452" w:hanging="1452"/>
    </w:pPr>
    <w:rPr>
      <w:sz w:val="20"/>
    </w:rPr>
  </w:style>
  <w:style w:type="paragraph" w:customStyle="1" w:styleId="CTACAPS">
    <w:name w:val="CTA CAPS"/>
    <w:basedOn w:val="OPCParaBase"/>
    <w:rsid w:val="003216A6"/>
    <w:pPr>
      <w:spacing w:before="60" w:line="240" w:lineRule="atLeast"/>
    </w:pPr>
    <w:rPr>
      <w:sz w:val="20"/>
    </w:rPr>
  </w:style>
  <w:style w:type="paragraph" w:customStyle="1" w:styleId="CTAright">
    <w:name w:val="CTA right"/>
    <w:basedOn w:val="OPCParaBase"/>
    <w:rsid w:val="003216A6"/>
    <w:pPr>
      <w:spacing w:before="60" w:line="240" w:lineRule="auto"/>
      <w:jc w:val="right"/>
    </w:pPr>
    <w:rPr>
      <w:sz w:val="20"/>
    </w:rPr>
  </w:style>
  <w:style w:type="paragraph" w:customStyle="1" w:styleId="subsection">
    <w:name w:val="subsection"/>
    <w:aliases w:val="ss"/>
    <w:basedOn w:val="OPCParaBase"/>
    <w:link w:val="subsectionChar"/>
    <w:rsid w:val="003216A6"/>
    <w:pPr>
      <w:tabs>
        <w:tab w:val="right" w:pos="1021"/>
      </w:tabs>
      <w:spacing w:before="180" w:line="240" w:lineRule="auto"/>
      <w:ind w:left="1134" w:hanging="1134"/>
    </w:pPr>
  </w:style>
  <w:style w:type="paragraph" w:customStyle="1" w:styleId="Definition">
    <w:name w:val="Definition"/>
    <w:aliases w:val="dd"/>
    <w:basedOn w:val="OPCParaBase"/>
    <w:rsid w:val="003216A6"/>
    <w:pPr>
      <w:spacing w:before="180" w:line="240" w:lineRule="auto"/>
      <w:ind w:left="1134"/>
    </w:pPr>
  </w:style>
  <w:style w:type="paragraph" w:customStyle="1" w:styleId="ETAsubitem">
    <w:name w:val="ETA(subitem)"/>
    <w:basedOn w:val="OPCParaBase"/>
    <w:rsid w:val="003216A6"/>
    <w:pPr>
      <w:tabs>
        <w:tab w:val="right" w:pos="340"/>
      </w:tabs>
      <w:spacing w:before="60" w:line="240" w:lineRule="auto"/>
      <w:ind w:left="454" w:hanging="454"/>
    </w:pPr>
    <w:rPr>
      <w:sz w:val="20"/>
    </w:rPr>
  </w:style>
  <w:style w:type="paragraph" w:customStyle="1" w:styleId="ETApara">
    <w:name w:val="ETA(para)"/>
    <w:basedOn w:val="OPCParaBase"/>
    <w:rsid w:val="003216A6"/>
    <w:pPr>
      <w:tabs>
        <w:tab w:val="right" w:pos="754"/>
      </w:tabs>
      <w:spacing w:before="60" w:line="240" w:lineRule="auto"/>
      <w:ind w:left="828" w:hanging="828"/>
    </w:pPr>
    <w:rPr>
      <w:sz w:val="20"/>
    </w:rPr>
  </w:style>
  <w:style w:type="paragraph" w:customStyle="1" w:styleId="ETAsubpara">
    <w:name w:val="ETA(subpara)"/>
    <w:basedOn w:val="OPCParaBase"/>
    <w:rsid w:val="003216A6"/>
    <w:pPr>
      <w:tabs>
        <w:tab w:val="right" w:pos="1083"/>
      </w:tabs>
      <w:spacing w:before="60" w:line="240" w:lineRule="auto"/>
      <w:ind w:left="1191" w:hanging="1191"/>
    </w:pPr>
    <w:rPr>
      <w:sz w:val="20"/>
    </w:rPr>
  </w:style>
  <w:style w:type="paragraph" w:customStyle="1" w:styleId="ETAsub-subpara">
    <w:name w:val="ETA(sub-subpara)"/>
    <w:basedOn w:val="OPCParaBase"/>
    <w:rsid w:val="003216A6"/>
    <w:pPr>
      <w:tabs>
        <w:tab w:val="right" w:pos="1412"/>
      </w:tabs>
      <w:spacing w:before="60" w:line="240" w:lineRule="auto"/>
      <w:ind w:left="1525" w:hanging="1525"/>
    </w:pPr>
    <w:rPr>
      <w:sz w:val="20"/>
    </w:rPr>
  </w:style>
  <w:style w:type="paragraph" w:customStyle="1" w:styleId="Formula">
    <w:name w:val="Formula"/>
    <w:basedOn w:val="OPCParaBase"/>
    <w:rsid w:val="003216A6"/>
    <w:pPr>
      <w:spacing w:line="240" w:lineRule="auto"/>
      <w:ind w:left="1134"/>
    </w:pPr>
    <w:rPr>
      <w:sz w:val="20"/>
    </w:rPr>
  </w:style>
  <w:style w:type="paragraph" w:styleId="Header">
    <w:name w:val="header"/>
    <w:basedOn w:val="OPCParaBase"/>
    <w:link w:val="HeaderChar"/>
    <w:unhideWhenUsed/>
    <w:rsid w:val="003216A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16A6"/>
    <w:rPr>
      <w:rFonts w:eastAsia="Times New Roman" w:cs="Times New Roman"/>
      <w:sz w:val="16"/>
      <w:lang w:eastAsia="en-AU"/>
    </w:rPr>
  </w:style>
  <w:style w:type="paragraph" w:customStyle="1" w:styleId="House">
    <w:name w:val="House"/>
    <w:basedOn w:val="OPCParaBase"/>
    <w:rsid w:val="003216A6"/>
    <w:pPr>
      <w:spacing w:line="240" w:lineRule="auto"/>
    </w:pPr>
    <w:rPr>
      <w:sz w:val="28"/>
    </w:rPr>
  </w:style>
  <w:style w:type="paragraph" w:customStyle="1" w:styleId="Item">
    <w:name w:val="Item"/>
    <w:aliases w:val="i"/>
    <w:basedOn w:val="OPCParaBase"/>
    <w:next w:val="ItemHead"/>
    <w:rsid w:val="003216A6"/>
    <w:pPr>
      <w:keepLines/>
      <w:spacing w:before="80" w:line="240" w:lineRule="auto"/>
      <w:ind w:left="709"/>
    </w:pPr>
  </w:style>
  <w:style w:type="paragraph" w:customStyle="1" w:styleId="ItemHead">
    <w:name w:val="ItemHead"/>
    <w:aliases w:val="ih"/>
    <w:basedOn w:val="OPCParaBase"/>
    <w:next w:val="Item"/>
    <w:rsid w:val="003216A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16A6"/>
    <w:pPr>
      <w:spacing w:line="240" w:lineRule="auto"/>
    </w:pPr>
    <w:rPr>
      <w:b/>
      <w:sz w:val="32"/>
    </w:rPr>
  </w:style>
  <w:style w:type="paragraph" w:customStyle="1" w:styleId="notedraft">
    <w:name w:val="note(draft)"/>
    <w:aliases w:val="nd"/>
    <w:basedOn w:val="OPCParaBase"/>
    <w:rsid w:val="003216A6"/>
    <w:pPr>
      <w:spacing w:before="240" w:line="240" w:lineRule="auto"/>
      <w:ind w:left="284" w:hanging="284"/>
    </w:pPr>
    <w:rPr>
      <w:i/>
      <w:sz w:val="24"/>
    </w:rPr>
  </w:style>
  <w:style w:type="paragraph" w:customStyle="1" w:styleId="notemargin">
    <w:name w:val="note(margin)"/>
    <w:aliases w:val="nm"/>
    <w:basedOn w:val="OPCParaBase"/>
    <w:rsid w:val="003216A6"/>
    <w:pPr>
      <w:tabs>
        <w:tab w:val="left" w:pos="709"/>
      </w:tabs>
      <w:spacing w:before="122" w:line="198" w:lineRule="exact"/>
      <w:ind w:left="709" w:hanging="709"/>
    </w:pPr>
    <w:rPr>
      <w:sz w:val="18"/>
    </w:rPr>
  </w:style>
  <w:style w:type="paragraph" w:customStyle="1" w:styleId="noteToPara">
    <w:name w:val="noteToPara"/>
    <w:aliases w:val="ntp"/>
    <w:basedOn w:val="OPCParaBase"/>
    <w:rsid w:val="003216A6"/>
    <w:pPr>
      <w:spacing w:before="122" w:line="198" w:lineRule="exact"/>
      <w:ind w:left="2353" w:hanging="709"/>
    </w:pPr>
    <w:rPr>
      <w:sz w:val="18"/>
    </w:rPr>
  </w:style>
  <w:style w:type="paragraph" w:customStyle="1" w:styleId="noteParlAmend">
    <w:name w:val="note(ParlAmend)"/>
    <w:aliases w:val="npp"/>
    <w:basedOn w:val="OPCParaBase"/>
    <w:next w:val="ParlAmend"/>
    <w:rsid w:val="003216A6"/>
    <w:pPr>
      <w:spacing w:line="240" w:lineRule="auto"/>
      <w:jc w:val="right"/>
    </w:pPr>
    <w:rPr>
      <w:rFonts w:ascii="Arial" w:hAnsi="Arial"/>
      <w:b/>
      <w:i/>
    </w:rPr>
  </w:style>
  <w:style w:type="paragraph" w:customStyle="1" w:styleId="Page1">
    <w:name w:val="Page1"/>
    <w:basedOn w:val="OPCParaBase"/>
    <w:rsid w:val="003216A6"/>
    <w:pPr>
      <w:spacing w:before="400" w:line="240" w:lineRule="auto"/>
    </w:pPr>
    <w:rPr>
      <w:b/>
      <w:sz w:val="32"/>
    </w:rPr>
  </w:style>
  <w:style w:type="paragraph" w:customStyle="1" w:styleId="PageBreak">
    <w:name w:val="PageBreak"/>
    <w:aliases w:val="pb"/>
    <w:basedOn w:val="OPCParaBase"/>
    <w:rsid w:val="003216A6"/>
    <w:pPr>
      <w:spacing w:line="240" w:lineRule="auto"/>
    </w:pPr>
    <w:rPr>
      <w:sz w:val="20"/>
    </w:rPr>
  </w:style>
  <w:style w:type="paragraph" w:customStyle="1" w:styleId="paragraphsub">
    <w:name w:val="paragraph(sub)"/>
    <w:aliases w:val="aa"/>
    <w:basedOn w:val="OPCParaBase"/>
    <w:rsid w:val="003216A6"/>
    <w:pPr>
      <w:tabs>
        <w:tab w:val="right" w:pos="1985"/>
      </w:tabs>
      <w:spacing w:before="40" w:line="240" w:lineRule="auto"/>
      <w:ind w:left="2098" w:hanging="2098"/>
    </w:pPr>
  </w:style>
  <w:style w:type="paragraph" w:customStyle="1" w:styleId="paragraphsub-sub">
    <w:name w:val="paragraph(sub-sub)"/>
    <w:aliases w:val="aaa"/>
    <w:basedOn w:val="OPCParaBase"/>
    <w:rsid w:val="003216A6"/>
    <w:pPr>
      <w:tabs>
        <w:tab w:val="right" w:pos="2722"/>
      </w:tabs>
      <w:spacing w:before="40" w:line="240" w:lineRule="auto"/>
      <w:ind w:left="2835" w:hanging="2835"/>
    </w:pPr>
  </w:style>
  <w:style w:type="paragraph" w:customStyle="1" w:styleId="paragraph">
    <w:name w:val="paragraph"/>
    <w:aliases w:val="a"/>
    <w:basedOn w:val="OPCParaBase"/>
    <w:link w:val="paragraphChar"/>
    <w:rsid w:val="003216A6"/>
    <w:pPr>
      <w:tabs>
        <w:tab w:val="right" w:pos="1531"/>
      </w:tabs>
      <w:spacing w:before="40" w:line="240" w:lineRule="auto"/>
      <w:ind w:left="1644" w:hanging="1644"/>
    </w:pPr>
  </w:style>
  <w:style w:type="paragraph" w:customStyle="1" w:styleId="ParlAmend">
    <w:name w:val="ParlAmend"/>
    <w:aliases w:val="pp"/>
    <w:basedOn w:val="OPCParaBase"/>
    <w:rsid w:val="003216A6"/>
    <w:pPr>
      <w:spacing w:before="240" w:line="240" w:lineRule="atLeast"/>
      <w:ind w:hanging="567"/>
    </w:pPr>
    <w:rPr>
      <w:sz w:val="24"/>
    </w:rPr>
  </w:style>
  <w:style w:type="paragraph" w:customStyle="1" w:styleId="Penalty">
    <w:name w:val="Penalty"/>
    <w:basedOn w:val="OPCParaBase"/>
    <w:rsid w:val="003216A6"/>
    <w:pPr>
      <w:tabs>
        <w:tab w:val="left" w:pos="2977"/>
      </w:tabs>
      <w:spacing w:before="180" w:line="240" w:lineRule="auto"/>
      <w:ind w:left="1985" w:hanging="851"/>
    </w:pPr>
  </w:style>
  <w:style w:type="paragraph" w:customStyle="1" w:styleId="Portfolio">
    <w:name w:val="Portfolio"/>
    <w:basedOn w:val="OPCParaBase"/>
    <w:rsid w:val="003216A6"/>
    <w:pPr>
      <w:spacing w:line="240" w:lineRule="auto"/>
    </w:pPr>
    <w:rPr>
      <w:i/>
      <w:sz w:val="20"/>
    </w:rPr>
  </w:style>
  <w:style w:type="paragraph" w:customStyle="1" w:styleId="Preamble">
    <w:name w:val="Preamble"/>
    <w:basedOn w:val="OPCParaBase"/>
    <w:next w:val="Normal"/>
    <w:rsid w:val="003216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16A6"/>
    <w:pPr>
      <w:spacing w:line="240" w:lineRule="auto"/>
    </w:pPr>
    <w:rPr>
      <w:i/>
      <w:sz w:val="20"/>
    </w:rPr>
  </w:style>
  <w:style w:type="paragraph" w:customStyle="1" w:styleId="Session">
    <w:name w:val="Session"/>
    <w:basedOn w:val="OPCParaBase"/>
    <w:rsid w:val="003216A6"/>
    <w:pPr>
      <w:spacing w:line="240" w:lineRule="auto"/>
    </w:pPr>
    <w:rPr>
      <w:sz w:val="28"/>
    </w:rPr>
  </w:style>
  <w:style w:type="paragraph" w:customStyle="1" w:styleId="Sponsor">
    <w:name w:val="Sponsor"/>
    <w:basedOn w:val="OPCParaBase"/>
    <w:rsid w:val="003216A6"/>
    <w:pPr>
      <w:spacing w:line="240" w:lineRule="auto"/>
    </w:pPr>
    <w:rPr>
      <w:i/>
    </w:rPr>
  </w:style>
  <w:style w:type="paragraph" w:customStyle="1" w:styleId="Subitem">
    <w:name w:val="Subitem"/>
    <w:aliases w:val="iss"/>
    <w:basedOn w:val="OPCParaBase"/>
    <w:rsid w:val="003216A6"/>
    <w:pPr>
      <w:spacing w:before="180" w:line="240" w:lineRule="auto"/>
      <w:ind w:left="709" w:hanging="709"/>
    </w:pPr>
  </w:style>
  <w:style w:type="paragraph" w:customStyle="1" w:styleId="SubitemHead">
    <w:name w:val="SubitemHead"/>
    <w:aliases w:val="issh"/>
    <w:basedOn w:val="OPCParaBase"/>
    <w:rsid w:val="003216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16A6"/>
    <w:pPr>
      <w:spacing w:before="40" w:line="240" w:lineRule="auto"/>
      <w:ind w:left="1134"/>
    </w:pPr>
  </w:style>
  <w:style w:type="paragraph" w:customStyle="1" w:styleId="SubsectionHead">
    <w:name w:val="SubsectionHead"/>
    <w:aliases w:val="ssh"/>
    <w:basedOn w:val="OPCParaBase"/>
    <w:next w:val="subsection"/>
    <w:rsid w:val="003216A6"/>
    <w:pPr>
      <w:keepNext/>
      <w:keepLines/>
      <w:spacing w:before="240" w:line="240" w:lineRule="auto"/>
      <w:ind w:left="1134"/>
    </w:pPr>
    <w:rPr>
      <w:i/>
    </w:rPr>
  </w:style>
  <w:style w:type="paragraph" w:customStyle="1" w:styleId="Tablea">
    <w:name w:val="Table(a)"/>
    <w:aliases w:val="ta"/>
    <w:basedOn w:val="OPCParaBase"/>
    <w:rsid w:val="003216A6"/>
    <w:pPr>
      <w:spacing w:before="60" w:line="240" w:lineRule="auto"/>
      <w:ind w:left="284" w:hanging="284"/>
    </w:pPr>
    <w:rPr>
      <w:sz w:val="20"/>
    </w:rPr>
  </w:style>
  <w:style w:type="paragraph" w:customStyle="1" w:styleId="TableAA">
    <w:name w:val="Table(AA)"/>
    <w:aliases w:val="taaa"/>
    <w:basedOn w:val="OPCParaBase"/>
    <w:rsid w:val="003216A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16A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16A6"/>
    <w:pPr>
      <w:spacing w:before="60" w:line="240" w:lineRule="atLeast"/>
    </w:pPr>
    <w:rPr>
      <w:sz w:val="20"/>
    </w:rPr>
  </w:style>
  <w:style w:type="paragraph" w:customStyle="1" w:styleId="TLPBoxTextnote">
    <w:name w:val="TLPBoxText(note"/>
    <w:aliases w:val="right)"/>
    <w:basedOn w:val="OPCParaBase"/>
    <w:rsid w:val="003216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16A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16A6"/>
    <w:pPr>
      <w:spacing w:before="122" w:line="198" w:lineRule="exact"/>
      <w:ind w:left="1985" w:hanging="851"/>
      <w:jc w:val="right"/>
    </w:pPr>
    <w:rPr>
      <w:sz w:val="18"/>
    </w:rPr>
  </w:style>
  <w:style w:type="paragraph" w:customStyle="1" w:styleId="TLPTableBullet">
    <w:name w:val="TLPTableBullet"/>
    <w:aliases w:val="ttb"/>
    <w:basedOn w:val="OPCParaBase"/>
    <w:rsid w:val="003216A6"/>
    <w:pPr>
      <w:spacing w:line="240" w:lineRule="exact"/>
      <w:ind w:left="284" w:hanging="284"/>
    </w:pPr>
    <w:rPr>
      <w:sz w:val="20"/>
    </w:rPr>
  </w:style>
  <w:style w:type="paragraph" w:styleId="TOC1">
    <w:name w:val="toc 1"/>
    <w:basedOn w:val="OPCParaBase"/>
    <w:next w:val="Normal"/>
    <w:uiPriority w:val="39"/>
    <w:unhideWhenUsed/>
    <w:rsid w:val="003216A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16A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216A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216A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216A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216A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216A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216A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16A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16A6"/>
    <w:pPr>
      <w:keepLines/>
      <w:spacing w:before="240" w:after="120" w:line="240" w:lineRule="auto"/>
      <w:ind w:left="794"/>
    </w:pPr>
    <w:rPr>
      <w:b/>
      <w:kern w:val="28"/>
      <w:sz w:val="20"/>
    </w:rPr>
  </w:style>
  <w:style w:type="paragraph" w:customStyle="1" w:styleId="TofSectsHeading">
    <w:name w:val="TofSects(Heading)"/>
    <w:basedOn w:val="OPCParaBase"/>
    <w:rsid w:val="003216A6"/>
    <w:pPr>
      <w:spacing w:before="240" w:after="120" w:line="240" w:lineRule="auto"/>
    </w:pPr>
    <w:rPr>
      <w:b/>
      <w:sz w:val="24"/>
    </w:rPr>
  </w:style>
  <w:style w:type="paragraph" w:customStyle="1" w:styleId="TofSectsSection">
    <w:name w:val="TofSects(Section)"/>
    <w:basedOn w:val="OPCParaBase"/>
    <w:rsid w:val="003216A6"/>
    <w:pPr>
      <w:keepLines/>
      <w:spacing w:before="40" w:line="240" w:lineRule="auto"/>
      <w:ind w:left="1588" w:hanging="794"/>
    </w:pPr>
    <w:rPr>
      <w:kern w:val="28"/>
      <w:sz w:val="18"/>
    </w:rPr>
  </w:style>
  <w:style w:type="paragraph" w:customStyle="1" w:styleId="TofSectsSubdiv">
    <w:name w:val="TofSects(Subdiv)"/>
    <w:basedOn w:val="OPCParaBase"/>
    <w:rsid w:val="003216A6"/>
    <w:pPr>
      <w:keepLines/>
      <w:spacing w:before="80" w:line="240" w:lineRule="auto"/>
      <w:ind w:left="1588" w:hanging="794"/>
    </w:pPr>
    <w:rPr>
      <w:kern w:val="28"/>
    </w:rPr>
  </w:style>
  <w:style w:type="paragraph" w:customStyle="1" w:styleId="WRStyle">
    <w:name w:val="WR Style"/>
    <w:aliases w:val="WR"/>
    <w:basedOn w:val="OPCParaBase"/>
    <w:rsid w:val="003216A6"/>
    <w:pPr>
      <w:spacing w:before="240" w:line="240" w:lineRule="auto"/>
      <w:ind w:left="284" w:hanging="284"/>
    </w:pPr>
    <w:rPr>
      <w:b/>
      <w:i/>
      <w:kern w:val="28"/>
      <w:sz w:val="24"/>
    </w:rPr>
  </w:style>
  <w:style w:type="paragraph" w:customStyle="1" w:styleId="notepara">
    <w:name w:val="note(para)"/>
    <w:aliases w:val="na"/>
    <w:basedOn w:val="OPCParaBase"/>
    <w:rsid w:val="003216A6"/>
    <w:pPr>
      <w:spacing w:before="40" w:line="198" w:lineRule="exact"/>
      <w:ind w:left="2354" w:hanging="369"/>
    </w:pPr>
    <w:rPr>
      <w:sz w:val="18"/>
    </w:rPr>
  </w:style>
  <w:style w:type="paragraph" w:styleId="Footer">
    <w:name w:val="footer"/>
    <w:link w:val="FooterChar"/>
    <w:rsid w:val="003216A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16A6"/>
    <w:rPr>
      <w:rFonts w:eastAsia="Times New Roman" w:cs="Times New Roman"/>
      <w:sz w:val="22"/>
      <w:szCs w:val="24"/>
      <w:lang w:eastAsia="en-AU"/>
    </w:rPr>
  </w:style>
  <w:style w:type="character" w:styleId="LineNumber">
    <w:name w:val="line number"/>
    <w:basedOn w:val="OPCCharBase"/>
    <w:uiPriority w:val="99"/>
    <w:semiHidden/>
    <w:unhideWhenUsed/>
    <w:rsid w:val="003216A6"/>
    <w:rPr>
      <w:sz w:val="16"/>
    </w:rPr>
  </w:style>
  <w:style w:type="table" w:customStyle="1" w:styleId="CFlag">
    <w:name w:val="CFlag"/>
    <w:basedOn w:val="TableNormal"/>
    <w:uiPriority w:val="99"/>
    <w:rsid w:val="003216A6"/>
    <w:rPr>
      <w:rFonts w:eastAsia="Times New Roman" w:cs="Times New Roman"/>
      <w:lang w:eastAsia="en-AU"/>
    </w:rPr>
    <w:tblPr/>
  </w:style>
  <w:style w:type="paragraph" w:customStyle="1" w:styleId="NotesHeading1">
    <w:name w:val="NotesHeading 1"/>
    <w:basedOn w:val="OPCParaBase"/>
    <w:next w:val="Normal"/>
    <w:rsid w:val="003216A6"/>
    <w:rPr>
      <w:b/>
      <w:sz w:val="28"/>
      <w:szCs w:val="28"/>
    </w:rPr>
  </w:style>
  <w:style w:type="paragraph" w:customStyle="1" w:styleId="NotesHeading2">
    <w:name w:val="NotesHeading 2"/>
    <w:basedOn w:val="OPCParaBase"/>
    <w:next w:val="Normal"/>
    <w:rsid w:val="003216A6"/>
    <w:rPr>
      <w:b/>
      <w:sz w:val="28"/>
      <w:szCs w:val="28"/>
    </w:rPr>
  </w:style>
  <w:style w:type="paragraph" w:customStyle="1" w:styleId="SignCoverPageEnd">
    <w:name w:val="SignCoverPageEnd"/>
    <w:basedOn w:val="OPCParaBase"/>
    <w:next w:val="Normal"/>
    <w:rsid w:val="003216A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216A6"/>
    <w:pPr>
      <w:pBdr>
        <w:top w:val="single" w:sz="4" w:space="1" w:color="auto"/>
      </w:pBdr>
      <w:spacing w:before="360"/>
      <w:ind w:right="397"/>
      <w:jc w:val="both"/>
    </w:pPr>
  </w:style>
  <w:style w:type="paragraph" w:customStyle="1" w:styleId="Paragraphsub-sub-sub">
    <w:name w:val="Paragraph(sub-sub-sub)"/>
    <w:aliases w:val="aaaa"/>
    <w:basedOn w:val="OPCParaBase"/>
    <w:rsid w:val="003216A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216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16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216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16A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216A6"/>
    <w:pPr>
      <w:spacing w:before="120"/>
    </w:pPr>
  </w:style>
  <w:style w:type="paragraph" w:customStyle="1" w:styleId="TableTextEndNotes">
    <w:name w:val="TableTextEndNotes"/>
    <w:aliases w:val="Tten"/>
    <w:basedOn w:val="Normal"/>
    <w:rsid w:val="003216A6"/>
    <w:pPr>
      <w:spacing w:before="60" w:line="240" w:lineRule="auto"/>
    </w:pPr>
    <w:rPr>
      <w:rFonts w:cs="Arial"/>
      <w:sz w:val="20"/>
      <w:szCs w:val="22"/>
    </w:rPr>
  </w:style>
  <w:style w:type="paragraph" w:customStyle="1" w:styleId="TableHeading">
    <w:name w:val="TableHeading"/>
    <w:aliases w:val="th"/>
    <w:basedOn w:val="OPCParaBase"/>
    <w:next w:val="Tabletext"/>
    <w:rsid w:val="003216A6"/>
    <w:pPr>
      <w:keepNext/>
      <w:spacing w:before="60" w:line="240" w:lineRule="atLeast"/>
    </w:pPr>
    <w:rPr>
      <w:b/>
      <w:sz w:val="20"/>
    </w:rPr>
  </w:style>
  <w:style w:type="paragraph" w:customStyle="1" w:styleId="NoteToSubpara">
    <w:name w:val="NoteToSubpara"/>
    <w:aliases w:val="nts"/>
    <w:basedOn w:val="OPCParaBase"/>
    <w:rsid w:val="003216A6"/>
    <w:pPr>
      <w:spacing w:before="40" w:line="198" w:lineRule="exact"/>
      <w:ind w:left="2835" w:hanging="709"/>
    </w:pPr>
    <w:rPr>
      <w:sz w:val="18"/>
    </w:rPr>
  </w:style>
  <w:style w:type="paragraph" w:customStyle="1" w:styleId="ENoteTableHeading">
    <w:name w:val="ENoteTableHeading"/>
    <w:aliases w:val="enth"/>
    <w:basedOn w:val="OPCParaBase"/>
    <w:rsid w:val="003216A6"/>
    <w:pPr>
      <w:keepNext/>
      <w:spacing w:before="60" w:line="240" w:lineRule="atLeast"/>
    </w:pPr>
    <w:rPr>
      <w:rFonts w:ascii="Arial" w:hAnsi="Arial"/>
      <w:b/>
      <w:sz w:val="16"/>
    </w:rPr>
  </w:style>
  <w:style w:type="paragraph" w:customStyle="1" w:styleId="ENoteTTi">
    <w:name w:val="ENoteTTi"/>
    <w:aliases w:val="entti"/>
    <w:basedOn w:val="OPCParaBase"/>
    <w:rsid w:val="003216A6"/>
    <w:pPr>
      <w:keepNext/>
      <w:spacing w:before="60" w:line="240" w:lineRule="atLeast"/>
      <w:ind w:left="170"/>
    </w:pPr>
    <w:rPr>
      <w:sz w:val="16"/>
    </w:rPr>
  </w:style>
  <w:style w:type="paragraph" w:customStyle="1" w:styleId="ENotesHeading1">
    <w:name w:val="ENotesHeading 1"/>
    <w:aliases w:val="Enh1"/>
    <w:basedOn w:val="OPCParaBase"/>
    <w:next w:val="Normal"/>
    <w:rsid w:val="003216A6"/>
    <w:pPr>
      <w:spacing w:before="120"/>
      <w:outlineLvl w:val="1"/>
    </w:pPr>
    <w:rPr>
      <w:b/>
      <w:sz w:val="28"/>
      <w:szCs w:val="28"/>
    </w:rPr>
  </w:style>
  <w:style w:type="paragraph" w:customStyle="1" w:styleId="ENotesHeading2">
    <w:name w:val="ENotesHeading 2"/>
    <w:aliases w:val="Enh2"/>
    <w:basedOn w:val="OPCParaBase"/>
    <w:next w:val="Normal"/>
    <w:rsid w:val="003216A6"/>
    <w:pPr>
      <w:spacing w:before="120" w:after="120"/>
      <w:outlineLvl w:val="2"/>
    </w:pPr>
    <w:rPr>
      <w:b/>
      <w:sz w:val="24"/>
      <w:szCs w:val="28"/>
    </w:rPr>
  </w:style>
  <w:style w:type="paragraph" w:customStyle="1" w:styleId="ENoteTTIndentHeading">
    <w:name w:val="ENoteTTIndentHeading"/>
    <w:aliases w:val="enTTHi"/>
    <w:basedOn w:val="OPCParaBase"/>
    <w:rsid w:val="003216A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16A6"/>
    <w:pPr>
      <w:spacing w:before="60" w:line="240" w:lineRule="atLeast"/>
    </w:pPr>
    <w:rPr>
      <w:sz w:val="16"/>
    </w:rPr>
  </w:style>
  <w:style w:type="paragraph" w:customStyle="1" w:styleId="MadeunderText">
    <w:name w:val="MadeunderText"/>
    <w:basedOn w:val="OPCParaBase"/>
    <w:next w:val="Normal"/>
    <w:rsid w:val="003216A6"/>
    <w:pPr>
      <w:spacing w:before="240"/>
    </w:pPr>
    <w:rPr>
      <w:sz w:val="24"/>
      <w:szCs w:val="24"/>
    </w:rPr>
  </w:style>
  <w:style w:type="paragraph" w:customStyle="1" w:styleId="ENotesHeading3">
    <w:name w:val="ENotesHeading 3"/>
    <w:aliases w:val="Enh3"/>
    <w:basedOn w:val="OPCParaBase"/>
    <w:next w:val="Normal"/>
    <w:rsid w:val="003216A6"/>
    <w:pPr>
      <w:keepNext/>
      <w:spacing w:before="120" w:line="240" w:lineRule="auto"/>
      <w:outlineLvl w:val="4"/>
    </w:pPr>
    <w:rPr>
      <w:b/>
      <w:szCs w:val="24"/>
    </w:rPr>
  </w:style>
  <w:style w:type="paragraph" w:customStyle="1" w:styleId="SubPartCASA">
    <w:name w:val="SubPart(CASA)"/>
    <w:aliases w:val="csp"/>
    <w:basedOn w:val="OPCParaBase"/>
    <w:next w:val="ActHead3"/>
    <w:rsid w:val="003216A6"/>
    <w:pPr>
      <w:keepNext/>
      <w:keepLines/>
      <w:spacing w:before="280"/>
      <w:outlineLvl w:val="1"/>
    </w:pPr>
    <w:rPr>
      <w:b/>
      <w:kern w:val="28"/>
      <w:sz w:val="32"/>
    </w:rPr>
  </w:style>
  <w:style w:type="character" w:customStyle="1" w:styleId="CharSubPartTextCASA">
    <w:name w:val="CharSubPartText(CASA)"/>
    <w:basedOn w:val="OPCCharBase"/>
    <w:uiPriority w:val="1"/>
    <w:rsid w:val="003216A6"/>
  </w:style>
  <w:style w:type="character" w:customStyle="1" w:styleId="CharSubPartNoCASA">
    <w:name w:val="CharSubPartNo(CASA)"/>
    <w:basedOn w:val="OPCCharBase"/>
    <w:uiPriority w:val="1"/>
    <w:rsid w:val="003216A6"/>
  </w:style>
  <w:style w:type="paragraph" w:customStyle="1" w:styleId="ENoteTTIndentHeadingSub">
    <w:name w:val="ENoteTTIndentHeadingSub"/>
    <w:aliases w:val="enTTHis"/>
    <w:basedOn w:val="OPCParaBase"/>
    <w:rsid w:val="003216A6"/>
    <w:pPr>
      <w:keepNext/>
      <w:spacing w:before="60" w:line="240" w:lineRule="atLeast"/>
      <w:ind w:left="340"/>
    </w:pPr>
    <w:rPr>
      <w:b/>
      <w:sz w:val="16"/>
    </w:rPr>
  </w:style>
  <w:style w:type="paragraph" w:customStyle="1" w:styleId="ENoteTTiSub">
    <w:name w:val="ENoteTTiSub"/>
    <w:aliases w:val="enttis"/>
    <w:basedOn w:val="OPCParaBase"/>
    <w:rsid w:val="003216A6"/>
    <w:pPr>
      <w:keepNext/>
      <w:spacing w:before="60" w:line="240" w:lineRule="atLeast"/>
      <w:ind w:left="340"/>
    </w:pPr>
    <w:rPr>
      <w:sz w:val="16"/>
    </w:rPr>
  </w:style>
  <w:style w:type="paragraph" w:customStyle="1" w:styleId="SubDivisionMigration">
    <w:name w:val="SubDivisionMigration"/>
    <w:aliases w:val="sdm"/>
    <w:basedOn w:val="OPCParaBase"/>
    <w:rsid w:val="003216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16A6"/>
    <w:pPr>
      <w:keepNext/>
      <w:keepLines/>
      <w:spacing w:before="240" w:line="240" w:lineRule="auto"/>
      <w:ind w:left="1134" w:hanging="1134"/>
    </w:pPr>
    <w:rPr>
      <w:b/>
      <w:sz w:val="28"/>
    </w:rPr>
  </w:style>
  <w:style w:type="table" w:styleId="TableGrid">
    <w:name w:val="Table Grid"/>
    <w:basedOn w:val="TableNormal"/>
    <w:uiPriority w:val="59"/>
    <w:rsid w:val="0032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216A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216A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16A6"/>
    <w:rPr>
      <w:sz w:val="22"/>
    </w:rPr>
  </w:style>
  <w:style w:type="paragraph" w:customStyle="1" w:styleId="SOTextNote">
    <w:name w:val="SO TextNote"/>
    <w:aliases w:val="sont"/>
    <w:basedOn w:val="SOText"/>
    <w:qFormat/>
    <w:rsid w:val="003216A6"/>
    <w:pPr>
      <w:spacing w:before="122" w:line="198" w:lineRule="exact"/>
      <w:ind w:left="1843" w:hanging="709"/>
    </w:pPr>
    <w:rPr>
      <w:sz w:val="18"/>
    </w:rPr>
  </w:style>
  <w:style w:type="paragraph" w:customStyle="1" w:styleId="SOPara">
    <w:name w:val="SO Para"/>
    <w:aliases w:val="soa"/>
    <w:basedOn w:val="SOText"/>
    <w:link w:val="SOParaChar"/>
    <w:qFormat/>
    <w:rsid w:val="003216A6"/>
    <w:pPr>
      <w:tabs>
        <w:tab w:val="right" w:pos="1786"/>
      </w:tabs>
      <w:spacing w:before="40"/>
      <w:ind w:left="2070" w:hanging="936"/>
    </w:pPr>
  </w:style>
  <w:style w:type="character" w:customStyle="1" w:styleId="SOParaChar">
    <w:name w:val="SO Para Char"/>
    <w:aliases w:val="soa Char"/>
    <w:basedOn w:val="DefaultParagraphFont"/>
    <w:link w:val="SOPara"/>
    <w:rsid w:val="003216A6"/>
    <w:rPr>
      <w:sz w:val="22"/>
    </w:rPr>
  </w:style>
  <w:style w:type="paragraph" w:customStyle="1" w:styleId="FileName">
    <w:name w:val="FileName"/>
    <w:basedOn w:val="Normal"/>
    <w:rsid w:val="003216A6"/>
  </w:style>
  <w:style w:type="paragraph" w:customStyle="1" w:styleId="SOHeadBold">
    <w:name w:val="SO HeadBold"/>
    <w:aliases w:val="sohb"/>
    <w:basedOn w:val="SOText"/>
    <w:next w:val="SOText"/>
    <w:link w:val="SOHeadBoldChar"/>
    <w:qFormat/>
    <w:rsid w:val="003216A6"/>
    <w:rPr>
      <w:b/>
    </w:rPr>
  </w:style>
  <w:style w:type="character" w:customStyle="1" w:styleId="SOHeadBoldChar">
    <w:name w:val="SO HeadBold Char"/>
    <w:aliases w:val="sohb Char"/>
    <w:basedOn w:val="DefaultParagraphFont"/>
    <w:link w:val="SOHeadBold"/>
    <w:rsid w:val="003216A6"/>
    <w:rPr>
      <w:b/>
      <w:sz w:val="22"/>
    </w:rPr>
  </w:style>
  <w:style w:type="paragraph" w:customStyle="1" w:styleId="SOHeadItalic">
    <w:name w:val="SO HeadItalic"/>
    <w:aliases w:val="sohi"/>
    <w:basedOn w:val="SOText"/>
    <w:next w:val="SOText"/>
    <w:link w:val="SOHeadItalicChar"/>
    <w:qFormat/>
    <w:rsid w:val="003216A6"/>
    <w:rPr>
      <w:i/>
    </w:rPr>
  </w:style>
  <w:style w:type="character" w:customStyle="1" w:styleId="SOHeadItalicChar">
    <w:name w:val="SO HeadItalic Char"/>
    <w:aliases w:val="sohi Char"/>
    <w:basedOn w:val="DefaultParagraphFont"/>
    <w:link w:val="SOHeadItalic"/>
    <w:rsid w:val="003216A6"/>
    <w:rPr>
      <w:i/>
      <w:sz w:val="22"/>
    </w:rPr>
  </w:style>
  <w:style w:type="paragraph" w:customStyle="1" w:styleId="SOBullet">
    <w:name w:val="SO Bullet"/>
    <w:aliases w:val="sotb"/>
    <w:basedOn w:val="SOText"/>
    <w:link w:val="SOBulletChar"/>
    <w:qFormat/>
    <w:rsid w:val="003216A6"/>
    <w:pPr>
      <w:ind w:left="1559" w:hanging="425"/>
    </w:pPr>
  </w:style>
  <w:style w:type="character" w:customStyle="1" w:styleId="SOBulletChar">
    <w:name w:val="SO Bullet Char"/>
    <w:aliases w:val="sotb Char"/>
    <w:basedOn w:val="DefaultParagraphFont"/>
    <w:link w:val="SOBullet"/>
    <w:rsid w:val="003216A6"/>
    <w:rPr>
      <w:sz w:val="22"/>
    </w:rPr>
  </w:style>
  <w:style w:type="paragraph" w:customStyle="1" w:styleId="SOBulletNote">
    <w:name w:val="SO BulletNote"/>
    <w:aliases w:val="sonb"/>
    <w:basedOn w:val="SOTextNote"/>
    <w:link w:val="SOBulletNoteChar"/>
    <w:qFormat/>
    <w:rsid w:val="003216A6"/>
    <w:pPr>
      <w:tabs>
        <w:tab w:val="left" w:pos="1560"/>
      </w:tabs>
      <w:ind w:left="2268" w:hanging="1134"/>
    </w:pPr>
  </w:style>
  <w:style w:type="character" w:customStyle="1" w:styleId="SOBulletNoteChar">
    <w:name w:val="SO BulletNote Char"/>
    <w:aliases w:val="sonb Char"/>
    <w:basedOn w:val="DefaultParagraphFont"/>
    <w:link w:val="SOBulletNote"/>
    <w:rsid w:val="003216A6"/>
    <w:rPr>
      <w:sz w:val="18"/>
    </w:rPr>
  </w:style>
  <w:style w:type="paragraph" w:customStyle="1" w:styleId="SOText2">
    <w:name w:val="SO Text2"/>
    <w:aliases w:val="sot2"/>
    <w:basedOn w:val="Normal"/>
    <w:next w:val="SOText"/>
    <w:link w:val="SOText2Char"/>
    <w:rsid w:val="003216A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16A6"/>
    <w:rPr>
      <w:sz w:val="22"/>
    </w:rPr>
  </w:style>
  <w:style w:type="character" w:customStyle="1" w:styleId="Heading1Char">
    <w:name w:val="Heading 1 Char"/>
    <w:basedOn w:val="DefaultParagraphFont"/>
    <w:link w:val="Heading1"/>
    <w:uiPriority w:val="9"/>
    <w:rsid w:val="009B5A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B5A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B5A7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B5A7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B5A7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B5A7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B5A7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B5A7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B5A79"/>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9B5A79"/>
    <w:rPr>
      <w:rFonts w:eastAsia="Times New Roman" w:cs="Times New Roman"/>
      <w:sz w:val="22"/>
      <w:lang w:eastAsia="en-AU"/>
    </w:rPr>
  </w:style>
  <w:style w:type="character" w:customStyle="1" w:styleId="paragraphChar">
    <w:name w:val="paragraph Char"/>
    <w:aliases w:val="a Char"/>
    <w:link w:val="paragraph"/>
    <w:rsid w:val="009B5A79"/>
    <w:rPr>
      <w:rFonts w:eastAsia="Times New Roman" w:cs="Times New Roman"/>
      <w:sz w:val="22"/>
      <w:lang w:eastAsia="en-AU"/>
    </w:rPr>
  </w:style>
  <w:style w:type="paragraph" w:styleId="BodyText">
    <w:name w:val="Body Text"/>
    <w:link w:val="BodyTextChar"/>
    <w:rsid w:val="009B5A79"/>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9B5A79"/>
    <w:rPr>
      <w:rFonts w:eastAsia="Times New Roman" w:cs="Times New Roman"/>
      <w:sz w:val="22"/>
      <w:szCs w:val="24"/>
      <w:lang w:eastAsia="en-AU"/>
    </w:rPr>
  </w:style>
  <w:style w:type="character" w:customStyle="1" w:styleId="notetextChar">
    <w:name w:val="note(text) Char"/>
    <w:aliases w:val="n Char"/>
    <w:basedOn w:val="DefaultParagraphFont"/>
    <w:link w:val="notetext"/>
    <w:rsid w:val="009B5A79"/>
    <w:rPr>
      <w:rFonts w:eastAsia="Times New Roman" w:cs="Times New Roman"/>
      <w:sz w:val="18"/>
      <w:lang w:eastAsia="en-AU"/>
    </w:rPr>
  </w:style>
  <w:style w:type="numbering" w:styleId="111111">
    <w:name w:val="Outline List 2"/>
    <w:basedOn w:val="NoList"/>
    <w:uiPriority w:val="99"/>
    <w:semiHidden/>
    <w:unhideWhenUsed/>
    <w:rsid w:val="009B5A79"/>
    <w:pPr>
      <w:numPr>
        <w:numId w:val="13"/>
      </w:numPr>
    </w:pPr>
  </w:style>
  <w:style w:type="paragraph" w:styleId="ListParagraph">
    <w:name w:val="List Paragraph"/>
    <w:basedOn w:val="Normal"/>
    <w:uiPriority w:val="34"/>
    <w:qFormat/>
    <w:rsid w:val="009B5A79"/>
    <w:pPr>
      <w:ind w:left="720"/>
      <w:contextualSpacing/>
    </w:pPr>
  </w:style>
  <w:style w:type="paragraph" w:customStyle="1" w:styleId="ShortTP1">
    <w:name w:val="ShortTP1"/>
    <w:basedOn w:val="ShortT"/>
    <w:link w:val="ShortTP1Char"/>
    <w:rsid w:val="00C0551E"/>
    <w:pPr>
      <w:spacing w:before="800"/>
    </w:pPr>
  </w:style>
  <w:style w:type="character" w:customStyle="1" w:styleId="OPCParaBaseChar">
    <w:name w:val="OPCParaBase Char"/>
    <w:basedOn w:val="DefaultParagraphFont"/>
    <w:link w:val="OPCParaBase"/>
    <w:rsid w:val="00C0551E"/>
    <w:rPr>
      <w:rFonts w:eastAsia="Times New Roman" w:cs="Times New Roman"/>
      <w:sz w:val="22"/>
      <w:lang w:eastAsia="en-AU"/>
    </w:rPr>
  </w:style>
  <w:style w:type="character" w:customStyle="1" w:styleId="ShortTChar">
    <w:name w:val="ShortT Char"/>
    <w:basedOn w:val="OPCParaBaseChar"/>
    <w:link w:val="ShortT"/>
    <w:rsid w:val="00C0551E"/>
    <w:rPr>
      <w:rFonts w:eastAsia="Times New Roman" w:cs="Times New Roman"/>
      <w:b/>
      <w:sz w:val="40"/>
      <w:lang w:eastAsia="en-AU"/>
    </w:rPr>
  </w:style>
  <w:style w:type="character" w:customStyle="1" w:styleId="ShortTP1Char">
    <w:name w:val="ShortTP1 Char"/>
    <w:basedOn w:val="ShortTChar"/>
    <w:link w:val="ShortTP1"/>
    <w:rsid w:val="00C0551E"/>
    <w:rPr>
      <w:rFonts w:eastAsia="Times New Roman" w:cs="Times New Roman"/>
      <w:b/>
      <w:sz w:val="40"/>
      <w:lang w:eastAsia="en-AU"/>
    </w:rPr>
  </w:style>
  <w:style w:type="paragraph" w:customStyle="1" w:styleId="ActNoP1">
    <w:name w:val="ActNoP1"/>
    <w:basedOn w:val="Actno"/>
    <w:link w:val="ActNoP1Char"/>
    <w:rsid w:val="00C0551E"/>
    <w:pPr>
      <w:spacing w:before="800"/>
    </w:pPr>
    <w:rPr>
      <w:sz w:val="28"/>
    </w:rPr>
  </w:style>
  <w:style w:type="character" w:customStyle="1" w:styleId="ActnoChar">
    <w:name w:val="Actno Char"/>
    <w:basedOn w:val="ShortTChar"/>
    <w:link w:val="Actno"/>
    <w:rsid w:val="00C0551E"/>
    <w:rPr>
      <w:rFonts w:eastAsia="Times New Roman" w:cs="Times New Roman"/>
      <w:b/>
      <w:sz w:val="40"/>
      <w:lang w:eastAsia="en-AU"/>
    </w:rPr>
  </w:style>
  <w:style w:type="character" w:customStyle="1" w:styleId="ActNoP1Char">
    <w:name w:val="ActNoP1 Char"/>
    <w:basedOn w:val="ActnoChar"/>
    <w:link w:val="ActNoP1"/>
    <w:rsid w:val="00C0551E"/>
    <w:rPr>
      <w:rFonts w:eastAsia="Times New Roman" w:cs="Times New Roman"/>
      <w:b/>
      <w:sz w:val="28"/>
      <w:lang w:eastAsia="en-AU"/>
    </w:rPr>
  </w:style>
  <w:style w:type="paragraph" w:customStyle="1" w:styleId="ShortTCP">
    <w:name w:val="ShortTCP"/>
    <w:basedOn w:val="ShortT"/>
    <w:link w:val="ShortTCPChar"/>
    <w:rsid w:val="00C0551E"/>
  </w:style>
  <w:style w:type="character" w:customStyle="1" w:styleId="ShortTCPChar">
    <w:name w:val="ShortTCP Char"/>
    <w:basedOn w:val="ShortTChar"/>
    <w:link w:val="ShortTCP"/>
    <w:rsid w:val="00C0551E"/>
    <w:rPr>
      <w:rFonts w:eastAsia="Times New Roman" w:cs="Times New Roman"/>
      <w:b/>
      <w:sz w:val="40"/>
      <w:lang w:eastAsia="en-AU"/>
    </w:rPr>
  </w:style>
  <w:style w:type="paragraph" w:customStyle="1" w:styleId="ActNoCP">
    <w:name w:val="ActNoCP"/>
    <w:basedOn w:val="Actno"/>
    <w:link w:val="ActNoCPChar"/>
    <w:rsid w:val="00C0551E"/>
    <w:pPr>
      <w:spacing w:before="400"/>
    </w:pPr>
  </w:style>
  <w:style w:type="character" w:customStyle="1" w:styleId="ActNoCPChar">
    <w:name w:val="ActNoCP Char"/>
    <w:basedOn w:val="ActnoChar"/>
    <w:link w:val="ActNoCP"/>
    <w:rsid w:val="00C0551E"/>
    <w:rPr>
      <w:rFonts w:eastAsia="Times New Roman" w:cs="Times New Roman"/>
      <w:b/>
      <w:sz w:val="40"/>
      <w:lang w:eastAsia="en-AU"/>
    </w:rPr>
  </w:style>
  <w:style w:type="paragraph" w:customStyle="1" w:styleId="AssentBk">
    <w:name w:val="AssentBk"/>
    <w:basedOn w:val="Normal"/>
    <w:rsid w:val="00C0551E"/>
    <w:pPr>
      <w:spacing w:line="240" w:lineRule="auto"/>
    </w:pPr>
    <w:rPr>
      <w:rFonts w:eastAsia="Times New Roman" w:cs="Times New Roman"/>
      <w:sz w:val="20"/>
      <w:lang w:eastAsia="en-AU"/>
    </w:rPr>
  </w:style>
  <w:style w:type="paragraph" w:customStyle="1" w:styleId="AssentDt">
    <w:name w:val="AssentDt"/>
    <w:basedOn w:val="Normal"/>
    <w:rsid w:val="00A42596"/>
    <w:pPr>
      <w:spacing w:line="240" w:lineRule="auto"/>
    </w:pPr>
    <w:rPr>
      <w:rFonts w:eastAsia="Times New Roman" w:cs="Times New Roman"/>
      <w:sz w:val="20"/>
      <w:lang w:eastAsia="en-AU"/>
    </w:rPr>
  </w:style>
  <w:style w:type="paragraph" w:customStyle="1" w:styleId="2ndRd">
    <w:name w:val="2ndRd"/>
    <w:basedOn w:val="Normal"/>
    <w:rsid w:val="00A42596"/>
    <w:pPr>
      <w:spacing w:line="240" w:lineRule="auto"/>
    </w:pPr>
    <w:rPr>
      <w:rFonts w:eastAsia="Times New Roman" w:cs="Times New Roman"/>
      <w:sz w:val="20"/>
      <w:lang w:eastAsia="en-AU"/>
    </w:rPr>
  </w:style>
  <w:style w:type="paragraph" w:customStyle="1" w:styleId="ScalePlusRef">
    <w:name w:val="ScalePlusRef"/>
    <w:basedOn w:val="Normal"/>
    <w:rsid w:val="00A4259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92242">
      <w:bodyDiv w:val="1"/>
      <w:marLeft w:val="0"/>
      <w:marRight w:val="0"/>
      <w:marTop w:val="0"/>
      <w:marBottom w:val="0"/>
      <w:divBdr>
        <w:top w:val="none" w:sz="0" w:space="0" w:color="auto"/>
        <w:left w:val="none" w:sz="0" w:space="0" w:color="auto"/>
        <w:bottom w:val="none" w:sz="0" w:space="0" w:color="auto"/>
        <w:right w:val="none" w:sz="0" w:space="0" w:color="auto"/>
      </w:divBdr>
    </w:div>
    <w:div w:id="18217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5C1D-5D27-4302-A91A-941A1D89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12097</Words>
  <Characters>69079</Characters>
  <Application>Microsoft Office Word</Application>
  <DocSecurity>0</DocSecurity>
  <PresentationFormat/>
  <Lines>1726</Lines>
  <Paragraphs>1309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79867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2017-07-28T00:27:00Z</dcterms:created>
  <dcterms:modified xsi:type="dcterms:W3CDTF">2017-07-28T00:35:00Z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Ozone Protection and Synthetic Greenhouse Gas Management Legislation Amendment Act 2017</vt:lpwstr>
  </property>
  <property fmtid="{D5CDD505-2E9C-101B-9397-08002B2CF9AE}" pid="3" name="Actno">
    <vt:lpwstr>No. 67, 2017</vt:lpwstr>
  </property>
</Properties>
</file>