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4CC" w:rsidRDefault="00874CE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35pt;height:80.4pt" fillcolor="window">
            <v:imagedata r:id="rId9" o:title=""/>
          </v:shape>
        </w:pict>
      </w:r>
    </w:p>
    <w:p w:rsidR="007914CC" w:rsidRDefault="007914CC"/>
    <w:p w:rsidR="007914CC" w:rsidRDefault="007914CC" w:rsidP="007914CC">
      <w:pPr>
        <w:spacing w:line="240" w:lineRule="auto"/>
      </w:pPr>
    </w:p>
    <w:p w:rsidR="007914CC" w:rsidRDefault="007914CC" w:rsidP="007914CC"/>
    <w:p w:rsidR="007914CC" w:rsidRDefault="007914CC" w:rsidP="007914CC"/>
    <w:p w:rsidR="007914CC" w:rsidRDefault="007914CC" w:rsidP="007914CC"/>
    <w:p w:rsidR="007914CC" w:rsidRDefault="007914CC" w:rsidP="007914CC"/>
    <w:p w:rsidR="0048364F" w:rsidRPr="00392A4E" w:rsidRDefault="0054373E" w:rsidP="0048364F">
      <w:pPr>
        <w:pStyle w:val="ShortT"/>
      </w:pPr>
      <w:r w:rsidRPr="00392A4E">
        <w:t xml:space="preserve">Australian Education Amendment </w:t>
      </w:r>
      <w:r w:rsidR="007914CC">
        <w:t>Act</w:t>
      </w:r>
      <w:r w:rsidR="00C164CA" w:rsidRPr="00392A4E">
        <w:t xml:space="preserve"> 201</w:t>
      </w:r>
      <w:r w:rsidR="00A048FF" w:rsidRPr="00392A4E">
        <w:t>7</w:t>
      </w:r>
      <w:bookmarkStart w:id="0" w:name="_GoBack"/>
      <w:bookmarkEnd w:id="0"/>
    </w:p>
    <w:p w:rsidR="0048364F" w:rsidRPr="00392A4E" w:rsidRDefault="0048364F" w:rsidP="0048364F"/>
    <w:p w:rsidR="0048364F" w:rsidRPr="00392A4E" w:rsidRDefault="00C164CA" w:rsidP="007914CC">
      <w:pPr>
        <w:pStyle w:val="Actno"/>
        <w:spacing w:before="400"/>
      </w:pPr>
      <w:r w:rsidRPr="00392A4E">
        <w:t>No.</w:t>
      </w:r>
      <w:r w:rsidR="00D25FA5">
        <w:t xml:space="preserve"> 78</w:t>
      </w:r>
      <w:r w:rsidRPr="00392A4E">
        <w:t>, 201</w:t>
      </w:r>
      <w:r w:rsidR="00A048FF" w:rsidRPr="00392A4E">
        <w:t>7</w:t>
      </w:r>
    </w:p>
    <w:p w:rsidR="0048364F" w:rsidRPr="00392A4E" w:rsidRDefault="0048364F" w:rsidP="0048364F"/>
    <w:p w:rsidR="007914CC" w:rsidRDefault="007914CC" w:rsidP="007914CC"/>
    <w:p w:rsidR="007914CC" w:rsidRDefault="007914CC" w:rsidP="007914CC"/>
    <w:p w:rsidR="007914CC" w:rsidRDefault="007914CC" w:rsidP="007914CC"/>
    <w:p w:rsidR="007914CC" w:rsidRDefault="007914CC" w:rsidP="007914CC"/>
    <w:p w:rsidR="0048364F" w:rsidRPr="00392A4E" w:rsidRDefault="007914CC" w:rsidP="0048364F">
      <w:pPr>
        <w:pStyle w:val="LongT"/>
      </w:pPr>
      <w:r>
        <w:t>An Act</w:t>
      </w:r>
      <w:r w:rsidR="0048364F" w:rsidRPr="00392A4E">
        <w:t xml:space="preserve"> to </w:t>
      </w:r>
      <w:r w:rsidR="0054373E" w:rsidRPr="00392A4E">
        <w:t xml:space="preserve">amend the </w:t>
      </w:r>
      <w:r w:rsidR="0054373E" w:rsidRPr="00392A4E">
        <w:rPr>
          <w:i/>
        </w:rPr>
        <w:t>Australian Education Act 2013</w:t>
      </w:r>
      <w:r w:rsidR="0048364F" w:rsidRPr="00392A4E">
        <w:t>, and for related purposes</w:t>
      </w:r>
    </w:p>
    <w:p w:rsidR="00EB4B8A" w:rsidRPr="00392A4E" w:rsidRDefault="00EB4B8A" w:rsidP="00EB4B8A">
      <w:pPr>
        <w:pStyle w:val="Header"/>
        <w:tabs>
          <w:tab w:val="clear" w:pos="4150"/>
          <w:tab w:val="clear" w:pos="8307"/>
        </w:tabs>
      </w:pPr>
      <w:r w:rsidRPr="00392A4E">
        <w:rPr>
          <w:rStyle w:val="CharAmSchNo"/>
        </w:rPr>
        <w:t xml:space="preserve"> </w:t>
      </w:r>
      <w:r w:rsidRPr="00392A4E">
        <w:rPr>
          <w:rStyle w:val="CharAmSchText"/>
        </w:rPr>
        <w:t xml:space="preserve"> </w:t>
      </w:r>
    </w:p>
    <w:p w:rsidR="00EB4B8A" w:rsidRPr="00392A4E" w:rsidRDefault="00EB4B8A" w:rsidP="00EB4B8A">
      <w:pPr>
        <w:pStyle w:val="Header"/>
        <w:tabs>
          <w:tab w:val="clear" w:pos="4150"/>
          <w:tab w:val="clear" w:pos="8307"/>
        </w:tabs>
      </w:pPr>
      <w:r w:rsidRPr="00392A4E">
        <w:rPr>
          <w:rStyle w:val="CharAmPartNo"/>
        </w:rPr>
        <w:t xml:space="preserve"> </w:t>
      </w:r>
      <w:r w:rsidRPr="00392A4E">
        <w:rPr>
          <w:rStyle w:val="CharAmPartText"/>
        </w:rPr>
        <w:t xml:space="preserve"> </w:t>
      </w:r>
    </w:p>
    <w:p w:rsidR="0048364F" w:rsidRPr="00392A4E" w:rsidRDefault="0048364F" w:rsidP="0048364F">
      <w:pPr>
        <w:sectPr w:rsidR="0048364F" w:rsidRPr="00392A4E" w:rsidSect="007914CC">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392A4E" w:rsidRDefault="0048364F" w:rsidP="00B8263C">
      <w:pPr>
        <w:rPr>
          <w:sz w:val="36"/>
        </w:rPr>
      </w:pPr>
      <w:r w:rsidRPr="00392A4E">
        <w:rPr>
          <w:sz w:val="36"/>
        </w:rPr>
        <w:lastRenderedPageBreak/>
        <w:t>Contents</w:t>
      </w:r>
    </w:p>
    <w:bookmarkStart w:id="1" w:name="BKCheck15B_1"/>
    <w:bookmarkEnd w:id="1"/>
    <w:p w:rsidR="00507107" w:rsidRDefault="0050710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07107">
        <w:rPr>
          <w:noProof/>
        </w:rPr>
        <w:tab/>
      </w:r>
      <w:r w:rsidRPr="00507107">
        <w:rPr>
          <w:noProof/>
        </w:rPr>
        <w:fldChar w:fldCharType="begin"/>
      </w:r>
      <w:r w:rsidRPr="00507107">
        <w:rPr>
          <w:noProof/>
        </w:rPr>
        <w:instrText xml:space="preserve"> PAGEREF _Toc486412735 \h </w:instrText>
      </w:r>
      <w:r w:rsidRPr="00507107">
        <w:rPr>
          <w:noProof/>
        </w:rPr>
      </w:r>
      <w:r w:rsidRPr="00507107">
        <w:rPr>
          <w:noProof/>
        </w:rPr>
        <w:fldChar w:fldCharType="separate"/>
      </w:r>
      <w:r w:rsidR="00874CEF">
        <w:rPr>
          <w:noProof/>
        </w:rPr>
        <w:t>1</w:t>
      </w:r>
      <w:r w:rsidRPr="00507107">
        <w:rPr>
          <w:noProof/>
        </w:rPr>
        <w:fldChar w:fldCharType="end"/>
      </w:r>
    </w:p>
    <w:p w:rsidR="00507107" w:rsidRDefault="00507107">
      <w:pPr>
        <w:pStyle w:val="TOC5"/>
        <w:rPr>
          <w:rFonts w:asciiTheme="minorHAnsi" w:eastAsiaTheme="minorEastAsia" w:hAnsiTheme="minorHAnsi" w:cstheme="minorBidi"/>
          <w:noProof/>
          <w:kern w:val="0"/>
          <w:sz w:val="22"/>
          <w:szCs w:val="22"/>
        </w:rPr>
      </w:pPr>
      <w:r>
        <w:rPr>
          <w:noProof/>
        </w:rPr>
        <w:t>2</w:t>
      </w:r>
      <w:r>
        <w:rPr>
          <w:noProof/>
        </w:rPr>
        <w:tab/>
        <w:t>Commencement</w:t>
      </w:r>
      <w:r w:rsidRPr="00507107">
        <w:rPr>
          <w:noProof/>
        </w:rPr>
        <w:tab/>
      </w:r>
      <w:r w:rsidRPr="00507107">
        <w:rPr>
          <w:noProof/>
        </w:rPr>
        <w:fldChar w:fldCharType="begin"/>
      </w:r>
      <w:r w:rsidRPr="00507107">
        <w:rPr>
          <w:noProof/>
        </w:rPr>
        <w:instrText xml:space="preserve"> PAGEREF _Toc486412736 \h </w:instrText>
      </w:r>
      <w:r w:rsidRPr="00507107">
        <w:rPr>
          <w:noProof/>
        </w:rPr>
      </w:r>
      <w:r w:rsidRPr="00507107">
        <w:rPr>
          <w:noProof/>
        </w:rPr>
        <w:fldChar w:fldCharType="separate"/>
      </w:r>
      <w:r w:rsidR="00874CEF">
        <w:rPr>
          <w:noProof/>
        </w:rPr>
        <w:t>1</w:t>
      </w:r>
      <w:r w:rsidRPr="00507107">
        <w:rPr>
          <w:noProof/>
        </w:rPr>
        <w:fldChar w:fldCharType="end"/>
      </w:r>
    </w:p>
    <w:p w:rsidR="00507107" w:rsidRDefault="00507107">
      <w:pPr>
        <w:pStyle w:val="TOC5"/>
        <w:rPr>
          <w:rFonts w:asciiTheme="minorHAnsi" w:eastAsiaTheme="minorEastAsia" w:hAnsiTheme="minorHAnsi" w:cstheme="minorBidi"/>
          <w:noProof/>
          <w:kern w:val="0"/>
          <w:sz w:val="22"/>
          <w:szCs w:val="22"/>
        </w:rPr>
      </w:pPr>
      <w:r>
        <w:rPr>
          <w:noProof/>
        </w:rPr>
        <w:t>3</w:t>
      </w:r>
      <w:r>
        <w:rPr>
          <w:noProof/>
        </w:rPr>
        <w:tab/>
        <w:t>Schedules</w:t>
      </w:r>
      <w:r w:rsidRPr="00507107">
        <w:rPr>
          <w:noProof/>
        </w:rPr>
        <w:tab/>
      </w:r>
      <w:r w:rsidRPr="00507107">
        <w:rPr>
          <w:noProof/>
        </w:rPr>
        <w:fldChar w:fldCharType="begin"/>
      </w:r>
      <w:r w:rsidRPr="00507107">
        <w:rPr>
          <w:noProof/>
        </w:rPr>
        <w:instrText xml:space="preserve"> PAGEREF _Toc486412737 \h </w:instrText>
      </w:r>
      <w:r w:rsidRPr="00507107">
        <w:rPr>
          <w:noProof/>
        </w:rPr>
      </w:r>
      <w:r w:rsidRPr="00507107">
        <w:rPr>
          <w:noProof/>
        </w:rPr>
        <w:fldChar w:fldCharType="separate"/>
      </w:r>
      <w:r w:rsidR="00874CEF">
        <w:rPr>
          <w:noProof/>
        </w:rPr>
        <w:t>2</w:t>
      </w:r>
      <w:r w:rsidRPr="00507107">
        <w:rPr>
          <w:noProof/>
        </w:rPr>
        <w:fldChar w:fldCharType="end"/>
      </w:r>
    </w:p>
    <w:p w:rsidR="00507107" w:rsidRDefault="00507107">
      <w:pPr>
        <w:pStyle w:val="TOC6"/>
        <w:rPr>
          <w:rFonts w:asciiTheme="minorHAnsi" w:eastAsiaTheme="minorEastAsia" w:hAnsiTheme="minorHAnsi" w:cstheme="minorBidi"/>
          <w:b w:val="0"/>
          <w:noProof/>
          <w:kern w:val="0"/>
          <w:sz w:val="22"/>
          <w:szCs w:val="22"/>
        </w:rPr>
      </w:pPr>
      <w:r>
        <w:rPr>
          <w:noProof/>
        </w:rPr>
        <w:t>Schedule 1—Amendments</w:t>
      </w:r>
      <w:r w:rsidRPr="00507107">
        <w:rPr>
          <w:b w:val="0"/>
          <w:noProof/>
          <w:sz w:val="18"/>
        </w:rPr>
        <w:tab/>
      </w:r>
      <w:r w:rsidRPr="00507107">
        <w:rPr>
          <w:b w:val="0"/>
          <w:noProof/>
          <w:sz w:val="18"/>
        </w:rPr>
        <w:fldChar w:fldCharType="begin"/>
      </w:r>
      <w:r w:rsidRPr="00507107">
        <w:rPr>
          <w:b w:val="0"/>
          <w:noProof/>
          <w:sz w:val="18"/>
        </w:rPr>
        <w:instrText xml:space="preserve"> PAGEREF _Toc486412738 \h </w:instrText>
      </w:r>
      <w:r w:rsidRPr="00507107">
        <w:rPr>
          <w:b w:val="0"/>
          <w:noProof/>
          <w:sz w:val="18"/>
        </w:rPr>
      </w:r>
      <w:r w:rsidRPr="00507107">
        <w:rPr>
          <w:b w:val="0"/>
          <w:noProof/>
          <w:sz w:val="18"/>
        </w:rPr>
        <w:fldChar w:fldCharType="separate"/>
      </w:r>
      <w:r w:rsidR="00874CEF">
        <w:rPr>
          <w:b w:val="0"/>
          <w:noProof/>
          <w:sz w:val="18"/>
        </w:rPr>
        <w:t>3</w:t>
      </w:r>
      <w:r w:rsidRPr="00507107">
        <w:rPr>
          <w:b w:val="0"/>
          <w:noProof/>
          <w:sz w:val="18"/>
        </w:rPr>
        <w:fldChar w:fldCharType="end"/>
      </w:r>
    </w:p>
    <w:p w:rsidR="00507107" w:rsidRDefault="00507107">
      <w:pPr>
        <w:pStyle w:val="TOC7"/>
        <w:rPr>
          <w:rFonts w:asciiTheme="minorHAnsi" w:eastAsiaTheme="minorEastAsia" w:hAnsiTheme="minorHAnsi" w:cstheme="minorBidi"/>
          <w:noProof/>
          <w:kern w:val="0"/>
          <w:sz w:val="22"/>
          <w:szCs w:val="22"/>
        </w:rPr>
      </w:pPr>
      <w:r>
        <w:rPr>
          <w:noProof/>
        </w:rPr>
        <w:t>Part 1—Funding for schools</w:t>
      </w:r>
      <w:r w:rsidRPr="00507107">
        <w:rPr>
          <w:noProof/>
          <w:sz w:val="18"/>
        </w:rPr>
        <w:tab/>
      </w:r>
      <w:r w:rsidRPr="00507107">
        <w:rPr>
          <w:noProof/>
          <w:sz w:val="18"/>
        </w:rPr>
        <w:fldChar w:fldCharType="begin"/>
      </w:r>
      <w:r w:rsidRPr="00507107">
        <w:rPr>
          <w:noProof/>
          <w:sz w:val="18"/>
        </w:rPr>
        <w:instrText xml:space="preserve"> PAGEREF _Toc486412739 \h </w:instrText>
      </w:r>
      <w:r w:rsidRPr="00507107">
        <w:rPr>
          <w:noProof/>
          <w:sz w:val="18"/>
        </w:rPr>
      </w:r>
      <w:r w:rsidRPr="00507107">
        <w:rPr>
          <w:noProof/>
          <w:sz w:val="18"/>
        </w:rPr>
        <w:fldChar w:fldCharType="separate"/>
      </w:r>
      <w:r w:rsidR="00874CEF">
        <w:rPr>
          <w:noProof/>
          <w:sz w:val="18"/>
        </w:rPr>
        <w:t>3</w:t>
      </w:r>
      <w:r w:rsidRPr="00507107">
        <w:rPr>
          <w:noProof/>
          <w:sz w:val="18"/>
        </w:rPr>
        <w:fldChar w:fldCharType="end"/>
      </w:r>
    </w:p>
    <w:p w:rsidR="00507107" w:rsidRDefault="00507107">
      <w:pPr>
        <w:pStyle w:val="TOC9"/>
        <w:rPr>
          <w:rFonts w:asciiTheme="minorHAnsi" w:eastAsiaTheme="minorEastAsia" w:hAnsiTheme="minorHAnsi" w:cstheme="minorBidi"/>
          <w:i w:val="0"/>
          <w:noProof/>
          <w:kern w:val="0"/>
          <w:sz w:val="22"/>
          <w:szCs w:val="22"/>
        </w:rPr>
      </w:pPr>
      <w:r>
        <w:rPr>
          <w:noProof/>
        </w:rPr>
        <w:t>Australian Education Act 2013</w:t>
      </w:r>
      <w:r w:rsidRPr="00507107">
        <w:rPr>
          <w:i w:val="0"/>
          <w:noProof/>
          <w:sz w:val="18"/>
        </w:rPr>
        <w:tab/>
      </w:r>
      <w:r w:rsidRPr="00507107">
        <w:rPr>
          <w:i w:val="0"/>
          <w:noProof/>
          <w:sz w:val="18"/>
        </w:rPr>
        <w:fldChar w:fldCharType="begin"/>
      </w:r>
      <w:r w:rsidRPr="00507107">
        <w:rPr>
          <w:i w:val="0"/>
          <w:noProof/>
          <w:sz w:val="18"/>
        </w:rPr>
        <w:instrText xml:space="preserve"> PAGEREF _Toc486412740 \h </w:instrText>
      </w:r>
      <w:r w:rsidRPr="00507107">
        <w:rPr>
          <w:i w:val="0"/>
          <w:noProof/>
          <w:sz w:val="18"/>
        </w:rPr>
      </w:r>
      <w:r w:rsidRPr="00507107">
        <w:rPr>
          <w:i w:val="0"/>
          <w:noProof/>
          <w:sz w:val="18"/>
        </w:rPr>
        <w:fldChar w:fldCharType="separate"/>
      </w:r>
      <w:r w:rsidR="00874CEF">
        <w:rPr>
          <w:i w:val="0"/>
          <w:noProof/>
          <w:sz w:val="18"/>
        </w:rPr>
        <w:t>3</w:t>
      </w:r>
      <w:r w:rsidRPr="00507107">
        <w:rPr>
          <w:i w:val="0"/>
          <w:noProof/>
          <w:sz w:val="18"/>
        </w:rPr>
        <w:fldChar w:fldCharType="end"/>
      </w:r>
    </w:p>
    <w:p w:rsidR="00507107" w:rsidRDefault="00507107">
      <w:pPr>
        <w:pStyle w:val="TOC7"/>
        <w:rPr>
          <w:rFonts w:asciiTheme="minorHAnsi" w:eastAsiaTheme="minorEastAsia" w:hAnsiTheme="minorHAnsi" w:cstheme="minorBidi"/>
          <w:noProof/>
          <w:kern w:val="0"/>
          <w:sz w:val="22"/>
          <w:szCs w:val="22"/>
        </w:rPr>
      </w:pPr>
      <w:r>
        <w:rPr>
          <w:noProof/>
        </w:rPr>
        <w:t>Part 2—Other policy changes</w:t>
      </w:r>
      <w:r w:rsidRPr="00507107">
        <w:rPr>
          <w:noProof/>
          <w:sz w:val="18"/>
        </w:rPr>
        <w:tab/>
      </w:r>
      <w:r w:rsidRPr="00507107">
        <w:rPr>
          <w:noProof/>
          <w:sz w:val="18"/>
        </w:rPr>
        <w:fldChar w:fldCharType="begin"/>
      </w:r>
      <w:r w:rsidRPr="00507107">
        <w:rPr>
          <w:noProof/>
          <w:sz w:val="18"/>
        </w:rPr>
        <w:instrText xml:space="preserve"> PAGEREF _Toc486412747 \h </w:instrText>
      </w:r>
      <w:r w:rsidRPr="00507107">
        <w:rPr>
          <w:noProof/>
          <w:sz w:val="18"/>
        </w:rPr>
      </w:r>
      <w:r w:rsidRPr="00507107">
        <w:rPr>
          <w:noProof/>
          <w:sz w:val="18"/>
        </w:rPr>
        <w:fldChar w:fldCharType="separate"/>
      </w:r>
      <w:r w:rsidR="00874CEF">
        <w:rPr>
          <w:noProof/>
          <w:sz w:val="18"/>
        </w:rPr>
        <w:t>16</w:t>
      </w:r>
      <w:r w:rsidRPr="00507107">
        <w:rPr>
          <w:noProof/>
          <w:sz w:val="18"/>
        </w:rPr>
        <w:fldChar w:fldCharType="end"/>
      </w:r>
    </w:p>
    <w:p w:rsidR="00507107" w:rsidRDefault="00507107">
      <w:pPr>
        <w:pStyle w:val="TOC9"/>
        <w:rPr>
          <w:rFonts w:asciiTheme="minorHAnsi" w:eastAsiaTheme="minorEastAsia" w:hAnsiTheme="minorHAnsi" w:cstheme="minorBidi"/>
          <w:i w:val="0"/>
          <w:noProof/>
          <w:kern w:val="0"/>
          <w:sz w:val="22"/>
          <w:szCs w:val="22"/>
        </w:rPr>
      </w:pPr>
      <w:r>
        <w:rPr>
          <w:noProof/>
        </w:rPr>
        <w:t>Australian Education Act 2013</w:t>
      </w:r>
      <w:r w:rsidRPr="00507107">
        <w:rPr>
          <w:i w:val="0"/>
          <w:noProof/>
          <w:sz w:val="18"/>
        </w:rPr>
        <w:tab/>
      </w:r>
      <w:r w:rsidRPr="00507107">
        <w:rPr>
          <w:i w:val="0"/>
          <w:noProof/>
          <w:sz w:val="18"/>
        </w:rPr>
        <w:fldChar w:fldCharType="begin"/>
      </w:r>
      <w:r w:rsidRPr="00507107">
        <w:rPr>
          <w:i w:val="0"/>
          <w:noProof/>
          <w:sz w:val="18"/>
        </w:rPr>
        <w:instrText xml:space="preserve"> PAGEREF _Toc486412748 \h </w:instrText>
      </w:r>
      <w:r w:rsidRPr="00507107">
        <w:rPr>
          <w:i w:val="0"/>
          <w:noProof/>
          <w:sz w:val="18"/>
        </w:rPr>
      </w:r>
      <w:r w:rsidRPr="00507107">
        <w:rPr>
          <w:i w:val="0"/>
          <w:noProof/>
          <w:sz w:val="18"/>
        </w:rPr>
        <w:fldChar w:fldCharType="separate"/>
      </w:r>
      <w:r w:rsidR="00874CEF">
        <w:rPr>
          <w:i w:val="0"/>
          <w:noProof/>
          <w:sz w:val="18"/>
        </w:rPr>
        <w:t>16</w:t>
      </w:r>
      <w:r w:rsidRPr="00507107">
        <w:rPr>
          <w:i w:val="0"/>
          <w:noProof/>
          <w:sz w:val="18"/>
        </w:rPr>
        <w:fldChar w:fldCharType="end"/>
      </w:r>
    </w:p>
    <w:p w:rsidR="00507107" w:rsidRDefault="00507107">
      <w:pPr>
        <w:pStyle w:val="TOC9"/>
        <w:rPr>
          <w:rFonts w:asciiTheme="minorHAnsi" w:eastAsiaTheme="minorEastAsia" w:hAnsiTheme="minorHAnsi" w:cstheme="minorBidi"/>
          <w:i w:val="0"/>
          <w:noProof/>
          <w:kern w:val="0"/>
          <w:sz w:val="22"/>
          <w:szCs w:val="22"/>
        </w:rPr>
      </w:pPr>
      <w:r>
        <w:rPr>
          <w:noProof/>
        </w:rPr>
        <w:t>Australian Education (Consequential and Transitional Provisions) Act 2013</w:t>
      </w:r>
      <w:r w:rsidRPr="00507107">
        <w:rPr>
          <w:i w:val="0"/>
          <w:noProof/>
          <w:sz w:val="18"/>
        </w:rPr>
        <w:tab/>
      </w:r>
      <w:r w:rsidRPr="00507107">
        <w:rPr>
          <w:i w:val="0"/>
          <w:noProof/>
          <w:sz w:val="18"/>
        </w:rPr>
        <w:fldChar w:fldCharType="begin"/>
      </w:r>
      <w:r w:rsidRPr="00507107">
        <w:rPr>
          <w:i w:val="0"/>
          <w:noProof/>
          <w:sz w:val="18"/>
        </w:rPr>
        <w:instrText xml:space="preserve"> PAGEREF _Toc486412760 \h </w:instrText>
      </w:r>
      <w:r w:rsidRPr="00507107">
        <w:rPr>
          <w:i w:val="0"/>
          <w:noProof/>
          <w:sz w:val="18"/>
        </w:rPr>
      </w:r>
      <w:r w:rsidRPr="00507107">
        <w:rPr>
          <w:i w:val="0"/>
          <w:noProof/>
          <w:sz w:val="18"/>
        </w:rPr>
        <w:fldChar w:fldCharType="separate"/>
      </w:r>
      <w:r w:rsidR="00874CEF">
        <w:rPr>
          <w:i w:val="0"/>
          <w:noProof/>
          <w:sz w:val="18"/>
        </w:rPr>
        <w:t>33</w:t>
      </w:r>
      <w:r w:rsidRPr="00507107">
        <w:rPr>
          <w:i w:val="0"/>
          <w:noProof/>
          <w:sz w:val="18"/>
        </w:rPr>
        <w:fldChar w:fldCharType="end"/>
      </w:r>
    </w:p>
    <w:p w:rsidR="00507107" w:rsidRDefault="00507107">
      <w:pPr>
        <w:pStyle w:val="TOC7"/>
        <w:rPr>
          <w:rFonts w:asciiTheme="minorHAnsi" w:eastAsiaTheme="minorEastAsia" w:hAnsiTheme="minorHAnsi" w:cstheme="minorBidi"/>
          <w:noProof/>
          <w:kern w:val="0"/>
          <w:sz w:val="22"/>
          <w:szCs w:val="22"/>
        </w:rPr>
      </w:pPr>
      <w:r>
        <w:rPr>
          <w:noProof/>
        </w:rPr>
        <w:t>Part 3—Miscellaneous technical amendments</w:t>
      </w:r>
      <w:r w:rsidRPr="00507107">
        <w:rPr>
          <w:noProof/>
          <w:sz w:val="18"/>
        </w:rPr>
        <w:tab/>
      </w:r>
      <w:r w:rsidRPr="00507107">
        <w:rPr>
          <w:noProof/>
          <w:sz w:val="18"/>
        </w:rPr>
        <w:fldChar w:fldCharType="begin"/>
      </w:r>
      <w:r w:rsidRPr="00507107">
        <w:rPr>
          <w:noProof/>
          <w:sz w:val="18"/>
        </w:rPr>
        <w:instrText xml:space="preserve"> PAGEREF _Toc486412761 \h </w:instrText>
      </w:r>
      <w:r w:rsidRPr="00507107">
        <w:rPr>
          <w:noProof/>
          <w:sz w:val="18"/>
        </w:rPr>
      </w:r>
      <w:r w:rsidRPr="00507107">
        <w:rPr>
          <w:noProof/>
          <w:sz w:val="18"/>
        </w:rPr>
        <w:fldChar w:fldCharType="separate"/>
      </w:r>
      <w:r w:rsidR="00874CEF">
        <w:rPr>
          <w:noProof/>
          <w:sz w:val="18"/>
        </w:rPr>
        <w:t>35</w:t>
      </w:r>
      <w:r w:rsidRPr="00507107">
        <w:rPr>
          <w:noProof/>
          <w:sz w:val="18"/>
        </w:rPr>
        <w:fldChar w:fldCharType="end"/>
      </w:r>
    </w:p>
    <w:p w:rsidR="00507107" w:rsidRDefault="00507107">
      <w:pPr>
        <w:pStyle w:val="TOC9"/>
        <w:rPr>
          <w:rFonts w:asciiTheme="minorHAnsi" w:eastAsiaTheme="minorEastAsia" w:hAnsiTheme="minorHAnsi" w:cstheme="minorBidi"/>
          <w:i w:val="0"/>
          <w:noProof/>
          <w:kern w:val="0"/>
          <w:sz w:val="22"/>
          <w:szCs w:val="22"/>
        </w:rPr>
      </w:pPr>
      <w:r>
        <w:rPr>
          <w:noProof/>
        </w:rPr>
        <w:t>Australian Education Act 2013</w:t>
      </w:r>
      <w:r w:rsidRPr="00507107">
        <w:rPr>
          <w:i w:val="0"/>
          <w:noProof/>
          <w:sz w:val="18"/>
        </w:rPr>
        <w:tab/>
      </w:r>
      <w:r w:rsidRPr="00507107">
        <w:rPr>
          <w:i w:val="0"/>
          <w:noProof/>
          <w:sz w:val="18"/>
        </w:rPr>
        <w:fldChar w:fldCharType="begin"/>
      </w:r>
      <w:r w:rsidRPr="00507107">
        <w:rPr>
          <w:i w:val="0"/>
          <w:noProof/>
          <w:sz w:val="18"/>
        </w:rPr>
        <w:instrText xml:space="preserve"> PAGEREF _Toc486412762 \h </w:instrText>
      </w:r>
      <w:r w:rsidRPr="00507107">
        <w:rPr>
          <w:i w:val="0"/>
          <w:noProof/>
          <w:sz w:val="18"/>
        </w:rPr>
      </w:r>
      <w:r w:rsidRPr="00507107">
        <w:rPr>
          <w:i w:val="0"/>
          <w:noProof/>
          <w:sz w:val="18"/>
        </w:rPr>
        <w:fldChar w:fldCharType="separate"/>
      </w:r>
      <w:r w:rsidR="00874CEF">
        <w:rPr>
          <w:i w:val="0"/>
          <w:noProof/>
          <w:sz w:val="18"/>
        </w:rPr>
        <w:t>35</w:t>
      </w:r>
      <w:r w:rsidRPr="00507107">
        <w:rPr>
          <w:i w:val="0"/>
          <w:noProof/>
          <w:sz w:val="18"/>
        </w:rPr>
        <w:fldChar w:fldCharType="end"/>
      </w:r>
    </w:p>
    <w:p w:rsidR="00060FF9" w:rsidRPr="00392A4E" w:rsidRDefault="00507107" w:rsidP="0048364F">
      <w:r>
        <w:fldChar w:fldCharType="end"/>
      </w:r>
    </w:p>
    <w:p w:rsidR="00FE7F93" w:rsidRPr="00392A4E" w:rsidRDefault="00FE7F93" w:rsidP="0048364F">
      <w:pPr>
        <w:sectPr w:rsidR="00FE7F93" w:rsidRPr="00392A4E" w:rsidSect="007914CC">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7914CC" w:rsidRDefault="00874CEF">
      <w:r>
        <w:lastRenderedPageBreak/>
        <w:pict>
          <v:shape id="_x0000_i1026" type="#_x0000_t75" style="width:110.35pt;height:80.4pt" fillcolor="window">
            <v:imagedata r:id="rId9" o:title=""/>
          </v:shape>
        </w:pict>
      </w:r>
    </w:p>
    <w:p w:rsidR="007914CC" w:rsidRDefault="007914CC"/>
    <w:p w:rsidR="007914CC" w:rsidRDefault="007914CC" w:rsidP="007914CC">
      <w:pPr>
        <w:spacing w:line="240" w:lineRule="auto"/>
      </w:pPr>
    </w:p>
    <w:p w:rsidR="007914CC" w:rsidRDefault="00507107" w:rsidP="007914CC">
      <w:pPr>
        <w:pStyle w:val="ShortTP1"/>
      </w:pPr>
      <w:fldSimple w:instr=" STYLEREF ShortT ">
        <w:r w:rsidR="00874CEF">
          <w:rPr>
            <w:noProof/>
          </w:rPr>
          <w:t>Australian Education Amendment Act 2017</w:t>
        </w:r>
      </w:fldSimple>
    </w:p>
    <w:p w:rsidR="007914CC" w:rsidRDefault="00507107" w:rsidP="007914CC">
      <w:pPr>
        <w:pStyle w:val="ActNoP1"/>
      </w:pPr>
      <w:fldSimple w:instr=" STYLEREF Actno ">
        <w:r w:rsidR="00874CEF">
          <w:rPr>
            <w:noProof/>
          </w:rPr>
          <w:t>No. 78, 2017</w:t>
        </w:r>
      </w:fldSimple>
    </w:p>
    <w:p w:rsidR="007914CC" w:rsidRPr="009A0728" w:rsidRDefault="007914CC" w:rsidP="009A0728">
      <w:pPr>
        <w:pBdr>
          <w:bottom w:val="single" w:sz="6" w:space="0" w:color="auto"/>
        </w:pBdr>
        <w:spacing w:before="400" w:line="240" w:lineRule="auto"/>
        <w:rPr>
          <w:rFonts w:eastAsia="Times New Roman"/>
          <w:b/>
          <w:sz w:val="28"/>
        </w:rPr>
      </w:pPr>
    </w:p>
    <w:p w:rsidR="007914CC" w:rsidRPr="009A0728" w:rsidRDefault="007914CC" w:rsidP="009A0728">
      <w:pPr>
        <w:spacing w:line="40" w:lineRule="exact"/>
        <w:rPr>
          <w:rFonts w:eastAsia="Calibri"/>
          <w:b/>
          <w:sz w:val="28"/>
        </w:rPr>
      </w:pPr>
    </w:p>
    <w:p w:rsidR="007914CC" w:rsidRPr="009A0728" w:rsidRDefault="007914CC" w:rsidP="009A0728">
      <w:pPr>
        <w:pBdr>
          <w:top w:val="single" w:sz="12" w:space="0" w:color="auto"/>
        </w:pBdr>
        <w:spacing w:line="240" w:lineRule="auto"/>
        <w:rPr>
          <w:rFonts w:eastAsia="Times New Roman"/>
          <w:b/>
          <w:sz w:val="28"/>
        </w:rPr>
      </w:pPr>
    </w:p>
    <w:p w:rsidR="0048364F" w:rsidRPr="00392A4E" w:rsidRDefault="007914CC" w:rsidP="00392A4E">
      <w:pPr>
        <w:pStyle w:val="Page1"/>
      </w:pPr>
      <w:r>
        <w:t>An Act</w:t>
      </w:r>
      <w:r w:rsidR="00392A4E" w:rsidRPr="00392A4E">
        <w:t xml:space="preserve"> to amend the </w:t>
      </w:r>
      <w:r w:rsidR="00392A4E" w:rsidRPr="00392A4E">
        <w:rPr>
          <w:i/>
        </w:rPr>
        <w:t>Australian Education Act 2013</w:t>
      </w:r>
      <w:r w:rsidR="00392A4E" w:rsidRPr="00392A4E">
        <w:t>, and for related purposes</w:t>
      </w:r>
    </w:p>
    <w:p w:rsidR="00D25FA5" w:rsidRDefault="00D25FA5" w:rsidP="000C5962">
      <w:pPr>
        <w:pStyle w:val="AssentDt"/>
        <w:spacing w:before="240"/>
        <w:rPr>
          <w:sz w:val="24"/>
        </w:rPr>
      </w:pPr>
      <w:r>
        <w:rPr>
          <w:sz w:val="24"/>
        </w:rPr>
        <w:t>[</w:t>
      </w:r>
      <w:r>
        <w:rPr>
          <w:i/>
          <w:sz w:val="24"/>
        </w:rPr>
        <w:t>Assented to 27 June 2017</w:t>
      </w:r>
      <w:r>
        <w:rPr>
          <w:sz w:val="24"/>
        </w:rPr>
        <w:t>]</w:t>
      </w:r>
    </w:p>
    <w:p w:rsidR="0048364F" w:rsidRPr="00392A4E" w:rsidRDefault="0048364F" w:rsidP="00392A4E">
      <w:pPr>
        <w:spacing w:before="240" w:line="240" w:lineRule="auto"/>
        <w:rPr>
          <w:sz w:val="32"/>
        </w:rPr>
      </w:pPr>
      <w:r w:rsidRPr="00392A4E">
        <w:rPr>
          <w:sz w:val="32"/>
        </w:rPr>
        <w:t>The Parliament of Australia enacts:</w:t>
      </w:r>
    </w:p>
    <w:p w:rsidR="0048364F" w:rsidRPr="00392A4E" w:rsidRDefault="0048364F" w:rsidP="00392A4E">
      <w:pPr>
        <w:pStyle w:val="ActHead5"/>
      </w:pPr>
      <w:bookmarkStart w:id="2" w:name="_Toc486412735"/>
      <w:r w:rsidRPr="00392A4E">
        <w:rPr>
          <w:rStyle w:val="CharSectno"/>
        </w:rPr>
        <w:t>1</w:t>
      </w:r>
      <w:r w:rsidRPr="00392A4E">
        <w:t xml:space="preserve">  Short title</w:t>
      </w:r>
      <w:bookmarkEnd w:id="2"/>
    </w:p>
    <w:p w:rsidR="0048364F" w:rsidRPr="00392A4E" w:rsidRDefault="0048364F" w:rsidP="00392A4E">
      <w:pPr>
        <w:pStyle w:val="subsection"/>
      </w:pPr>
      <w:r w:rsidRPr="00392A4E">
        <w:tab/>
      </w:r>
      <w:r w:rsidRPr="00392A4E">
        <w:tab/>
        <w:t xml:space="preserve">This Act </w:t>
      </w:r>
      <w:r w:rsidR="00275197" w:rsidRPr="00392A4E">
        <w:t xml:space="preserve">is </w:t>
      </w:r>
      <w:r w:rsidRPr="00392A4E">
        <w:t xml:space="preserve">the </w:t>
      </w:r>
      <w:r w:rsidR="0054373E" w:rsidRPr="00392A4E">
        <w:rPr>
          <w:i/>
        </w:rPr>
        <w:t>Australian Education Amendment</w:t>
      </w:r>
      <w:r w:rsidR="00C164CA" w:rsidRPr="00392A4E">
        <w:rPr>
          <w:i/>
        </w:rPr>
        <w:t xml:space="preserve"> Act 201</w:t>
      </w:r>
      <w:r w:rsidR="00A048FF" w:rsidRPr="00392A4E">
        <w:rPr>
          <w:i/>
        </w:rPr>
        <w:t>7</w:t>
      </w:r>
      <w:r w:rsidRPr="00392A4E">
        <w:t>.</w:t>
      </w:r>
    </w:p>
    <w:p w:rsidR="0048364F" w:rsidRPr="00392A4E" w:rsidRDefault="0048364F" w:rsidP="00392A4E">
      <w:pPr>
        <w:pStyle w:val="ActHead5"/>
      </w:pPr>
      <w:bookmarkStart w:id="3" w:name="_Toc486412736"/>
      <w:r w:rsidRPr="00392A4E">
        <w:rPr>
          <w:rStyle w:val="CharSectno"/>
        </w:rPr>
        <w:t>2</w:t>
      </w:r>
      <w:r w:rsidRPr="00392A4E">
        <w:t xml:space="preserve">  Commencement</w:t>
      </w:r>
      <w:bookmarkEnd w:id="3"/>
    </w:p>
    <w:p w:rsidR="0048364F" w:rsidRPr="00392A4E" w:rsidRDefault="0048364F" w:rsidP="00392A4E">
      <w:pPr>
        <w:pStyle w:val="subsection"/>
      </w:pPr>
      <w:r w:rsidRPr="00392A4E">
        <w:tab/>
        <w:t>(1)</w:t>
      </w:r>
      <w:r w:rsidRPr="00392A4E">
        <w:tab/>
        <w:t xml:space="preserve">Each provision of this Act specified in column 1 of the table commences, or is taken to have commenced, in accordance with </w:t>
      </w:r>
      <w:r w:rsidRPr="00392A4E">
        <w:lastRenderedPageBreak/>
        <w:t>column 2 of the table. Any other statement in column 2 has effect according to its terms.</w:t>
      </w:r>
    </w:p>
    <w:p w:rsidR="0048364F" w:rsidRPr="00392A4E" w:rsidRDefault="0048364F" w:rsidP="00392A4E">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92A4E" w:rsidTr="00A92880">
        <w:trPr>
          <w:tblHeader/>
        </w:trPr>
        <w:tc>
          <w:tcPr>
            <w:tcW w:w="7111" w:type="dxa"/>
            <w:gridSpan w:val="3"/>
            <w:tcBorders>
              <w:top w:val="single" w:sz="12" w:space="0" w:color="auto"/>
              <w:bottom w:val="single" w:sz="6" w:space="0" w:color="auto"/>
            </w:tcBorders>
            <w:shd w:val="clear" w:color="auto" w:fill="auto"/>
          </w:tcPr>
          <w:p w:rsidR="0048364F" w:rsidRPr="00392A4E" w:rsidRDefault="0048364F" w:rsidP="00392A4E">
            <w:pPr>
              <w:pStyle w:val="TableHeading"/>
            </w:pPr>
            <w:r w:rsidRPr="00392A4E">
              <w:t>Commencement information</w:t>
            </w:r>
          </w:p>
        </w:tc>
      </w:tr>
      <w:tr w:rsidR="00A92880" w:rsidRPr="00392A4E" w:rsidTr="00A92880">
        <w:trPr>
          <w:tblHeader/>
        </w:trPr>
        <w:tc>
          <w:tcPr>
            <w:tcW w:w="1701" w:type="dxa"/>
            <w:tcBorders>
              <w:top w:val="single" w:sz="6" w:space="0" w:color="auto"/>
              <w:bottom w:val="single" w:sz="6" w:space="0" w:color="auto"/>
            </w:tcBorders>
            <w:shd w:val="clear" w:color="auto" w:fill="auto"/>
          </w:tcPr>
          <w:p w:rsidR="0048364F" w:rsidRPr="00392A4E" w:rsidRDefault="0048364F" w:rsidP="00392A4E">
            <w:pPr>
              <w:pStyle w:val="TableHeading"/>
            </w:pPr>
            <w:r w:rsidRPr="00392A4E">
              <w:t>Column 1</w:t>
            </w:r>
          </w:p>
        </w:tc>
        <w:tc>
          <w:tcPr>
            <w:tcW w:w="3828" w:type="dxa"/>
            <w:tcBorders>
              <w:top w:val="single" w:sz="6" w:space="0" w:color="auto"/>
              <w:bottom w:val="single" w:sz="6" w:space="0" w:color="auto"/>
            </w:tcBorders>
            <w:shd w:val="clear" w:color="auto" w:fill="auto"/>
          </w:tcPr>
          <w:p w:rsidR="0048364F" w:rsidRPr="00392A4E" w:rsidRDefault="0048364F" w:rsidP="00392A4E">
            <w:pPr>
              <w:pStyle w:val="TableHeading"/>
            </w:pPr>
            <w:r w:rsidRPr="00392A4E">
              <w:t>Column 2</w:t>
            </w:r>
          </w:p>
        </w:tc>
        <w:tc>
          <w:tcPr>
            <w:tcW w:w="1582" w:type="dxa"/>
            <w:tcBorders>
              <w:top w:val="single" w:sz="6" w:space="0" w:color="auto"/>
              <w:bottom w:val="single" w:sz="6" w:space="0" w:color="auto"/>
            </w:tcBorders>
            <w:shd w:val="clear" w:color="auto" w:fill="auto"/>
          </w:tcPr>
          <w:p w:rsidR="0048364F" w:rsidRPr="00392A4E" w:rsidRDefault="0048364F" w:rsidP="00392A4E">
            <w:pPr>
              <w:pStyle w:val="TableHeading"/>
            </w:pPr>
            <w:r w:rsidRPr="00392A4E">
              <w:t>Column 3</w:t>
            </w:r>
          </w:p>
        </w:tc>
      </w:tr>
      <w:tr w:rsidR="0048364F" w:rsidRPr="00392A4E" w:rsidTr="00A92880">
        <w:trPr>
          <w:tblHeader/>
        </w:trPr>
        <w:tc>
          <w:tcPr>
            <w:tcW w:w="1701" w:type="dxa"/>
            <w:tcBorders>
              <w:top w:val="single" w:sz="6" w:space="0" w:color="auto"/>
              <w:bottom w:val="single" w:sz="12" w:space="0" w:color="auto"/>
            </w:tcBorders>
            <w:shd w:val="clear" w:color="auto" w:fill="auto"/>
          </w:tcPr>
          <w:p w:rsidR="0048364F" w:rsidRPr="00392A4E" w:rsidRDefault="0048364F" w:rsidP="00392A4E">
            <w:pPr>
              <w:pStyle w:val="TableHeading"/>
            </w:pPr>
            <w:r w:rsidRPr="00392A4E">
              <w:t>Provisions</w:t>
            </w:r>
          </w:p>
        </w:tc>
        <w:tc>
          <w:tcPr>
            <w:tcW w:w="3828" w:type="dxa"/>
            <w:tcBorders>
              <w:top w:val="single" w:sz="6" w:space="0" w:color="auto"/>
              <w:bottom w:val="single" w:sz="12" w:space="0" w:color="auto"/>
            </w:tcBorders>
            <w:shd w:val="clear" w:color="auto" w:fill="auto"/>
          </w:tcPr>
          <w:p w:rsidR="0048364F" w:rsidRPr="00392A4E" w:rsidRDefault="0048364F" w:rsidP="00392A4E">
            <w:pPr>
              <w:pStyle w:val="TableHeading"/>
            </w:pPr>
            <w:r w:rsidRPr="00392A4E">
              <w:t>Commencement</w:t>
            </w:r>
          </w:p>
        </w:tc>
        <w:tc>
          <w:tcPr>
            <w:tcW w:w="1582" w:type="dxa"/>
            <w:tcBorders>
              <w:top w:val="single" w:sz="6" w:space="0" w:color="auto"/>
              <w:bottom w:val="single" w:sz="12" w:space="0" w:color="auto"/>
            </w:tcBorders>
            <w:shd w:val="clear" w:color="auto" w:fill="auto"/>
          </w:tcPr>
          <w:p w:rsidR="0048364F" w:rsidRPr="00392A4E" w:rsidRDefault="0048364F" w:rsidP="00392A4E">
            <w:pPr>
              <w:pStyle w:val="TableHeading"/>
            </w:pPr>
            <w:r w:rsidRPr="00392A4E">
              <w:t>Date/Details</w:t>
            </w:r>
          </w:p>
        </w:tc>
      </w:tr>
      <w:tr w:rsidR="0048364F" w:rsidRPr="00392A4E" w:rsidTr="00A92880">
        <w:tc>
          <w:tcPr>
            <w:tcW w:w="1701" w:type="dxa"/>
            <w:tcBorders>
              <w:top w:val="single" w:sz="12" w:space="0" w:color="auto"/>
            </w:tcBorders>
            <w:shd w:val="clear" w:color="auto" w:fill="auto"/>
          </w:tcPr>
          <w:p w:rsidR="0048364F" w:rsidRPr="00392A4E" w:rsidRDefault="0048364F" w:rsidP="00392A4E">
            <w:pPr>
              <w:pStyle w:val="Tabletext"/>
            </w:pPr>
            <w:r w:rsidRPr="00392A4E">
              <w:t>1.  Sections</w:t>
            </w:r>
            <w:r w:rsidR="00392A4E" w:rsidRPr="00392A4E">
              <w:t> </w:t>
            </w:r>
            <w:r w:rsidRPr="00392A4E">
              <w:t>1 to 3 and anything in this Act not elsewhere covered by this table</w:t>
            </w:r>
          </w:p>
        </w:tc>
        <w:tc>
          <w:tcPr>
            <w:tcW w:w="3828" w:type="dxa"/>
            <w:tcBorders>
              <w:top w:val="single" w:sz="12" w:space="0" w:color="auto"/>
            </w:tcBorders>
            <w:shd w:val="clear" w:color="auto" w:fill="auto"/>
          </w:tcPr>
          <w:p w:rsidR="0048364F" w:rsidRPr="00392A4E" w:rsidRDefault="0048364F" w:rsidP="00392A4E">
            <w:pPr>
              <w:pStyle w:val="Tabletext"/>
            </w:pPr>
            <w:r w:rsidRPr="00392A4E">
              <w:t>The day this Act receives the Royal Assent.</w:t>
            </w:r>
          </w:p>
        </w:tc>
        <w:tc>
          <w:tcPr>
            <w:tcW w:w="1582" w:type="dxa"/>
            <w:tcBorders>
              <w:top w:val="single" w:sz="12" w:space="0" w:color="auto"/>
            </w:tcBorders>
            <w:shd w:val="clear" w:color="auto" w:fill="auto"/>
          </w:tcPr>
          <w:p w:rsidR="0048364F" w:rsidRPr="00392A4E" w:rsidRDefault="000E5030" w:rsidP="00392A4E">
            <w:pPr>
              <w:pStyle w:val="Tabletext"/>
            </w:pPr>
            <w:r>
              <w:t>27 June 2017</w:t>
            </w:r>
          </w:p>
        </w:tc>
      </w:tr>
      <w:tr w:rsidR="000734F4" w:rsidRPr="00392A4E" w:rsidTr="00A92880">
        <w:tc>
          <w:tcPr>
            <w:tcW w:w="1701" w:type="dxa"/>
            <w:shd w:val="clear" w:color="auto" w:fill="auto"/>
          </w:tcPr>
          <w:p w:rsidR="000734F4" w:rsidRPr="008C37E9" w:rsidRDefault="000734F4" w:rsidP="00433E97">
            <w:pPr>
              <w:pStyle w:val="Tabletext"/>
            </w:pPr>
            <w:r w:rsidRPr="008C37E9">
              <w:t>2.  Schedule 1, items 1 to 105</w:t>
            </w:r>
          </w:p>
        </w:tc>
        <w:tc>
          <w:tcPr>
            <w:tcW w:w="3828" w:type="dxa"/>
            <w:shd w:val="clear" w:color="auto" w:fill="auto"/>
          </w:tcPr>
          <w:p w:rsidR="000734F4" w:rsidRPr="008C37E9" w:rsidRDefault="000734F4" w:rsidP="00433E97">
            <w:pPr>
              <w:pStyle w:val="Tabletext"/>
            </w:pPr>
            <w:r w:rsidRPr="008C37E9">
              <w:t>1 January 2018.</w:t>
            </w:r>
          </w:p>
        </w:tc>
        <w:tc>
          <w:tcPr>
            <w:tcW w:w="1582" w:type="dxa"/>
            <w:shd w:val="clear" w:color="auto" w:fill="auto"/>
          </w:tcPr>
          <w:p w:rsidR="000734F4" w:rsidRPr="008C37E9" w:rsidRDefault="000734F4" w:rsidP="00433E97">
            <w:pPr>
              <w:pStyle w:val="Tabletext"/>
            </w:pPr>
            <w:r w:rsidRPr="008C37E9">
              <w:t>1 January 2018</w:t>
            </w:r>
          </w:p>
        </w:tc>
      </w:tr>
      <w:tr w:rsidR="000734F4" w:rsidRPr="00392A4E" w:rsidTr="00A92880">
        <w:tc>
          <w:tcPr>
            <w:tcW w:w="1701" w:type="dxa"/>
            <w:tcBorders>
              <w:bottom w:val="single" w:sz="2" w:space="0" w:color="auto"/>
            </w:tcBorders>
            <w:shd w:val="clear" w:color="auto" w:fill="auto"/>
          </w:tcPr>
          <w:p w:rsidR="000734F4" w:rsidRPr="008C37E9" w:rsidRDefault="000734F4" w:rsidP="00433E97">
            <w:pPr>
              <w:pStyle w:val="Tabletext"/>
            </w:pPr>
            <w:r w:rsidRPr="008C37E9">
              <w:t>3.  Schedule 1, item 106</w:t>
            </w:r>
          </w:p>
        </w:tc>
        <w:tc>
          <w:tcPr>
            <w:tcW w:w="3828" w:type="dxa"/>
            <w:tcBorders>
              <w:bottom w:val="single" w:sz="2" w:space="0" w:color="auto"/>
            </w:tcBorders>
            <w:shd w:val="clear" w:color="auto" w:fill="auto"/>
          </w:tcPr>
          <w:p w:rsidR="000734F4" w:rsidRPr="008C37E9" w:rsidRDefault="000734F4" w:rsidP="00433E97">
            <w:pPr>
              <w:pStyle w:val="Tabletext"/>
            </w:pPr>
            <w:r w:rsidRPr="008C37E9">
              <w:t>The day this Act receives the Royal Assent.</w:t>
            </w:r>
          </w:p>
        </w:tc>
        <w:tc>
          <w:tcPr>
            <w:tcW w:w="1582" w:type="dxa"/>
            <w:tcBorders>
              <w:bottom w:val="single" w:sz="2" w:space="0" w:color="auto"/>
            </w:tcBorders>
            <w:shd w:val="clear" w:color="auto" w:fill="auto"/>
          </w:tcPr>
          <w:p w:rsidR="000734F4" w:rsidRPr="008C37E9" w:rsidRDefault="000E5030" w:rsidP="00433E97">
            <w:pPr>
              <w:pStyle w:val="Tabletext"/>
            </w:pPr>
            <w:r>
              <w:t>27 June 2017</w:t>
            </w:r>
          </w:p>
        </w:tc>
      </w:tr>
      <w:tr w:rsidR="000734F4" w:rsidRPr="00392A4E" w:rsidTr="000734F4">
        <w:tc>
          <w:tcPr>
            <w:tcW w:w="1701" w:type="dxa"/>
            <w:tcBorders>
              <w:top w:val="single" w:sz="2" w:space="0" w:color="auto"/>
              <w:bottom w:val="single" w:sz="2" w:space="0" w:color="auto"/>
            </w:tcBorders>
            <w:shd w:val="clear" w:color="auto" w:fill="auto"/>
          </w:tcPr>
          <w:p w:rsidR="000734F4" w:rsidRPr="008C37E9" w:rsidRDefault="000734F4" w:rsidP="00433E97">
            <w:pPr>
              <w:pStyle w:val="Tabletext"/>
            </w:pPr>
            <w:r w:rsidRPr="008C37E9">
              <w:t>4.  Schedule 1, item 108</w:t>
            </w:r>
          </w:p>
        </w:tc>
        <w:tc>
          <w:tcPr>
            <w:tcW w:w="3828" w:type="dxa"/>
            <w:tcBorders>
              <w:top w:val="single" w:sz="2" w:space="0" w:color="auto"/>
              <w:bottom w:val="single" w:sz="2" w:space="0" w:color="auto"/>
            </w:tcBorders>
            <w:shd w:val="clear" w:color="auto" w:fill="auto"/>
          </w:tcPr>
          <w:p w:rsidR="000734F4" w:rsidRPr="008C37E9" w:rsidRDefault="000734F4" w:rsidP="00433E97">
            <w:pPr>
              <w:pStyle w:val="Tabletext"/>
            </w:pPr>
            <w:r w:rsidRPr="008C37E9">
              <w:t>1 January 2018.</w:t>
            </w:r>
          </w:p>
        </w:tc>
        <w:tc>
          <w:tcPr>
            <w:tcW w:w="1582" w:type="dxa"/>
            <w:tcBorders>
              <w:top w:val="single" w:sz="2" w:space="0" w:color="auto"/>
              <w:bottom w:val="single" w:sz="2" w:space="0" w:color="auto"/>
            </w:tcBorders>
            <w:shd w:val="clear" w:color="auto" w:fill="auto"/>
          </w:tcPr>
          <w:p w:rsidR="000734F4" w:rsidRPr="008C37E9" w:rsidRDefault="000734F4" w:rsidP="00433E97">
            <w:pPr>
              <w:pStyle w:val="Tabletext"/>
            </w:pPr>
            <w:r w:rsidRPr="008C37E9">
              <w:t>1 January 2018</w:t>
            </w:r>
          </w:p>
        </w:tc>
      </w:tr>
      <w:tr w:rsidR="000734F4" w:rsidRPr="00392A4E" w:rsidTr="000734F4">
        <w:tc>
          <w:tcPr>
            <w:tcW w:w="1701" w:type="dxa"/>
            <w:tcBorders>
              <w:top w:val="single" w:sz="2" w:space="0" w:color="auto"/>
              <w:bottom w:val="single" w:sz="2" w:space="0" w:color="auto"/>
            </w:tcBorders>
            <w:shd w:val="clear" w:color="auto" w:fill="auto"/>
          </w:tcPr>
          <w:p w:rsidR="000734F4" w:rsidRPr="008C37E9" w:rsidRDefault="000734F4" w:rsidP="00433E97">
            <w:pPr>
              <w:pStyle w:val="Tabletext"/>
            </w:pPr>
            <w:r w:rsidRPr="008C37E9">
              <w:t>5.  Schedule 1, item 109</w:t>
            </w:r>
          </w:p>
        </w:tc>
        <w:tc>
          <w:tcPr>
            <w:tcW w:w="3828" w:type="dxa"/>
            <w:tcBorders>
              <w:top w:val="single" w:sz="2" w:space="0" w:color="auto"/>
              <w:bottom w:val="single" w:sz="2" w:space="0" w:color="auto"/>
            </w:tcBorders>
            <w:shd w:val="clear" w:color="auto" w:fill="auto"/>
          </w:tcPr>
          <w:p w:rsidR="000734F4" w:rsidRPr="008C37E9" w:rsidRDefault="000734F4" w:rsidP="00433E97">
            <w:pPr>
              <w:pStyle w:val="Tabletext"/>
            </w:pPr>
            <w:r w:rsidRPr="008C37E9">
              <w:t>The day this Act receives the Royal Assent.</w:t>
            </w:r>
          </w:p>
        </w:tc>
        <w:tc>
          <w:tcPr>
            <w:tcW w:w="1582" w:type="dxa"/>
            <w:tcBorders>
              <w:top w:val="single" w:sz="2" w:space="0" w:color="auto"/>
              <w:bottom w:val="single" w:sz="2" w:space="0" w:color="auto"/>
            </w:tcBorders>
            <w:shd w:val="clear" w:color="auto" w:fill="auto"/>
          </w:tcPr>
          <w:p w:rsidR="000734F4" w:rsidRPr="008C37E9" w:rsidRDefault="000E5030" w:rsidP="00433E97">
            <w:pPr>
              <w:pStyle w:val="Tabletext"/>
            </w:pPr>
            <w:r>
              <w:t>27 June 2017</w:t>
            </w:r>
          </w:p>
        </w:tc>
      </w:tr>
      <w:tr w:rsidR="000734F4" w:rsidRPr="00392A4E" w:rsidTr="00A92880">
        <w:tc>
          <w:tcPr>
            <w:tcW w:w="1701" w:type="dxa"/>
            <w:tcBorders>
              <w:top w:val="single" w:sz="2" w:space="0" w:color="auto"/>
              <w:bottom w:val="single" w:sz="12" w:space="0" w:color="auto"/>
            </w:tcBorders>
            <w:shd w:val="clear" w:color="auto" w:fill="auto"/>
          </w:tcPr>
          <w:p w:rsidR="000734F4" w:rsidRPr="00392A4E" w:rsidRDefault="000734F4" w:rsidP="00392A4E">
            <w:pPr>
              <w:pStyle w:val="Tabletext"/>
            </w:pPr>
            <w:r w:rsidRPr="008C37E9">
              <w:t>6.  Schedule 1, items 110 to 176</w:t>
            </w:r>
          </w:p>
        </w:tc>
        <w:tc>
          <w:tcPr>
            <w:tcW w:w="3828" w:type="dxa"/>
            <w:tcBorders>
              <w:top w:val="single" w:sz="2" w:space="0" w:color="auto"/>
              <w:bottom w:val="single" w:sz="12" w:space="0" w:color="auto"/>
            </w:tcBorders>
            <w:shd w:val="clear" w:color="auto" w:fill="auto"/>
          </w:tcPr>
          <w:p w:rsidR="000734F4" w:rsidRPr="00392A4E" w:rsidRDefault="000734F4" w:rsidP="00392A4E">
            <w:pPr>
              <w:pStyle w:val="Tabletext"/>
            </w:pPr>
            <w:r w:rsidRPr="008C37E9">
              <w:t>1 January 2018.</w:t>
            </w:r>
          </w:p>
        </w:tc>
        <w:tc>
          <w:tcPr>
            <w:tcW w:w="1582" w:type="dxa"/>
            <w:tcBorders>
              <w:top w:val="single" w:sz="2" w:space="0" w:color="auto"/>
              <w:bottom w:val="single" w:sz="12" w:space="0" w:color="auto"/>
            </w:tcBorders>
            <w:shd w:val="clear" w:color="auto" w:fill="auto"/>
          </w:tcPr>
          <w:p w:rsidR="000734F4" w:rsidRPr="00392A4E" w:rsidRDefault="000734F4" w:rsidP="00392A4E">
            <w:pPr>
              <w:pStyle w:val="Tabletext"/>
            </w:pPr>
            <w:r w:rsidRPr="008C37E9">
              <w:t>1 January 2018</w:t>
            </w:r>
          </w:p>
        </w:tc>
      </w:tr>
    </w:tbl>
    <w:p w:rsidR="0048364F" w:rsidRPr="00392A4E" w:rsidRDefault="00201D27" w:rsidP="00392A4E">
      <w:pPr>
        <w:pStyle w:val="notetext"/>
      </w:pPr>
      <w:r w:rsidRPr="00392A4E">
        <w:t>Note:</w:t>
      </w:r>
      <w:r w:rsidRPr="00392A4E">
        <w:tab/>
        <w:t>This table relates only to the provisions of this Act as originally enacted. It will not be amended to deal with any later amendments of this Act.</w:t>
      </w:r>
    </w:p>
    <w:p w:rsidR="0048364F" w:rsidRPr="00392A4E" w:rsidRDefault="0048364F" w:rsidP="00392A4E">
      <w:pPr>
        <w:pStyle w:val="subsection"/>
      </w:pPr>
      <w:r w:rsidRPr="00392A4E">
        <w:tab/>
        <w:t>(2)</w:t>
      </w:r>
      <w:r w:rsidRPr="00392A4E">
        <w:tab/>
      </w:r>
      <w:r w:rsidR="00201D27" w:rsidRPr="00392A4E">
        <w:t xml:space="preserve">Any information in </w:t>
      </w:r>
      <w:r w:rsidR="00877D48" w:rsidRPr="00392A4E">
        <w:t>c</w:t>
      </w:r>
      <w:r w:rsidR="00201D27" w:rsidRPr="00392A4E">
        <w:t>olumn 3 of the table is not part of this Act. Information may be inserted in this column, or information in it may be edited, in any published version of this Act.</w:t>
      </w:r>
    </w:p>
    <w:p w:rsidR="0048364F" w:rsidRPr="00392A4E" w:rsidRDefault="0048364F" w:rsidP="00392A4E">
      <w:pPr>
        <w:pStyle w:val="ActHead5"/>
      </w:pPr>
      <w:bookmarkStart w:id="4" w:name="_Toc486412737"/>
      <w:r w:rsidRPr="00392A4E">
        <w:rPr>
          <w:rStyle w:val="CharSectno"/>
        </w:rPr>
        <w:t>3</w:t>
      </w:r>
      <w:r w:rsidRPr="00392A4E">
        <w:t xml:space="preserve">  Schedules</w:t>
      </w:r>
      <w:bookmarkEnd w:id="4"/>
    </w:p>
    <w:p w:rsidR="0048364F" w:rsidRPr="00392A4E" w:rsidRDefault="0048364F" w:rsidP="00392A4E">
      <w:pPr>
        <w:pStyle w:val="subsection"/>
      </w:pPr>
      <w:r w:rsidRPr="00392A4E">
        <w:tab/>
      </w:r>
      <w:r w:rsidRPr="00392A4E">
        <w:tab/>
      </w:r>
      <w:r w:rsidR="00202618" w:rsidRPr="00392A4E">
        <w:t>Legislation that is specified in a Schedule to this Act is amended or repealed as set out in the applicable items in the Schedule concerned, and any other item in a Schedule to this Act has effect according to its terms.</w:t>
      </w:r>
    </w:p>
    <w:p w:rsidR="0048364F" w:rsidRPr="00392A4E" w:rsidRDefault="0048364F" w:rsidP="00392A4E">
      <w:pPr>
        <w:pStyle w:val="ActHead6"/>
        <w:pageBreakBefore/>
      </w:pPr>
      <w:bookmarkStart w:id="5" w:name="_Toc486412738"/>
      <w:bookmarkStart w:id="6" w:name="opcAmSched"/>
      <w:bookmarkStart w:id="7" w:name="opcCurrentFind"/>
      <w:r w:rsidRPr="00392A4E">
        <w:rPr>
          <w:rStyle w:val="CharAmSchNo"/>
        </w:rPr>
        <w:lastRenderedPageBreak/>
        <w:t>Schedule</w:t>
      </w:r>
      <w:r w:rsidR="00392A4E" w:rsidRPr="00392A4E">
        <w:rPr>
          <w:rStyle w:val="CharAmSchNo"/>
        </w:rPr>
        <w:t> </w:t>
      </w:r>
      <w:r w:rsidRPr="00392A4E">
        <w:rPr>
          <w:rStyle w:val="CharAmSchNo"/>
        </w:rPr>
        <w:t>1</w:t>
      </w:r>
      <w:r w:rsidRPr="00392A4E">
        <w:t>—</w:t>
      </w:r>
      <w:r w:rsidR="00BE0E7E" w:rsidRPr="00392A4E">
        <w:rPr>
          <w:rStyle w:val="CharAmSchText"/>
        </w:rPr>
        <w:t>Amendments</w:t>
      </w:r>
      <w:bookmarkEnd w:id="5"/>
    </w:p>
    <w:p w:rsidR="00427858" w:rsidRPr="00392A4E" w:rsidRDefault="00427858" w:rsidP="00392A4E">
      <w:pPr>
        <w:pStyle w:val="ActHead7"/>
      </w:pPr>
      <w:bookmarkStart w:id="8" w:name="_Toc486412739"/>
      <w:bookmarkEnd w:id="6"/>
      <w:bookmarkEnd w:id="7"/>
      <w:r w:rsidRPr="00392A4E">
        <w:rPr>
          <w:rStyle w:val="CharAmPartNo"/>
        </w:rPr>
        <w:t>Part</w:t>
      </w:r>
      <w:r w:rsidR="00392A4E" w:rsidRPr="00392A4E">
        <w:rPr>
          <w:rStyle w:val="CharAmPartNo"/>
        </w:rPr>
        <w:t> </w:t>
      </w:r>
      <w:r w:rsidRPr="00392A4E">
        <w:rPr>
          <w:rStyle w:val="CharAmPartNo"/>
        </w:rPr>
        <w:t>1</w:t>
      </w:r>
      <w:r w:rsidRPr="00392A4E">
        <w:t>—</w:t>
      </w:r>
      <w:r w:rsidR="00BE0E7E" w:rsidRPr="00392A4E">
        <w:rPr>
          <w:rStyle w:val="CharAmPartText"/>
        </w:rPr>
        <w:t xml:space="preserve">Funding for </w:t>
      </w:r>
      <w:r w:rsidRPr="00392A4E">
        <w:rPr>
          <w:rStyle w:val="CharAmPartText"/>
        </w:rPr>
        <w:t>schools</w:t>
      </w:r>
      <w:bookmarkEnd w:id="8"/>
    </w:p>
    <w:p w:rsidR="00427858" w:rsidRPr="00392A4E" w:rsidRDefault="00427858" w:rsidP="00392A4E">
      <w:pPr>
        <w:pStyle w:val="ActHead9"/>
        <w:rPr>
          <w:i w:val="0"/>
        </w:rPr>
      </w:pPr>
      <w:bookmarkStart w:id="9" w:name="_Toc486412740"/>
      <w:r w:rsidRPr="00392A4E">
        <w:t>Australian Education Act 2013</w:t>
      </w:r>
      <w:bookmarkEnd w:id="9"/>
    </w:p>
    <w:p w:rsidR="00427858" w:rsidRPr="00392A4E" w:rsidRDefault="0080643A" w:rsidP="00392A4E">
      <w:pPr>
        <w:pStyle w:val="ItemHead"/>
      </w:pPr>
      <w:r w:rsidRPr="00392A4E">
        <w:t>1</w:t>
      </w:r>
      <w:r w:rsidR="00427858" w:rsidRPr="00392A4E">
        <w:t xml:space="preserve">  Section</w:t>
      </w:r>
      <w:r w:rsidR="00392A4E" w:rsidRPr="00392A4E">
        <w:t> </w:t>
      </w:r>
      <w:r w:rsidR="00427858" w:rsidRPr="00392A4E">
        <w:t xml:space="preserve">6 (definition of </w:t>
      </w:r>
      <w:r w:rsidR="00427858" w:rsidRPr="00392A4E">
        <w:rPr>
          <w:i/>
        </w:rPr>
        <w:t>Commonwealth share</w:t>
      </w:r>
      <w:r w:rsidR="00427858" w:rsidRPr="00392A4E">
        <w:t>)</w:t>
      </w:r>
    </w:p>
    <w:p w:rsidR="00427858" w:rsidRPr="00392A4E" w:rsidRDefault="00427858" w:rsidP="00392A4E">
      <w:pPr>
        <w:pStyle w:val="Item"/>
      </w:pPr>
      <w:r w:rsidRPr="00392A4E">
        <w:t>Repeal the definition, substitute:</w:t>
      </w:r>
    </w:p>
    <w:p w:rsidR="00A41780" w:rsidRPr="00392A4E" w:rsidRDefault="00427858" w:rsidP="00392A4E">
      <w:pPr>
        <w:pStyle w:val="Definition"/>
      </w:pPr>
      <w:r w:rsidRPr="00392A4E">
        <w:rPr>
          <w:b/>
          <w:i/>
        </w:rPr>
        <w:t>Commonwealth share</w:t>
      </w:r>
      <w:r w:rsidR="00A41780" w:rsidRPr="00392A4E">
        <w:t>:</w:t>
      </w:r>
    </w:p>
    <w:p w:rsidR="00A41780" w:rsidRPr="00392A4E" w:rsidRDefault="00A41780" w:rsidP="00392A4E">
      <w:pPr>
        <w:pStyle w:val="paragraph"/>
      </w:pPr>
      <w:r w:rsidRPr="00392A4E">
        <w:tab/>
        <w:t>(a)</w:t>
      </w:r>
      <w:r w:rsidRPr="00392A4E">
        <w:tab/>
        <w:t xml:space="preserve">for a school not covered by </w:t>
      </w:r>
      <w:r w:rsidR="00392A4E" w:rsidRPr="00392A4E">
        <w:t>paragraph (</w:t>
      </w:r>
      <w:r w:rsidRPr="00392A4E">
        <w:t>b)—has the meaning given by section</w:t>
      </w:r>
      <w:r w:rsidR="00392A4E" w:rsidRPr="00392A4E">
        <w:t> </w:t>
      </w:r>
      <w:r w:rsidRPr="00392A4E">
        <w:t>35A; and</w:t>
      </w:r>
    </w:p>
    <w:p w:rsidR="00A41780" w:rsidRPr="00392A4E" w:rsidRDefault="00A41780" w:rsidP="00392A4E">
      <w:pPr>
        <w:pStyle w:val="paragraph"/>
      </w:pPr>
      <w:r w:rsidRPr="00392A4E">
        <w:tab/>
        <w:t>(b)</w:t>
      </w:r>
      <w:r w:rsidRPr="00392A4E">
        <w:tab/>
        <w:t>for a transitioning school for a transition year</w:t>
      </w:r>
      <w:r w:rsidR="00952D89">
        <w:t xml:space="preserve"> </w:t>
      </w:r>
      <w:r w:rsidR="00952D89" w:rsidRPr="00452700">
        <w:t>for the school</w:t>
      </w:r>
      <w:r w:rsidRPr="00392A4E">
        <w:t>—has the meaning given by subsection</w:t>
      </w:r>
      <w:r w:rsidR="00392A4E" w:rsidRPr="00392A4E">
        <w:t> </w:t>
      </w:r>
      <w:r w:rsidRPr="00392A4E">
        <w:t>35B(1).</w:t>
      </w:r>
    </w:p>
    <w:p w:rsidR="00433E97" w:rsidRPr="00452700" w:rsidRDefault="00433E97" w:rsidP="00433E97">
      <w:pPr>
        <w:pStyle w:val="ItemHead"/>
      </w:pPr>
      <w:r w:rsidRPr="00452700">
        <w:t>1A  Section 6</w:t>
      </w:r>
    </w:p>
    <w:p w:rsidR="00433E97" w:rsidRPr="00452700" w:rsidRDefault="00433E97" w:rsidP="00433E97">
      <w:pPr>
        <w:pStyle w:val="Item"/>
      </w:pPr>
      <w:r w:rsidRPr="00452700">
        <w:t>Insert:</w:t>
      </w:r>
    </w:p>
    <w:p w:rsidR="00433E97" w:rsidRPr="00452700" w:rsidRDefault="00433E97" w:rsidP="00433E97">
      <w:pPr>
        <w:pStyle w:val="Definition"/>
      </w:pPr>
      <w:r w:rsidRPr="00452700">
        <w:rPr>
          <w:b/>
          <w:i/>
        </w:rPr>
        <w:t>6</w:t>
      </w:r>
      <w:r>
        <w:rPr>
          <w:b/>
          <w:i/>
        </w:rPr>
        <w:noBreakHyphen/>
      </w:r>
      <w:r w:rsidRPr="00452700">
        <w:rPr>
          <w:b/>
          <w:i/>
        </w:rPr>
        <w:t>year transitioning school</w:t>
      </w:r>
      <w:r w:rsidRPr="00452700">
        <w:t xml:space="preserve"> means a transitioning school whose starting Commonwealth share is less than its final Commonwealth share.</w:t>
      </w:r>
    </w:p>
    <w:p w:rsidR="00433E97" w:rsidRPr="00452700" w:rsidRDefault="00433E97" w:rsidP="00433E97">
      <w:pPr>
        <w:pStyle w:val="ItemHead"/>
      </w:pPr>
      <w:r w:rsidRPr="00452700">
        <w:t>1B  Section 6</w:t>
      </w:r>
    </w:p>
    <w:p w:rsidR="00433E97" w:rsidRPr="00452700" w:rsidRDefault="00433E97" w:rsidP="00433E97">
      <w:pPr>
        <w:pStyle w:val="Item"/>
      </w:pPr>
      <w:r w:rsidRPr="00452700">
        <w:t>Insert:</w:t>
      </w:r>
    </w:p>
    <w:p w:rsidR="00433E97" w:rsidRPr="00452700" w:rsidRDefault="00433E97" w:rsidP="00433E97">
      <w:pPr>
        <w:pStyle w:val="Definition"/>
      </w:pPr>
      <w:r w:rsidRPr="00452700">
        <w:rPr>
          <w:b/>
          <w:i/>
        </w:rPr>
        <w:t>final Commonwealth share</w:t>
      </w:r>
      <w:r w:rsidRPr="00452700">
        <w:t xml:space="preserve"> has the meaning given by subsection 35B(6).</w:t>
      </w:r>
    </w:p>
    <w:p w:rsidR="002410CC" w:rsidRPr="00392A4E" w:rsidRDefault="0080643A" w:rsidP="00392A4E">
      <w:pPr>
        <w:pStyle w:val="ItemHead"/>
      </w:pPr>
      <w:r w:rsidRPr="00392A4E">
        <w:t>2</w:t>
      </w:r>
      <w:r w:rsidR="002410CC" w:rsidRPr="00392A4E">
        <w:t xml:space="preserve">  Section</w:t>
      </w:r>
      <w:r w:rsidR="00392A4E" w:rsidRPr="00392A4E">
        <w:t> </w:t>
      </w:r>
      <w:r w:rsidR="002410CC" w:rsidRPr="00392A4E">
        <w:t xml:space="preserve">6 (definition of </w:t>
      </w:r>
      <w:r w:rsidR="002410CC" w:rsidRPr="00392A4E">
        <w:rPr>
          <w:i/>
        </w:rPr>
        <w:t>low socioeconomic status student loading</w:t>
      </w:r>
      <w:r w:rsidR="002410CC" w:rsidRPr="00392A4E">
        <w:t>)</w:t>
      </w:r>
    </w:p>
    <w:p w:rsidR="002410CC" w:rsidRPr="00392A4E" w:rsidRDefault="002410CC" w:rsidP="00392A4E">
      <w:pPr>
        <w:pStyle w:val="Item"/>
      </w:pPr>
      <w:r w:rsidRPr="00392A4E">
        <w:t>Repeal the definition.</w:t>
      </w:r>
    </w:p>
    <w:p w:rsidR="002410CC" w:rsidRPr="00392A4E" w:rsidRDefault="0080643A" w:rsidP="00392A4E">
      <w:pPr>
        <w:pStyle w:val="ItemHead"/>
      </w:pPr>
      <w:r w:rsidRPr="00392A4E">
        <w:t>3</w:t>
      </w:r>
      <w:r w:rsidR="002410CC" w:rsidRPr="00392A4E">
        <w:t xml:space="preserve">  Section</w:t>
      </w:r>
      <w:r w:rsidR="00392A4E" w:rsidRPr="00392A4E">
        <w:t> </w:t>
      </w:r>
      <w:r w:rsidR="002410CC" w:rsidRPr="00392A4E">
        <w:t xml:space="preserve">6 (definition of </w:t>
      </w:r>
      <w:r w:rsidR="002410CC" w:rsidRPr="00392A4E">
        <w:rPr>
          <w:i/>
        </w:rPr>
        <w:t>SES score</w:t>
      </w:r>
      <w:r w:rsidR="002410CC" w:rsidRPr="00392A4E">
        <w:t>)</w:t>
      </w:r>
    </w:p>
    <w:p w:rsidR="002410CC" w:rsidRPr="00392A4E" w:rsidRDefault="002410CC" w:rsidP="00392A4E">
      <w:pPr>
        <w:pStyle w:val="Item"/>
      </w:pPr>
      <w:r w:rsidRPr="00392A4E">
        <w:t>Omit “52(2) or (3)”, substitute “52(1).</w:t>
      </w:r>
    </w:p>
    <w:p w:rsidR="002410CC" w:rsidRPr="00392A4E" w:rsidRDefault="0080643A" w:rsidP="00392A4E">
      <w:pPr>
        <w:pStyle w:val="ItemHead"/>
      </w:pPr>
      <w:r w:rsidRPr="00392A4E">
        <w:t>4</w:t>
      </w:r>
      <w:r w:rsidR="002410CC" w:rsidRPr="00392A4E">
        <w:t xml:space="preserve">  Section</w:t>
      </w:r>
      <w:r w:rsidR="00392A4E" w:rsidRPr="00392A4E">
        <w:t> </w:t>
      </w:r>
      <w:r w:rsidR="002410CC" w:rsidRPr="00392A4E">
        <w:t>6</w:t>
      </w:r>
    </w:p>
    <w:p w:rsidR="002410CC" w:rsidRPr="00392A4E" w:rsidRDefault="002410CC" w:rsidP="00392A4E">
      <w:pPr>
        <w:pStyle w:val="Item"/>
      </w:pPr>
      <w:r w:rsidRPr="00392A4E">
        <w:t>Insert:</w:t>
      </w:r>
    </w:p>
    <w:p w:rsidR="002410CC" w:rsidRPr="00392A4E" w:rsidRDefault="002410CC" w:rsidP="00392A4E">
      <w:pPr>
        <w:pStyle w:val="Definition"/>
      </w:pPr>
      <w:r w:rsidRPr="00392A4E">
        <w:rPr>
          <w:b/>
          <w:i/>
        </w:rPr>
        <w:lastRenderedPageBreak/>
        <w:t>socio</w:t>
      </w:r>
      <w:r w:rsidR="00B84F34">
        <w:rPr>
          <w:b/>
          <w:i/>
        </w:rPr>
        <w:noBreakHyphen/>
      </w:r>
      <w:r w:rsidRPr="00392A4E">
        <w:rPr>
          <w:b/>
          <w:i/>
        </w:rPr>
        <w:t>educational disadvantage loading</w:t>
      </w:r>
      <w:r w:rsidRPr="00392A4E">
        <w:t xml:space="preserve"> has the meaning given by subsection</w:t>
      </w:r>
      <w:r w:rsidR="00392A4E" w:rsidRPr="00392A4E">
        <w:t> </w:t>
      </w:r>
      <w:r w:rsidRPr="00392A4E">
        <w:t>38(1).</w:t>
      </w:r>
    </w:p>
    <w:p w:rsidR="008A1EC6" w:rsidRPr="00392A4E" w:rsidRDefault="0080643A" w:rsidP="00392A4E">
      <w:pPr>
        <w:pStyle w:val="ItemHead"/>
      </w:pPr>
      <w:r w:rsidRPr="00392A4E">
        <w:t>5</w:t>
      </w:r>
      <w:r w:rsidR="008A1EC6" w:rsidRPr="00392A4E">
        <w:t xml:space="preserve">  Section</w:t>
      </w:r>
      <w:r w:rsidR="00392A4E" w:rsidRPr="00392A4E">
        <w:t> </w:t>
      </w:r>
      <w:r w:rsidR="008A1EC6" w:rsidRPr="00392A4E">
        <w:t>6</w:t>
      </w:r>
    </w:p>
    <w:p w:rsidR="008A1EC6" w:rsidRPr="00392A4E" w:rsidRDefault="008A1EC6" w:rsidP="00392A4E">
      <w:pPr>
        <w:pStyle w:val="Item"/>
      </w:pPr>
      <w:r w:rsidRPr="00392A4E">
        <w:t>Insert:</w:t>
      </w:r>
    </w:p>
    <w:p w:rsidR="00F42118" w:rsidRPr="00392A4E" w:rsidRDefault="008A1EC6" w:rsidP="00392A4E">
      <w:pPr>
        <w:pStyle w:val="Definition"/>
      </w:pPr>
      <w:r w:rsidRPr="00392A4E">
        <w:rPr>
          <w:b/>
          <w:i/>
        </w:rPr>
        <w:t>SRS indexation factor</w:t>
      </w:r>
      <w:r w:rsidR="007773D9" w:rsidRPr="00392A4E">
        <w:t>,</w:t>
      </w:r>
      <w:r w:rsidRPr="00392A4E">
        <w:t xml:space="preserve"> </w:t>
      </w:r>
      <w:r w:rsidR="00F42118" w:rsidRPr="00392A4E">
        <w:t>for a year</w:t>
      </w:r>
      <w:r w:rsidR="007773D9" w:rsidRPr="00392A4E">
        <w:t>,</w:t>
      </w:r>
      <w:r w:rsidR="00F42118" w:rsidRPr="00392A4E">
        <w:t xml:space="preserve"> means the SRS indexation factor worked out in accordance with, or prescribed under, section</w:t>
      </w:r>
      <w:r w:rsidR="00392A4E" w:rsidRPr="00392A4E">
        <w:t> </w:t>
      </w:r>
      <w:r w:rsidR="00F42118" w:rsidRPr="00392A4E">
        <w:t>11A.</w:t>
      </w:r>
    </w:p>
    <w:p w:rsidR="00433E97" w:rsidRPr="00452700" w:rsidRDefault="00433E97" w:rsidP="00433E97">
      <w:pPr>
        <w:pStyle w:val="ItemHead"/>
      </w:pPr>
      <w:r w:rsidRPr="00452700">
        <w:t>5A  Section 6</w:t>
      </w:r>
    </w:p>
    <w:p w:rsidR="00433E97" w:rsidRPr="00452700" w:rsidRDefault="00433E97" w:rsidP="00433E97">
      <w:pPr>
        <w:pStyle w:val="Item"/>
      </w:pPr>
      <w:r w:rsidRPr="00452700">
        <w:t>Insert:</w:t>
      </w:r>
    </w:p>
    <w:p w:rsidR="00433E97" w:rsidRPr="00452700" w:rsidRDefault="00433E97" w:rsidP="00433E97">
      <w:pPr>
        <w:pStyle w:val="Definition"/>
      </w:pPr>
      <w:r w:rsidRPr="00452700">
        <w:rPr>
          <w:b/>
          <w:i/>
        </w:rPr>
        <w:t>starting Commonwealth share</w:t>
      </w:r>
      <w:r w:rsidRPr="00452700">
        <w:t xml:space="preserve"> has the meaning given by subsection 35B(2).</w:t>
      </w:r>
    </w:p>
    <w:p w:rsidR="00427858" w:rsidRPr="00392A4E" w:rsidRDefault="0080643A" w:rsidP="00392A4E">
      <w:pPr>
        <w:pStyle w:val="ItemHead"/>
      </w:pPr>
      <w:r w:rsidRPr="00392A4E">
        <w:t>6</w:t>
      </w:r>
      <w:r w:rsidR="00427858" w:rsidRPr="00392A4E">
        <w:t xml:space="preserve">  Section</w:t>
      </w:r>
      <w:r w:rsidR="00392A4E" w:rsidRPr="00392A4E">
        <w:t> </w:t>
      </w:r>
      <w:r w:rsidR="00427858" w:rsidRPr="00392A4E">
        <w:t>6</w:t>
      </w:r>
    </w:p>
    <w:p w:rsidR="00427858" w:rsidRPr="00392A4E" w:rsidRDefault="00427858" w:rsidP="00392A4E">
      <w:pPr>
        <w:pStyle w:val="Item"/>
      </w:pPr>
      <w:r w:rsidRPr="00392A4E">
        <w:t>Insert:</w:t>
      </w:r>
    </w:p>
    <w:p w:rsidR="00C5294F" w:rsidRPr="00392A4E" w:rsidRDefault="00427858" w:rsidP="00392A4E">
      <w:pPr>
        <w:pStyle w:val="Definition"/>
      </w:pPr>
      <w:r w:rsidRPr="00392A4E">
        <w:rPr>
          <w:b/>
          <w:i/>
        </w:rPr>
        <w:t>transitioning school</w:t>
      </w:r>
      <w:r w:rsidRPr="00392A4E">
        <w:t xml:space="preserve"> means</w:t>
      </w:r>
      <w:r w:rsidR="00C5294F" w:rsidRPr="00392A4E">
        <w:t>:</w:t>
      </w:r>
    </w:p>
    <w:p w:rsidR="00C5294F" w:rsidRPr="00392A4E" w:rsidRDefault="00C5294F" w:rsidP="00392A4E">
      <w:pPr>
        <w:pStyle w:val="paragraph"/>
      </w:pPr>
      <w:r w:rsidRPr="00392A4E">
        <w:tab/>
        <w:t>(a)</w:t>
      </w:r>
      <w:r w:rsidRPr="00392A4E">
        <w:tab/>
      </w:r>
      <w:r w:rsidR="00427858" w:rsidRPr="00392A4E">
        <w:t xml:space="preserve">a school </w:t>
      </w:r>
      <w:r w:rsidRPr="00392A4E">
        <w:t>for which financial assist</w:t>
      </w:r>
      <w:r w:rsidR="00AE5804" w:rsidRPr="00392A4E">
        <w:t>ance was payable under Part</w:t>
      </w:r>
      <w:r w:rsidR="00392A4E" w:rsidRPr="00392A4E">
        <w:t> </w:t>
      </w:r>
      <w:r w:rsidR="00AE5804" w:rsidRPr="00392A4E">
        <w:t>3 or</w:t>
      </w:r>
      <w:r w:rsidRPr="00392A4E">
        <w:t xml:space="preserve"> 4 of this Act </w:t>
      </w:r>
      <w:r w:rsidR="00427858" w:rsidRPr="00392A4E">
        <w:t>for 2017</w:t>
      </w:r>
      <w:r w:rsidRPr="00392A4E">
        <w:t>; or</w:t>
      </w:r>
    </w:p>
    <w:p w:rsidR="00427858" w:rsidRPr="00392A4E" w:rsidRDefault="00C5294F" w:rsidP="00392A4E">
      <w:pPr>
        <w:pStyle w:val="paragraph"/>
      </w:pPr>
      <w:r w:rsidRPr="00392A4E">
        <w:tab/>
        <w:t>(b)</w:t>
      </w:r>
      <w:r w:rsidRPr="00392A4E">
        <w:tab/>
        <w:t>a school prescribed by the regulations.</w:t>
      </w:r>
    </w:p>
    <w:p w:rsidR="00433E97" w:rsidRPr="00452700" w:rsidRDefault="00433E97" w:rsidP="00433E97">
      <w:pPr>
        <w:pStyle w:val="Definition"/>
      </w:pPr>
      <w:r w:rsidRPr="00452700">
        <w:rPr>
          <w:b/>
          <w:i/>
        </w:rPr>
        <w:t>transition year</w:t>
      </w:r>
      <w:r w:rsidRPr="00452700">
        <w:t xml:space="preserve"> means:</w:t>
      </w:r>
    </w:p>
    <w:p w:rsidR="00433E97" w:rsidRPr="00452700" w:rsidRDefault="00433E97" w:rsidP="00433E97">
      <w:pPr>
        <w:pStyle w:val="paragraph"/>
      </w:pPr>
      <w:r w:rsidRPr="00452700">
        <w:tab/>
        <w:t>(a)</w:t>
      </w:r>
      <w:r w:rsidRPr="00452700">
        <w:tab/>
        <w:t>for a school other than a 6</w:t>
      </w:r>
      <w:r>
        <w:noBreakHyphen/>
      </w:r>
      <w:r w:rsidRPr="00452700">
        <w:t>year transitioning school—a year from 2018 to 2027 (inclusive); or</w:t>
      </w:r>
    </w:p>
    <w:p w:rsidR="00433E97" w:rsidRPr="00452700" w:rsidRDefault="00433E97" w:rsidP="00433E97">
      <w:pPr>
        <w:pStyle w:val="paragraph"/>
      </w:pPr>
      <w:r w:rsidRPr="00452700">
        <w:tab/>
        <w:t>(b)</w:t>
      </w:r>
      <w:r w:rsidRPr="00452700">
        <w:tab/>
        <w:t>for a 6</w:t>
      </w:r>
      <w:r>
        <w:noBreakHyphen/>
      </w:r>
      <w:r w:rsidRPr="00452700">
        <w:t>year transitioning school—a year from 2018 to 2023 (inclusive).</w:t>
      </w:r>
    </w:p>
    <w:p w:rsidR="008B1443" w:rsidRPr="00392A4E" w:rsidRDefault="0080643A" w:rsidP="00392A4E">
      <w:pPr>
        <w:pStyle w:val="ItemHead"/>
      </w:pPr>
      <w:r w:rsidRPr="00392A4E">
        <w:t>7</w:t>
      </w:r>
      <w:r w:rsidR="008B1443" w:rsidRPr="00392A4E">
        <w:t xml:space="preserve">  After subsection</w:t>
      </w:r>
      <w:r w:rsidR="00392A4E" w:rsidRPr="00392A4E">
        <w:t> </w:t>
      </w:r>
      <w:r w:rsidR="008B1443" w:rsidRPr="00392A4E">
        <w:t>9(6A)</w:t>
      </w:r>
    </w:p>
    <w:p w:rsidR="008B1443" w:rsidRPr="00392A4E" w:rsidRDefault="008B1443" w:rsidP="00392A4E">
      <w:pPr>
        <w:pStyle w:val="Item"/>
      </w:pPr>
      <w:r w:rsidRPr="00392A4E">
        <w:t>Insert:</w:t>
      </w:r>
    </w:p>
    <w:p w:rsidR="008B1443" w:rsidRPr="00392A4E" w:rsidRDefault="008B1443" w:rsidP="00392A4E">
      <w:pPr>
        <w:pStyle w:val="subsection"/>
      </w:pPr>
      <w:r w:rsidRPr="00392A4E">
        <w:tab/>
        <w:t>(6B)</w:t>
      </w:r>
      <w:r w:rsidRPr="00392A4E">
        <w:tab/>
        <w:t xml:space="preserve">A payment is an </w:t>
      </w:r>
      <w:r w:rsidRPr="00392A4E">
        <w:rPr>
          <w:b/>
          <w:i/>
        </w:rPr>
        <w:t>overpayment</w:t>
      </w:r>
      <w:r w:rsidRPr="00392A4E">
        <w:t xml:space="preserve"> under this Act if:</w:t>
      </w:r>
    </w:p>
    <w:p w:rsidR="008B1443" w:rsidRPr="00392A4E" w:rsidRDefault="008B1443" w:rsidP="00392A4E">
      <w:pPr>
        <w:pStyle w:val="paragraph"/>
      </w:pPr>
      <w:r w:rsidRPr="00392A4E">
        <w:tab/>
        <w:t>(a)</w:t>
      </w:r>
      <w:r w:rsidRPr="00392A4E">
        <w:tab/>
        <w:t>the Commonwealth makes the payment to a State or Territory for a school for a year as a result of a determination made under paragraph</w:t>
      </w:r>
      <w:r w:rsidR="00392A4E" w:rsidRPr="00392A4E">
        <w:t> </w:t>
      </w:r>
      <w:r w:rsidRPr="00392A4E">
        <w:t>29(1)(ab); and</w:t>
      </w:r>
    </w:p>
    <w:p w:rsidR="008B1443" w:rsidRPr="00392A4E" w:rsidRDefault="008B1443" w:rsidP="00392A4E">
      <w:pPr>
        <w:pStyle w:val="paragraph"/>
      </w:pPr>
      <w:r w:rsidRPr="00392A4E">
        <w:tab/>
        <w:t>(b)</w:t>
      </w:r>
      <w:r w:rsidRPr="00392A4E">
        <w:tab/>
        <w:t>the total of the amount of the payment, and any previous payments made, as a result of the determination, to the State or Territory for the school for the year, exceeds the amount determined for the school for the year under section</w:t>
      </w:r>
      <w:r w:rsidR="00392A4E" w:rsidRPr="00392A4E">
        <w:t> </w:t>
      </w:r>
      <w:r w:rsidRPr="00392A4E">
        <w:t>69B.</w:t>
      </w:r>
    </w:p>
    <w:p w:rsidR="002410CC" w:rsidRPr="00392A4E" w:rsidRDefault="0080643A" w:rsidP="00392A4E">
      <w:pPr>
        <w:pStyle w:val="ItemHead"/>
      </w:pPr>
      <w:r w:rsidRPr="00392A4E">
        <w:lastRenderedPageBreak/>
        <w:t>8</w:t>
      </w:r>
      <w:r w:rsidR="00C5294F" w:rsidRPr="00392A4E">
        <w:t xml:space="preserve">  After section</w:t>
      </w:r>
      <w:r w:rsidR="00392A4E" w:rsidRPr="00392A4E">
        <w:t> </w:t>
      </w:r>
      <w:r w:rsidR="00C5294F" w:rsidRPr="00392A4E">
        <w:t>11</w:t>
      </w:r>
    </w:p>
    <w:p w:rsidR="002410CC" w:rsidRPr="00392A4E" w:rsidRDefault="002410CC" w:rsidP="00392A4E">
      <w:pPr>
        <w:pStyle w:val="Item"/>
      </w:pPr>
      <w:r w:rsidRPr="00392A4E">
        <w:t>Insert:</w:t>
      </w:r>
    </w:p>
    <w:p w:rsidR="002410CC" w:rsidRPr="00392A4E" w:rsidRDefault="00C5294F" w:rsidP="00392A4E">
      <w:pPr>
        <w:pStyle w:val="ActHead5"/>
      </w:pPr>
      <w:bookmarkStart w:id="10" w:name="_Toc486412741"/>
      <w:r w:rsidRPr="00392A4E">
        <w:rPr>
          <w:rStyle w:val="CharSectno"/>
        </w:rPr>
        <w:t>11</w:t>
      </w:r>
      <w:r w:rsidR="002410CC" w:rsidRPr="00392A4E">
        <w:rPr>
          <w:rStyle w:val="CharSectno"/>
        </w:rPr>
        <w:t>A</w:t>
      </w:r>
      <w:r w:rsidR="002410CC" w:rsidRPr="00392A4E">
        <w:t xml:space="preserve">  Definition of </w:t>
      </w:r>
      <w:r w:rsidR="004F7539" w:rsidRPr="00392A4E">
        <w:t xml:space="preserve">SRS </w:t>
      </w:r>
      <w:r w:rsidR="002410CC" w:rsidRPr="00392A4E">
        <w:t>indexation factor</w:t>
      </w:r>
      <w:bookmarkEnd w:id="10"/>
    </w:p>
    <w:p w:rsidR="00F453BF" w:rsidRPr="00392A4E" w:rsidRDefault="002410CC" w:rsidP="00392A4E">
      <w:pPr>
        <w:pStyle w:val="subsection"/>
      </w:pPr>
      <w:r w:rsidRPr="00392A4E">
        <w:tab/>
        <w:t>(1)</w:t>
      </w:r>
      <w:r w:rsidRPr="00392A4E">
        <w:tab/>
        <w:t xml:space="preserve">The </w:t>
      </w:r>
      <w:r w:rsidR="00C5294F" w:rsidRPr="00392A4E">
        <w:rPr>
          <w:b/>
          <w:i/>
        </w:rPr>
        <w:t xml:space="preserve">SRS </w:t>
      </w:r>
      <w:r w:rsidRPr="00392A4E">
        <w:rPr>
          <w:b/>
          <w:i/>
        </w:rPr>
        <w:t>indexation factor</w:t>
      </w:r>
      <w:r w:rsidRPr="00392A4E">
        <w:t xml:space="preserve"> for a year is</w:t>
      </w:r>
      <w:r w:rsidR="008A1EC6" w:rsidRPr="00392A4E">
        <w:t xml:space="preserve"> the </w:t>
      </w:r>
      <w:r w:rsidR="00241399" w:rsidRPr="00392A4E">
        <w:t>higher</w:t>
      </w:r>
      <w:r w:rsidR="00F453BF" w:rsidRPr="00392A4E">
        <w:t xml:space="preserve"> of the following:</w:t>
      </w:r>
    </w:p>
    <w:p w:rsidR="00F453BF" w:rsidRPr="00392A4E" w:rsidRDefault="00F453BF" w:rsidP="00392A4E">
      <w:pPr>
        <w:pStyle w:val="paragraph"/>
      </w:pPr>
      <w:r w:rsidRPr="00392A4E">
        <w:tab/>
        <w:t>(a)</w:t>
      </w:r>
      <w:r w:rsidRPr="00392A4E">
        <w:tab/>
        <w:t>1.03;</w:t>
      </w:r>
    </w:p>
    <w:p w:rsidR="00F453BF" w:rsidRPr="00392A4E" w:rsidRDefault="00F453BF" w:rsidP="00392A4E">
      <w:pPr>
        <w:pStyle w:val="paragraph"/>
      </w:pPr>
      <w:r w:rsidRPr="00392A4E">
        <w:tab/>
        <w:t>(b)</w:t>
      </w:r>
      <w:r w:rsidRPr="00392A4E">
        <w:tab/>
        <w:t xml:space="preserve">the number worked out under </w:t>
      </w:r>
      <w:r w:rsidR="00392A4E" w:rsidRPr="00392A4E">
        <w:t>subsection (</w:t>
      </w:r>
      <w:r w:rsidRPr="00392A4E">
        <w:t>2) for the year.</w:t>
      </w:r>
    </w:p>
    <w:p w:rsidR="00F453BF" w:rsidRPr="00392A4E" w:rsidRDefault="00F453BF" w:rsidP="00392A4E">
      <w:pPr>
        <w:pStyle w:val="subsection"/>
      </w:pPr>
      <w:r w:rsidRPr="00392A4E">
        <w:tab/>
        <w:t>(2)</w:t>
      </w:r>
      <w:r w:rsidRPr="00392A4E">
        <w:tab/>
        <w:t>The number is worked out using the following formula:</w:t>
      </w:r>
    </w:p>
    <w:p w:rsidR="00243E0B" w:rsidRPr="00392A4E" w:rsidRDefault="00874CEF" w:rsidP="00392A4E">
      <w:pPr>
        <w:pStyle w:val="subsection2"/>
      </w:pPr>
      <w:bookmarkStart w:id="11" w:name="BKCheck15B_2"/>
      <w:bookmarkEnd w:id="11"/>
      <w:r>
        <w:pict>
          <v:shape id="_x0000_i1027" type="#_x0000_t75" style="width:294.55pt;height:63.6pt">
            <v:imagedata r:id="rId21" o:title=""/>
          </v:shape>
        </w:pict>
      </w:r>
    </w:p>
    <w:p w:rsidR="002410CC" w:rsidRPr="00392A4E" w:rsidRDefault="002410CC" w:rsidP="00392A4E">
      <w:pPr>
        <w:pStyle w:val="subsection2"/>
      </w:pPr>
      <w:r w:rsidRPr="00392A4E">
        <w:t>where:</w:t>
      </w:r>
    </w:p>
    <w:p w:rsidR="002410CC" w:rsidRPr="00392A4E" w:rsidRDefault="002410CC" w:rsidP="00392A4E">
      <w:pPr>
        <w:pStyle w:val="Definition"/>
      </w:pPr>
      <w:r w:rsidRPr="00392A4E">
        <w:rPr>
          <w:b/>
          <w:i/>
        </w:rPr>
        <w:t>base quarter</w:t>
      </w:r>
      <w:r w:rsidRPr="00392A4E">
        <w:t xml:space="preserve"> means the June quarter in the previous year.</w:t>
      </w:r>
    </w:p>
    <w:p w:rsidR="002410CC" w:rsidRPr="00392A4E" w:rsidRDefault="002410CC" w:rsidP="00392A4E">
      <w:pPr>
        <w:pStyle w:val="Definition"/>
      </w:pPr>
      <w:r w:rsidRPr="00392A4E">
        <w:rPr>
          <w:b/>
          <w:i/>
        </w:rPr>
        <w:t>consumer index number</w:t>
      </w:r>
      <w:r w:rsidRPr="00392A4E">
        <w:t>, for a quarter, means the All Groups Consumer Price Index number (being the weighted average of the 8 capital cities) published by the Australian Statistician for that quarter.</w:t>
      </w:r>
    </w:p>
    <w:p w:rsidR="002410CC" w:rsidRPr="00392A4E" w:rsidRDefault="002410CC" w:rsidP="00392A4E">
      <w:pPr>
        <w:pStyle w:val="Definition"/>
      </w:pPr>
      <w:r w:rsidRPr="00392A4E">
        <w:rPr>
          <w:b/>
          <w:i/>
        </w:rPr>
        <w:t>reference quarter</w:t>
      </w:r>
      <w:r w:rsidRPr="00392A4E">
        <w:t xml:space="preserve"> means the June quarter in the year.</w:t>
      </w:r>
    </w:p>
    <w:p w:rsidR="002410CC" w:rsidRPr="00392A4E" w:rsidRDefault="002410CC" w:rsidP="00392A4E">
      <w:pPr>
        <w:pStyle w:val="Definition"/>
      </w:pPr>
      <w:r w:rsidRPr="00392A4E">
        <w:rPr>
          <w:b/>
          <w:i/>
        </w:rPr>
        <w:t>wage index number</w:t>
      </w:r>
      <w:r w:rsidRPr="00392A4E">
        <w:t xml:space="preserve">, for a quarter, means the </w:t>
      </w:r>
      <w:r w:rsidR="001E488E" w:rsidRPr="00392A4E">
        <w:t>Wage Price Index (total hourly rates of pay excluding bonuses/all sectors/all Australia/original) number</w:t>
      </w:r>
      <w:r w:rsidR="001E488E" w:rsidRPr="00392A4E">
        <w:rPr>
          <w:i/>
        </w:rPr>
        <w:t xml:space="preserve"> </w:t>
      </w:r>
      <w:r w:rsidRPr="00392A4E">
        <w:t>published by the Australian Statistician for that quarter.</w:t>
      </w:r>
    </w:p>
    <w:p w:rsidR="002410CC" w:rsidRPr="00392A4E" w:rsidRDefault="00F453BF" w:rsidP="00392A4E">
      <w:pPr>
        <w:pStyle w:val="subsection"/>
      </w:pPr>
      <w:r w:rsidRPr="00392A4E">
        <w:tab/>
        <w:t>(3</w:t>
      </w:r>
      <w:r w:rsidR="002410CC" w:rsidRPr="00392A4E">
        <w:t>)</w:t>
      </w:r>
      <w:r w:rsidR="002410CC" w:rsidRPr="00392A4E">
        <w:tab/>
        <w:t xml:space="preserve">An </w:t>
      </w:r>
      <w:r w:rsidR="004F7539" w:rsidRPr="00392A4E">
        <w:t xml:space="preserve">SRS </w:t>
      </w:r>
      <w:r w:rsidR="002410CC" w:rsidRPr="00392A4E">
        <w:t xml:space="preserve">indexation factor </w:t>
      </w:r>
      <w:r w:rsidRPr="00392A4E">
        <w:t xml:space="preserve">worked out under </w:t>
      </w:r>
      <w:r w:rsidR="00392A4E" w:rsidRPr="00392A4E">
        <w:t>subsection (</w:t>
      </w:r>
      <w:r w:rsidRPr="00392A4E">
        <w:t xml:space="preserve">2) </w:t>
      </w:r>
      <w:r w:rsidR="002410CC" w:rsidRPr="00392A4E">
        <w:t xml:space="preserve">is to be calculated to 3 decimal places (rounding up if the </w:t>
      </w:r>
      <w:r w:rsidR="0020542B" w:rsidRPr="00392A4E">
        <w:t>fourth</w:t>
      </w:r>
      <w:r w:rsidR="002410CC" w:rsidRPr="00392A4E">
        <w:t xml:space="preserve"> decimal place is 5 or more).</w:t>
      </w:r>
    </w:p>
    <w:p w:rsidR="002410CC" w:rsidRPr="00392A4E" w:rsidRDefault="002410CC" w:rsidP="00392A4E">
      <w:pPr>
        <w:pStyle w:val="subsection"/>
      </w:pPr>
      <w:r w:rsidRPr="00392A4E">
        <w:tab/>
        <w:t>(4)</w:t>
      </w:r>
      <w:r w:rsidRPr="00392A4E">
        <w:tab/>
        <w:t xml:space="preserve">Calculations under </w:t>
      </w:r>
      <w:r w:rsidR="00392A4E" w:rsidRPr="00392A4E">
        <w:t>subsection (</w:t>
      </w:r>
      <w:r w:rsidR="00F453BF" w:rsidRPr="00392A4E">
        <w:t>2</w:t>
      </w:r>
      <w:r w:rsidRPr="00392A4E">
        <w:t>):</w:t>
      </w:r>
    </w:p>
    <w:p w:rsidR="002410CC" w:rsidRPr="00392A4E" w:rsidRDefault="002410CC" w:rsidP="00392A4E">
      <w:pPr>
        <w:pStyle w:val="paragraph"/>
      </w:pPr>
      <w:r w:rsidRPr="00392A4E">
        <w:tab/>
        <w:t>(a)</w:t>
      </w:r>
      <w:r w:rsidRPr="00392A4E">
        <w:tab/>
        <w:t>are to be made using only the index numbers published in terms of the most recently published index reference period; and</w:t>
      </w:r>
    </w:p>
    <w:p w:rsidR="002410CC" w:rsidRPr="00392A4E" w:rsidRDefault="002410CC" w:rsidP="00392A4E">
      <w:pPr>
        <w:pStyle w:val="paragraph"/>
      </w:pPr>
      <w:r w:rsidRPr="00392A4E">
        <w:tab/>
        <w:t>(b)</w:t>
      </w:r>
      <w:r w:rsidRPr="00392A4E">
        <w:tab/>
        <w:t xml:space="preserve">are to be made disregarding index numbers that are published in substitution for previously published index numbers </w:t>
      </w:r>
      <w:r w:rsidRPr="00392A4E">
        <w:lastRenderedPageBreak/>
        <w:t>(except where the substituted numbers are published to take account of changes in the index reference period).</w:t>
      </w:r>
    </w:p>
    <w:p w:rsidR="008A1EC6" w:rsidRPr="00392A4E" w:rsidRDefault="008A1EC6" w:rsidP="00392A4E">
      <w:pPr>
        <w:pStyle w:val="subsection"/>
      </w:pPr>
      <w:r w:rsidRPr="00392A4E">
        <w:tab/>
        <w:t>(5)</w:t>
      </w:r>
      <w:r w:rsidRPr="00392A4E">
        <w:tab/>
        <w:t xml:space="preserve">The regulations may prescribe the </w:t>
      </w:r>
      <w:r w:rsidRPr="00392A4E">
        <w:rPr>
          <w:b/>
          <w:i/>
        </w:rPr>
        <w:t>SRS indexation factor</w:t>
      </w:r>
      <w:r w:rsidRPr="00392A4E">
        <w:t xml:space="preserve"> for a year.</w:t>
      </w:r>
    </w:p>
    <w:p w:rsidR="00D54EE7" w:rsidRPr="00392A4E" w:rsidRDefault="008A1EC6" w:rsidP="00392A4E">
      <w:pPr>
        <w:pStyle w:val="subsection"/>
      </w:pPr>
      <w:r w:rsidRPr="00392A4E">
        <w:tab/>
        <w:t>(6)</w:t>
      </w:r>
      <w:r w:rsidRPr="00392A4E">
        <w:tab/>
        <w:t xml:space="preserve">If the regulations prescribe the SRS indexation factor for a year, </w:t>
      </w:r>
      <w:r w:rsidR="00392A4E" w:rsidRPr="00392A4E">
        <w:t>subsections (</w:t>
      </w:r>
      <w:r w:rsidR="00F453BF" w:rsidRPr="00392A4E">
        <w:t>1) to (4</w:t>
      </w:r>
      <w:r w:rsidRPr="00392A4E">
        <w:t>) do not</w:t>
      </w:r>
      <w:r w:rsidR="00623EA4" w:rsidRPr="00392A4E">
        <w:t xml:space="preserve"> apply in relation to the year.</w:t>
      </w:r>
    </w:p>
    <w:p w:rsidR="00F453BF" w:rsidRPr="00392A4E" w:rsidRDefault="00F453BF" w:rsidP="00392A4E">
      <w:pPr>
        <w:pStyle w:val="subsection"/>
      </w:pPr>
      <w:r w:rsidRPr="00392A4E">
        <w:tab/>
        <w:t>(7)</w:t>
      </w:r>
      <w:r w:rsidRPr="00392A4E">
        <w:tab/>
        <w:t>Amounts worked out using an SRS indexation factor are to be rounded to the nearest whole dollar (rounding 50 cents upwards).</w:t>
      </w:r>
    </w:p>
    <w:p w:rsidR="00427858" w:rsidRPr="00392A4E" w:rsidRDefault="0080643A" w:rsidP="00392A4E">
      <w:pPr>
        <w:pStyle w:val="ItemHead"/>
      </w:pPr>
      <w:r w:rsidRPr="00392A4E">
        <w:t>9</w:t>
      </w:r>
      <w:r w:rsidR="00427858" w:rsidRPr="00392A4E">
        <w:t xml:space="preserve">  After paragraph</w:t>
      </w:r>
      <w:r w:rsidR="00392A4E" w:rsidRPr="00392A4E">
        <w:t> </w:t>
      </w:r>
      <w:r w:rsidR="00427858" w:rsidRPr="00392A4E">
        <w:t>29(1)(aa)</w:t>
      </w:r>
    </w:p>
    <w:p w:rsidR="00427858" w:rsidRPr="00392A4E" w:rsidRDefault="00427858" w:rsidP="00392A4E">
      <w:pPr>
        <w:pStyle w:val="Item"/>
      </w:pPr>
      <w:r w:rsidRPr="00392A4E">
        <w:t>Insert:</w:t>
      </w:r>
    </w:p>
    <w:p w:rsidR="00427858" w:rsidRPr="00392A4E" w:rsidRDefault="00427858" w:rsidP="00392A4E">
      <w:pPr>
        <w:pStyle w:val="paragraph"/>
      </w:pPr>
      <w:r w:rsidRPr="00392A4E">
        <w:tab/>
        <w:t>(ab)</w:t>
      </w:r>
      <w:r w:rsidRPr="00392A4E">
        <w:tab/>
        <w:t>an amount or amounts of payments of financial assistance that have been determined under section</w:t>
      </w:r>
      <w:r w:rsidR="00392A4E" w:rsidRPr="00392A4E">
        <w:t> </w:t>
      </w:r>
      <w:r w:rsidRPr="00392A4E">
        <w:t xml:space="preserve">69B (transition </w:t>
      </w:r>
      <w:r w:rsidR="0044692A" w:rsidRPr="00392A4E">
        <w:t>adjustment</w:t>
      </w:r>
      <w:r w:rsidRPr="00392A4E">
        <w:t xml:space="preserve"> funding) to be payable to a State or Territory for a year for a school that is located in the State or Territory; and</w:t>
      </w:r>
    </w:p>
    <w:p w:rsidR="00427858" w:rsidRPr="00392A4E" w:rsidRDefault="0080643A" w:rsidP="00392A4E">
      <w:pPr>
        <w:pStyle w:val="ItemHead"/>
      </w:pPr>
      <w:r w:rsidRPr="00392A4E">
        <w:t>10</w:t>
      </w:r>
      <w:r w:rsidR="00427858" w:rsidRPr="00392A4E">
        <w:t xml:space="preserve">  Paragraph 29(1)(b)</w:t>
      </w:r>
    </w:p>
    <w:p w:rsidR="00427858" w:rsidRPr="00392A4E" w:rsidRDefault="00427858" w:rsidP="00392A4E">
      <w:pPr>
        <w:pStyle w:val="Item"/>
      </w:pPr>
      <w:r w:rsidRPr="00392A4E">
        <w:t>Omit “and (aa)”, substitute “to (ab)”.</w:t>
      </w:r>
    </w:p>
    <w:p w:rsidR="00427858" w:rsidRPr="00392A4E" w:rsidRDefault="0080643A" w:rsidP="00392A4E">
      <w:pPr>
        <w:pStyle w:val="ItemHead"/>
      </w:pPr>
      <w:r w:rsidRPr="00392A4E">
        <w:t>11</w:t>
      </w:r>
      <w:r w:rsidR="00427858" w:rsidRPr="00392A4E">
        <w:t xml:space="preserve">  Section</w:t>
      </w:r>
      <w:r w:rsidR="00392A4E" w:rsidRPr="00392A4E">
        <w:t> </w:t>
      </w:r>
      <w:r w:rsidR="00427858" w:rsidRPr="00392A4E">
        <w:t>32 (formula)</w:t>
      </w:r>
    </w:p>
    <w:p w:rsidR="00427858" w:rsidRPr="00392A4E" w:rsidRDefault="00427858" w:rsidP="00392A4E">
      <w:pPr>
        <w:pStyle w:val="Item"/>
      </w:pPr>
      <w:r w:rsidRPr="00392A4E">
        <w:t>Repeal the formula, substitute:</w:t>
      </w:r>
    </w:p>
    <w:p w:rsidR="00427858" w:rsidRPr="00392A4E" w:rsidRDefault="00874CEF" w:rsidP="00392A4E">
      <w:pPr>
        <w:pStyle w:val="subsection2"/>
      </w:pPr>
      <w:bookmarkStart w:id="12" w:name="BKCheck15B_3"/>
      <w:bookmarkEnd w:id="12"/>
      <w:r>
        <w:pict>
          <v:shape id="_x0000_i1028" type="#_x0000_t75" style="width:312.3pt;height:43.95pt">
            <v:imagedata r:id="rId22" o:title=""/>
          </v:shape>
        </w:pict>
      </w:r>
    </w:p>
    <w:p w:rsidR="002410CC" w:rsidRPr="00392A4E" w:rsidRDefault="0080643A" w:rsidP="00392A4E">
      <w:pPr>
        <w:pStyle w:val="ItemHead"/>
      </w:pPr>
      <w:r w:rsidRPr="00392A4E">
        <w:t>12</w:t>
      </w:r>
      <w:r w:rsidR="002410CC" w:rsidRPr="00392A4E">
        <w:t xml:space="preserve">  Paragraph 34(1)(a)</w:t>
      </w:r>
    </w:p>
    <w:p w:rsidR="002410CC" w:rsidRPr="00392A4E" w:rsidRDefault="002410CC" w:rsidP="00392A4E">
      <w:pPr>
        <w:pStyle w:val="Item"/>
      </w:pPr>
      <w:r w:rsidRPr="00392A4E">
        <w:t>Omit “2014—$9,271”, substitute “2018—$10,</w:t>
      </w:r>
      <w:r w:rsidR="009423CE" w:rsidRPr="00392A4E">
        <w:t>953</w:t>
      </w:r>
      <w:r w:rsidRPr="00392A4E">
        <w:t>”.</w:t>
      </w:r>
    </w:p>
    <w:p w:rsidR="002410CC" w:rsidRPr="00392A4E" w:rsidRDefault="0080643A" w:rsidP="00392A4E">
      <w:pPr>
        <w:pStyle w:val="ItemHead"/>
      </w:pPr>
      <w:r w:rsidRPr="00392A4E">
        <w:t>13</w:t>
      </w:r>
      <w:r w:rsidR="002410CC" w:rsidRPr="00392A4E">
        <w:t xml:space="preserve">  Paragraph 34(2)(a)</w:t>
      </w:r>
    </w:p>
    <w:p w:rsidR="002410CC" w:rsidRPr="00392A4E" w:rsidRDefault="002410CC" w:rsidP="00392A4E">
      <w:pPr>
        <w:pStyle w:val="Item"/>
      </w:pPr>
      <w:r w:rsidRPr="00392A4E">
        <w:t>Omit “2014—$12,193”, substitute “2018—$13,</w:t>
      </w:r>
      <w:r w:rsidR="009423CE" w:rsidRPr="00392A4E">
        <w:t>764</w:t>
      </w:r>
      <w:r w:rsidRPr="00392A4E">
        <w:t>”.</w:t>
      </w:r>
    </w:p>
    <w:p w:rsidR="002410CC" w:rsidRPr="00392A4E" w:rsidRDefault="0080643A" w:rsidP="00392A4E">
      <w:pPr>
        <w:pStyle w:val="ItemHead"/>
      </w:pPr>
      <w:r w:rsidRPr="00392A4E">
        <w:t>14</w:t>
      </w:r>
      <w:r w:rsidR="002410CC" w:rsidRPr="00392A4E">
        <w:t xml:space="preserve">  Subsection</w:t>
      </w:r>
      <w:r w:rsidR="00392A4E" w:rsidRPr="00392A4E">
        <w:t> </w:t>
      </w:r>
      <w:r w:rsidR="002410CC" w:rsidRPr="00392A4E">
        <w:t>34(3) (formula)</w:t>
      </w:r>
    </w:p>
    <w:p w:rsidR="002410CC" w:rsidRPr="00392A4E" w:rsidRDefault="002410CC" w:rsidP="00392A4E">
      <w:pPr>
        <w:pStyle w:val="Item"/>
      </w:pPr>
      <w:r w:rsidRPr="00392A4E">
        <w:t>Repeal the formula, substitute:</w:t>
      </w:r>
    </w:p>
    <w:p w:rsidR="002410CC" w:rsidRPr="00392A4E" w:rsidRDefault="00874CEF" w:rsidP="00392A4E">
      <w:pPr>
        <w:pStyle w:val="subsection2"/>
      </w:pPr>
      <w:bookmarkStart w:id="13" w:name="BKCheck15B_4"/>
      <w:bookmarkEnd w:id="13"/>
      <w:r>
        <w:rPr>
          <w:position w:val="-40"/>
        </w:rPr>
        <w:pict>
          <v:shape id="_x0000_i1029" type="#_x0000_t75" style="width:191.7pt;height:51.45pt">
            <v:imagedata r:id="rId23" o:title=""/>
          </v:shape>
        </w:pict>
      </w:r>
    </w:p>
    <w:p w:rsidR="002410CC" w:rsidRPr="00392A4E" w:rsidRDefault="0080643A" w:rsidP="00392A4E">
      <w:pPr>
        <w:pStyle w:val="ItemHead"/>
      </w:pPr>
      <w:r w:rsidRPr="00392A4E">
        <w:lastRenderedPageBreak/>
        <w:t>15</w:t>
      </w:r>
      <w:r w:rsidR="000819E8" w:rsidRPr="00392A4E">
        <w:t xml:space="preserve">  Paragraph 35(c</w:t>
      </w:r>
      <w:r w:rsidR="002410CC" w:rsidRPr="00392A4E">
        <w:t>)</w:t>
      </w:r>
    </w:p>
    <w:p w:rsidR="002410CC" w:rsidRPr="00392A4E" w:rsidRDefault="002410CC" w:rsidP="00392A4E">
      <w:pPr>
        <w:pStyle w:val="Item"/>
      </w:pPr>
      <w:r w:rsidRPr="00392A4E">
        <w:t>Omit “low socioeconomic status student”, substitute “socio</w:t>
      </w:r>
      <w:r w:rsidR="00B84F34">
        <w:noBreakHyphen/>
      </w:r>
      <w:r w:rsidRPr="00392A4E">
        <w:t>educational disadvantage”.</w:t>
      </w:r>
    </w:p>
    <w:p w:rsidR="00427858" w:rsidRPr="00392A4E" w:rsidRDefault="0080643A" w:rsidP="00392A4E">
      <w:pPr>
        <w:pStyle w:val="ItemHead"/>
      </w:pPr>
      <w:r w:rsidRPr="00392A4E">
        <w:t>16</w:t>
      </w:r>
      <w:r w:rsidR="00427858" w:rsidRPr="00392A4E">
        <w:t xml:space="preserve">  After section</w:t>
      </w:r>
      <w:r w:rsidR="00392A4E" w:rsidRPr="00392A4E">
        <w:t> </w:t>
      </w:r>
      <w:r w:rsidR="00427858" w:rsidRPr="00392A4E">
        <w:t>35</w:t>
      </w:r>
    </w:p>
    <w:p w:rsidR="00427858" w:rsidRPr="00392A4E" w:rsidRDefault="00427858" w:rsidP="00392A4E">
      <w:pPr>
        <w:pStyle w:val="Item"/>
      </w:pPr>
      <w:r w:rsidRPr="00392A4E">
        <w:t>Insert:</w:t>
      </w:r>
    </w:p>
    <w:p w:rsidR="00427858" w:rsidRPr="00392A4E" w:rsidRDefault="00427858" w:rsidP="00392A4E">
      <w:pPr>
        <w:pStyle w:val="ActHead5"/>
      </w:pPr>
      <w:bookmarkStart w:id="14" w:name="_Toc486412742"/>
      <w:r w:rsidRPr="00392A4E">
        <w:rPr>
          <w:rStyle w:val="CharSectno"/>
        </w:rPr>
        <w:t>35A</w:t>
      </w:r>
      <w:r w:rsidRPr="00392A4E">
        <w:t xml:space="preserve">  Commonwealth share</w:t>
      </w:r>
      <w:bookmarkEnd w:id="14"/>
    </w:p>
    <w:p w:rsidR="00427858" w:rsidRPr="00392A4E" w:rsidRDefault="00427858" w:rsidP="00392A4E">
      <w:pPr>
        <w:pStyle w:val="subsection"/>
      </w:pPr>
      <w:r w:rsidRPr="00392A4E">
        <w:tab/>
      </w:r>
      <w:r w:rsidRPr="00392A4E">
        <w:tab/>
        <w:t xml:space="preserve">Unless the regulations prescribe otherwise, the </w:t>
      </w:r>
      <w:r w:rsidRPr="00392A4E">
        <w:rPr>
          <w:b/>
          <w:i/>
        </w:rPr>
        <w:t>Commonwealth share</w:t>
      </w:r>
      <w:r w:rsidRPr="00392A4E">
        <w:t xml:space="preserve"> for a school for a year (subject to section</w:t>
      </w:r>
      <w:r w:rsidR="00392A4E" w:rsidRPr="00392A4E">
        <w:t> </w:t>
      </w:r>
      <w:r w:rsidRPr="00392A4E">
        <w:t>35B) is:</w:t>
      </w:r>
    </w:p>
    <w:p w:rsidR="00427858" w:rsidRPr="00392A4E" w:rsidRDefault="00427858" w:rsidP="00392A4E">
      <w:pPr>
        <w:pStyle w:val="paragraph"/>
      </w:pPr>
      <w:r w:rsidRPr="00392A4E">
        <w:tab/>
        <w:t>(a)</w:t>
      </w:r>
      <w:r w:rsidRPr="00392A4E">
        <w:tab/>
        <w:t>for a government school—20%; and</w:t>
      </w:r>
    </w:p>
    <w:p w:rsidR="00427858" w:rsidRPr="00392A4E" w:rsidRDefault="00427858" w:rsidP="00392A4E">
      <w:pPr>
        <w:pStyle w:val="paragraph"/>
      </w:pPr>
      <w:r w:rsidRPr="00392A4E">
        <w:tab/>
        <w:t>(b)</w:t>
      </w:r>
      <w:r w:rsidRPr="00392A4E">
        <w:tab/>
        <w:t>for a non</w:t>
      </w:r>
      <w:r w:rsidR="00B84F34">
        <w:noBreakHyphen/>
      </w:r>
      <w:r w:rsidRPr="00392A4E">
        <w:t>government school—80%.</w:t>
      </w:r>
    </w:p>
    <w:p w:rsidR="00427858" w:rsidRPr="00392A4E" w:rsidRDefault="00427858" w:rsidP="00392A4E">
      <w:pPr>
        <w:pStyle w:val="ActHead5"/>
      </w:pPr>
      <w:bookmarkStart w:id="15" w:name="_Toc486412743"/>
      <w:r w:rsidRPr="00392A4E">
        <w:rPr>
          <w:rStyle w:val="CharSectno"/>
        </w:rPr>
        <w:t>35B</w:t>
      </w:r>
      <w:r w:rsidRPr="00392A4E">
        <w:t xml:space="preserve">  Commonwealth share for transitioning schools</w:t>
      </w:r>
      <w:bookmarkEnd w:id="15"/>
    </w:p>
    <w:p w:rsidR="00427858" w:rsidRPr="00392A4E" w:rsidRDefault="00427858" w:rsidP="00392A4E">
      <w:pPr>
        <w:pStyle w:val="subsection"/>
      </w:pPr>
      <w:r w:rsidRPr="00392A4E">
        <w:tab/>
        <w:t>(1)</w:t>
      </w:r>
      <w:r w:rsidRPr="00392A4E">
        <w:tab/>
      </w:r>
      <w:r w:rsidR="00ED5FB5" w:rsidRPr="00392A4E">
        <w:t>T</w:t>
      </w:r>
      <w:r w:rsidRPr="00392A4E">
        <w:t xml:space="preserve">he </w:t>
      </w:r>
      <w:r w:rsidRPr="00392A4E">
        <w:rPr>
          <w:b/>
          <w:i/>
        </w:rPr>
        <w:t>Commonwealth share</w:t>
      </w:r>
      <w:r w:rsidRPr="00392A4E">
        <w:t xml:space="preserve"> for a transitioning school for a transition year </w:t>
      </w:r>
      <w:r w:rsidR="00433E97" w:rsidRPr="00452700">
        <w:t>for the school</w:t>
      </w:r>
      <w:r w:rsidR="00433E97" w:rsidRPr="00392A4E">
        <w:t xml:space="preserve"> </w:t>
      </w:r>
      <w:r w:rsidRPr="00392A4E">
        <w:t xml:space="preserve">is the </w:t>
      </w:r>
      <w:r w:rsidR="007B3F65" w:rsidRPr="00392A4E">
        <w:t xml:space="preserve">percentage worked </w:t>
      </w:r>
      <w:r w:rsidRPr="00392A4E">
        <w:t>out using</w:t>
      </w:r>
      <w:r w:rsidR="007B3F65" w:rsidRPr="00392A4E">
        <w:t xml:space="preserve"> the following formula</w:t>
      </w:r>
      <w:r w:rsidRPr="00392A4E">
        <w:t>:</w:t>
      </w:r>
    </w:p>
    <w:p w:rsidR="00427858" w:rsidRPr="00392A4E" w:rsidRDefault="00874CEF" w:rsidP="00392A4E">
      <w:pPr>
        <w:pStyle w:val="subsection2"/>
      </w:pPr>
      <w:bookmarkStart w:id="16" w:name="BKCheck15B_5"/>
      <w:bookmarkEnd w:id="16"/>
      <w:r>
        <w:rPr>
          <w:position w:val="-46"/>
        </w:rPr>
        <w:pict>
          <v:shape id="_x0000_i1030" type="#_x0000_t75" style="width:302.05pt;height:51.45pt">
            <v:imagedata r:id="rId24" o:title=""/>
          </v:shape>
        </w:pict>
      </w:r>
    </w:p>
    <w:p w:rsidR="00427858" w:rsidRPr="00392A4E" w:rsidRDefault="00427858" w:rsidP="00392A4E">
      <w:pPr>
        <w:pStyle w:val="subsection"/>
      </w:pPr>
      <w:r w:rsidRPr="00392A4E">
        <w:tab/>
        <w:t>(2)</w:t>
      </w:r>
      <w:r w:rsidRPr="00392A4E">
        <w:tab/>
      </w:r>
      <w:r w:rsidR="00D4009B" w:rsidRPr="00392A4E">
        <w:t>Unless the regulations prescribe otherwise, t</w:t>
      </w:r>
      <w:r w:rsidRPr="00392A4E">
        <w:t xml:space="preserve">he </w:t>
      </w:r>
      <w:r w:rsidRPr="00392A4E">
        <w:rPr>
          <w:b/>
          <w:i/>
        </w:rPr>
        <w:t>starting Commonwealth share</w:t>
      </w:r>
      <w:r w:rsidRPr="00392A4E">
        <w:t xml:space="preserve"> is </w:t>
      </w:r>
      <w:r w:rsidR="00EC7CA7" w:rsidRPr="00392A4E">
        <w:t xml:space="preserve">the </w:t>
      </w:r>
      <w:r w:rsidR="00ED5FB5" w:rsidRPr="00392A4E">
        <w:t xml:space="preserve">amount </w:t>
      </w:r>
      <w:r w:rsidRPr="00392A4E">
        <w:t>worked out using the following formula</w:t>
      </w:r>
      <w:r w:rsidR="00ED5FB5" w:rsidRPr="00392A4E">
        <w:t xml:space="preserve"> (expressed as a percentage)</w:t>
      </w:r>
      <w:r w:rsidRPr="00392A4E">
        <w:t>:</w:t>
      </w:r>
    </w:p>
    <w:p w:rsidR="00427858" w:rsidRPr="00392A4E" w:rsidRDefault="00874CEF" w:rsidP="00392A4E">
      <w:pPr>
        <w:pStyle w:val="subsection2"/>
      </w:pPr>
      <w:bookmarkStart w:id="17" w:name="BKCheck15B_6"/>
      <w:bookmarkEnd w:id="17"/>
      <w:r>
        <w:pict>
          <v:shape id="_x0000_i1031" type="#_x0000_t75" style="width:145.85pt;height:58.9pt">
            <v:imagedata r:id="rId25" o:title=""/>
          </v:shape>
        </w:pict>
      </w:r>
    </w:p>
    <w:p w:rsidR="00887BF8" w:rsidRPr="00392A4E" w:rsidRDefault="007B3F65" w:rsidP="00392A4E">
      <w:pPr>
        <w:pStyle w:val="subsection"/>
      </w:pPr>
      <w:r w:rsidRPr="00392A4E">
        <w:tab/>
        <w:t>(3</w:t>
      </w:r>
      <w:r w:rsidR="000C613A" w:rsidRPr="00392A4E">
        <w:t>)</w:t>
      </w:r>
      <w:r w:rsidR="000C613A" w:rsidRPr="00392A4E">
        <w:tab/>
        <w:t xml:space="preserve">The </w:t>
      </w:r>
      <w:r w:rsidR="00887BF8" w:rsidRPr="00392A4E">
        <w:rPr>
          <w:b/>
          <w:i/>
        </w:rPr>
        <w:t>2017</w:t>
      </w:r>
      <w:r w:rsidR="00887BF8" w:rsidRPr="00392A4E">
        <w:t xml:space="preserve"> </w:t>
      </w:r>
      <w:r w:rsidR="000C613A" w:rsidRPr="00392A4E">
        <w:rPr>
          <w:b/>
          <w:i/>
        </w:rPr>
        <w:t>recurrent funding</w:t>
      </w:r>
      <w:r w:rsidRPr="00392A4E">
        <w:t xml:space="preserve"> for the rele</w:t>
      </w:r>
      <w:r w:rsidR="00887BF8" w:rsidRPr="00392A4E">
        <w:t xml:space="preserve">vant approved authority </w:t>
      </w:r>
      <w:r w:rsidR="000C613A" w:rsidRPr="00392A4E">
        <w:t>is</w:t>
      </w:r>
      <w:r w:rsidR="00887BF8" w:rsidRPr="00392A4E">
        <w:t>:</w:t>
      </w:r>
    </w:p>
    <w:p w:rsidR="00887BF8" w:rsidRPr="00392A4E" w:rsidRDefault="00887BF8" w:rsidP="00392A4E">
      <w:pPr>
        <w:pStyle w:val="paragraph"/>
      </w:pPr>
      <w:r w:rsidRPr="00392A4E">
        <w:tab/>
        <w:t>(a)</w:t>
      </w:r>
      <w:r w:rsidRPr="00392A4E">
        <w:tab/>
        <w:t>if financial assistance was payable under Division</w:t>
      </w:r>
      <w:r w:rsidR="00392A4E" w:rsidRPr="00392A4E">
        <w:t> </w:t>
      </w:r>
      <w:r w:rsidRPr="00392A4E">
        <w:t>2 of Part</w:t>
      </w:r>
      <w:r w:rsidR="00392A4E" w:rsidRPr="00392A4E">
        <w:t> </w:t>
      </w:r>
      <w:r w:rsidRPr="00392A4E">
        <w:t>3 for schools of the relevant approved authority for 2017—the sum of the total entitlements for those schools for that year; or</w:t>
      </w:r>
    </w:p>
    <w:p w:rsidR="00887BF8" w:rsidRPr="00392A4E" w:rsidRDefault="00887BF8" w:rsidP="00392A4E">
      <w:pPr>
        <w:pStyle w:val="paragraph"/>
      </w:pPr>
      <w:r w:rsidRPr="00392A4E">
        <w:tab/>
        <w:t>(b)</w:t>
      </w:r>
      <w:r w:rsidRPr="00392A4E">
        <w:tab/>
        <w:t>if financial assistance was payable under Division</w:t>
      </w:r>
      <w:r w:rsidR="00392A4E" w:rsidRPr="00392A4E">
        <w:t> </w:t>
      </w:r>
      <w:r w:rsidRPr="00392A4E">
        <w:t>5 of Part</w:t>
      </w:r>
      <w:r w:rsidR="00392A4E" w:rsidRPr="00392A4E">
        <w:t> </w:t>
      </w:r>
      <w:r w:rsidRPr="00392A4E">
        <w:t>3, or under Part</w:t>
      </w:r>
      <w:r w:rsidR="00392A4E" w:rsidRPr="00392A4E">
        <w:t> </w:t>
      </w:r>
      <w:r w:rsidRPr="00392A4E">
        <w:t xml:space="preserve">4, for schools of the relevant approved authority </w:t>
      </w:r>
      <w:r w:rsidRPr="00392A4E">
        <w:lastRenderedPageBreak/>
        <w:t>for 2017—the relevant approved authority’s total entitlement for that year.</w:t>
      </w:r>
    </w:p>
    <w:p w:rsidR="00A02A60" w:rsidRPr="00392A4E" w:rsidRDefault="00BA1D99" w:rsidP="00392A4E">
      <w:pPr>
        <w:pStyle w:val="subsection"/>
      </w:pPr>
      <w:r w:rsidRPr="00392A4E">
        <w:tab/>
        <w:t>(</w:t>
      </w:r>
      <w:r w:rsidR="00887BF8" w:rsidRPr="00392A4E">
        <w:t>4</w:t>
      </w:r>
      <w:r w:rsidR="00427858" w:rsidRPr="00392A4E">
        <w:t>)</w:t>
      </w:r>
      <w:r w:rsidR="00427858" w:rsidRPr="00392A4E">
        <w:tab/>
        <w:t xml:space="preserve">The </w:t>
      </w:r>
      <w:r w:rsidR="00427858" w:rsidRPr="00392A4E">
        <w:rPr>
          <w:b/>
          <w:i/>
        </w:rPr>
        <w:t>adjusted SRS amount</w:t>
      </w:r>
      <w:r w:rsidR="00427858" w:rsidRPr="00392A4E">
        <w:t xml:space="preserve"> for the relevant approved authority is </w:t>
      </w:r>
      <w:r w:rsidR="00A02A60" w:rsidRPr="00392A4E">
        <w:t xml:space="preserve">the sum of the </w:t>
      </w:r>
      <w:r w:rsidR="00FE76DC" w:rsidRPr="00392A4E">
        <w:t>amounts of financial assistance</w:t>
      </w:r>
      <w:r w:rsidR="00A02A60" w:rsidRPr="00392A4E">
        <w:t xml:space="preserve"> that would be payable under Division</w:t>
      </w:r>
      <w:r w:rsidR="00392A4E" w:rsidRPr="00392A4E">
        <w:t> </w:t>
      </w:r>
      <w:r w:rsidR="00A02A60" w:rsidRPr="00392A4E">
        <w:t>2 of Part</w:t>
      </w:r>
      <w:r w:rsidR="00392A4E" w:rsidRPr="00392A4E">
        <w:t> </w:t>
      </w:r>
      <w:r w:rsidR="00A02A60" w:rsidRPr="00392A4E">
        <w:t>3 for the schools of the relevant approved authority for 2017 if:</w:t>
      </w:r>
    </w:p>
    <w:p w:rsidR="00A02A60" w:rsidRPr="00392A4E" w:rsidRDefault="00A02A60" w:rsidP="00392A4E">
      <w:pPr>
        <w:pStyle w:val="paragraph"/>
      </w:pPr>
      <w:r w:rsidRPr="00392A4E">
        <w:tab/>
        <w:t>(a)</w:t>
      </w:r>
      <w:r w:rsidRPr="00392A4E">
        <w:tab/>
      </w:r>
      <w:r w:rsidR="00FE76DC" w:rsidRPr="00392A4E">
        <w:t>Division</w:t>
      </w:r>
      <w:r w:rsidR="00392A4E" w:rsidRPr="00392A4E">
        <w:t> </w:t>
      </w:r>
      <w:r w:rsidR="00FE76DC" w:rsidRPr="00392A4E">
        <w:t>2 of Part</w:t>
      </w:r>
      <w:r w:rsidR="00392A4E" w:rsidRPr="00392A4E">
        <w:t> </w:t>
      </w:r>
      <w:r w:rsidR="00FE76DC" w:rsidRPr="00392A4E">
        <w:t>3 as in force immediately before the commencement of this paragraph applied for the purposes of working out those amounts</w:t>
      </w:r>
      <w:r w:rsidRPr="00392A4E">
        <w:t>; and</w:t>
      </w:r>
    </w:p>
    <w:p w:rsidR="00427858" w:rsidRPr="00392A4E" w:rsidRDefault="00A02A60" w:rsidP="00392A4E">
      <w:pPr>
        <w:pStyle w:val="paragraph"/>
      </w:pPr>
      <w:r w:rsidRPr="00392A4E">
        <w:tab/>
        <w:t>(b</w:t>
      </w:r>
      <w:r w:rsidR="00427858" w:rsidRPr="00392A4E">
        <w:t>)</w:t>
      </w:r>
      <w:r w:rsidR="00427858" w:rsidRPr="00392A4E">
        <w:tab/>
        <w:t>Divisions</w:t>
      </w:r>
      <w:r w:rsidR="00392A4E" w:rsidRPr="00392A4E">
        <w:t> </w:t>
      </w:r>
      <w:r w:rsidR="00427858" w:rsidRPr="00392A4E">
        <w:t>3 and 4 of Part</w:t>
      </w:r>
      <w:r w:rsidR="00392A4E" w:rsidRPr="00392A4E">
        <w:t> </w:t>
      </w:r>
      <w:r w:rsidR="00427858" w:rsidRPr="00392A4E">
        <w:t>3 as in force immediately after the com</w:t>
      </w:r>
      <w:r w:rsidRPr="00392A4E">
        <w:t>mencement of this</w:t>
      </w:r>
      <w:r w:rsidR="00427858" w:rsidRPr="00392A4E">
        <w:t xml:space="preserve"> paragraph applied in relation to 2017; and</w:t>
      </w:r>
    </w:p>
    <w:p w:rsidR="00C41D00" w:rsidRPr="008C37E9" w:rsidRDefault="00C41D00" w:rsidP="00C41D00">
      <w:pPr>
        <w:pStyle w:val="paragraph"/>
      </w:pPr>
      <w:r w:rsidRPr="008C37E9">
        <w:tab/>
        <w:t>(c)</w:t>
      </w:r>
      <w:r w:rsidRPr="008C37E9">
        <w:tab/>
        <w:t>for the purposes of the operation of paragraphs (a) and (b) in relation to 2017:</w:t>
      </w:r>
    </w:p>
    <w:p w:rsidR="00C41D00" w:rsidRPr="008C37E9" w:rsidRDefault="00C41D00" w:rsidP="00C41D00">
      <w:pPr>
        <w:pStyle w:val="paragraphsub"/>
      </w:pPr>
      <w:r w:rsidRPr="008C37E9">
        <w:tab/>
        <w:t>(</w:t>
      </w:r>
      <w:proofErr w:type="spellStart"/>
      <w:r w:rsidRPr="008C37E9">
        <w:t>i</w:t>
      </w:r>
      <w:proofErr w:type="spellEnd"/>
      <w:r w:rsidRPr="008C37E9">
        <w:t>)</w:t>
      </w:r>
      <w:r w:rsidRPr="008C37E9">
        <w:tab/>
        <w:t>the Commonwealth share for each school were 100%; and</w:t>
      </w:r>
    </w:p>
    <w:p w:rsidR="00C41D00" w:rsidRPr="008C37E9" w:rsidRDefault="00C41D00" w:rsidP="00C41D00">
      <w:pPr>
        <w:pStyle w:val="paragraphsub"/>
      </w:pPr>
      <w:r w:rsidRPr="008C37E9">
        <w:tab/>
        <w:t>(ii)</w:t>
      </w:r>
      <w:r w:rsidRPr="008C37E9">
        <w:tab/>
        <w:t>the SRS funding amount for a primary student were $10,576; and</w:t>
      </w:r>
    </w:p>
    <w:p w:rsidR="00C41D00" w:rsidRPr="008C37E9" w:rsidRDefault="00C41D00" w:rsidP="00C41D00">
      <w:pPr>
        <w:pStyle w:val="paragraphsub"/>
      </w:pPr>
      <w:r w:rsidRPr="008C37E9">
        <w:tab/>
        <w:t>(iii)</w:t>
      </w:r>
      <w:r w:rsidRPr="008C37E9">
        <w:tab/>
        <w:t>the SRS funding amount for a secondary student were $13,290; and</w:t>
      </w:r>
    </w:p>
    <w:p w:rsidR="00C41D00" w:rsidRPr="008C37E9" w:rsidRDefault="00C41D00" w:rsidP="00C41D00">
      <w:pPr>
        <w:pStyle w:val="paragraphsub"/>
      </w:pPr>
      <w:r w:rsidRPr="008C37E9">
        <w:tab/>
        <w:t>(iv)</w:t>
      </w:r>
      <w:r w:rsidRPr="008C37E9">
        <w:tab/>
        <w:t>the SES score for each school were the score for the school for 2018; and</w:t>
      </w:r>
    </w:p>
    <w:p w:rsidR="00C41D00" w:rsidRPr="008C37E9" w:rsidRDefault="00C41D00" w:rsidP="00C41D00">
      <w:pPr>
        <w:pStyle w:val="paragraphsub"/>
      </w:pPr>
      <w:r w:rsidRPr="008C37E9">
        <w:tab/>
        <w:t>(v)</w:t>
      </w:r>
      <w:r w:rsidRPr="008C37E9">
        <w:tab/>
        <w:t>the maximum size loading for a primary school were $166,790; and</w:t>
      </w:r>
    </w:p>
    <w:p w:rsidR="00C41D00" w:rsidRPr="008C37E9" w:rsidRDefault="00C41D00" w:rsidP="00C41D00">
      <w:pPr>
        <w:pStyle w:val="paragraphsub"/>
      </w:pPr>
      <w:r w:rsidRPr="008C37E9">
        <w:tab/>
        <w:t>(vi)</w:t>
      </w:r>
      <w:r w:rsidRPr="008C37E9">
        <w:tab/>
        <w:t>the maximum size loading for a secondary school were $266,864; and</w:t>
      </w:r>
    </w:p>
    <w:p w:rsidR="00C41D00" w:rsidRPr="008C37E9" w:rsidRDefault="00C41D00" w:rsidP="00C41D00">
      <w:pPr>
        <w:pStyle w:val="paragraphsub"/>
      </w:pPr>
      <w:r w:rsidRPr="008C37E9">
        <w:tab/>
        <w:t>(vii)</w:t>
      </w:r>
      <w:r w:rsidRPr="008C37E9">
        <w:tab/>
        <w:t>the starting amount for a primary school were $11,119; and</w:t>
      </w:r>
    </w:p>
    <w:p w:rsidR="00C41D00" w:rsidRPr="008C37E9" w:rsidRDefault="00C41D00" w:rsidP="00C41D00">
      <w:pPr>
        <w:pStyle w:val="paragraphsub"/>
      </w:pPr>
      <w:r w:rsidRPr="008C37E9">
        <w:tab/>
        <w:t>(viii)</w:t>
      </w:r>
      <w:r w:rsidRPr="008C37E9">
        <w:tab/>
        <w:t>the starting amount for a secondary school were $22,239.</w:t>
      </w:r>
    </w:p>
    <w:p w:rsidR="00D4121D" w:rsidRPr="00392A4E" w:rsidRDefault="00A02A60" w:rsidP="00392A4E">
      <w:pPr>
        <w:pStyle w:val="subsection"/>
      </w:pPr>
      <w:r w:rsidRPr="00392A4E">
        <w:tab/>
        <w:t>(5</w:t>
      </w:r>
      <w:r w:rsidR="007B3F65" w:rsidRPr="00392A4E">
        <w:t>)</w:t>
      </w:r>
      <w:r w:rsidR="007B3F65" w:rsidRPr="00392A4E">
        <w:tab/>
        <w:t xml:space="preserve">The </w:t>
      </w:r>
      <w:r w:rsidR="007B3F65" w:rsidRPr="00392A4E">
        <w:rPr>
          <w:b/>
          <w:i/>
        </w:rPr>
        <w:t>relevant approved authority</w:t>
      </w:r>
      <w:r w:rsidR="007B3F65" w:rsidRPr="00392A4E">
        <w:t xml:space="preserve"> is</w:t>
      </w:r>
      <w:r w:rsidR="00D4121D" w:rsidRPr="00392A4E">
        <w:t>:</w:t>
      </w:r>
    </w:p>
    <w:p w:rsidR="007B3F65" w:rsidRPr="00392A4E" w:rsidRDefault="00D4121D" w:rsidP="00392A4E">
      <w:pPr>
        <w:pStyle w:val="paragraph"/>
      </w:pPr>
      <w:r w:rsidRPr="00392A4E">
        <w:tab/>
        <w:t>(a)</w:t>
      </w:r>
      <w:r w:rsidRPr="00392A4E">
        <w:tab/>
        <w:t>for a school for which financial assistance was payable under Part</w:t>
      </w:r>
      <w:r w:rsidR="00392A4E" w:rsidRPr="00392A4E">
        <w:t> </w:t>
      </w:r>
      <w:r w:rsidRPr="00392A4E">
        <w:t>3 or 4 of this Act for 2017—</w:t>
      </w:r>
      <w:r w:rsidR="007B3F65" w:rsidRPr="00392A4E">
        <w:t xml:space="preserve">the </w:t>
      </w:r>
      <w:r w:rsidR="008A1EC6" w:rsidRPr="00392A4E">
        <w:t xml:space="preserve">authority that was the </w:t>
      </w:r>
      <w:r w:rsidR="007B3F65" w:rsidRPr="00392A4E">
        <w:t>approved authority for the transitioning school</w:t>
      </w:r>
      <w:r w:rsidR="008A1EC6" w:rsidRPr="00392A4E">
        <w:t xml:space="preserve"> immediately before the commencement of this subsection</w:t>
      </w:r>
      <w:r w:rsidRPr="00392A4E">
        <w:t>; and</w:t>
      </w:r>
    </w:p>
    <w:p w:rsidR="00D4121D" w:rsidRPr="00392A4E" w:rsidRDefault="00D4121D" w:rsidP="00392A4E">
      <w:pPr>
        <w:pStyle w:val="paragraph"/>
      </w:pPr>
      <w:r w:rsidRPr="00392A4E">
        <w:tab/>
        <w:t>(b)</w:t>
      </w:r>
      <w:r w:rsidRPr="00392A4E">
        <w:tab/>
        <w:t>for a school prescribed as a transitioning school by the regulations—the authority prescribed by the regulations.</w:t>
      </w:r>
    </w:p>
    <w:p w:rsidR="003509BB" w:rsidRPr="00392A4E" w:rsidRDefault="003509BB" w:rsidP="00392A4E">
      <w:pPr>
        <w:pStyle w:val="subsection"/>
      </w:pPr>
      <w:r w:rsidRPr="00392A4E">
        <w:lastRenderedPageBreak/>
        <w:tab/>
        <w:t>(6)</w:t>
      </w:r>
      <w:r w:rsidRPr="00392A4E">
        <w:tab/>
        <w:t xml:space="preserve">The </w:t>
      </w:r>
      <w:r w:rsidRPr="00392A4E">
        <w:rPr>
          <w:b/>
          <w:i/>
        </w:rPr>
        <w:t>final Commonwealth share</w:t>
      </w:r>
      <w:r w:rsidRPr="00392A4E">
        <w:t xml:space="preserve"> is:</w:t>
      </w:r>
    </w:p>
    <w:p w:rsidR="003509BB" w:rsidRPr="00392A4E" w:rsidRDefault="003509BB" w:rsidP="00392A4E">
      <w:pPr>
        <w:pStyle w:val="paragraph"/>
      </w:pPr>
      <w:r w:rsidRPr="00392A4E">
        <w:tab/>
        <w:t>(a)</w:t>
      </w:r>
      <w:r w:rsidRPr="00392A4E">
        <w:tab/>
        <w:t xml:space="preserve">unless a percentage is prescribed under </w:t>
      </w:r>
      <w:r w:rsidR="00392A4E" w:rsidRPr="00392A4E">
        <w:t>paragraph (</w:t>
      </w:r>
      <w:r w:rsidRPr="00392A4E">
        <w:t xml:space="preserve">b)—the percentage that </w:t>
      </w:r>
      <w:r w:rsidR="009A0735" w:rsidRPr="00392A4E">
        <w:t>would be the Commonwealth share if the school was not a transitioning school</w:t>
      </w:r>
      <w:r w:rsidRPr="00392A4E">
        <w:t>; or</w:t>
      </w:r>
    </w:p>
    <w:p w:rsidR="003509BB" w:rsidRPr="00392A4E" w:rsidRDefault="003509BB" w:rsidP="00392A4E">
      <w:pPr>
        <w:pStyle w:val="paragraph"/>
      </w:pPr>
      <w:r w:rsidRPr="00392A4E">
        <w:tab/>
        <w:t>(b)</w:t>
      </w:r>
      <w:r w:rsidRPr="00392A4E">
        <w:tab/>
        <w:t>the percentage prescribed by the regulations.</w:t>
      </w:r>
    </w:p>
    <w:p w:rsidR="009A0735" w:rsidRPr="00392A4E" w:rsidRDefault="009A0735" w:rsidP="00392A4E">
      <w:pPr>
        <w:pStyle w:val="notetext"/>
      </w:pPr>
      <w:r w:rsidRPr="00392A4E">
        <w:t>Note:</w:t>
      </w:r>
      <w:r w:rsidRPr="00392A4E">
        <w:tab/>
        <w:t xml:space="preserve">For </w:t>
      </w:r>
      <w:r w:rsidR="00392A4E" w:rsidRPr="00392A4E">
        <w:t>paragraph (</w:t>
      </w:r>
      <w:r w:rsidRPr="00392A4E">
        <w:t>a), see section</w:t>
      </w:r>
      <w:r w:rsidR="00392A4E" w:rsidRPr="00392A4E">
        <w:t> </w:t>
      </w:r>
      <w:r w:rsidRPr="00392A4E">
        <w:t>35A.</w:t>
      </w:r>
    </w:p>
    <w:p w:rsidR="00427858" w:rsidRPr="00392A4E" w:rsidRDefault="00BA1D99" w:rsidP="00392A4E">
      <w:pPr>
        <w:pStyle w:val="subsection"/>
      </w:pPr>
      <w:r w:rsidRPr="00392A4E">
        <w:tab/>
        <w:t>(7</w:t>
      </w:r>
      <w:r w:rsidR="00427858" w:rsidRPr="00392A4E">
        <w:t>)</w:t>
      </w:r>
      <w:r w:rsidR="00427858" w:rsidRPr="00392A4E">
        <w:tab/>
      </w:r>
      <w:r w:rsidR="00EC7CA7" w:rsidRPr="00392A4E">
        <w:t>Unless the regulations otherwise provide, t</w:t>
      </w:r>
      <w:r w:rsidR="00427858" w:rsidRPr="00392A4E">
        <w:t xml:space="preserve">he </w:t>
      </w:r>
      <w:r w:rsidR="00427858" w:rsidRPr="00392A4E">
        <w:rPr>
          <w:b/>
          <w:i/>
        </w:rPr>
        <w:t>transition rate</w:t>
      </w:r>
      <w:r w:rsidR="00C41D00">
        <w:rPr>
          <w:b/>
          <w:i/>
        </w:rPr>
        <w:t xml:space="preserve"> </w:t>
      </w:r>
      <w:r w:rsidR="00C41D00" w:rsidRPr="00452700">
        <w:t>for a school other than a 6</w:t>
      </w:r>
      <w:r w:rsidR="00C41D00">
        <w:noBreakHyphen/>
      </w:r>
      <w:r w:rsidR="00C41D00" w:rsidRPr="00452700">
        <w:t>year transitioning school</w:t>
      </w:r>
      <w:r w:rsidR="00427858" w:rsidRPr="00392A4E">
        <w:t>:</w:t>
      </w:r>
    </w:p>
    <w:p w:rsidR="00427858" w:rsidRPr="00392A4E" w:rsidRDefault="00427858" w:rsidP="00392A4E">
      <w:pPr>
        <w:pStyle w:val="paragraph"/>
      </w:pPr>
      <w:r w:rsidRPr="00392A4E">
        <w:tab/>
        <w:t>(a)</w:t>
      </w:r>
      <w:r w:rsidRPr="00392A4E">
        <w:tab/>
        <w:t xml:space="preserve">for the transition year 2018 is </w:t>
      </w:r>
      <w:r w:rsidR="00A02A60" w:rsidRPr="00392A4E">
        <w:t>10%</w:t>
      </w:r>
      <w:r w:rsidRPr="00392A4E">
        <w:t>; and</w:t>
      </w:r>
    </w:p>
    <w:p w:rsidR="00427858" w:rsidRDefault="00427858" w:rsidP="00392A4E">
      <w:pPr>
        <w:pStyle w:val="paragraph"/>
      </w:pPr>
      <w:r w:rsidRPr="00392A4E">
        <w:tab/>
        <w:t>(b)</w:t>
      </w:r>
      <w:r w:rsidRPr="00392A4E">
        <w:tab/>
        <w:t xml:space="preserve">for each later transition year is the transition rate for the previous transition </w:t>
      </w:r>
      <w:r w:rsidR="006B2AFA" w:rsidRPr="00392A4E">
        <w:t xml:space="preserve">year </w:t>
      </w:r>
      <w:r w:rsidRPr="00392A4E">
        <w:t xml:space="preserve">increased by </w:t>
      </w:r>
      <w:r w:rsidR="00A02A60" w:rsidRPr="00392A4E">
        <w:t>1</w:t>
      </w:r>
      <w:r w:rsidR="009351DC" w:rsidRPr="00392A4E">
        <w:t>0</w:t>
      </w:r>
      <w:r w:rsidR="009A0735" w:rsidRPr="00392A4E">
        <w:t xml:space="preserve"> percentage points</w:t>
      </w:r>
      <w:r w:rsidRPr="00392A4E">
        <w:t>.</w:t>
      </w:r>
    </w:p>
    <w:p w:rsidR="00C41D00" w:rsidRPr="00452700" w:rsidRDefault="00C41D00" w:rsidP="00C41D00">
      <w:pPr>
        <w:pStyle w:val="subsection"/>
      </w:pPr>
      <w:r w:rsidRPr="00452700">
        <w:tab/>
        <w:t>(7A)</w:t>
      </w:r>
      <w:r w:rsidRPr="00452700">
        <w:tab/>
        <w:t xml:space="preserve">Unless the regulations otherwise provide, the </w:t>
      </w:r>
      <w:r w:rsidRPr="00452700">
        <w:rPr>
          <w:b/>
          <w:i/>
        </w:rPr>
        <w:t>transition rate</w:t>
      </w:r>
      <w:r w:rsidRPr="00452700">
        <w:t xml:space="preserve"> for a 6</w:t>
      </w:r>
      <w:r>
        <w:noBreakHyphen/>
      </w:r>
      <w:r w:rsidRPr="00452700">
        <w:t>year transitioning school:</w:t>
      </w:r>
    </w:p>
    <w:p w:rsidR="00C41D00" w:rsidRPr="00452700" w:rsidRDefault="00C41D00" w:rsidP="00C41D00">
      <w:pPr>
        <w:pStyle w:val="paragraph"/>
      </w:pPr>
      <w:r w:rsidRPr="00452700">
        <w:tab/>
        <w:t>(a)</w:t>
      </w:r>
      <w:r w:rsidRPr="00452700">
        <w:tab/>
        <w:t>for the transition year 2018 is 16.67%; and</w:t>
      </w:r>
    </w:p>
    <w:p w:rsidR="00C41D00" w:rsidRPr="00452700" w:rsidRDefault="00C41D00" w:rsidP="00C41D00">
      <w:pPr>
        <w:pStyle w:val="paragraph"/>
      </w:pPr>
      <w:r w:rsidRPr="00452700">
        <w:tab/>
        <w:t>(b)</w:t>
      </w:r>
      <w:r w:rsidRPr="00452700">
        <w:tab/>
        <w:t>for each transition year from 2019 to 2022 (inclusive) is the transition rate for the previous year increased by 16.67 percentage points; and</w:t>
      </w:r>
    </w:p>
    <w:p w:rsidR="00C41D00" w:rsidRPr="00452700" w:rsidRDefault="00C41D00" w:rsidP="00C41D00">
      <w:pPr>
        <w:pStyle w:val="paragraph"/>
      </w:pPr>
      <w:r w:rsidRPr="00452700">
        <w:tab/>
        <w:t>(c)</w:t>
      </w:r>
      <w:r w:rsidRPr="00452700">
        <w:tab/>
        <w:t>for the transition year 2023 is 100%.</w:t>
      </w:r>
    </w:p>
    <w:p w:rsidR="00EC7CA7" w:rsidRPr="00392A4E" w:rsidRDefault="00EC7CA7" w:rsidP="00392A4E">
      <w:pPr>
        <w:pStyle w:val="subsection"/>
      </w:pPr>
      <w:r w:rsidRPr="00392A4E">
        <w:tab/>
        <w:t>(8)</w:t>
      </w:r>
      <w:r w:rsidRPr="00392A4E">
        <w:tab/>
        <w:t xml:space="preserve">The regulations may prescribe a </w:t>
      </w:r>
      <w:r w:rsidRPr="00392A4E">
        <w:rPr>
          <w:b/>
          <w:i/>
        </w:rPr>
        <w:t>transition rate</w:t>
      </w:r>
      <w:r w:rsidRPr="00392A4E">
        <w:t xml:space="preserve"> for a transition year </w:t>
      </w:r>
      <w:r w:rsidR="00C41D00" w:rsidRPr="00452700">
        <w:t>for a school</w:t>
      </w:r>
      <w:r w:rsidR="00C41D00" w:rsidRPr="00392A4E">
        <w:t xml:space="preserve"> </w:t>
      </w:r>
      <w:r w:rsidRPr="00392A4E">
        <w:t>that is:</w:t>
      </w:r>
    </w:p>
    <w:p w:rsidR="00EC7CA7" w:rsidRPr="00392A4E" w:rsidRDefault="00EC7CA7" w:rsidP="00392A4E">
      <w:pPr>
        <w:pStyle w:val="paragraph"/>
      </w:pPr>
      <w:r w:rsidRPr="00392A4E">
        <w:tab/>
        <w:t>(a)</w:t>
      </w:r>
      <w:r w:rsidRPr="00392A4E">
        <w:tab/>
        <w:t xml:space="preserve">more than the rate that would apply for the year under </w:t>
      </w:r>
      <w:r w:rsidR="00392A4E" w:rsidRPr="00392A4E">
        <w:t>subsection (</w:t>
      </w:r>
      <w:r w:rsidRPr="00392A4E">
        <w:t xml:space="preserve">7) </w:t>
      </w:r>
      <w:r w:rsidR="00C41D00" w:rsidRPr="00452700">
        <w:t>or (7A)</w:t>
      </w:r>
      <w:r w:rsidR="00C41D00">
        <w:t xml:space="preserve"> </w:t>
      </w:r>
      <w:r w:rsidRPr="00392A4E">
        <w:t>if no regulations had been made for the purposes of this subsection; and</w:t>
      </w:r>
    </w:p>
    <w:p w:rsidR="00EC7CA7" w:rsidRPr="00392A4E" w:rsidRDefault="00EC7CA7" w:rsidP="00392A4E">
      <w:pPr>
        <w:pStyle w:val="paragraph"/>
      </w:pPr>
      <w:r w:rsidRPr="00392A4E">
        <w:tab/>
        <w:t>(b)</w:t>
      </w:r>
      <w:r w:rsidRPr="00392A4E">
        <w:tab/>
        <w:t>no more than 100%.</w:t>
      </w:r>
    </w:p>
    <w:p w:rsidR="002410CC" w:rsidRPr="00392A4E" w:rsidRDefault="0080643A" w:rsidP="00392A4E">
      <w:pPr>
        <w:pStyle w:val="ItemHead"/>
      </w:pPr>
      <w:r w:rsidRPr="00392A4E">
        <w:t>17</w:t>
      </w:r>
      <w:r w:rsidR="002410CC" w:rsidRPr="00392A4E">
        <w:t xml:space="preserve">  Section</w:t>
      </w:r>
      <w:r w:rsidR="00392A4E" w:rsidRPr="00392A4E">
        <w:t> </w:t>
      </w:r>
      <w:r w:rsidR="002410CC" w:rsidRPr="00392A4E">
        <w:t>36</w:t>
      </w:r>
    </w:p>
    <w:p w:rsidR="002410CC" w:rsidRPr="00392A4E" w:rsidRDefault="003509BB" w:rsidP="00392A4E">
      <w:pPr>
        <w:pStyle w:val="Item"/>
      </w:pPr>
      <w:r w:rsidRPr="00392A4E">
        <w:t>Repeal the section</w:t>
      </w:r>
      <w:r w:rsidR="002410CC" w:rsidRPr="00392A4E">
        <w:t>, substitute:</w:t>
      </w:r>
    </w:p>
    <w:p w:rsidR="003509BB" w:rsidRPr="00392A4E" w:rsidRDefault="003509BB" w:rsidP="00392A4E">
      <w:pPr>
        <w:pStyle w:val="ActHead5"/>
      </w:pPr>
      <w:bookmarkStart w:id="18" w:name="_Toc486412744"/>
      <w:r w:rsidRPr="00392A4E">
        <w:rPr>
          <w:rStyle w:val="CharSectno"/>
        </w:rPr>
        <w:t>36</w:t>
      </w:r>
      <w:r w:rsidRPr="00392A4E">
        <w:t xml:space="preserve">  Student with disability loading</w:t>
      </w:r>
      <w:bookmarkEnd w:id="18"/>
    </w:p>
    <w:p w:rsidR="002410CC" w:rsidRPr="00392A4E" w:rsidRDefault="002410CC" w:rsidP="00392A4E">
      <w:pPr>
        <w:pStyle w:val="subsection"/>
      </w:pPr>
      <w:r w:rsidRPr="00392A4E">
        <w:tab/>
        <w:t>(1)</w:t>
      </w:r>
      <w:r w:rsidRPr="00392A4E">
        <w:tab/>
        <w:t xml:space="preserve">A school’s </w:t>
      </w:r>
      <w:r w:rsidRPr="00392A4E">
        <w:rPr>
          <w:b/>
          <w:i/>
        </w:rPr>
        <w:t xml:space="preserve">student with disability loading </w:t>
      </w:r>
      <w:r w:rsidRPr="00392A4E">
        <w:t>for a year is the sum of the following:</w:t>
      </w:r>
    </w:p>
    <w:p w:rsidR="002410CC" w:rsidRPr="00392A4E" w:rsidRDefault="002410CC" w:rsidP="00392A4E">
      <w:pPr>
        <w:pStyle w:val="paragraph"/>
      </w:pPr>
      <w:r w:rsidRPr="00392A4E">
        <w:tab/>
        <w:t>(a)</w:t>
      </w:r>
      <w:r w:rsidRPr="00392A4E">
        <w:tab/>
        <w:t>the school’s supplementary disability loading for the year;</w:t>
      </w:r>
    </w:p>
    <w:p w:rsidR="002410CC" w:rsidRPr="00392A4E" w:rsidRDefault="002410CC" w:rsidP="00392A4E">
      <w:pPr>
        <w:pStyle w:val="paragraph"/>
      </w:pPr>
      <w:r w:rsidRPr="00392A4E">
        <w:tab/>
        <w:t>(b)</w:t>
      </w:r>
      <w:r w:rsidRPr="00392A4E">
        <w:tab/>
        <w:t>the school’s substantial disability loading for the year;</w:t>
      </w:r>
    </w:p>
    <w:p w:rsidR="002410CC" w:rsidRPr="00392A4E" w:rsidRDefault="002410CC" w:rsidP="00392A4E">
      <w:pPr>
        <w:pStyle w:val="paragraph"/>
      </w:pPr>
      <w:r w:rsidRPr="00392A4E">
        <w:tab/>
        <w:t>(c)</w:t>
      </w:r>
      <w:r w:rsidRPr="00392A4E">
        <w:tab/>
        <w:t>the school’s extensive disability loading for the year.</w:t>
      </w:r>
    </w:p>
    <w:p w:rsidR="002410CC" w:rsidRPr="00392A4E" w:rsidRDefault="002410CC" w:rsidP="00392A4E">
      <w:pPr>
        <w:pStyle w:val="subsection"/>
      </w:pPr>
      <w:r w:rsidRPr="00392A4E">
        <w:lastRenderedPageBreak/>
        <w:tab/>
        <w:t>(2)</w:t>
      </w:r>
      <w:r w:rsidRPr="00392A4E">
        <w:tab/>
        <w:t xml:space="preserve">The school’s </w:t>
      </w:r>
      <w:r w:rsidRPr="00392A4E">
        <w:rPr>
          <w:b/>
          <w:i/>
        </w:rPr>
        <w:t>supplementary disability loading</w:t>
      </w:r>
      <w:r w:rsidRPr="00392A4E">
        <w:t xml:space="preserve"> for the year is the amount worked out using the following formula:</w:t>
      </w:r>
    </w:p>
    <w:p w:rsidR="002410CC" w:rsidRPr="00392A4E" w:rsidRDefault="00874CEF" w:rsidP="00392A4E">
      <w:pPr>
        <w:pStyle w:val="subsection2"/>
      </w:pPr>
      <w:bookmarkStart w:id="19" w:name="BKCheck15B_7"/>
      <w:bookmarkEnd w:id="19"/>
      <w:r>
        <w:rPr>
          <w:position w:val="-50"/>
        </w:rPr>
        <w:pict>
          <v:shape id="_x0000_i1032" type="#_x0000_t75" style="width:267.45pt;height:60.8pt">
            <v:imagedata r:id="rId26" o:title=""/>
          </v:shape>
        </w:pict>
      </w:r>
    </w:p>
    <w:p w:rsidR="002410CC" w:rsidRPr="00392A4E" w:rsidRDefault="002410CC" w:rsidP="00392A4E">
      <w:pPr>
        <w:pStyle w:val="subsection"/>
      </w:pPr>
      <w:r w:rsidRPr="00392A4E">
        <w:tab/>
        <w:t>(3)</w:t>
      </w:r>
      <w:r w:rsidRPr="00392A4E">
        <w:tab/>
        <w:t xml:space="preserve">The school’s </w:t>
      </w:r>
      <w:r w:rsidRPr="00392A4E">
        <w:rPr>
          <w:b/>
          <w:i/>
        </w:rPr>
        <w:t>substantial</w:t>
      </w:r>
      <w:r w:rsidRPr="00392A4E">
        <w:t xml:space="preserve"> </w:t>
      </w:r>
      <w:r w:rsidRPr="00392A4E">
        <w:rPr>
          <w:b/>
          <w:i/>
        </w:rPr>
        <w:t>disability loading</w:t>
      </w:r>
      <w:r w:rsidRPr="00392A4E">
        <w:t xml:space="preserve"> for the year is the amount worked out using the following formula:</w:t>
      </w:r>
    </w:p>
    <w:p w:rsidR="002410CC" w:rsidRPr="00392A4E" w:rsidRDefault="00874CEF" w:rsidP="00392A4E">
      <w:pPr>
        <w:pStyle w:val="subsection2"/>
      </w:pPr>
      <w:bookmarkStart w:id="20" w:name="BKCheck15B_8"/>
      <w:bookmarkEnd w:id="20"/>
      <w:r>
        <w:rPr>
          <w:position w:val="-50"/>
        </w:rPr>
        <w:pict>
          <v:shape id="_x0000_i1033" type="#_x0000_t75" style="width:260.9pt;height:60.8pt">
            <v:imagedata r:id="rId27" o:title=""/>
          </v:shape>
        </w:pict>
      </w:r>
    </w:p>
    <w:p w:rsidR="002410CC" w:rsidRPr="00392A4E" w:rsidRDefault="002410CC" w:rsidP="00392A4E">
      <w:pPr>
        <w:pStyle w:val="subsection"/>
      </w:pPr>
      <w:r w:rsidRPr="00392A4E">
        <w:tab/>
        <w:t>(4)</w:t>
      </w:r>
      <w:r w:rsidRPr="00392A4E">
        <w:tab/>
        <w:t xml:space="preserve">The school’s </w:t>
      </w:r>
      <w:r w:rsidRPr="00392A4E">
        <w:rPr>
          <w:b/>
          <w:i/>
        </w:rPr>
        <w:t>extensive</w:t>
      </w:r>
      <w:r w:rsidRPr="00392A4E">
        <w:t xml:space="preserve"> </w:t>
      </w:r>
      <w:r w:rsidRPr="00392A4E">
        <w:rPr>
          <w:b/>
          <w:i/>
        </w:rPr>
        <w:t>disability loading</w:t>
      </w:r>
      <w:r w:rsidRPr="00392A4E">
        <w:t xml:space="preserve"> for the year is the amount worked out using the following formula:</w:t>
      </w:r>
    </w:p>
    <w:p w:rsidR="002410CC" w:rsidRPr="00392A4E" w:rsidRDefault="00874CEF" w:rsidP="00392A4E">
      <w:pPr>
        <w:pStyle w:val="subsection2"/>
      </w:pPr>
      <w:bookmarkStart w:id="21" w:name="BKCheck15B_9"/>
      <w:bookmarkEnd w:id="21"/>
      <w:r>
        <w:rPr>
          <w:position w:val="-50"/>
        </w:rPr>
        <w:pict>
          <v:shape id="_x0000_i1034" type="#_x0000_t75" style="width:261.8pt;height:60.8pt">
            <v:imagedata r:id="rId28" o:title=""/>
          </v:shape>
        </w:pict>
      </w:r>
    </w:p>
    <w:p w:rsidR="002410CC" w:rsidRPr="00392A4E" w:rsidRDefault="002410CC" w:rsidP="00392A4E">
      <w:pPr>
        <w:pStyle w:val="subsection"/>
      </w:pPr>
      <w:r w:rsidRPr="00392A4E">
        <w:tab/>
        <w:t>(5)</w:t>
      </w:r>
      <w:r w:rsidRPr="00392A4E">
        <w:tab/>
        <w:t xml:space="preserve">The </w:t>
      </w:r>
      <w:r w:rsidRPr="00392A4E">
        <w:rPr>
          <w:b/>
          <w:i/>
        </w:rPr>
        <w:t>supplementary</w:t>
      </w:r>
      <w:r w:rsidRPr="00392A4E">
        <w:t xml:space="preserve"> </w:t>
      </w:r>
      <w:r w:rsidRPr="00392A4E">
        <w:rPr>
          <w:b/>
          <w:i/>
        </w:rPr>
        <w:t>disability loading percentage,</w:t>
      </w:r>
      <w:r w:rsidRPr="00392A4E">
        <w:t xml:space="preserve"> the </w:t>
      </w:r>
      <w:r w:rsidRPr="00392A4E">
        <w:rPr>
          <w:b/>
          <w:i/>
        </w:rPr>
        <w:t>substantial</w:t>
      </w:r>
      <w:r w:rsidRPr="00392A4E">
        <w:t xml:space="preserve"> </w:t>
      </w:r>
      <w:r w:rsidRPr="00392A4E">
        <w:rPr>
          <w:b/>
          <w:i/>
        </w:rPr>
        <w:t>disability loading percentage</w:t>
      </w:r>
      <w:r w:rsidRPr="00392A4E">
        <w:t xml:space="preserve"> and the </w:t>
      </w:r>
      <w:r w:rsidRPr="00392A4E">
        <w:rPr>
          <w:b/>
          <w:i/>
        </w:rPr>
        <w:t>extensive</w:t>
      </w:r>
      <w:r w:rsidRPr="00392A4E">
        <w:t xml:space="preserve"> </w:t>
      </w:r>
      <w:r w:rsidRPr="00392A4E">
        <w:rPr>
          <w:b/>
          <w:i/>
        </w:rPr>
        <w:t>disability loading percentage</w:t>
      </w:r>
      <w:r w:rsidRPr="00392A4E">
        <w:t xml:space="preserve"> are those percentages as prescribed for the school for the year by the regulations.</w:t>
      </w:r>
    </w:p>
    <w:p w:rsidR="002410CC" w:rsidRPr="00392A4E" w:rsidRDefault="002410CC" w:rsidP="00392A4E">
      <w:pPr>
        <w:pStyle w:val="subsection"/>
      </w:pPr>
      <w:r w:rsidRPr="00392A4E">
        <w:tab/>
        <w:t>(6)</w:t>
      </w:r>
      <w:r w:rsidRPr="00392A4E">
        <w:tab/>
        <w:t xml:space="preserve">The number of students classified as needing a </w:t>
      </w:r>
      <w:r w:rsidRPr="00392A4E">
        <w:rPr>
          <w:b/>
          <w:i/>
        </w:rPr>
        <w:t>supplementary level of adjustment</w:t>
      </w:r>
      <w:r w:rsidRPr="00392A4E">
        <w:t xml:space="preserve">, a </w:t>
      </w:r>
      <w:r w:rsidRPr="00392A4E">
        <w:rPr>
          <w:b/>
          <w:i/>
        </w:rPr>
        <w:t>substantial level of adjustment</w:t>
      </w:r>
      <w:r w:rsidRPr="00392A4E">
        <w:t xml:space="preserve"> or an </w:t>
      </w:r>
      <w:r w:rsidRPr="00392A4E">
        <w:rPr>
          <w:b/>
          <w:i/>
        </w:rPr>
        <w:t>extensive level of adjustment</w:t>
      </w:r>
      <w:r w:rsidRPr="00392A4E">
        <w:t xml:space="preserve"> are the numbers of those students, so classified in accordance with the regulations, </w:t>
      </w:r>
      <w:r w:rsidR="00533294" w:rsidRPr="00392A4E">
        <w:t>at the school</w:t>
      </w:r>
      <w:r w:rsidRPr="00392A4E">
        <w:t xml:space="preserve"> for the year.</w:t>
      </w:r>
    </w:p>
    <w:p w:rsidR="002410CC" w:rsidRPr="00392A4E" w:rsidRDefault="0080643A" w:rsidP="00392A4E">
      <w:pPr>
        <w:pStyle w:val="ItemHead"/>
      </w:pPr>
      <w:r w:rsidRPr="00392A4E">
        <w:t>18</w:t>
      </w:r>
      <w:r w:rsidR="002410CC" w:rsidRPr="00392A4E">
        <w:t xml:space="preserve">  Section</w:t>
      </w:r>
      <w:r w:rsidR="00392A4E" w:rsidRPr="00392A4E">
        <w:t> </w:t>
      </w:r>
      <w:r w:rsidR="002410CC" w:rsidRPr="00392A4E">
        <w:t>38 (heading)</w:t>
      </w:r>
    </w:p>
    <w:p w:rsidR="002410CC" w:rsidRPr="00392A4E" w:rsidRDefault="002410CC" w:rsidP="00392A4E">
      <w:pPr>
        <w:pStyle w:val="Item"/>
      </w:pPr>
      <w:r w:rsidRPr="00392A4E">
        <w:t>Repeal the heading, substitute:</w:t>
      </w:r>
    </w:p>
    <w:p w:rsidR="002410CC" w:rsidRPr="00392A4E" w:rsidRDefault="002410CC" w:rsidP="00392A4E">
      <w:pPr>
        <w:pStyle w:val="ActHead5"/>
      </w:pPr>
      <w:bookmarkStart w:id="22" w:name="_Toc486412745"/>
      <w:r w:rsidRPr="00392A4E">
        <w:rPr>
          <w:rStyle w:val="CharSectno"/>
        </w:rPr>
        <w:lastRenderedPageBreak/>
        <w:t>38</w:t>
      </w:r>
      <w:r w:rsidRPr="00392A4E">
        <w:t xml:space="preserve">  </w:t>
      </w:r>
      <w:r w:rsidR="00C57592" w:rsidRPr="00392A4E">
        <w:t>S</w:t>
      </w:r>
      <w:r w:rsidRPr="00392A4E">
        <w:t>ocio</w:t>
      </w:r>
      <w:r w:rsidR="00B84F34">
        <w:noBreakHyphen/>
      </w:r>
      <w:r w:rsidRPr="00392A4E">
        <w:t>educational disadvantage loading</w:t>
      </w:r>
      <w:bookmarkEnd w:id="22"/>
    </w:p>
    <w:p w:rsidR="000819E8" w:rsidRPr="00392A4E" w:rsidRDefault="0080643A" w:rsidP="00392A4E">
      <w:pPr>
        <w:pStyle w:val="ItemHead"/>
      </w:pPr>
      <w:r w:rsidRPr="00392A4E">
        <w:t>19</w:t>
      </w:r>
      <w:r w:rsidR="000819E8" w:rsidRPr="00392A4E">
        <w:t xml:space="preserve">  Subsection</w:t>
      </w:r>
      <w:r w:rsidR="00392A4E" w:rsidRPr="00392A4E">
        <w:t> </w:t>
      </w:r>
      <w:r w:rsidR="000819E8" w:rsidRPr="00392A4E">
        <w:t>38(1)</w:t>
      </w:r>
    </w:p>
    <w:p w:rsidR="000819E8" w:rsidRPr="00392A4E" w:rsidRDefault="000819E8" w:rsidP="00392A4E">
      <w:pPr>
        <w:pStyle w:val="Item"/>
      </w:pPr>
      <w:r w:rsidRPr="00392A4E">
        <w:t>Omit “</w:t>
      </w:r>
      <w:r w:rsidRPr="00392A4E">
        <w:rPr>
          <w:b/>
          <w:i/>
        </w:rPr>
        <w:t>low socioeconomic status student</w:t>
      </w:r>
      <w:r w:rsidRPr="00392A4E">
        <w:t>”, substitute “</w:t>
      </w:r>
      <w:r w:rsidRPr="00392A4E">
        <w:rPr>
          <w:b/>
          <w:i/>
        </w:rPr>
        <w:t>socio</w:t>
      </w:r>
      <w:r w:rsidR="00B84F34">
        <w:rPr>
          <w:b/>
          <w:i/>
        </w:rPr>
        <w:noBreakHyphen/>
      </w:r>
      <w:r w:rsidRPr="00392A4E">
        <w:rPr>
          <w:b/>
          <w:i/>
        </w:rPr>
        <w:t>educational disadvantage</w:t>
      </w:r>
      <w:r w:rsidRPr="00392A4E">
        <w:t>”.</w:t>
      </w:r>
    </w:p>
    <w:p w:rsidR="00EC7CA7" w:rsidRPr="00392A4E" w:rsidRDefault="0080643A" w:rsidP="00392A4E">
      <w:pPr>
        <w:pStyle w:val="ItemHead"/>
      </w:pPr>
      <w:r w:rsidRPr="00392A4E">
        <w:t>20</w:t>
      </w:r>
      <w:r w:rsidR="00EC7CA7" w:rsidRPr="00392A4E">
        <w:t xml:space="preserve">  Paragraph 44(1)(a)</w:t>
      </w:r>
    </w:p>
    <w:p w:rsidR="00EC7CA7" w:rsidRPr="00392A4E" w:rsidRDefault="00EC7CA7" w:rsidP="00392A4E">
      <w:pPr>
        <w:pStyle w:val="Item"/>
      </w:pPr>
      <w:r w:rsidRPr="00392A4E">
        <w:t>Omit “2014—$150,000”, substitute “2018—$172,7</w:t>
      </w:r>
      <w:r w:rsidR="009423CE" w:rsidRPr="00392A4E">
        <w:t>28</w:t>
      </w:r>
      <w:r w:rsidRPr="00392A4E">
        <w:t>”.</w:t>
      </w:r>
    </w:p>
    <w:p w:rsidR="00EC7CA7" w:rsidRPr="00392A4E" w:rsidRDefault="0080643A" w:rsidP="00392A4E">
      <w:pPr>
        <w:pStyle w:val="ItemHead"/>
      </w:pPr>
      <w:r w:rsidRPr="00392A4E">
        <w:t>21</w:t>
      </w:r>
      <w:r w:rsidR="00EC7CA7" w:rsidRPr="00392A4E">
        <w:t xml:space="preserve">  Paragraph 44(1)(b)</w:t>
      </w:r>
    </w:p>
    <w:p w:rsidR="00EC7CA7" w:rsidRPr="00392A4E" w:rsidRDefault="00EC7CA7" w:rsidP="00392A4E">
      <w:pPr>
        <w:pStyle w:val="Item"/>
      </w:pPr>
      <w:r w:rsidRPr="00392A4E">
        <w:t>Omit “2014—$240,000”, substitute “2018—$276,</w:t>
      </w:r>
      <w:r w:rsidR="009423CE" w:rsidRPr="00392A4E">
        <w:t>365</w:t>
      </w:r>
      <w:r w:rsidRPr="00392A4E">
        <w:t>”.</w:t>
      </w:r>
    </w:p>
    <w:p w:rsidR="0059762B" w:rsidRPr="00392A4E" w:rsidRDefault="0080643A" w:rsidP="00392A4E">
      <w:pPr>
        <w:pStyle w:val="ItemHead"/>
      </w:pPr>
      <w:r w:rsidRPr="00392A4E">
        <w:t>22</w:t>
      </w:r>
      <w:r w:rsidR="0059762B" w:rsidRPr="00392A4E">
        <w:t xml:space="preserve">  Subsection</w:t>
      </w:r>
      <w:r w:rsidR="00392A4E" w:rsidRPr="00392A4E">
        <w:t> </w:t>
      </w:r>
      <w:r w:rsidR="0059762B" w:rsidRPr="00392A4E">
        <w:t>44(2)</w:t>
      </w:r>
    </w:p>
    <w:p w:rsidR="0059762B" w:rsidRPr="00392A4E" w:rsidRDefault="0059762B" w:rsidP="00392A4E">
      <w:pPr>
        <w:pStyle w:val="Item"/>
      </w:pPr>
      <w:r w:rsidRPr="00392A4E">
        <w:t>Omit “after 2014”.</w:t>
      </w:r>
    </w:p>
    <w:p w:rsidR="002410CC" w:rsidRPr="00392A4E" w:rsidRDefault="0080643A" w:rsidP="00392A4E">
      <w:pPr>
        <w:pStyle w:val="ItemHead"/>
      </w:pPr>
      <w:r w:rsidRPr="00392A4E">
        <w:t>23</w:t>
      </w:r>
      <w:r w:rsidR="002410CC" w:rsidRPr="00392A4E">
        <w:t xml:space="preserve">  Subsection</w:t>
      </w:r>
      <w:r w:rsidR="00392A4E" w:rsidRPr="00392A4E">
        <w:t> </w:t>
      </w:r>
      <w:r w:rsidR="002410CC" w:rsidRPr="00392A4E">
        <w:t>44(2) (formula)</w:t>
      </w:r>
    </w:p>
    <w:p w:rsidR="002410CC" w:rsidRPr="00392A4E" w:rsidRDefault="002410CC" w:rsidP="00392A4E">
      <w:pPr>
        <w:pStyle w:val="Item"/>
      </w:pPr>
      <w:r w:rsidRPr="00392A4E">
        <w:t>Repeal the formula, substitute:</w:t>
      </w:r>
    </w:p>
    <w:p w:rsidR="002410CC" w:rsidRPr="00392A4E" w:rsidRDefault="00874CEF" w:rsidP="00392A4E">
      <w:pPr>
        <w:pStyle w:val="subsection2"/>
      </w:pPr>
      <w:bookmarkStart w:id="23" w:name="BKCheck15B_10"/>
      <w:bookmarkEnd w:id="23"/>
      <w:r>
        <w:rPr>
          <w:position w:val="-20"/>
        </w:rPr>
        <w:pict>
          <v:shape id="_x0000_i1035" type="#_x0000_t75" style="width:252.45pt;height:30.85pt">
            <v:imagedata r:id="rId29" o:title=""/>
          </v:shape>
        </w:pict>
      </w:r>
    </w:p>
    <w:p w:rsidR="002410CC" w:rsidRPr="00392A4E" w:rsidRDefault="0080643A" w:rsidP="00392A4E">
      <w:pPr>
        <w:pStyle w:val="ItemHead"/>
      </w:pPr>
      <w:r w:rsidRPr="00392A4E">
        <w:t>24</w:t>
      </w:r>
      <w:r w:rsidR="002410CC" w:rsidRPr="00392A4E">
        <w:t xml:space="preserve">  Subsection</w:t>
      </w:r>
      <w:r w:rsidR="00392A4E" w:rsidRPr="00392A4E">
        <w:t> </w:t>
      </w:r>
      <w:r w:rsidR="002410CC" w:rsidRPr="00392A4E">
        <w:t>44(3)</w:t>
      </w:r>
    </w:p>
    <w:p w:rsidR="002410CC" w:rsidRPr="00392A4E" w:rsidRDefault="002410CC" w:rsidP="00392A4E">
      <w:pPr>
        <w:pStyle w:val="Item"/>
      </w:pPr>
      <w:r w:rsidRPr="00392A4E">
        <w:t>Repeal the subsection.</w:t>
      </w:r>
    </w:p>
    <w:p w:rsidR="00EC7CA7" w:rsidRPr="00392A4E" w:rsidRDefault="0080643A" w:rsidP="00392A4E">
      <w:pPr>
        <w:pStyle w:val="ItemHead"/>
      </w:pPr>
      <w:r w:rsidRPr="00392A4E">
        <w:t>25</w:t>
      </w:r>
      <w:r w:rsidR="00EC7CA7" w:rsidRPr="00392A4E">
        <w:t xml:space="preserve">  Paragraph 49(1)(a)</w:t>
      </w:r>
    </w:p>
    <w:p w:rsidR="00EC7CA7" w:rsidRPr="00392A4E" w:rsidRDefault="00EC7CA7" w:rsidP="00392A4E">
      <w:pPr>
        <w:pStyle w:val="Item"/>
      </w:pPr>
      <w:r w:rsidRPr="00392A4E">
        <w:t>Omit “2014—$10,000”, substitute “2018—$11,5</w:t>
      </w:r>
      <w:r w:rsidR="009423CE" w:rsidRPr="00392A4E">
        <w:t>15</w:t>
      </w:r>
      <w:r w:rsidRPr="00392A4E">
        <w:t>”.</w:t>
      </w:r>
    </w:p>
    <w:p w:rsidR="00EC7CA7" w:rsidRPr="00392A4E" w:rsidRDefault="0080643A" w:rsidP="00392A4E">
      <w:pPr>
        <w:pStyle w:val="ItemHead"/>
      </w:pPr>
      <w:r w:rsidRPr="00392A4E">
        <w:t>26</w:t>
      </w:r>
      <w:r w:rsidR="00EC7CA7" w:rsidRPr="00392A4E">
        <w:t xml:space="preserve">  Paragraph 49(1)(b)</w:t>
      </w:r>
    </w:p>
    <w:p w:rsidR="00EC7CA7" w:rsidRPr="00392A4E" w:rsidRDefault="00EC7CA7" w:rsidP="00392A4E">
      <w:pPr>
        <w:pStyle w:val="Item"/>
      </w:pPr>
      <w:r w:rsidRPr="00392A4E">
        <w:t>Omit “2014—$20,000”, substitute “2018—$23,03</w:t>
      </w:r>
      <w:r w:rsidR="009423CE" w:rsidRPr="00392A4E">
        <w:t>0</w:t>
      </w:r>
      <w:r w:rsidRPr="00392A4E">
        <w:t>”.</w:t>
      </w:r>
    </w:p>
    <w:p w:rsidR="002410CC" w:rsidRPr="00392A4E" w:rsidRDefault="0080643A" w:rsidP="00392A4E">
      <w:pPr>
        <w:pStyle w:val="ItemHead"/>
      </w:pPr>
      <w:r w:rsidRPr="00392A4E">
        <w:t>27</w:t>
      </w:r>
      <w:r w:rsidR="002410CC" w:rsidRPr="00392A4E">
        <w:t xml:space="preserve">  Subsection</w:t>
      </w:r>
      <w:r w:rsidR="00392A4E" w:rsidRPr="00392A4E">
        <w:t> </w:t>
      </w:r>
      <w:r w:rsidR="002410CC" w:rsidRPr="00392A4E">
        <w:t>49(2) (formula)</w:t>
      </w:r>
    </w:p>
    <w:p w:rsidR="002410CC" w:rsidRPr="00392A4E" w:rsidRDefault="002410CC" w:rsidP="00392A4E">
      <w:pPr>
        <w:pStyle w:val="Item"/>
      </w:pPr>
      <w:r w:rsidRPr="00392A4E">
        <w:t>Repeal the formula, substitute:</w:t>
      </w:r>
    </w:p>
    <w:p w:rsidR="002410CC" w:rsidRPr="00392A4E" w:rsidRDefault="00874CEF" w:rsidP="00392A4E">
      <w:pPr>
        <w:pStyle w:val="subsection2"/>
      </w:pPr>
      <w:bookmarkStart w:id="24" w:name="BKCheck15B_11"/>
      <w:bookmarkEnd w:id="24"/>
      <w:r>
        <w:rPr>
          <w:position w:val="-20"/>
        </w:rPr>
        <w:pict>
          <v:shape id="_x0000_i1036" type="#_x0000_t75" style="width:221.6pt;height:30.85pt">
            <v:imagedata r:id="rId30" o:title=""/>
          </v:shape>
        </w:pict>
      </w:r>
    </w:p>
    <w:p w:rsidR="002410CC" w:rsidRPr="00392A4E" w:rsidRDefault="0080643A" w:rsidP="00392A4E">
      <w:pPr>
        <w:pStyle w:val="ItemHead"/>
      </w:pPr>
      <w:r w:rsidRPr="00392A4E">
        <w:t>28</w:t>
      </w:r>
      <w:r w:rsidR="002410CC" w:rsidRPr="00392A4E">
        <w:t xml:space="preserve">  Subsection</w:t>
      </w:r>
      <w:r w:rsidR="00392A4E" w:rsidRPr="00392A4E">
        <w:t> </w:t>
      </w:r>
      <w:r w:rsidR="002410CC" w:rsidRPr="00392A4E">
        <w:t>49(3)</w:t>
      </w:r>
    </w:p>
    <w:p w:rsidR="002410CC" w:rsidRPr="00392A4E" w:rsidRDefault="002410CC" w:rsidP="00392A4E">
      <w:pPr>
        <w:pStyle w:val="Item"/>
      </w:pPr>
      <w:r w:rsidRPr="00392A4E">
        <w:t>Repeal the subsection.</w:t>
      </w:r>
    </w:p>
    <w:p w:rsidR="002410CC" w:rsidRPr="00392A4E" w:rsidRDefault="0080643A" w:rsidP="00392A4E">
      <w:pPr>
        <w:pStyle w:val="ItemHead"/>
      </w:pPr>
      <w:r w:rsidRPr="00392A4E">
        <w:lastRenderedPageBreak/>
        <w:t>29</w:t>
      </w:r>
      <w:r w:rsidR="002410CC" w:rsidRPr="00392A4E">
        <w:t xml:space="preserve">  Subsection</w:t>
      </w:r>
      <w:r w:rsidR="00392A4E" w:rsidRPr="00392A4E">
        <w:t> </w:t>
      </w:r>
      <w:r w:rsidR="002410CC" w:rsidRPr="00392A4E">
        <w:t>52(1)</w:t>
      </w:r>
    </w:p>
    <w:p w:rsidR="002410CC" w:rsidRPr="00392A4E" w:rsidRDefault="002410CC" w:rsidP="00392A4E">
      <w:pPr>
        <w:pStyle w:val="Item"/>
      </w:pPr>
      <w:r w:rsidRPr="00392A4E">
        <w:t xml:space="preserve">Omit “each participating school’s </w:t>
      </w:r>
      <w:r w:rsidRPr="00392A4E">
        <w:rPr>
          <w:b/>
          <w:i/>
        </w:rPr>
        <w:t>SES score</w:t>
      </w:r>
      <w:r w:rsidRPr="00392A4E">
        <w:t xml:space="preserve">”, substitute “the </w:t>
      </w:r>
      <w:r w:rsidRPr="00392A4E">
        <w:rPr>
          <w:b/>
          <w:i/>
        </w:rPr>
        <w:t>SES score</w:t>
      </w:r>
      <w:r w:rsidRPr="00392A4E">
        <w:t xml:space="preserve"> for a school”.</w:t>
      </w:r>
    </w:p>
    <w:p w:rsidR="002410CC" w:rsidRPr="00392A4E" w:rsidRDefault="0080643A" w:rsidP="00392A4E">
      <w:pPr>
        <w:pStyle w:val="ItemHead"/>
      </w:pPr>
      <w:r w:rsidRPr="00392A4E">
        <w:t>30</w:t>
      </w:r>
      <w:r w:rsidR="002410CC" w:rsidRPr="00392A4E">
        <w:t xml:space="preserve">  Subsection</w:t>
      </w:r>
      <w:r w:rsidR="00392A4E" w:rsidRPr="00392A4E">
        <w:t> </w:t>
      </w:r>
      <w:r w:rsidR="002410CC" w:rsidRPr="00392A4E">
        <w:t>52(2)</w:t>
      </w:r>
    </w:p>
    <w:p w:rsidR="002410CC" w:rsidRPr="00392A4E" w:rsidRDefault="002410CC" w:rsidP="00392A4E">
      <w:pPr>
        <w:pStyle w:val="Item"/>
      </w:pPr>
      <w:r w:rsidRPr="00392A4E">
        <w:t>Repeal the subsection.</w:t>
      </w:r>
    </w:p>
    <w:p w:rsidR="002410CC" w:rsidRPr="00392A4E" w:rsidRDefault="0080643A" w:rsidP="00392A4E">
      <w:pPr>
        <w:pStyle w:val="ItemHead"/>
      </w:pPr>
      <w:r w:rsidRPr="00392A4E">
        <w:t>31</w:t>
      </w:r>
      <w:r w:rsidR="002410CC" w:rsidRPr="00392A4E">
        <w:t xml:space="preserve">  Subsection</w:t>
      </w:r>
      <w:r w:rsidR="00392A4E" w:rsidRPr="00392A4E">
        <w:t> </w:t>
      </w:r>
      <w:r w:rsidR="002410CC" w:rsidRPr="00392A4E">
        <w:t>52(3)</w:t>
      </w:r>
    </w:p>
    <w:p w:rsidR="002410CC" w:rsidRPr="00392A4E" w:rsidRDefault="002410CC" w:rsidP="00392A4E">
      <w:pPr>
        <w:pStyle w:val="Item"/>
      </w:pPr>
      <w:r w:rsidRPr="00392A4E">
        <w:t xml:space="preserve">Repeal the </w:t>
      </w:r>
      <w:r w:rsidR="00392A4E" w:rsidRPr="00392A4E">
        <w:t>subsection (</w:t>
      </w:r>
      <w:r w:rsidRPr="00392A4E">
        <w:t>not including the note).</w:t>
      </w:r>
    </w:p>
    <w:p w:rsidR="002410CC" w:rsidRPr="00392A4E" w:rsidRDefault="0080643A" w:rsidP="00392A4E">
      <w:pPr>
        <w:pStyle w:val="ItemHead"/>
      </w:pPr>
      <w:r w:rsidRPr="00392A4E">
        <w:t>32</w:t>
      </w:r>
      <w:r w:rsidR="002410CC" w:rsidRPr="00392A4E">
        <w:t xml:space="preserve">  Subsections</w:t>
      </w:r>
      <w:r w:rsidR="00392A4E" w:rsidRPr="00392A4E">
        <w:t> </w:t>
      </w:r>
      <w:r w:rsidR="002410CC" w:rsidRPr="00392A4E">
        <w:t>52(4) and (5)</w:t>
      </w:r>
    </w:p>
    <w:p w:rsidR="002410CC" w:rsidRPr="00392A4E" w:rsidRDefault="002410CC" w:rsidP="00392A4E">
      <w:pPr>
        <w:pStyle w:val="Item"/>
      </w:pPr>
      <w:r w:rsidRPr="00392A4E">
        <w:t>Omit “</w:t>
      </w:r>
      <w:r w:rsidR="00392A4E" w:rsidRPr="00392A4E">
        <w:t>subsection (</w:t>
      </w:r>
      <w:r w:rsidRPr="00392A4E">
        <w:t>3)”, substitute “</w:t>
      </w:r>
      <w:r w:rsidR="00392A4E" w:rsidRPr="00392A4E">
        <w:t>subsection (</w:t>
      </w:r>
      <w:r w:rsidRPr="00392A4E">
        <w:t>1)”.</w:t>
      </w:r>
    </w:p>
    <w:p w:rsidR="002410CC" w:rsidRPr="00392A4E" w:rsidRDefault="0080643A" w:rsidP="00392A4E">
      <w:pPr>
        <w:pStyle w:val="ItemHead"/>
      </w:pPr>
      <w:r w:rsidRPr="00392A4E">
        <w:t>33</w:t>
      </w:r>
      <w:r w:rsidR="002410CC" w:rsidRPr="00392A4E">
        <w:t xml:space="preserve">  Subsection</w:t>
      </w:r>
      <w:r w:rsidR="00392A4E" w:rsidRPr="00392A4E">
        <w:t> </w:t>
      </w:r>
      <w:r w:rsidR="002410CC" w:rsidRPr="00392A4E">
        <w:t>53(1)</w:t>
      </w:r>
    </w:p>
    <w:p w:rsidR="002410CC" w:rsidRPr="00392A4E" w:rsidRDefault="002410CC" w:rsidP="00392A4E">
      <w:pPr>
        <w:pStyle w:val="Item"/>
      </w:pPr>
      <w:r w:rsidRPr="00392A4E">
        <w:t>Omit “52(2) or (3)”, substitute “52(1)”.</w:t>
      </w:r>
    </w:p>
    <w:p w:rsidR="002410CC" w:rsidRPr="00392A4E" w:rsidRDefault="0080643A" w:rsidP="00392A4E">
      <w:pPr>
        <w:pStyle w:val="ItemHead"/>
      </w:pPr>
      <w:r w:rsidRPr="00392A4E">
        <w:t>34</w:t>
      </w:r>
      <w:r w:rsidR="002410CC" w:rsidRPr="00392A4E">
        <w:t xml:space="preserve">  Subsection</w:t>
      </w:r>
      <w:r w:rsidR="00392A4E" w:rsidRPr="00392A4E">
        <w:t> </w:t>
      </w:r>
      <w:r w:rsidR="002410CC" w:rsidRPr="00392A4E">
        <w:t>53(2)</w:t>
      </w:r>
    </w:p>
    <w:p w:rsidR="002410CC" w:rsidRPr="00392A4E" w:rsidRDefault="002410CC" w:rsidP="00392A4E">
      <w:pPr>
        <w:pStyle w:val="Item"/>
      </w:pPr>
      <w:r w:rsidRPr="00392A4E">
        <w:t>Omit “52(3)”, substitute “52(1)”.</w:t>
      </w:r>
    </w:p>
    <w:p w:rsidR="002410CC" w:rsidRPr="00392A4E" w:rsidRDefault="0080643A" w:rsidP="00392A4E">
      <w:pPr>
        <w:pStyle w:val="ItemHead"/>
      </w:pPr>
      <w:r w:rsidRPr="00392A4E">
        <w:t>35</w:t>
      </w:r>
      <w:r w:rsidR="002410CC" w:rsidRPr="00392A4E">
        <w:t xml:space="preserve">  Subsection</w:t>
      </w:r>
      <w:r w:rsidR="00392A4E" w:rsidRPr="00392A4E">
        <w:t> </w:t>
      </w:r>
      <w:r w:rsidR="002410CC" w:rsidRPr="00392A4E">
        <w:t>53(4)</w:t>
      </w:r>
    </w:p>
    <w:p w:rsidR="002410CC" w:rsidRPr="00392A4E" w:rsidRDefault="002410CC" w:rsidP="00392A4E">
      <w:pPr>
        <w:pStyle w:val="Item"/>
      </w:pPr>
      <w:r w:rsidRPr="00392A4E">
        <w:t>Repeal the subsection.</w:t>
      </w:r>
    </w:p>
    <w:p w:rsidR="002410CC" w:rsidRPr="00392A4E" w:rsidRDefault="0080643A" w:rsidP="00392A4E">
      <w:pPr>
        <w:pStyle w:val="ItemHead"/>
      </w:pPr>
      <w:r w:rsidRPr="00392A4E">
        <w:t>36</w:t>
      </w:r>
      <w:r w:rsidR="002410CC" w:rsidRPr="00392A4E">
        <w:t xml:space="preserve">  Subsection</w:t>
      </w:r>
      <w:r w:rsidR="00392A4E" w:rsidRPr="00392A4E">
        <w:t> </w:t>
      </w:r>
      <w:r w:rsidR="002410CC" w:rsidRPr="00392A4E">
        <w:t>54(3) (table)</w:t>
      </w:r>
    </w:p>
    <w:p w:rsidR="00572A20" w:rsidRPr="00392A4E" w:rsidRDefault="00572A20" w:rsidP="00392A4E">
      <w:pPr>
        <w:pStyle w:val="Item"/>
      </w:pPr>
      <w:r w:rsidRPr="00392A4E">
        <w:t>Repeal the table, substitute:</w:t>
      </w:r>
    </w:p>
    <w:p w:rsidR="00572A20" w:rsidRPr="00392A4E" w:rsidRDefault="00572A20" w:rsidP="00392A4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5"/>
        <w:gridCol w:w="2125"/>
        <w:gridCol w:w="2125"/>
      </w:tblGrid>
      <w:tr w:rsidR="00572A20" w:rsidRPr="00392A4E" w:rsidTr="00243E0B">
        <w:trPr>
          <w:tblHeader/>
        </w:trPr>
        <w:tc>
          <w:tcPr>
            <w:tcW w:w="7089" w:type="dxa"/>
            <w:gridSpan w:val="4"/>
            <w:tcBorders>
              <w:top w:val="single" w:sz="12" w:space="0" w:color="auto"/>
              <w:bottom w:val="single" w:sz="6" w:space="0" w:color="auto"/>
            </w:tcBorders>
            <w:shd w:val="clear" w:color="auto" w:fill="auto"/>
          </w:tcPr>
          <w:p w:rsidR="00572A20" w:rsidRPr="00392A4E" w:rsidRDefault="00572A20" w:rsidP="00392A4E">
            <w:pPr>
              <w:pStyle w:val="TableHeading"/>
            </w:pPr>
            <w:r w:rsidRPr="00392A4E">
              <w:t>Capacity to contribute percentage</w:t>
            </w:r>
          </w:p>
        </w:tc>
      </w:tr>
      <w:tr w:rsidR="00572A20" w:rsidRPr="00392A4E" w:rsidTr="00243E0B">
        <w:trPr>
          <w:tblHeader/>
        </w:trPr>
        <w:tc>
          <w:tcPr>
            <w:tcW w:w="714" w:type="dxa"/>
            <w:tcBorders>
              <w:top w:val="single" w:sz="6" w:space="0" w:color="auto"/>
              <w:bottom w:val="single" w:sz="12" w:space="0" w:color="auto"/>
            </w:tcBorders>
            <w:shd w:val="clear" w:color="auto" w:fill="auto"/>
          </w:tcPr>
          <w:p w:rsidR="00572A20" w:rsidRPr="00392A4E" w:rsidRDefault="00572A20" w:rsidP="00392A4E">
            <w:pPr>
              <w:pStyle w:val="TableHeading"/>
            </w:pPr>
            <w:r w:rsidRPr="00392A4E">
              <w:t>Item</w:t>
            </w:r>
          </w:p>
        </w:tc>
        <w:tc>
          <w:tcPr>
            <w:tcW w:w="2125" w:type="dxa"/>
            <w:tcBorders>
              <w:top w:val="single" w:sz="6" w:space="0" w:color="auto"/>
              <w:bottom w:val="single" w:sz="12" w:space="0" w:color="auto"/>
            </w:tcBorders>
            <w:shd w:val="clear" w:color="auto" w:fill="auto"/>
          </w:tcPr>
          <w:p w:rsidR="00572A20" w:rsidRPr="00392A4E" w:rsidRDefault="00572A20" w:rsidP="00392A4E">
            <w:pPr>
              <w:pStyle w:val="TableHeading"/>
            </w:pPr>
            <w:r w:rsidRPr="00392A4E">
              <w:t>Column 1</w:t>
            </w:r>
          </w:p>
          <w:p w:rsidR="00572A20" w:rsidRPr="00392A4E" w:rsidRDefault="00572A20" w:rsidP="00392A4E">
            <w:pPr>
              <w:pStyle w:val="TableHeading"/>
            </w:pPr>
            <w:r w:rsidRPr="00392A4E">
              <w:t>SES score</w:t>
            </w:r>
          </w:p>
        </w:tc>
        <w:tc>
          <w:tcPr>
            <w:tcW w:w="2125" w:type="dxa"/>
            <w:tcBorders>
              <w:top w:val="single" w:sz="6" w:space="0" w:color="auto"/>
              <w:bottom w:val="single" w:sz="12" w:space="0" w:color="auto"/>
            </w:tcBorders>
            <w:shd w:val="clear" w:color="auto" w:fill="auto"/>
          </w:tcPr>
          <w:p w:rsidR="00572A20" w:rsidRPr="00392A4E" w:rsidRDefault="00572A20" w:rsidP="00392A4E">
            <w:pPr>
              <w:pStyle w:val="TableHeading"/>
            </w:pPr>
            <w:r w:rsidRPr="00392A4E">
              <w:t>Column 2</w:t>
            </w:r>
          </w:p>
          <w:p w:rsidR="00572A20" w:rsidRPr="00392A4E" w:rsidRDefault="00572A20" w:rsidP="00392A4E">
            <w:pPr>
              <w:pStyle w:val="TableHeading"/>
            </w:pPr>
            <w:r w:rsidRPr="00392A4E">
              <w:t>Primary school</w:t>
            </w:r>
          </w:p>
        </w:tc>
        <w:tc>
          <w:tcPr>
            <w:tcW w:w="2125" w:type="dxa"/>
            <w:tcBorders>
              <w:top w:val="single" w:sz="6" w:space="0" w:color="auto"/>
              <w:bottom w:val="single" w:sz="12" w:space="0" w:color="auto"/>
            </w:tcBorders>
            <w:shd w:val="clear" w:color="auto" w:fill="auto"/>
          </w:tcPr>
          <w:p w:rsidR="00572A20" w:rsidRPr="00392A4E" w:rsidRDefault="00572A20" w:rsidP="00392A4E">
            <w:pPr>
              <w:pStyle w:val="TableHeading"/>
            </w:pPr>
            <w:r w:rsidRPr="00392A4E">
              <w:t>Column 3</w:t>
            </w:r>
          </w:p>
          <w:p w:rsidR="00572A20" w:rsidRPr="00392A4E" w:rsidRDefault="00572A20" w:rsidP="00392A4E">
            <w:pPr>
              <w:pStyle w:val="TableHeading"/>
            </w:pPr>
            <w:r w:rsidRPr="00392A4E">
              <w:t>Secondary school</w:t>
            </w:r>
          </w:p>
        </w:tc>
      </w:tr>
      <w:tr w:rsidR="00572A20" w:rsidRPr="00392A4E" w:rsidTr="00243E0B">
        <w:tc>
          <w:tcPr>
            <w:tcW w:w="714" w:type="dxa"/>
            <w:tcBorders>
              <w:top w:val="single" w:sz="12" w:space="0" w:color="auto"/>
            </w:tcBorders>
            <w:shd w:val="clear" w:color="auto" w:fill="auto"/>
          </w:tcPr>
          <w:p w:rsidR="00572A20" w:rsidRPr="00392A4E" w:rsidRDefault="00572A20" w:rsidP="00392A4E">
            <w:pPr>
              <w:pStyle w:val="Tabletext"/>
            </w:pPr>
            <w:r w:rsidRPr="00392A4E">
              <w:t>1</w:t>
            </w:r>
          </w:p>
        </w:tc>
        <w:tc>
          <w:tcPr>
            <w:tcW w:w="2125" w:type="dxa"/>
            <w:tcBorders>
              <w:top w:val="single" w:sz="12" w:space="0" w:color="auto"/>
            </w:tcBorders>
            <w:shd w:val="clear" w:color="auto" w:fill="auto"/>
          </w:tcPr>
          <w:p w:rsidR="00572A20" w:rsidRPr="00392A4E" w:rsidRDefault="00572A20" w:rsidP="00392A4E">
            <w:pPr>
              <w:pStyle w:val="Tabletext"/>
            </w:pPr>
            <w:r w:rsidRPr="00392A4E">
              <w:t>93 or lower</w:t>
            </w:r>
          </w:p>
        </w:tc>
        <w:tc>
          <w:tcPr>
            <w:tcW w:w="2125" w:type="dxa"/>
            <w:tcBorders>
              <w:top w:val="single" w:sz="12" w:space="0" w:color="auto"/>
            </w:tcBorders>
            <w:shd w:val="clear" w:color="auto" w:fill="auto"/>
            <w:vAlign w:val="bottom"/>
          </w:tcPr>
          <w:p w:rsidR="00572A20" w:rsidRPr="00392A4E" w:rsidRDefault="00572A20" w:rsidP="00392A4E">
            <w:pPr>
              <w:pStyle w:val="Tabletext"/>
            </w:pPr>
            <w:r w:rsidRPr="00392A4E">
              <w:t>10.00</w:t>
            </w:r>
          </w:p>
        </w:tc>
        <w:tc>
          <w:tcPr>
            <w:tcW w:w="2125" w:type="dxa"/>
            <w:tcBorders>
              <w:top w:val="single" w:sz="12" w:space="0" w:color="auto"/>
            </w:tcBorders>
            <w:shd w:val="clear" w:color="auto" w:fill="auto"/>
            <w:vAlign w:val="center"/>
          </w:tcPr>
          <w:p w:rsidR="00572A20" w:rsidRPr="00392A4E" w:rsidRDefault="00572A20" w:rsidP="00392A4E">
            <w:pPr>
              <w:pStyle w:val="Tabletext"/>
            </w:pPr>
            <w:r w:rsidRPr="00392A4E">
              <w:t>10.00</w:t>
            </w:r>
          </w:p>
        </w:tc>
      </w:tr>
      <w:tr w:rsidR="00572A20" w:rsidRPr="00392A4E" w:rsidTr="00243E0B">
        <w:tc>
          <w:tcPr>
            <w:tcW w:w="714" w:type="dxa"/>
            <w:shd w:val="clear" w:color="auto" w:fill="auto"/>
          </w:tcPr>
          <w:p w:rsidR="00572A20" w:rsidRPr="00392A4E" w:rsidRDefault="00572A20" w:rsidP="00392A4E">
            <w:pPr>
              <w:pStyle w:val="Tabletext"/>
            </w:pPr>
            <w:r w:rsidRPr="00392A4E">
              <w:t>2</w:t>
            </w:r>
          </w:p>
        </w:tc>
        <w:tc>
          <w:tcPr>
            <w:tcW w:w="2125" w:type="dxa"/>
            <w:shd w:val="clear" w:color="auto" w:fill="auto"/>
          </w:tcPr>
          <w:p w:rsidR="00572A20" w:rsidRPr="00392A4E" w:rsidRDefault="00572A20" w:rsidP="00392A4E">
            <w:pPr>
              <w:pStyle w:val="Tabletext"/>
            </w:pPr>
            <w:r w:rsidRPr="00392A4E">
              <w:t>94</w:t>
            </w:r>
          </w:p>
        </w:tc>
        <w:tc>
          <w:tcPr>
            <w:tcW w:w="2125" w:type="dxa"/>
            <w:shd w:val="clear" w:color="auto" w:fill="auto"/>
            <w:vAlign w:val="bottom"/>
          </w:tcPr>
          <w:p w:rsidR="00572A20" w:rsidRPr="00392A4E" w:rsidRDefault="00572A20" w:rsidP="00392A4E">
            <w:pPr>
              <w:pStyle w:val="Tabletext"/>
            </w:pPr>
            <w:r w:rsidRPr="00392A4E">
              <w:t>10.86</w:t>
            </w:r>
          </w:p>
        </w:tc>
        <w:tc>
          <w:tcPr>
            <w:tcW w:w="2125" w:type="dxa"/>
            <w:shd w:val="clear" w:color="auto" w:fill="auto"/>
            <w:vAlign w:val="center"/>
          </w:tcPr>
          <w:p w:rsidR="00572A20" w:rsidRPr="00392A4E" w:rsidRDefault="00572A20" w:rsidP="00392A4E">
            <w:pPr>
              <w:pStyle w:val="Tabletext"/>
            </w:pPr>
            <w:r w:rsidRPr="00392A4E">
              <w:t>12.19</w:t>
            </w:r>
          </w:p>
        </w:tc>
      </w:tr>
      <w:tr w:rsidR="00572A20" w:rsidRPr="00392A4E" w:rsidTr="00243E0B">
        <w:tc>
          <w:tcPr>
            <w:tcW w:w="714" w:type="dxa"/>
            <w:shd w:val="clear" w:color="auto" w:fill="auto"/>
          </w:tcPr>
          <w:p w:rsidR="00572A20" w:rsidRPr="00392A4E" w:rsidRDefault="00572A20" w:rsidP="00392A4E">
            <w:pPr>
              <w:pStyle w:val="Tabletext"/>
            </w:pPr>
            <w:r w:rsidRPr="00392A4E">
              <w:t>3</w:t>
            </w:r>
          </w:p>
        </w:tc>
        <w:tc>
          <w:tcPr>
            <w:tcW w:w="2125" w:type="dxa"/>
            <w:shd w:val="clear" w:color="auto" w:fill="auto"/>
          </w:tcPr>
          <w:p w:rsidR="00572A20" w:rsidRPr="00392A4E" w:rsidRDefault="00572A20" w:rsidP="00392A4E">
            <w:pPr>
              <w:pStyle w:val="Tabletext"/>
            </w:pPr>
            <w:r w:rsidRPr="00392A4E">
              <w:t>95</w:t>
            </w:r>
          </w:p>
        </w:tc>
        <w:tc>
          <w:tcPr>
            <w:tcW w:w="2125" w:type="dxa"/>
            <w:shd w:val="clear" w:color="auto" w:fill="auto"/>
            <w:vAlign w:val="bottom"/>
          </w:tcPr>
          <w:p w:rsidR="00572A20" w:rsidRPr="00392A4E" w:rsidRDefault="00572A20" w:rsidP="00392A4E">
            <w:pPr>
              <w:pStyle w:val="Tabletext"/>
            </w:pPr>
            <w:r w:rsidRPr="00392A4E">
              <w:t>11.71</w:t>
            </w:r>
          </w:p>
        </w:tc>
        <w:tc>
          <w:tcPr>
            <w:tcW w:w="2125" w:type="dxa"/>
            <w:shd w:val="clear" w:color="auto" w:fill="auto"/>
            <w:vAlign w:val="center"/>
          </w:tcPr>
          <w:p w:rsidR="00572A20" w:rsidRPr="00392A4E" w:rsidRDefault="00572A20" w:rsidP="00392A4E">
            <w:pPr>
              <w:pStyle w:val="Tabletext"/>
            </w:pPr>
            <w:r w:rsidRPr="00392A4E">
              <w:t>14.38</w:t>
            </w:r>
          </w:p>
        </w:tc>
      </w:tr>
      <w:tr w:rsidR="00572A20" w:rsidRPr="00392A4E" w:rsidTr="00243E0B">
        <w:tc>
          <w:tcPr>
            <w:tcW w:w="714" w:type="dxa"/>
            <w:shd w:val="clear" w:color="auto" w:fill="auto"/>
          </w:tcPr>
          <w:p w:rsidR="00572A20" w:rsidRPr="00392A4E" w:rsidRDefault="00572A20" w:rsidP="00392A4E">
            <w:pPr>
              <w:pStyle w:val="Tabletext"/>
            </w:pPr>
            <w:r w:rsidRPr="00392A4E">
              <w:t>4</w:t>
            </w:r>
          </w:p>
        </w:tc>
        <w:tc>
          <w:tcPr>
            <w:tcW w:w="2125" w:type="dxa"/>
            <w:shd w:val="clear" w:color="auto" w:fill="auto"/>
          </w:tcPr>
          <w:p w:rsidR="00572A20" w:rsidRPr="00392A4E" w:rsidRDefault="00572A20" w:rsidP="00392A4E">
            <w:pPr>
              <w:pStyle w:val="Tabletext"/>
            </w:pPr>
            <w:r w:rsidRPr="00392A4E">
              <w:t>96</w:t>
            </w:r>
          </w:p>
        </w:tc>
        <w:tc>
          <w:tcPr>
            <w:tcW w:w="2125" w:type="dxa"/>
            <w:shd w:val="clear" w:color="auto" w:fill="auto"/>
            <w:vAlign w:val="bottom"/>
          </w:tcPr>
          <w:p w:rsidR="00572A20" w:rsidRPr="00392A4E" w:rsidRDefault="00572A20" w:rsidP="00392A4E">
            <w:pPr>
              <w:pStyle w:val="Tabletext"/>
            </w:pPr>
            <w:r w:rsidRPr="00392A4E">
              <w:t>12.57</w:t>
            </w:r>
          </w:p>
        </w:tc>
        <w:tc>
          <w:tcPr>
            <w:tcW w:w="2125" w:type="dxa"/>
            <w:shd w:val="clear" w:color="auto" w:fill="auto"/>
            <w:vAlign w:val="center"/>
          </w:tcPr>
          <w:p w:rsidR="00572A20" w:rsidRPr="00392A4E" w:rsidRDefault="00572A20" w:rsidP="00392A4E">
            <w:pPr>
              <w:pStyle w:val="Tabletext"/>
            </w:pPr>
            <w:r w:rsidRPr="00392A4E">
              <w:t>16.56</w:t>
            </w:r>
          </w:p>
        </w:tc>
      </w:tr>
      <w:tr w:rsidR="00572A20" w:rsidRPr="00392A4E" w:rsidTr="00243E0B">
        <w:tc>
          <w:tcPr>
            <w:tcW w:w="714" w:type="dxa"/>
            <w:shd w:val="clear" w:color="auto" w:fill="auto"/>
          </w:tcPr>
          <w:p w:rsidR="00572A20" w:rsidRPr="00392A4E" w:rsidRDefault="00572A20" w:rsidP="00392A4E">
            <w:pPr>
              <w:pStyle w:val="Tabletext"/>
            </w:pPr>
            <w:r w:rsidRPr="00392A4E">
              <w:t>5</w:t>
            </w:r>
          </w:p>
        </w:tc>
        <w:tc>
          <w:tcPr>
            <w:tcW w:w="2125" w:type="dxa"/>
            <w:shd w:val="clear" w:color="auto" w:fill="auto"/>
          </w:tcPr>
          <w:p w:rsidR="00572A20" w:rsidRPr="00392A4E" w:rsidRDefault="00572A20" w:rsidP="00392A4E">
            <w:pPr>
              <w:pStyle w:val="Tabletext"/>
            </w:pPr>
            <w:r w:rsidRPr="00392A4E">
              <w:t>97</w:t>
            </w:r>
          </w:p>
        </w:tc>
        <w:tc>
          <w:tcPr>
            <w:tcW w:w="2125" w:type="dxa"/>
            <w:shd w:val="clear" w:color="auto" w:fill="auto"/>
            <w:vAlign w:val="bottom"/>
          </w:tcPr>
          <w:p w:rsidR="00572A20" w:rsidRPr="00392A4E" w:rsidRDefault="00572A20" w:rsidP="00392A4E">
            <w:pPr>
              <w:pStyle w:val="Tabletext"/>
            </w:pPr>
            <w:r w:rsidRPr="00392A4E">
              <w:t>13.43</w:t>
            </w:r>
          </w:p>
        </w:tc>
        <w:tc>
          <w:tcPr>
            <w:tcW w:w="2125" w:type="dxa"/>
            <w:shd w:val="clear" w:color="auto" w:fill="auto"/>
            <w:vAlign w:val="center"/>
          </w:tcPr>
          <w:p w:rsidR="00572A20" w:rsidRPr="00392A4E" w:rsidRDefault="00572A20" w:rsidP="00392A4E">
            <w:pPr>
              <w:pStyle w:val="Tabletext"/>
            </w:pPr>
            <w:r w:rsidRPr="00392A4E">
              <w:t>18.75</w:t>
            </w:r>
          </w:p>
        </w:tc>
      </w:tr>
      <w:tr w:rsidR="00572A20" w:rsidRPr="00392A4E" w:rsidTr="00243E0B">
        <w:tc>
          <w:tcPr>
            <w:tcW w:w="714" w:type="dxa"/>
            <w:shd w:val="clear" w:color="auto" w:fill="auto"/>
          </w:tcPr>
          <w:p w:rsidR="00572A20" w:rsidRPr="00392A4E" w:rsidRDefault="00572A20" w:rsidP="00392A4E">
            <w:pPr>
              <w:pStyle w:val="Tabletext"/>
            </w:pPr>
            <w:r w:rsidRPr="00392A4E">
              <w:t>6</w:t>
            </w:r>
          </w:p>
        </w:tc>
        <w:tc>
          <w:tcPr>
            <w:tcW w:w="2125" w:type="dxa"/>
            <w:shd w:val="clear" w:color="auto" w:fill="auto"/>
          </w:tcPr>
          <w:p w:rsidR="00572A20" w:rsidRPr="00392A4E" w:rsidRDefault="00572A20" w:rsidP="00392A4E">
            <w:pPr>
              <w:pStyle w:val="Tabletext"/>
            </w:pPr>
            <w:r w:rsidRPr="00392A4E">
              <w:t>98</w:t>
            </w:r>
          </w:p>
        </w:tc>
        <w:tc>
          <w:tcPr>
            <w:tcW w:w="2125" w:type="dxa"/>
            <w:shd w:val="clear" w:color="auto" w:fill="auto"/>
            <w:vAlign w:val="bottom"/>
          </w:tcPr>
          <w:p w:rsidR="00572A20" w:rsidRPr="00392A4E" w:rsidRDefault="00572A20" w:rsidP="00392A4E">
            <w:pPr>
              <w:pStyle w:val="Tabletext"/>
            </w:pPr>
            <w:r w:rsidRPr="00392A4E">
              <w:t>14.29</w:t>
            </w:r>
          </w:p>
        </w:tc>
        <w:tc>
          <w:tcPr>
            <w:tcW w:w="2125" w:type="dxa"/>
            <w:shd w:val="clear" w:color="auto" w:fill="auto"/>
            <w:vAlign w:val="center"/>
          </w:tcPr>
          <w:p w:rsidR="00572A20" w:rsidRPr="00392A4E" w:rsidRDefault="00572A20" w:rsidP="00392A4E">
            <w:pPr>
              <w:pStyle w:val="Tabletext"/>
            </w:pPr>
            <w:r w:rsidRPr="00392A4E">
              <w:t>20.94</w:t>
            </w:r>
          </w:p>
        </w:tc>
      </w:tr>
      <w:tr w:rsidR="00572A20" w:rsidRPr="00392A4E" w:rsidTr="00243E0B">
        <w:tc>
          <w:tcPr>
            <w:tcW w:w="714" w:type="dxa"/>
            <w:shd w:val="clear" w:color="auto" w:fill="auto"/>
          </w:tcPr>
          <w:p w:rsidR="00572A20" w:rsidRPr="00392A4E" w:rsidRDefault="00572A20" w:rsidP="00392A4E">
            <w:pPr>
              <w:pStyle w:val="Tabletext"/>
            </w:pPr>
            <w:r w:rsidRPr="00392A4E">
              <w:t>7</w:t>
            </w:r>
          </w:p>
        </w:tc>
        <w:tc>
          <w:tcPr>
            <w:tcW w:w="2125" w:type="dxa"/>
            <w:shd w:val="clear" w:color="auto" w:fill="auto"/>
          </w:tcPr>
          <w:p w:rsidR="00572A20" w:rsidRPr="00392A4E" w:rsidRDefault="00572A20" w:rsidP="00392A4E">
            <w:pPr>
              <w:pStyle w:val="Tabletext"/>
            </w:pPr>
            <w:r w:rsidRPr="00392A4E">
              <w:t>99</w:t>
            </w:r>
          </w:p>
        </w:tc>
        <w:tc>
          <w:tcPr>
            <w:tcW w:w="2125" w:type="dxa"/>
            <w:shd w:val="clear" w:color="auto" w:fill="auto"/>
            <w:vAlign w:val="bottom"/>
          </w:tcPr>
          <w:p w:rsidR="00572A20" w:rsidRPr="00392A4E" w:rsidRDefault="00572A20" w:rsidP="00392A4E">
            <w:pPr>
              <w:pStyle w:val="Tabletext"/>
            </w:pPr>
            <w:r w:rsidRPr="00392A4E">
              <w:t>15.14</w:t>
            </w:r>
          </w:p>
        </w:tc>
        <w:tc>
          <w:tcPr>
            <w:tcW w:w="2125" w:type="dxa"/>
            <w:shd w:val="clear" w:color="auto" w:fill="auto"/>
            <w:vAlign w:val="center"/>
          </w:tcPr>
          <w:p w:rsidR="00572A20" w:rsidRPr="00392A4E" w:rsidRDefault="00572A20" w:rsidP="00392A4E">
            <w:pPr>
              <w:pStyle w:val="Tabletext"/>
            </w:pPr>
            <w:r w:rsidRPr="00392A4E">
              <w:t>23.13</w:t>
            </w:r>
          </w:p>
        </w:tc>
      </w:tr>
      <w:tr w:rsidR="00572A20" w:rsidRPr="00392A4E" w:rsidTr="00243E0B">
        <w:tc>
          <w:tcPr>
            <w:tcW w:w="714" w:type="dxa"/>
            <w:shd w:val="clear" w:color="auto" w:fill="auto"/>
          </w:tcPr>
          <w:p w:rsidR="00572A20" w:rsidRPr="00392A4E" w:rsidRDefault="00572A20" w:rsidP="00392A4E">
            <w:pPr>
              <w:pStyle w:val="Tabletext"/>
            </w:pPr>
            <w:r w:rsidRPr="00392A4E">
              <w:t>8</w:t>
            </w:r>
          </w:p>
        </w:tc>
        <w:tc>
          <w:tcPr>
            <w:tcW w:w="2125" w:type="dxa"/>
            <w:shd w:val="clear" w:color="auto" w:fill="auto"/>
          </w:tcPr>
          <w:p w:rsidR="00572A20" w:rsidRPr="00392A4E" w:rsidRDefault="00572A20" w:rsidP="00392A4E">
            <w:pPr>
              <w:pStyle w:val="Tabletext"/>
            </w:pPr>
            <w:r w:rsidRPr="00392A4E">
              <w:t>100</w:t>
            </w:r>
          </w:p>
        </w:tc>
        <w:tc>
          <w:tcPr>
            <w:tcW w:w="2125" w:type="dxa"/>
            <w:shd w:val="clear" w:color="auto" w:fill="auto"/>
            <w:vAlign w:val="bottom"/>
          </w:tcPr>
          <w:p w:rsidR="00572A20" w:rsidRPr="00392A4E" w:rsidRDefault="00572A20" w:rsidP="00392A4E">
            <w:pPr>
              <w:pStyle w:val="Tabletext"/>
            </w:pPr>
            <w:r w:rsidRPr="00392A4E">
              <w:t>16.00</w:t>
            </w:r>
          </w:p>
        </w:tc>
        <w:tc>
          <w:tcPr>
            <w:tcW w:w="2125" w:type="dxa"/>
            <w:shd w:val="clear" w:color="auto" w:fill="auto"/>
            <w:vAlign w:val="center"/>
          </w:tcPr>
          <w:p w:rsidR="00572A20" w:rsidRPr="00392A4E" w:rsidRDefault="00572A20" w:rsidP="00392A4E">
            <w:pPr>
              <w:pStyle w:val="Tabletext"/>
            </w:pPr>
            <w:r w:rsidRPr="00392A4E">
              <w:t>25.31</w:t>
            </w:r>
          </w:p>
        </w:tc>
      </w:tr>
      <w:tr w:rsidR="00572A20" w:rsidRPr="00392A4E" w:rsidTr="00243E0B">
        <w:tc>
          <w:tcPr>
            <w:tcW w:w="714" w:type="dxa"/>
            <w:shd w:val="clear" w:color="auto" w:fill="auto"/>
          </w:tcPr>
          <w:p w:rsidR="00572A20" w:rsidRPr="00392A4E" w:rsidRDefault="00572A20" w:rsidP="00392A4E">
            <w:pPr>
              <w:pStyle w:val="Tabletext"/>
            </w:pPr>
            <w:r w:rsidRPr="00392A4E">
              <w:lastRenderedPageBreak/>
              <w:t>9</w:t>
            </w:r>
          </w:p>
        </w:tc>
        <w:tc>
          <w:tcPr>
            <w:tcW w:w="2125" w:type="dxa"/>
            <w:shd w:val="clear" w:color="auto" w:fill="auto"/>
          </w:tcPr>
          <w:p w:rsidR="00572A20" w:rsidRPr="00392A4E" w:rsidRDefault="00572A20" w:rsidP="00392A4E">
            <w:pPr>
              <w:pStyle w:val="Tabletext"/>
            </w:pPr>
            <w:r w:rsidRPr="00392A4E">
              <w:t>101</w:t>
            </w:r>
          </w:p>
        </w:tc>
        <w:tc>
          <w:tcPr>
            <w:tcW w:w="2125" w:type="dxa"/>
            <w:shd w:val="clear" w:color="auto" w:fill="auto"/>
            <w:vAlign w:val="bottom"/>
          </w:tcPr>
          <w:p w:rsidR="00572A20" w:rsidRPr="00392A4E" w:rsidRDefault="00572A20" w:rsidP="00392A4E">
            <w:pPr>
              <w:pStyle w:val="Tabletext"/>
            </w:pPr>
            <w:r w:rsidRPr="00392A4E">
              <w:t>17.90</w:t>
            </w:r>
          </w:p>
        </w:tc>
        <w:tc>
          <w:tcPr>
            <w:tcW w:w="2125" w:type="dxa"/>
            <w:shd w:val="clear" w:color="auto" w:fill="auto"/>
            <w:vAlign w:val="center"/>
          </w:tcPr>
          <w:p w:rsidR="00572A20" w:rsidRPr="00392A4E" w:rsidRDefault="00572A20" w:rsidP="00392A4E">
            <w:pPr>
              <w:pStyle w:val="Tabletext"/>
            </w:pPr>
            <w:r w:rsidRPr="00392A4E">
              <w:t>27.50</w:t>
            </w:r>
          </w:p>
        </w:tc>
      </w:tr>
      <w:tr w:rsidR="00572A20" w:rsidRPr="00392A4E" w:rsidTr="00243E0B">
        <w:tc>
          <w:tcPr>
            <w:tcW w:w="714" w:type="dxa"/>
            <w:shd w:val="clear" w:color="auto" w:fill="auto"/>
          </w:tcPr>
          <w:p w:rsidR="00572A20" w:rsidRPr="00392A4E" w:rsidRDefault="00572A20" w:rsidP="00392A4E">
            <w:pPr>
              <w:pStyle w:val="Tabletext"/>
            </w:pPr>
            <w:r w:rsidRPr="00392A4E">
              <w:t>10</w:t>
            </w:r>
          </w:p>
        </w:tc>
        <w:tc>
          <w:tcPr>
            <w:tcW w:w="2125" w:type="dxa"/>
            <w:shd w:val="clear" w:color="auto" w:fill="auto"/>
          </w:tcPr>
          <w:p w:rsidR="00572A20" w:rsidRPr="00392A4E" w:rsidRDefault="00572A20" w:rsidP="00392A4E">
            <w:pPr>
              <w:pStyle w:val="Tabletext"/>
            </w:pPr>
            <w:r w:rsidRPr="00392A4E">
              <w:t>102</w:t>
            </w:r>
          </w:p>
        </w:tc>
        <w:tc>
          <w:tcPr>
            <w:tcW w:w="2125" w:type="dxa"/>
            <w:shd w:val="clear" w:color="auto" w:fill="auto"/>
            <w:vAlign w:val="bottom"/>
          </w:tcPr>
          <w:p w:rsidR="00572A20" w:rsidRPr="00392A4E" w:rsidRDefault="00572A20" w:rsidP="00392A4E">
            <w:pPr>
              <w:pStyle w:val="Tabletext"/>
            </w:pPr>
            <w:r w:rsidRPr="00392A4E">
              <w:t>19.80</w:t>
            </w:r>
          </w:p>
        </w:tc>
        <w:tc>
          <w:tcPr>
            <w:tcW w:w="2125" w:type="dxa"/>
            <w:shd w:val="clear" w:color="auto" w:fill="auto"/>
            <w:vAlign w:val="center"/>
          </w:tcPr>
          <w:p w:rsidR="00572A20" w:rsidRPr="00392A4E" w:rsidRDefault="00572A20" w:rsidP="00392A4E">
            <w:pPr>
              <w:pStyle w:val="Tabletext"/>
            </w:pPr>
            <w:r w:rsidRPr="00392A4E">
              <w:t>29.69</w:t>
            </w:r>
          </w:p>
        </w:tc>
      </w:tr>
      <w:tr w:rsidR="00572A20" w:rsidRPr="00392A4E" w:rsidTr="00243E0B">
        <w:tc>
          <w:tcPr>
            <w:tcW w:w="714" w:type="dxa"/>
            <w:shd w:val="clear" w:color="auto" w:fill="auto"/>
          </w:tcPr>
          <w:p w:rsidR="00572A20" w:rsidRPr="00392A4E" w:rsidRDefault="00572A20" w:rsidP="00392A4E">
            <w:pPr>
              <w:pStyle w:val="Tabletext"/>
            </w:pPr>
            <w:r w:rsidRPr="00392A4E">
              <w:t>11</w:t>
            </w:r>
          </w:p>
        </w:tc>
        <w:tc>
          <w:tcPr>
            <w:tcW w:w="2125" w:type="dxa"/>
            <w:shd w:val="clear" w:color="auto" w:fill="auto"/>
          </w:tcPr>
          <w:p w:rsidR="00572A20" w:rsidRPr="00392A4E" w:rsidRDefault="00572A20" w:rsidP="00392A4E">
            <w:pPr>
              <w:pStyle w:val="Tabletext"/>
            </w:pPr>
            <w:r w:rsidRPr="00392A4E">
              <w:t>103</w:t>
            </w:r>
          </w:p>
        </w:tc>
        <w:tc>
          <w:tcPr>
            <w:tcW w:w="2125" w:type="dxa"/>
            <w:shd w:val="clear" w:color="auto" w:fill="auto"/>
            <w:vAlign w:val="bottom"/>
          </w:tcPr>
          <w:p w:rsidR="00572A20" w:rsidRPr="00392A4E" w:rsidRDefault="00572A20" w:rsidP="00392A4E">
            <w:pPr>
              <w:pStyle w:val="Tabletext"/>
            </w:pPr>
            <w:r w:rsidRPr="00392A4E">
              <w:t>21.70</w:t>
            </w:r>
          </w:p>
        </w:tc>
        <w:tc>
          <w:tcPr>
            <w:tcW w:w="2125" w:type="dxa"/>
            <w:shd w:val="clear" w:color="auto" w:fill="auto"/>
            <w:vAlign w:val="center"/>
          </w:tcPr>
          <w:p w:rsidR="00572A20" w:rsidRPr="00392A4E" w:rsidRDefault="00572A20" w:rsidP="00392A4E">
            <w:pPr>
              <w:pStyle w:val="Tabletext"/>
            </w:pPr>
            <w:r w:rsidRPr="00392A4E">
              <w:t>31.88</w:t>
            </w:r>
          </w:p>
        </w:tc>
      </w:tr>
      <w:tr w:rsidR="00572A20" w:rsidRPr="00392A4E" w:rsidTr="00243E0B">
        <w:tc>
          <w:tcPr>
            <w:tcW w:w="714" w:type="dxa"/>
            <w:shd w:val="clear" w:color="auto" w:fill="auto"/>
          </w:tcPr>
          <w:p w:rsidR="00572A20" w:rsidRPr="00392A4E" w:rsidRDefault="00572A20" w:rsidP="00392A4E">
            <w:pPr>
              <w:pStyle w:val="Tabletext"/>
            </w:pPr>
            <w:r w:rsidRPr="00392A4E">
              <w:t>12</w:t>
            </w:r>
          </w:p>
        </w:tc>
        <w:tc>
          <w:tcPr>
            <w:tcW w:w="2125" w:type="dxa"/>
            <w:shd w:val="clear" w:color="auto" w:fill="auto"/>
          </w:tcPr>
          <w:p w:rsidR="00572A20" w:rsidRPr="00392A4E" w:rsidRDefault="00572A20" w:rsidP="00392A4E">
            <w:pPr>
              <w:pStyle w:val="Tabletext"/>
            </w:pPr>
            <w:r w:rsidRPr="00392A4E">
              <w:t>104</w:t>
            </w:r>
          </w:p>
        </w:tc>
        <w:tc>
          <w:tcPr>
            <w:tcW w:w="2125" w:type="dxa"/>
            <w:shd w:val="clear" w:color="auto" w:fill="auto"/>
            <w:vAlign w:val="bottom"/>
          </w:tcPr>
          <w:p w:rsidR="00572A20" w:rsidRPr="00392A4E" w:rsidRDefault="00572A20" w:rsidP="00392A4E">
            <w:pPr>
              <w:pStyle w:val="Tabletext"/>
            </w:pPr>
            <w:r w:rsidRPr="00392A4E">
              <w:t>23.60</w:t>
            </w:r>
          </w:p>
        </w:tc>
        <w:tc>
          <w:tcPr>
            <w:tcW w:w="2125" w:type="dxa"/>
            <w:shd w:val="clear" w:color="auto" w:fill="auto"/>
            <w:vAlign w:val="center"/>
          </w:tcPr>
          <w:p w:rsidR="00572A20" w:rsidRPr="00392A4E" w:rsidRDefault="00572A20" w:rsidP="00392A4E">
            <w:pPr>
              <w:pStyle w:val="Tabletext"/>
            </w:pPr>
            <w:r w:rsidRPr="00392A4E">
              <w:t>34.06</w:t>
            </w:r>
          </w:p>
        </w:tc>
      </w:tr>
      <w:tr w:rsidR="00572A20" w:rsidRPr="00392A4E" w:rsidTr="00243E0B">
        <w:tc>
          <w:tcPr>
            <w:tcW w:w="714" w:type="dxa"/>
            <w:shd w:val="clear" w:color="auto" w:fill="auto"/>
          </w:tcPr>
          <w:p w:rsidR="00572A20" w:rsidRPr="00392A4E" w:rsidRDefault="00572A20" w:rsidP="00392A4E">
            <w:pPr>
              <w:pStyle w:val="Tabletext"/>
            </w:pPr>
            <w:r w:rsidRPr="00392A4E">
              <w:t>13</w:t>
            </w:r>
          </w:p>
        </w:tc>
        <w:tc>
          <w:tcPr>
            <w:tcW w:w="2125" w:type="dxa"/>
            <w:shd w:val="clear" w:color="auto" w:fill="auto"/>
          </w:tcPr>
          <w:p w:rsidR="00572A20" w:rsidRPr="00392A4E" w:rsidRDefault="00572A20" w:rsidP="00392A4E">
            <w:pPr>
              <w:pStyle w:val="Tabletext"/>
            </w:pPr>
            <w:r w:rsidRPr="00392A4E">
              <w:t>105</w:t>
            </w:r>
          </w:p>
        </w:tc>
        <w:tc>
          <w:tcPr>
            <w:tcW w:w="2125" w:type="dxa"/>
            <w:shd w:val="clear" w:color="auto" w:fill="auto"/>
            <w:vAlign w:val="bottom"/>
          </w:tcPr>
          <w:p w:rsidR="00572A20" w:rsidRPr="00392A4E" w:rsidRDefault="00572A20" w:rsidP="00392A4E">
            <w:pPr>
              <w:pStyle w:val="Tabletext"/>
            </w:pPr>
            <w:r w:rsidRPr="00392A4E">
              <w:t>25.50</w:t>
            </w:r>
          </w:p>
        </w:tc>
        <w:tc>
          <w:tcPr>
            <w:tcW w:w="2125" w:type="dxa"/>
            <w:shd w:val="clear" w:color="auto" w:fill="auto"/>
            <w:vAlign w:val="center"/>
          </w:tcPr>
          <w:p w:rsidR="00572A20" w:rsidRPr="00392A4E" w:rsidRDefault="00572A20" w:rsidP="00392A4E">
            <w:pPr>
              <w:pStyle w:val="Tabletext"/>
            </w:pPr>
            <w:r w:rsidRPr="00392A4E">
              <w:t>36.25</w:t>
            </w:r>
          </w:p>
        </w:tc>
      </w:tr>
      <w:tr w:rsidR="00572A20" w:rsidRPr="00392A4E" w:rsidTr="00243E0B">
        <w:tc>
          <w:tcPr>
            <w:tcW w:w="714" w:type="dxa"/>
            <w:shd w:val="clear" w:color="auto" w:fill="auto"/>
          </w:tcPr>
          <w:p w:rsidR="00572A20" w:rsidRPr="00392A4E" w:rsidRDefault="00572A20" w:rsidP="00392A4E">
            <w:pPr>
              <w:pStyle w:val="Tabletext"/>
            </w:pPr>
            <w:r w:rsidRPr="00392A4E">
              <w:t>14</w:t>
            </w:r>
          </w:p>
        </w:tc>
        <w:tc>
          <w:tcPr>
            <w:tcW w:w="2125" w:type="dxa"/>
            <w:shd w:val="clear" w:color="auto" w:fill="auto"/>
          </w:tcPr>
          <w:p w:rsidR="00572A20" w:rsidRPr="00392A4E" w:rsidRDefault="00572A20" w:rsidP="00392A4E">
            <w:pPr>
              <w:pStyle w:val="Tabletext"/>
            </w:pPr>
            <w:r w:rsidRPr="00392A4E">
              <w:t>106</w:t>
            </w:r>
          </w:p>
        </w:tc>
        <w:tc>
          <w:tcPr>
            <w:tcW w:w="2125" w:type="dxa"/>
            <w:shd w:val="clear" w:color="auto" w:fill="auto"/>
            <w:vAlign w:val="bottom"/>
          </w:tcPr>
          <w:p w:rsidR="00572A20" w:rsidRPr="00392A4E" w:rsidRDefault="00572A20" w:rsidP="00392A4E">
            <w:pPr>
              <w:pStyle w:val="Tabletext"/>
            </w:pPr>
            <w:r w:rsidRPr="00392A4E">
              <w:t>27.40</w:t>
            </w:r>
          </w:p>
        </w:tc>
        <w:tc>
          <w:tcPr>
            <w:tcW w:w="2125" w:type="dxa"/>
            <w:shd w:val="clear" w:color="auto" w:fill="auto"/>
            <w:vAlign w:val="center"/>
          </w:tcPr>
          <w:p w:rsidR="00572A20" w:rsidRPr="00392A4E" w:rsidRDefault="00572A20" w:rsidP="00392A4E">
            <w:pPr>
              <w:pStyle w:val="Tabletext"/>
            </w:pPr>
            <w:r w:rsidRPr="00392A4E">
              <w:t>38.44</w:t>
            </w:r>
          </w:p>
        </w:tc>
      </w:tr>
      <w:tr w:rsidR="00572A20" w:rsidRPr="00392A4E" w:rsidTr="00243E0B">
        <w:tc>
          <w:tcPr>
            <w:tcW w:w="714" w:type="dxa"/>
            <w:shd w:val="clear" w:color="auto" w:fill="auto"/>
          </w:tcPr>
          <w:p w:rsidR="00572A20" w:rsidRPr="00392A4E" w:rsidRDefault="00572A20" w:rsidP="00392A4E">
            <w:pPr>
              <w:pStyle w:val="Tabletext"/>
            </w:pPr>
            <w:r w:rsidRPr="00392A4E">
              <w:t>15</w:t>
            </w:r>
          </w:p>
        </w:tc>
        <w:tc>
          <w:tcPr>
            <w:tcW w:w="2125" w:type="dxa"/>
            <w:shd w:val="clear" w:color="auto" w:fill="auto"/>
          </w:tcPr>
          <w:p w:rsidR="00572A20" w:rsidRPr="00392A4E" w:rsidRDefault="00572A20" w:rsidP="00392A4E">
            <w:pPr>
              <w:pStyle w:val="Tabletext"/>
            </w:pPr>
            <w:r w:rsidRPr="00392A4E">
              <w:t>107</w:t>
            </w:r>
          </w:p>
        </w:tc>
        <w:tc>
          <w:tcPr>
            <w:tcW w:w="2125" w:type="dxa"/>
            <w:shd w:val="clear" w:color="auto" w:fill="auto"/>
            <w:vAlign w:val="bottom"/>
          </w:tcPr>
          <w:p w:rsidR="00572A20" w:rsidRPr="00392A4E" w:rsidRDefault="00572A20" w:rsidP="00392A4E">
            <w:pPr>
              <w:pStyle w:val="Tabletext"/>
            </w:pPr>
            <w:r w:rsidRPr="00392A4E">
              <w:t>29.30</w:t>
            </w:r>
          </w:p>
        </w:tc>
        <w:tc>
          <w:tcPr>
            <w:tcW w:w="2125" w:type="dxa"/>
            <w:shd w:val="clear" w:color="auto" w:fill="auto"/>
            <w:vAlign w:val="center"/>
          </w:tcPr>
          <w:p w:rsidR="00572A20" w:rsidRPr="00392A4E" w:rsidRDefault="00572A20" w:rsidP="00392A4E">
            <w:pPr>
              <w:pStyle w:val="Tabletext"/>
            </w:pPr>
            <w:r w:rsidRPr="00392A4E">
              <w:t>40.63</w:t>
            </w:r>
          </w:p>
        </w:tc>
      </w:tr>
      <w:tr w:rsidR="00572A20" w:rsidRPr="00392A4E" w:rsidTr="00243E0B">
        <w:tc>
          <w:tcPr>
            <w:tcW w:w="714" w:type="dxa"/>
            <w:shd w:val="clear" w:color="auto" w:fill="auto"/>
          </w:tcPr>
          <w:p w:rsidR="00572A20" w:rsidRPr="00392A4E" w:rsidRDefault="00572A20" w:rsidP="00392A4E">
            <w:pPr>
              <w:pStyle w:val="Tabletext"/>
            </w:pPr>
            <w:r w:rsidRPr="00392A4E">
              <w:t>16</w:t>
            </w:r>
          </w:p>
        </w:tc>
        <w:tc>
          <w:tcPr>
            <w:tcW w:w="2125" w:type="dxa"/>
            <w:shd w:val="clear" w:color="auto" w:fill="auto"/>
          </w:tcPr>
          <w:p w:rsidR="00572A20" w:rsidRPr="00392A4E" w:rsidRDefault="00572A20" w:rsidP="00392A4E">
            <w:pPr>
              <w:pStyle w:val="Tabletext"/>
            </w:pPr>
            <w:r w:rsidRPr="00392A4E">
              <w:t>108</w:t>
            </w:r>
          </w:p>
        </w:tc>
        <w:tc>
          <w:tcPr>
            <w:tcW w:w="2125" w:type="dxa"/>
            <w:shd w:val="clear" w:color="auto" w:fill="auto"/>
            <w:vAlign w:val="bottom"/>
          </w:tcPr>
          <w:p w:rsidR="00572A20" w:rsidRPr="00392A4E" w:rsidRDefault="00572A20" w:rsidP="00392A4E">
            <w:pPr>
              <w:pStyle w:val="Tabletext"/>
            </w:pPr>
            <w:r w:rsidRPr="00392A4E">
              <w:t>31.20</w:t>
            </w:r>
          </w:p>
        </w:tc>
        <w:tc>
          <w:tcPr>
            <w:tcW w:w="2125" w:type="dxa"/>
            <w:shd w:val="clear" w:color="auto" w:fill="auto"/>
            <w:vAlign w:val="center"/>
          </w:tcPr>
          <w:p w:rsidR="00572A20" w:rsidRPr="00392A4E" w:rsidRDefault="00572A20" w:rsidP="00392A4E">
            <w:pPr>
              <w:pStyle w:val="Tabletext"/>
            </w:pPr>
            <w:r w:rsidRPr="00392A4E">
              <w:t>42.81</w:t>
            </w:r>
          </w:p>
        </w:tc>
      </w:tr>
      <w:tr w:rsidR="00572A20" w:rsidRPr="00392A4E" w:rsidTr="00243E0B">
        <w:tc>
          <w:tcPr>
            <w:tcW w:w="714" w:type="dxa"/>
            <w:shd w:val="clear" w:color="auto" w:fill="auto"/>
          </w:tcPr>
          <w:p w:rsidR="00572A20" w:rsidRPr="00392A4E" w:rsidRDefault="00572A20" w:rsidP="00392A4E">
            <w:pPr>
              <w:pStyle w:val="Tabletext"/>
            </w:pPr>
            <w:r w:rsidRPr="00392A4E">
              <w:t>17</w:t>
            </w:r>
          </w:p>
        </w:tc>
        <w:tc>
          <w:tcPr>
            <w:tcW w:w="2125" w:type="dxa"/>
            <w:shd w:val="clear" w:color="auto" w:fill="auto"/>
          </w:tcPr>
          <w:p w:rsidR="00572A20" w:rsidRPr="00392A4E" w:rsidRDefault="00572A20" w:rsidP="00392A4E">
            <w:pPr>
              <w:pStyle w:val="Tabletext"/>
            </w:pPr>
            <w:r w:rsidRPr="00392A4E">
              <w:t>109</w:t>
            </w:r>
          </w:p>
        </w:tc>
        <w:tc>
          <w:tcPr>
            <w:tcW w:w="2125" w:type="dxa"/>
            <w:shd w:val="clear" w:color="auto" w:fill="auto"/>
            <w:vAlign w:val="bottom"/>
          </w:tcPr>
          <w:p w:rsidR="00572A20" w:rsidRPr="00392A4E" w:rsidRDefault="00572A20" w:rsidP="00392A4E">
            <w:pPr>
              <w:pStyle w:val="Tabletext"/>
            </w:pPr>
            <w:r w:rsidRPr="00392A4E">
              <w:t>33.10</w:t>
            </w:r>
          </w:p>
        </w:tc>
        <w:tc>
          <w:tcPr>
            <w:tcW w:w="2125" w:type="dxa"/>
            <w:shd w:val="clear" w:color="auto" w:fill="auto"/>
            <w:vAlign w:val="center"/>
          </w:tcPr>
          <w:p w:rsidR="00572A20" w:rsidRPr="00392A4E" w:rsidRDefault="00572A20" w:rsidP="00392A4E">
            <w:pPr>
              <w:pStyle w:val="Tabletext"/>
            </w:pPr>
            <w:r w:rsidRPr="00392A4E">
              <w:t>45.00</w:t>
            </w:r>
          </w:p>
        </w:tc>
      </w:tr>
      <w:tr w:rsidR="00572A20" w:rsidRPr="00392A4E" w:rsidTr="00243E0B">
        <w:tc>
          <w:tcPr>
            <w:tcW w:w="714" w:type="dxa"/>
            <w:shd w:val="clear" w:color="auto" w:fill="auto"/>
          </w:tcPr>
          <w:p w:rsidR="00572A20" w:rsidRPr="00392A4E" w:rsidRDefault="00572A20" w:rsidP="00392A4E">
            <w:pPr>
              <w:pStyle w:val="Tabletext"/>
            </w:pPr>
            <w:r w:rsidRPr="00392A4E">
              <w:t>18</w:t>
            </w:r>
          </w:p>
        </w:tc>
        <w:tc>
          <w:tcPr>
            <w:tcW w:w="2125" w:type="dxa"/>
            <w:shd w:val="clear" w:color="auto" w:fill="auto"/>
          </w:tcPr>
          <w:p w:rsidR="00572A20" w:rsidRPr="00392A4E" w:rsidRDefault="00572A20" w:rsidP="00392A4E">
            <w:pPr>
              <w:pStyle w:val="Tabletext"/>
            </w:pPr>
            <w:r w:rsidRPr="00392A4E">
              <w:t>110</w:t>
            </w:r>
          </w:p>
        </w:tc>
        <w:tc>
          <w:tcPr>
            <w:tcW w:w="2125" w:type="dxa"/>
            <w:shd w:val="clear" w:color="auto" w:fill="auto"/>
            <w:vAlign w:val="bottom"/>
          </w:tcPr>
          <w:p w:rsidR="00572A20" w:rsidRPr="00392A4E" w:rsidRDefault="00572A20" w:rsidP="00392A4E">
            <w:pPr>
              <w:pStyle w:val="Tabletext"/>
            </w:pPr>
            <w:r w:rsidRPr="00392A4E">
              <w:t>35.00</w:t>
            </w:r>
          </w:p>
        </w:tc>
        <w:tc>
          <w:tcPr>
            <w:tcW w:w="2125" w:type="dxa"/>
            <w:shd w:val="clear" w:color="auto" w:fill="auto"/>
            <w:vAlign w:val="center"/>
          </w:tcPr>
          <w:p w:rsidR="00572A20" w:rsidRPr="00392A4E" w:rsidRDefault="00572A20" w:rsidP="00392A4E">
            <w:pPr>
              <w:pStyle w:val="Tabletext"/>
            </w:pPr>
            <w:r w:rsidRPr="00392A4E">
              <w:t>47.19</w:t>
            </w:r>
          </w:p>
        </w:tc>
      </w:tr>
      <w:tr w:rsidR="00572A20" w:rsidRPr="00392A4E" w:rsidTr="00243E0B">
        <w:tc>
          <w:tcPr>
            <w:tcW w:w="714" w:type="dxa"/>
            <w:shd w:val="clear" w:color="auto" w:fill="auto"/>
          </w:tcPr>
          <w:p w:rsidR="00572A20" w:rsidRPr="00392A4E" w:rsidRDefault="00572A20" w:rsidP="00392A4E">
            <w:pPr>
              <w:pStyle w:val="Tabletext"/>
            </w:pPr>
            <w:r w:rsidRPr="00392A4E">
              <w:t>19</w:t>
            </w:r>
          </w:p>
        </w:tc>
        <w:tc>
          <w:tcPr>
            <w:tcW w:w="2125" w:type="dxa"/>
            <w:shd w:val="clear" w:color="auto" w:fill="auto"/>
          </w:tcPr>
          <w:p w:rsidR="00572A20" w:rsidRPr="00392A4E" w:rsidRDefault="00572A20" w:rsidP="00392A4E">
            <w:pPr>
              <w:pStyle w:val="Tabletext"/>
            </w:pPr>
            <w:r w:rsidRPr="00392A4E">
              <w:t>111</w:t>
            </w:r>
          </w:p>
        </w:tc>
        <w:tc>
          <w:tcPr>
            <w:tcW w:w="2125" w:type="dxa"/>
            <w:shd w:val="clear" w:color="auto" w:fill="auto"/>
            <w:vAlign w:val="bottom"/>
          </w:tcPr>
          <w:p w:rsidR="00572A20" w:rsidRPr="00392A4E" w:rsidRDefault="00572A20" w:rsidP="00392A4E">
            <w:pPr>
              <w:pStyle w:val="Tabletext"/>
            </w:pPr>
            <w:r w:rsidRPr="00392A4E">
              <w:t>37.62</w:t>
            </w:r>
          </w:p>
        </w:tc>
        <w:tc>
          <w:tcPr>
            <w:tcW w:w="2125" w:type="dxa"/>
            <w:shd w:val="clear" w:color="auto" w:fill="auto"/>
            <w:vAlign w:val="center"/>
          </w:tcPr>
          <w:p w:rsidR="00572A20" w:rsidRPr="00392A4E" w:rsidRDefault="00572A20" w:rsidP="00392A4E">
            <w:pPr>
              <w:pStyle w:val="Tabletext"/>
            </w:pPr>
            <w:r w:rsidRPr="00392A4E">
              <w:t>49.38</w:t>
            </w:r>
          </w:p>
        </w:tc>
      </w:tr>
      <w:tr w:rsidR="00572A20" w:rsidRPr="00392A4E" w:rsidTr="00243E0B">
        <w:tc>
          <w:tcPr>
            <w:tcW w:w="714" w:type="dxa"/>
            <w:shd w:val="clear" w:color="auto" w:fill="auto"/>
          </w:tcPr>
          <w:p w:rsidR="00572A20" w:rsidRPr="00392A4E" w:rsidRDefault="00572A20" w:rsidP="00392A4E">
            <w:pPr>
              <w:pStyle w:val="Tabletext"/>
            </w:pPr>
            <w:r w:rsidRPr="00392A4E">
              <w:t>20</w:t>
            </w:r>
          </w:p>
        </w:tc>
        <w:tc>
          <w:tcPr>
            <w:tcW w:w="2125" w:type="dxa"/>
            <w:shd w:val="clear" w:color="auto" w:fill="auto"/>
          </w:tcPr>
          <w:p w:rsidR="00572A20" w:rsidRPr="00392A4E" w:rsidRDefault="00572A20" w:rsidP="00392A4E">
            <w:pPr>
              <w:pStyle w:val="Tabletext"/>
            </w:pPr>
            <w:r w:rsidRPr="00392A4E">
              <w:t>112</w:t>
            </w:r>
          </w:p>
        </w:tc>
        <w:tc>
          <w:tcPr>
            <w:tcW w:w="2125" w:type="dxa"/>
            <w:shd w:val="clear" w:color="auto" w:fill="auto"/>
            <w:vAlign w:val="bottom"/>
          </w:tcPr>
          <w:p w:rsidR="00572A20" w:rsidRPr="00392A4E" w:rsidRDefault="00572A20" w:rsidP="00392A4E">
            <w:pPr>
              <w:pStyle w:val="Tabletext"/>
            </w:pPr>
            <w:r w:rsidRPr="00392A4E">
              <w:t>40.23</w:t>
            </w:r>
          </w:p>
        </w:tc>
        <w:tc>
          <w:tcPr>
            <w:tcW w:w="2125" w:type="dxa"/>
            <w:shd w:val="clear" w:color="auto" w:fill="auto"/>
            <w:vAlign w:val="center"/>
          </w:tcPr>
          <w:p w:rsidR="00572A20" w:rsidRPr="00392A4E" w:rsidRDefault="00572A20" w:rsidP="00392A4E">
            <w:pPr>
              <w:pStyle w:val="Tabletext"/>
            </w:pPr>
            <w:r w:rsidRPr="00392A4E">
              <w:t>51.56</w:t>
            </w:r>
          </w:p>
        </w:tc>
      </w:tr>
      <w:tr w:rsidR="00572A20" w:rsidRPr="00392A4E" w:rsidTr="00243E0B">
        <w:tc>
          <w:tcPr>
            <w:tcW w:w="714" w:type="dxa"/>
            <w:shd w:val="clear" w:color="auto" w:fill="auto"/>
          </w:tcPr>
          <w:p w:rsidR="00572A20" w:rsidRPr="00392A4E" w:rsidRDefault="00572A20" w:rsidP="00392A4E">
            <w:pPr>
              <w:pStyle w:val="Tabletext"/>
            </w:pPr>
            <w:r w:rsidRPr="00392A4E">
              <w:t>21</w:t>
            </w:r>
          </w:p>
        </w:tc>
        <w:tc>
          <w:tcPr>
            <w:tcW w:w="2125" w:type="dxa"/>
            <w:shd w:val="clear" w:color="auto" w:fill="auto"/>
          </w:tcPr>
          <w:p w:rsidR="00572A20" w:rsidRPr="00392A4E" w:rsidRDefault="00572A20" w:rsidP="00392A4E">
            <w:pPr>
              <w:pStyle w:val="Tabletext"/>
            </w:pPr>
            <w:r w:rsidRPr="00392A4E">
              <w:t>113</w:t>
            </w:r>
          </w:p>
        </w:tc>
        <w:tc>
          <w:tcPr>
            <w:tcW w:w="2125" w:type="dxa"/>
            <w:shd w:val="clear" w:color="auto" w:fill="auto"/>
            <w:vAlign w:val="bottom"/>
          </w:tcPr>
          <w:p w:rsidR="00572A20" w:rsidRPr="00392A4E" w:rsidRDefault="00572A20" w:rsidP="00392A4E">
            <w:pPr>
              <w:pStyle w:val="Tabletext"/>
            </w:pPr>
            <w:r w:rsidRPr="00392A4E">
              <w:t>42.85</w:t>
            </w:r>
          </w:p>
        </w:tc>
        <w:tc>
          <w:tcPr>
            <w:tcW w:w="2125" w:type="dxa"/>
            <w:shd w:val="clear" w:color="auto" w:fill="auto"/>
            <w:vAlign w:val="center"/>
          </w:tcPr>
          <w:p w:rsidR="00572A20" w:rsidRPr="00392A4E" w:rsidRDefault="00572A20" w:rsidP="00392A4E">
            <w:pPr>
              <w:pStyle w:val="Tabletext"/>
            </w:pPr>
            <w:r w:rsidRPr="00392A4E">
              <w:t>53.75</w:t>
            </w:r>
          </w:p>
        </w:tc>
      </w:tr>
      <w:tr w:rsidR="00572A20" w:rsidRPr="00392A4E" w:rsidTr="00243E0B">
        <w:tc>
          <w:tcPr>
            <w:tcW w:w="714" w:type="dxa"/>
            <w:shd w:val="clear" w:color="auto" w:fill="auto"/>
          </w:tcPr>
          <w:p w:rsidR="00572A20" w:rsidRPr="00392A4E" w:rsidRDefault="00572A20" w:rsidP="00392A4E">
            <w:pPr>
              <w:pStyle w:val="Tabletext"/>
            </w:pPr>
            <w:r w:rsidRPr="00392A4E">
              <w:t>22</w:t>
            </w:r>
          </w:p>
        </w:tc>
        <w:tc>
          <w:tcPr>
            <w:tcW w:w="2125" w:type="dxa"/>
            <w:shd w:val="clear" w:color="auto" w:fill="auto"/>
          </w:tcPr>
          <w:p w:rsidR="00572A20" w:rsidRPr="00392A4E" w:rsidRDefault="00572A20" w:rsidP="00392A4E">
            <w:pPr>
              <w:pStyle w:val="Tabletext"/>
            </w:pPr>
            <w:r w:rsidRPr="00392A4E">
              <w:t>114</w:t>
            </w:r>
          </w:p>
        </w:tc>
        <w:tc>
          <w:tcPr>
            <w:tcW w:w="2125" w:type="dxa"/>
            <w:shd w:val="clear" w:color="auto" w:fill="auto"/>
            <w:vAlign w:val="bottom"/>
          </w:tcPr>
          <w:p w:rsidR="00572A20" w:rsidRPr="00392A4E" w:rsidRDefault="00572A20" w:rsidP="00392A4E">
            <w:pPr>
              <w:pStyle w:val="Tabletext"/>
            </w:pPr>
            <w:r w:rsidRPr="00392A4E">
              <w:t>45.46</w:t>
            </w:r>
          </w:p>
        </w:tc>
        <w:tc>
          <w:tcPr>
            <w:tcW w:w="2125" w:type="dxa"/>
            <w:shd w:val="clear" w:color="auto" w:fill="auto"/>
            <w:vAlign w:val="center"/>
          </w:tcPr>
          <w:p w:rsidR="00572A20" w:rsidRPr="00392A4E" w:rsidRDefault="00572A20" w:rsidP="00392A4E">
            <w:pPr>
              <w:pStyle w:val="Tabletext"/>
            </w:pPr>
            <w:r w:rsidRPr="00392A4E">
              <w:t>55.94</w:t>
            </w:r>
          </w:p>
        </w:tc>
      </w:tr>
      <w:tr w:rsidR="00572A20" w:rsidRPr="00392A4E" w:rsidTr="00243E0B">
        <w:tc>
          <w:tcPr>
            <w:tcW w:w="714" w:type="dxa"/>
            <w:shd w:val="clear" w:color="auto" w:fill="auto"/>
          </w:tcPr>
          <w:p w:rsidR="00572A20" w:rsidRPr="00392A4E" w:rsidRDefault="00572A20" w:rsidP="00392A4E">
            <w:pPr>
              <w:pStyle w:val="Tabletext"/>
            </w:pPr>
            <w:r w:rsidRPr="00392A4E">
              <w:t>23</w:t>
            </w:r>
          </w:p>
        </w:tc>
        <w:tc>
          <w:tcPr>
            <w:tcW w:w="2125" w:type="dxa"/>
            <w:shd w:val="clear" w:color="auto" w:fill="auto"/>
          </w:tcPr>
          <w:p w:rsidR="00572A20" w:rsidRPr="00392A4E" w:rsidRDefault="00572A20" w:rsidP="00392A4E">
            <w:pPr>
              <w:pStyle w:val="Tabletext"/>
            </w:pPr>
            <w:r w:rsidRPr="00392A4E">
              <w:t>115</w:t>
            </w:r>
          </w:p>
        </w:tc>
        <w:tc>
          <w:tcPr>
            <w:tcW w:w="2125" w:type="dxa"/>
            <w:shd w:val="clear" w:color="auto" w:fill="auto"/>
            <w:vAlign w:val="bottom"/>
          </w:tcPr>
          <w:p w:rsidR="00572A20" w:rsidRPr="00392A4E" w:rsidRDefault="00572A20" w:rsidP="00392A4E">
            <w:pPr>
              <w:pStyle w:val="Tabletext"/>
            </w:pPr>
            <w:r w:rsidRPr="00392A4E">
              <w:t>48.08</w:t>
            </w:r>
          </w:p>
        </w:tc>
        <w:tc>
          <w:tcPr>
            <w:tcW w:w="2125" w:type="dxa"/>
            <w:shd w:val="clear" w:color="auto" w:fill="auto"/>
            <w:vAlign w:val="center"/>
          </w:tcPr>
          <w:p w:rsidR="00572A20" w:rsidRPr="00392A4E" w:rsidRDefault="00572A20" w:rsidP="00392A4E">
            <w:pPr>
              <w:pStyle w:val="Tabletext"/>
            </w:pPr>
            <w:r w:rsidRPr="00392A4E">
              <w:t>58.13</w:t>
            </w:r>
          </w:p>
        </w:tc>
      </w:tr>
      <w:tr w:rsidR="00572A20" w:rsidRPr="00392A4E" w:rsidTr="00243E0B">
        <w:tc>
          <w:tcPr>
            <w:tcW w:w="714" w:type="dxa"/>
            <w:shd w:val="clear" w:color="auto" w:fill="auto"/>
          </w:tcPr>
          <w:p w:rsidR="00572A20" w:rsidRPr="00392A4E" w:rsidRDefault="00572A20" w:rsidP="00392A4E">
            <w:pPr>
              <w:pStyle w:val="Tabletext"/>
            </w:pPr>
            <w:r w:rsidRPr="00392A4E">
              <w:t>24</w:t>
            </w:r>
          </w:p>
        </w:tc>
        <w:tc>
          <w:tcPr>
            <w:tcW w:w="2125" w:type="dxa"/>
            <w:shd w:val="clear" w:color="auto" w:fill="auto"/>
          </w:tcPr>
          <w:p w:rsidR="00572A20" w:rsidRPr="00392A4E" w:rsidRDefault="00572A20" w:rsidP="00392A4E">
            <w:pPr>
              <w:pStyle w:val="Tabletext"/>
            </w:pPr>
            <w:r w:rsidRPr="00392A4E">
              <w:t>116</w:t>
            </w:r>
          </w:p>
        </w:tc>
        <w:tc>
          <w:tcPr>
            <w:tcW w:w="2125" w:type="dxa"/>
            <w:shd w:val="clear" w:color="auto" w:fill="auto"/>
            <w:vAlign w:val="bottom"/>
          </w:tcPr>
          <w:p w:rsidR="00572A20" w:rsidRPr="00392A4E" w:rsidRDefault="00572A20" w:rsidP="00392A4E">
            <w:pPr>
              <w:pStyle w:val="Tabletext"/>
            </w:pPr>
            <w:r w:rsidRPr="00392A4E">
              <w:t>50.69</w:t>
            </w:r>
          </w:p>
        </w:tc>
        <w:tc>
          <w:tcPr>
            <w:tcW w:w="2125" w:type="dxa"/>
            <w:shd w:val="clear" w:color="auto" w:fill="auto"/>
            <w:vAlign w:val="center"/>
          </w:tcPr>
          <w:p w:rsidR="00572A20" w:rsidRPr="00392A4E" w:rsidRDefault="00572A20" w:rsidP="00392A4E">
            <w:pPr>
              <w:pStyle w:val="Tabletext"/>
            </w:pPr>
            <w:r w:rsidRPr="00392A4E">
              <w:t>60.31</w:t>
            </w:r>
          </w:p>
        </w:tc>
      </w:tr>
      <w:tr w:rsidR="00572A20" w:rsidRPr="00392A4E" w:rsidTr="00243E0B">
        <w:tc>
          <w:tcPr>
            <w:tcW w:w="714" w:type="dxa"/>
            <w:shd w:val="clear" w:color="auto" w:fill="auto"/>
          </w:tcPr>
          <w:p w:rsidR="00572A20" w:rsidRPr="00392A4E" w:rsidRDefault="00572A20" w:rsidP="00392A4E">
            <w:pPr>
              <w:pStyle w:val="Tabletext"/>
            </w:pPr>
            <w:r w:rsidRPr="00392A4E">
              <w:t>25</w:t>
            </w:r>
          </w:p>
        </w:tc>
        <w:tc>
          <w:tcPr>
            <w:tcW w:w="2125" w:type="dxa"/>
            <w:shd w:val="clear" w:color="auto" w:fill="auto"/>
          </w:tcPr>
          <w:p w:rsidR="00572A20" w:rsidRPr="00392A4E" w:rsidRDefault="00572A20" w:rsidP="00392A4E">
            <w:pPr>
              <w:pStyle w:val="Tabletext"/>
            </w:pPr>
            <w:r w:rsidRPr="00392A4E">
              <w:t>117</w:t>
            </w:r>
          </w:p>
        </w:tc>
        <w:tc>
          <w:tcPr>
            <w:tcW w:w="2125" w:type="dxa"/>
            <w:shd w:val="clear" w:color="auto" w:fill="auto"/>
            <w:vAlign w:val="bottom"/>
          </w:tcPr>
          <w:p w:rsidR="00572A20" w:rsidRPr="00392A4E" w:rsidRDefault="00572A20" w:rsidP="00392A4E">
            <w:pPr>
              <w:pStyle w:val="Tabletext"/>
            </w:pPr>
            <w:r w:rsidRPr="00392A4E">
              <w:t>53.31</w:t>
            </w:r>
          </w:p>
        </w:tc>
        <w:tc>
          <w:tcPr>
            <w:tcW w:w="2125" w:type="dxa"/>
            <w:shd w:val="clear" w:color="auto" w:fill="auto"/>
            <w:vAlign w:val="center"/>
          </w:tcPr>
          <w:p w:rsidR="00572A20" w:rsidRPr="00392A4E" w:rsidRDefault="00572A20" w:rsidP="00392A4E">
            <w:pPr>
              <w:pStyle w:val="Tabletext"/>
            </w:pPr>
            <w:r w:rsidRPr="00392A4E">
              <w:t>62.50</w:t>
            </w:r>
          </w:p>
        </w:tc>
      </w:tr>
      <w:tr w:rsidR="00572A20" w:rsidRPr="00392A4E" w:rsidTr="00243E0B">
        <w:tc>
          <w:tcPr>
            <w:tcW w:w="714" w:type="dxa"/>
            <w:shd w:val="clear" w:color="auto" w:fill="auto"/>
          </w:tcPr>
          <w:p w:rsidR="00572A20" w:rsidRPr="00392A4E" w:rsidRDefault="00572A20" w:rsidP="00392A4E">
            <w:pPr>
              <w:pStyle w:val="Tabletext"/>
            </w:pPr>
            <w:r w:rsidRPr="00392A4E">
              <w:t>26</w:t>
            </w:r>
          </w:p>
        </w:tc>
        <w:tc>
          <w:tcPr>
            <w:tcW w:w="2125" w:type="dxa"/>
            <w:shd w:val="clear" w:color="auto" w:fill="auto"/>
          </w:tcPr>
          <w:p w:rsidR="00572A20" w:rsidRPr="00392A4E" w:rsidRDefault="00572A20" w:rsidP="00392A4E">
            <w:pPr>
              <w:pStyle w:val="Tabletext"/>
            </w:pPr>
            <w:r w:rsidRPr="00392A4E">
              <w:t>118</w:t>
            </w:r>
          </w:p>
        </w:tc>
        <w:tc>
          <w:tcPr>
            <w:tcW w:w="2125" w:type="dxa"/>
            <w:shd w:val="clear" w:color="auto" w:fill="auto"/>
            <w:vAlign w:val="bottom"/>
          </w:tcPr>
          <w:p w:rsidR="00572A20" w:rsidRPr="00392A4E" w:rsidRDefault="00572A20" w:rsidP="00392A4E">
            <w:pPr>
              <w:pStyle w:val="Tabletext"/>
            </w:pPr>
            <w:r w:rsidRPr="00392A4E">
              <w:t>55.92</w:t>
            </w:r>
          </w:p>
        </w:tc>
        <w:tc>
          <w:tcPr>
            <w:tcW w:w="2125" w:type="dxa"/>
            <w:shd w:val="clear" w:color="auto" w:fill="auto"/>
            <w:vAlign w:val="center"/>
          </w:tcPr>
          <w:p w:rsidR="00572A20" w:rsidRPr="00392A4E" w:rsidRDefault="00572A20" w:rsidP="00392A4E">
            <w:pPr>
              <w:pStyle w:val="Tabletext"/>
            </w:pPr>
            <w:r w:rsidRPr="00392A4E">
              <w:t>64.69</w:t>
            </w:r>
          </w:p>
        </w:tc>
      </w:tr>
      <w:tr w:rsidR="00572A20" w:rsidRPr="00392A4E" w:rsidTr="00243E0B">
        <w:tc>
          <w:tcPr>
            <w:tcW w:w="714" w:type="dxa"/>
            <w:shd w:val="clear" w:color="auto" w:fill="auto"/>
          </w:tcPr>
          <w:p w:rsidR="00572A20" w:rsidRPr="00392A4E" w:rsidRDefault="00572A20" w:rsidP="00392A4E">
            <w:pPr>
              <w:pStyle w:val="Tabletext"/>
            </w:pPr>
            <w:r w:rsidRPr="00392A4E">
              <w:t>27</w:t>
            </w:r>
          </w:p>
        </w:tc>
        <w:tc>
          <w:tcPr>
            <w:tcW w:w="2125" w:type="dxa"/>
            <w:shd w:val="clear" w:color="auto" w:fill="auto"/>
          </w:tcPr>
          <w:p w:rsidR="00572A20" w:rsidRPr="00392A4E" w:rsidRDefault="00572A20" w:rsidP="00392A4E">
            <w:pPr>
              <w:pStyle w:val="Tabletext"/>
            </w:pPr>
            <w:r w:rsidRPr="00392A4E">
              <w:t>119</w:t>
            </w:r>
          </w:p>
        </w:tc>
        <w:tc>
          <w:tcPr>
            <w:tcW w:w="2125" w:type="dxa"/>
            <w:shd w:val="clear" w:color="auto" w:fill="auto"/>
            <w:vAlign w:val="bottom"/>
          </w:tcPr>
          <w:p w:rsidR="00572A20" w:rsidRPr="00392A4E" w:rsidRDefault="00572A20" w:rsidP="00392A4E">
            <w:pPr>
              <w:pStyle w:val="Tabletext"/>
            </w:pPr>
            <w:r w:rsidRPr="00392A4E">
              <w:t>58.54</w:t>
            </w:r>
          </w:p>
        </w:tc>
        <w:tc>
          <w:tcPr>
            <w:tcW w:w="2125" w:type="dxa"/>
            <w:shd w:val="clear" w:color="auto" w:fill="auto"/>
            <w:vAlign w:val="center"/>
          </w:tcPr>
          <w:p w:rsidR="00572A20" w:rsidRPr="00392A4E" w:rsidRDefault="00572A20" w:rsidP="00392A4E">
            <w:pPr>
              <w:pStyle w:val="Tabletext"/>
            </w:pPr>
            <w:r w:rsidRPr="00392A4E">
              <w:t>66.88</w:t>
            </w:r>
          </w:p>
        </w:tc>
      </w:tr>
      <w:tr w:rsidR="00572A20" w:rsidRPr="00392A4E" w:rsidTr="00243E0B">
        <w:tc>
          <w:tcPr>
            <w:tcW w:w="714" w:type="dxa"/>
            <w:shd w:val="clear" w:color="auto" w:fill="auto"/>
          </w:tcPr>
          <w:p w:rsidR="00572A20" w:rsidRPr="00392A4E" w:rsidRDefault="00572A20" w:rsidP="00392A4E">
            <w:pPr>
              <w:pStyle w:val="Tabletext"/>
            </w:pPr>
            <w:r w:rsidRPr="00392A4E">
              <w:t>28</w:t>
            </w:r>
          </w:p>
        </w:tc>
        <w:tc>
          <w:tcPr>
            <w:tcW w:w="2125" w:type="dxa"/>
            <w:shd w:val="clear" w:color="auto" w:fill="auto"/>
          </w:tcPr>
          <w:p w:rsidR="00572A20" w:rsidRPr="00392A4E" w:rsidRDefault="00572A20" w:rsidP="00392A4E">
            <w:pPr>
              <w:pStyle w:val="Tabletext"/>
            </w:pPr>
            <w:r w:rsidRPr="00392A4E">
              <w:t>120</w:t>
            </w:r>
          </w:p>
        </w:tc>
        <w:tc>
          <w:tcPr>
            <w:tcW w:w="2125" w:type="dxa"/>
            <w:shd w:val="clear" w:color="auto" w:fill="auto"/>
            <w:vAlign w:val="bottom"/>
          </w:tcPr>
          <w:p w:rsidR="00572A20" w:rsidRPr="00392A4E" w:rsidRDefault="00572A20" w:rsidP="00392A4E">
            <w:pPr>
              <w:pStyle w:val="Tabletext"/>
            </w:pPr>
            <w:r w:rsidRPr="00392A4E">
              <w:t>61.15</w:t>
            </w:r>
          </w:p>
        </w:tc>
        <w:tc>
          <w:tcPr>
            <w:tcW w:w="2125" w:type="dxa"/>
            <w:shd w:val="clear" w:color="auto" w:fill="auto"/>
            <w:vAlign w:val="center"/>
          </w:tcPr>
          <w:p w:rsidR="00572A20" w:rsidRPr="00392A4E" w:rsidRDefault="00572A20" w:rsidP="00392A4E">
            <w:pPr>
              <w:pStyle w:val="Tabletext"/>
            </w:pPr>
            <w:r w:rsidRPr="00392A4E">
              <w:t>69.06</w:t>
            </w:r>
          </w:p>
        </w:tc>
      </w:tr>
      <w:tr w:rsidR="00572A20" w:rsidRPr="00392A4E" w:rsidTr="00243E0B">
        <w:tc>
          <w:tcPr>
            <w:tcW w:w="714" w:type="dxa"/>
            <w:shd w:val="clear" w:color="auto" w:fill="auto"/>
          </w:tcPr>
          <w:p w:rsidR="00572A20" w:rsidRPr="00392A4E" w:rsidRDefault="00572A20" w:rsidP="00392A4E">
            <w:pPr>
              <w:pStyle w:val="Tabletext"/>
            </w:pPr>
            <w:r w:rsidRPr="00392A4E">
              <w:t>29</w:t>
            </w:r>
          </w:p>
        </w:tc>
        <w:tc>
          <w:tcPr>
            <w:tcW w:w="2125" w:type="dxa"/>
            <w:shd w:val="clear" w:color="auto" w:fill="auto"/>
          </w:tcPr>
          <w:p w:rsidR="00572A20" w:rsidRPr="00392A4E" w:rsidRDefault="00572A20" w:rsidP="00392A4E">
            <w:pPr>
              <w:pStyle w:val="Tabletext"/>
            </w:pPr>
            <w:r w:rsidRPr="00392A4E">
              <w:t>121</w:t>
            </w:r>
          </w:p>
        </w:tc>
        <w:tc>
          <w:tcPr>
            <w:tcW w:w="2125" w:type="dxa"/>
            <w:shd w:val="clear" w:color="auto" w:fill="auto"/>
            <w:vAlign w:val="bottom"/>
          </w:tcPr>
          <w:p w:rsidR="00572A20" w:rsidRPr="00392A4E" w:rsidRDefault="00572A20" w:rsidP="00392A4E">
            <w:pPr>
              <w:pStyle w:val="Tabletext"/>
            </w:pPr>
            <w:r w:rsidRPr="00392A4E">
              <w:t>64.92</w:t>
            </w:r>
          </w:p>
        </w:tc>
        <w:tc>
          <w:tcPr>
            <w:tcW w:w="2125" w:type="dxa"/>
            <w:shd w:val="clear" w:color="auto" w:fill="auto"/>
            <w:vAlign w:val="center"/>
          </w:tcPr>
          <w:p w:rsidR="00572A20" w:rsidRPr="00392A4E" w:rsidRDefault="00572A20" w:rsidP="00392A4E">
            <w:pPr>
              <w:pStyle w:val="Tabletext"/>
            </w:pPr>
            <w:r w:rsidRPr="00392A4E">
              <w:t>71.25</w:t>
            </w:r>
          </w:p>
        </w:tc>
      </w:tr>
      <w:tr w:rsidR="00572A20" w:rsidRPr="00392A4E" w:rsidTr="00243E0B">
        <w:tc>
          <w:tcPr>
            <w:tcW w:w="714" w:type="dxa"/>
            <w:shd w:val="clear" w:color="auto" w:fill="auto"/>
          </w:tcPr>
          <w:p w:rsidR="00572A20" w:rsidRPr="00392A4E" w:rsidRDefault="00572A20" w:rsidP="00392A4E">
            <w:pPr>
              <w:pStyle w:val="Tabletext"/>
            </w:pPr>
            <w:r w:rsidRPr="00392A4E">
              <w:t>30</w:t>
            </w:r>
          </w:p>
        </w:tc>
        <w:tc>
          <w:tcPr>
            <w:tcW w:w="2125" w:type="dxa"/>
            <w:shd w:val="clear" w:color="auto" w:fill="auto"/>
          </w:tcPr>
          <w:p w:rsidR="00572A20" w:rsidRPr="00392A4E" w:rsidRDefault="00572A20" w:rsidP="00392A4E">
            <w:pPr>
              <w:pStyle w:val="Tabletext"/>
            </w:pPr>
            <w:r w:rsidRPr="00392A4E">
              <w:t>122</w:t>
            </w:r>
          </w:p>
        </w:tc>
        <w:tc>
          <w:tcPr>
            <w:tcW w:w="2125" w:type="dxa"/>
            <w:shd w:val="clear" w:color="auto" w:fill="auto"/>
            <w:vAlign w:val="bottom"/>
          </w:tcPr>
          <w:p w:rsidR="00572A20" w:rsidRPr="00392A4E" w:rsidRDefault="00572A20" w:rsidP="00392A4E">
            <w:pPr>
              <w:pStyle w:val="Tabletext"/>
            </w:pPr>
            <w:r w:rsidRPr="00392A4E">
              <w:t>68.69</w:t>
            </w:r>
          </w:p>
        </w:tc>
        <w:tc>
          <w:tcPr>
            <w:tcW w:w="2125" w:type="dxa"/>
            <w:shd w:val="clear" w:color="auto" w:fill="auto"/>
            <w:vAlign w:val="center"/>
          </w:tcPr>
          <w:p w:rsidR="00572A20" w:rsidRPr="00392A4E" w:rsidRDefault="00572A20" w:rsidP="00392A4E">
            <w:pPr>
              <w:pStyle w:val="Tabletext"/>
            </w:pPr>
            <w:r w:rsidRPr="00392A4E">
              <w:t>73.44</w:t>
            </w:r>
          </w:p>
        </w:tc>
      </w:tr>
      <w:tr w:rsidR="00572A20" w:rsidRPr="00392A4E" w:rsidTr="00243E0B">
        <w:tc>
          <w:tcPr>
            <w:tcW w:w="714" w:type="dxa"/>
            <w:shd w:val="clear" w:color="auto" w:fill="auto"/>
          </w:tcPr>
          <w:p w:rsidR="00572A20" w:rsidRPr="00392A4E" w:rsidRDefault="00572A20" w:rsidP="00392A4E">
            <w:pPr>
              <w:pStyle w:val="Tabletext"/>
            </w:pPr>
            <w:r w:rsidRPr="00392A4E">
              <w:t>31</w:t>
            </w:r>
          </w:p>
        </w:tc>
        <w:tc>
          <w:tcPr>
            <w:tcW w:w="2125" w:type="dxa"/>
            <w:shd w:val="clear" w:color="auto" w:fill="auto"/>
          </w:tcPr>
          <w:p w:rsidR="00572A20" w:rsidRPr="00392A4E" w:rsidRDefault="00572A20" w:rsidP="00392A4E">
            <w:pPr>
              <w:pStyle w:val="Tabletext"/>
            </w:pPr>
            <w:r w:rsidRPr="00392A4E">
              <w:t>123</w:t>
            </w:r>
          </w:p>
        </w:tc>
        <w:tc>
          <w:tcPr>
            <w:tcW w:w="2125" w:type="dxa"/>
            <w:shd w:val="clear" w:color="auto" w:fill="auto"/>
            <w:vAlign w:val="bottom"/>
          </w:tcPr>
          <w:p w:rsidR="00572A20" w:rsidRPr="00392A4E" w:rsidRDefault="00572A20" w:rsidP="00392A4E">
            <w:pPr>
              <w:pStyle w:val="Tabletext"/>
            </w:pPr>
            <w:r w:rsidRPr="00392A4E">
              <w:t>72.46</w:t>
            </w:r>
          </w:p>
        </w:tc>
        <w:tc>
          <w:tcPr>
            <w:tcW w:w="2125" w:type="dxa"/>
            <w:shd w:val="clear" w:color="auto" w:fill="auto"/>
            <w:vAlign w:val="center"/>
          </w:tcPr>
          <w:p w:rsidR="00572A20" w:rsidRPr="00392A4E" w:rsidRDefault="00572A20" w:rsidP="00392A4E">
            <w:pPr>
              <w:pStyle w:val="Tabletext"/>
            </w:pPr>
            <w:r w:rsidRPr="00392A4E">
              <w:t>75.63</w:t>
            </w:r>
          </w:p>
        </w:tc>
      </w:tr>
      <w:tr w:rsidR="00572A20" w:rsidRPr="00392A4E" w:rsidTr="00243E0B">
        <w:tc>
          <w:tcPr>
            <w:tcW w:w="714" w:type="dxa"/>
            <w:tcBorders>
              <w:bottom w:val="single" w:sz="4" w:space="0" w:color="auto"/>
            </w:tcBorders>
            <w:shd w:val="clear" w:color="auto" w:fill="auto"/>
          </w:tcPr>
          <w:p w:rsidR="00572A20" w:rsidRPr="00392A4E" w:rsidRDefault="00572A20" w:rsidP="00392A4E">
            <w:pPr>
              <w:pStyle w:val="Tabletext"/>
            </w:pPr>
            <w:r w:rsidRPr="00392A4E">
              <w:t>32</w:t>
            </w:r>
          </w:p>
        </w:tc>
        <w:tc>
          <w:tcPr>
            <w:tcW w:w="2125" w:type="dxa"/>
            <w:tcBorders>
              <w:bottom w:val="single" w:sz="4" w:space="0" w:color="auto"/>
            </w:tcBorders>
            <w:shd w:val="clear" w:color="auto" w:fill="auto"/>
          </w:tcPr>
          <w:p w:rsidR="00572A20" w:rsidRPr="00392A4E" w:rsidRDefault="00572A20" w:rsidP="00392A4E">
            <w:pPr>
              <w:pStyle w:val="Tabletext"/>
            </w:pPr>
            <w:r w:rsidRPr="00392A4E">
              <w:t>124</w:t>
            </w:r>
          </w:p>
        </w:tc>
        <w:tc>
          <w:tcPr>
            <w:tcW w:w="2125" w:type="dxa"/>
            <w:tcBorders>
              <w:bottom w:val="single" w:sz="4" w:space="0" w:color="auto"/>
            </w:tcBorders>
            <w:shd w:val="clear" w:color="auto" w:fill="auto"/>
            <w:vAlign w:val="bottom"/>
          </w:tcPr>
          <w:p w:rsidR="00572A20" w:rsidRPr="00392A4E" w:rsidRDefault="00572A20" w:rsidP="00392A4E">
            <w:pPr>
              <w:pStyle w:val="Tabletext"/>
            </w:pPr>
            <w:r w:rsidRPr="00392A4E">
              <w:t>76.23</w:t>
            </w:r>
          </w:p>
        </w:tc>
        <w:tc>
          <w:tcPr>
            <w:tcW w:w="2125" w:type="dxa"/>
            <w:tcBorders>
              <w:bottom w:val="single" w:sz="4" w:space="0" w:color="auto"/>
            </w:tcBorders>
            <w:shd w:val="clear" w:color="auto" w:fill="auto"/>
            <w:vAlign w:val="center"/>
          </w:tcPr>
          <w:p w:rsidR="00572A20" w:rsidRPr="00392A4E" w:rsidRDefault="00572A20" w:rsidP="00392A4E">
            <w:pPr>
              <w:pStyle w:val="Tabletext"/>
            </w:pPr>
            <w:r w:rsidRPr="00392A4E">
              <w:t>77.81</w:t>
            </w:r>
          </w:p>
        </w:tc>
      </w:tr>
      <w:tr w:rsidR="00572A20" w:rsidRPr="00392A4E" w:rsidTr="00243E0B">
        <w:tc>
          <w:tcPr>
            <w:tcW w:w="714" w:type="dxa"/>
            <w:tcBorders>
              <w:bottom w:val="single" w:sz="12" w:space="0" w:color="auto"/>
            </w:tcBorders>
            <w:shd w:val="clear" w:color="auto" w:fill="auto"/>
          </w:tcPr>
          <w:p w:rsidR="00572A20" w:rsidRPr="00392A4E" w:rsidRDefault="00572A20" w:rsidP="00392A4E">
            <w:pPr>
              <w:pStyle w:val="Tabletext"/>
            </w:pPr>
            <w:r w:rsidRPr="00392A4E">
              <w:t>33</w:t>
            </w:r>
          </w:p>
        </w:tc>
        <w:tc>
          <w:tcPr>
            <w:tcW w:w="2125" w:type="dxa"/>
            <w:tcBorders>
              <w:bottom w:val="single" w:sz="12" w:space="0" w:color="auto"/>
            </w:tcBorders>
            <w:shd w:val="clear" w:color="auto" w:fill="auto"/>
          </w:tcPr>
          <w:p w:rsidR="00572A20" w:rsidRPr="00392A4E" w:rsidRDefault="00572A20" w:rsidP="00392A4E">
            <w:pPr>
              <w:pStyle w:val="Tabletext"/>
            </w:pPr>
            <w:r w:rsidRPr="00392A4E">
              <w:t>125 or higher</w:t>
            </w:r>
          </w:p>
        </w:tc>
        <w:tc>
          <w:tcPr>
            <w:tcW w:w="2125" w:type="dxa"/>
            <w:tcBorders>
              <w:bottom w:val="single" w:sz="12" w:space="0" w:color="auto"/>
            </w:tcBorders>
            <w:shd w:val="clear" w:color="auto" w:fill="auto"/>
            <w:vAlign w:val="bottom"/>
          </w:tcPr>
          <w:p w:rsidR="00572A20" w:rsidRPr="00392A4E" w:rsidRDefault="00572A20" w:rsidP="00392A4E">
            <w:pPr>
              <w:pStyle w:val="Tabletext"/>
            </w:pPr>
            <w:r w:rsidRPr="00392A4E">
              <w:t>80.00</w:t>
            </w:r>
          </w:p>
        </w:tc>
        <w:tc>
          <w:tcPr>
            <w:tcW w:w="2125" w:type="dxa"/>
            <w:tcBorders>
              <w:bottom w:val="single" w:sz="12" w:space="0" w:color="auto"/>
            </w:tcBorders>
            <w:shd w:val="clear" w:color="auto" w:fill="auto"/>
            <w:vAlign w:val="center"/>
          </w:tcPr>
          <w:p w:rsidR="00572A20" w:rsidRPr="00392A4E" w:rsidRDefault="00572A20" w:rsidP="00392A4E">
            <w:pPr>
              <w:pStyle w:val="Tabletext"/>
            </w:pPr>
            <w:r w:rsidRPr="00392A4E">
              <w:t>80.00</w:t>
            </w:r>
          </w:p>
        </w:tc>
      </w:tr>
    </w:tbl>
    <w:p w:rsidR="00572A20" w:rsidRPr="00392A4E" w:rsidRDefault="00572A20" w:rsidP="00392A4E">
      <w:pPr>
        <w:pStyle w:val="Tabletext"/>
      </w:pPr>
    </w:p>
    <w:p w:rsidR="009423CE" w:rsidRPr="00392A4E" w:rsidRDefault="0080643A" w:rsidP="00392A4E">
      <w:pPr>
        <w:pStyle w:val="ItemHead"/>
      </w:pPr>
      <w:r w:rsidRPr="00392A4E">
        <w:t>37</w:t>
      </w:r>
      <w:r w:rsidR="009423CE" w:rsidRPr="00392A4E">
        <w:t xml:space="preserve">  Subsection</w:t>
      </w:r>
      <w:r w:rsidR="00392A4E" w:rsidRPr="00392A4E">
        <w:t> </w:t>
      </w:r>
      <w:r w:rsidR="009423CE" w:rsidRPr="00392A4E">
        <w:t>68(4)</w:t>
      </w:r>
    </w:p>
    <w:p w:rsidR="009423CE" w:rsidRPr="00392A4E" w:rsidRDefault="009423CE" w:rsidP="00392A4E">
      <w:pPr>
        <w:pStyle w:val="Item"/>
      </w:pPr>
      <w:r w:rsidRPr="00392A4E">
        <w:t>Omit “indexes”.</w:t>
      </w:r>
    </w:p>
    <w:p w:rsidR="009423CE" w:rsidRPr="00392A4E" w:rsidRDefault="0080643A" w:rsidP="00392A4E">
      <w:pPr>
        <w:pStyle w:val="ItemHead"/>
      </w:pPr>
      <w:r w:rsidRPr="00392A4E">
        <w:lastRenderedPageBreak/>
        <w:t>38</w:t>
      </w:r>
      <w:r w:rsidR="009423CE" w:rsidRPr="00392A4E">
        <w:t xml:space="preserve">  Paragraph 68(4)(a)</w:t>
      </w:r>
    </w:p>
    <w:p w:rsidR="009423CE" w:rsidRPr="00392A4E" w:rsidRDefault="009423CE" w:rsidP="00392A4E">
      <w:pPr>
        <w:pStyle w:val="Item"/>
      </w:pPr>
      <w:r w:rsidRPr="00392A4E">
        <w:t>Omit “an index of building prices”, insert “indexes of building prices and wage costs”.</w:t>
      </w:r>
    </w:p>
    <w:p w:rsidR="009423CE" w:rsidRPr="00392A4E" w:rsidRDefault="0080643A" w:rsidP="00392A4E">
      <w:pPr>
        <w:pStyle w:val="ItemHead"/>
      </w:pPr>
      <w:r w:rsidRPr="00392A4E">
        <w:t>39</w:t>
      </w:r>
      <w:r w:rsidR="009423CE" w:rsidRPr="00392A4E">
        <w:t xml:space="preserve">  Paragraph 68(4)(b)</w:t>
      </w:r>
    </w:p>
    <w:p w:rsidR="009423CE" w:rsidRPr="00392A4E" w:rsidRDefault="009423CE" w:rsidP="00392A4E">
      <w:pPr>
        <w:pStyle w:val="Item"/>
      </w:pPr>
      <w:r w:rsidRPr="00392A4E">
        <w:t>Repeal the paragraph, substitute:</w:t>
      </w:r>
    </w:p>
    <w:p w:rsidR="009423CE" w:rsidRPr="00392A4E" w:rsidRDefault="009423CE" w:rsidP="00392A4E">
      <w:pPr>
        <w:pStyle w:val="paragraph"/>
      </w:pPr>
      <w:r w:rsidRPr="00392A4E">
        <w:tab/>
        <w:t>(b)</w:t>
      </w:r>
      <w:r w:rsidRPr="00392A4E">
        <w:tab/>
        <w:t>student enrolment in non</w:t>
      </w:r>
      <w:r w:rsidR="00B84F34">
        <w:noBreakHyphen/>
      </w:r>
      <w:r w:rsidRPr="00392A4E">
        <w:t>government schools.</w:t>
      </w:r>
    </w:p>
    <w:p w:rsidR="00427858" w:rsidRPr="00392A4E" w:rsidRDefault="0080643A" w:rsidP="00392A4E">
      <w:pPr>
        <w:pStyle w:val="ItemHead"/>
      </w:pPr>
      <w:r w:rsidRPr="00392A4E">
        <w:t>40</w:t>
      </w:r>
      <w:r w:rsidR="00427858" w:rsidRPr="00392A4E">
        <w:t xml:space="preserve">  At the end of Division</w:t>
      </w:r>
      <w:r w:rsidR="00392A4E" w:rsidRPr="00392A4E">
        <w:t> </w:t>
      </w:r>
      <w:r w:rsidR="00427858" w:rsidRPr="00392A4E">
        <w:t>3 of Part</w:t>
      </w:r>
      <w:r w:rsidR="00392A4E" w:rsidRPr="00392A4E">
        <w:t> </w:t>
      </w:r>
      <w:r w:rsidR="00427858" w:rsidRPr="00392A4E">
        <w:t>5</w:t>
      </w:r>
    </w:p>
    <w:p w:rsidR="00427858" w:rsidRPr="00392A4E" w:rsidRDefault="00427858" w:rsidP="00392A4E">
      <w:pPr>
        <w:pStyle w:val="Item"/>
      </w:pPr>
      <w:r w:rsidRPr="00392A4E">
        <w:t>Add:</w:t>
      </w:r>
    </w:p>
    <w:p w:rsidR="00427858" w:rsidRPr="00392A4E" w:rsidRDefault="00427858" w:rsidP="00392A4E">
      <w:pPr>
        <w:pStyle w:val="ActHead5"/>
      </w:pPr>
      <w:bookmarkStart w:id="25" w:name="_Toc486412746"/>
      <w:r w:rsidRPr="00392A4E">
        <w:rPr>
          <w:rStyle w:val="CharSectno"/>
        </w:rPr>
        <w:t>69B</w:t>
      </w:r>
      <w:r w:rsidRPr="00392A4E">
        <w:t xml:space="preserve">  Transition </w:t>
      </w:r>
      <w:r w:rsidR="004C20FB" w:rsidRPr="00392A4E">
        <w:t>adjustment</w:t>
      </w:r>
      <w:r w:rsidRPr="00392A4E">
        <w:t xml:space="preserve"> funding</w:t>
      </w:r>
      <w:bookmarkEnd w:id="25"/>
    </w:p>
    <w:p w:rsidR="00427858" w:rsidRPr="00392A4E" w:rsidRDefault="00427858" w:rsidP="00392A4E">
      <w:pPr>
        <w:pStyle w:val="subsection"/>
      </w:pPr>
      <w:r w:rsidRPr="00392A4E">
        <w:tab/>
        <w:t>(1)</w:t>
      </w:r>
      <w:r w:rsidRPr="00392A4E">
        <w:tab/>
        <w:t xml:space="preserve">The Minister may, in writing, determine an amount of financial assistance that is payable under this section to a State or Territory for a </w:t>
      </w:r>
      <w:r w:rsidR="004C20FB" w:rsidRPr="00392A4E">
        <w:t>transitioning</w:t>
      </w:r>
      <w:r w:rsidRPr="00392A4E">
        <w:t xml:space="preserve"> school for a </w:t>
      </w:r>
      <w:r w:rsidR="00646928" w:rsidRPr="00452700">
        <w:t>year from 2018 to 2027 (inclusive)</w:t>
      </w:r>
      <w:r w:rsidR="00646928">
        <w:t xml:space="preserve"> </w:t>
      </w:r>
      <w:r w:rsidRPr="00392A4E">
        <w:t>if the Minister is satisfied that prescribed cir</w:t>
      </w:r>
      <w:r w:rsidR="004C20FB" w:rsidRPr="00392A4E">
        <w:t>cumstances apply in relation to</w:t>
      </w:r>
      <w:r w:rsidRPr="00392A4E">
        <w:t xml:space="preserve"> the school for that year.</w:t>
      </w:r>
    </w:p>
    <w:p w:rsidR="00427858" w:rsidRPr="00392A4E" w:rsidRDefault="004C20FB" w:rsidP="00392A4E">
      <w:pPr>
        <w:pStyle w:val="notetext"/>
      </w:pPr>
      <w:r w:rsidRPr="00392A4E">
        <w:t>Note</w:t>
      </w:r>
      <w:r w:rsidR="00427858" w:rsidRPr="00392A4E">
        <w:t>:</w:t>
      </w:r>
      <w:r w:rsidR="00427858" w:rsidRPr="00392A4E">
        <w:tab/>
        <w:t xml:space="preserve">The regulations may prescribe matters that the Minister may or must have regard to in making a decision under this </w:t>
      </w:r>
      <w:r w:rsidR="00392A4E" w:rsidRPr="00392A4E">
        <w:t>subsection (</w:t>
      </w:r>
      <w:r w:rsidR="00427858" w:rsidRPr="00392A4E">
        <w:t>see paragraph</w:t>
      </w:r>
      <w:r w:rsidR="00392A4E" w:rsidRPr="00392A4E">
        <w:t> </w:t>
      </w:r>
      <w:r w:rsidR="00427858" w:rsidRPr="00392A4E">
        <w:t>130(2)(b)).</w:t>
      </w:r>
    </w:p>
    <w:p w:rsidR="00427858" w:rsidRPr="00392A4E" w:rsidRDefault="00427858" w:rsidP="00392A4E">
      <w:pPr>
        <w:pStyle w:val="subsection"/>
      </w:pPr>
      <w:r w:rsidRPr="00392A4E">
        <w:tab/>
        <w:t>(2)</w:t>
      </w:r>
      <w:r w:rsidRPr="00392A4E">
        <w:tab/>
        <w:t>The regulations may do either or both of the following:</w:t>
      </w:r>
    </w:p>
    <w:p w:rsidR="00427858" w:rsidRPr="00392A4E" w:rsidRDefault="00427858" w:rsidP="00392A4E">
      <w:pPr>
        <w:pStyle w:val="paragraph"/>
      </w:pPr>
      <w:r w:rsidRPr="00392A4E">
        <w:tab/>
        <w:t>(a)</w:t>
      </w:r>
      <w:r w:rsidRPr="00392A4E">
        <w:tab/>
        <w:t xml:space="preserve">prescribe an amount payable for a school for a year under a determination under </w:t>
      </w:r>
      <w:r w:rsidR="00392A4E" w:rsidRPr="00392A4E">
        <w:t>subsection (</w:t>
      </w:r>
      <w:r w:rsidRPr="00392A4E">
        <w:t>1) or prescribe a method for working out that amount;</w:t>
      </w:r>
    </w:p>
    <w:p w:rsidR="00427858" w:rsidRPr="00392A4E" w:rsidRDefault="00427858" w:rsidP="00392A4E">
      <w:pPr>
        <w:pStyle w:val="paragraph"/>
      </w:pPr>
      <w:r w:rsidRPr="00392A4E">
        <w:tab/>
        <w:t>(b)</w:t>
      </w:r>
      <w:r w:rsidRPr="00392A4E">
        <w:tab/>
        <w:t xml:space="preserve">prescribe a maximum amount that is payable for a school for a year under a determination under </w:t>
      </w:r>
      <w:r w:rsidR="00392A4E" w:rsidRPr="00392A4E">
        <w:t>subsection (</w:t>
      </w:r>
      <w:r w:rsidRPr="00392A4E">
        <w:t>1) or prescribe a method for working out that maximum amount.</w:t>
      </w:r>
    </w:p>
    <w:p w:rsidR="00427858" w:rsidRPr="00392A4E" w:rsidRDefault="00427858" w:rsidP="00392A4E">
      <w:pPr>
        <w:pStyle w:val="subsection"/>
      </w:pPr>
      <w:r w:rsidRPr="00392A4E">
        <w:tab/>
        <w:t>(3)</w:t>
      </w:r>
      <w:r w:rsidRPr="00392A4E">
        <w:tab/>
        <w:t>The regulations may prescribe different amounts, or different methods for working out amounts, for different circumstances.</w:t>
      </w:r>
    </w:p>
    <w:p w:rsidR="00427858" w:rsidRPr="00392A4E" w:rsidRDefault="00427858" w:rsidP="00392A4E">
      <w:pPr>
        <w:pStyle w:val="subsection"/>
      </w:pPr>
      <w:r w:rsidRPr="00392A4E">
        <w:tab/>
        <w:t>(4)</w:t>
      </w:r>
      <w:r w:rsidRPr="00392A4E">
        <w:tab/>
        <w:t xml:space="preserve">The total of the amounts that the Minister determines under </w:t>
      </w:r>
      <w:r w:rsidR="00392A4E" w:rsidRPr="00392A4E">
        <w:t>subsection (</w:t>
      </w:r>
      <w:r w:rsidRPr="00392A4E">
        <w:t>1) for a year in relation to particular prescribed circumstances must not exceed the amount:</w:t>
      </w:r>
    </w:p>
    <w:p w:rsidR="00427858" w:rsidRPr="00392A4E" w:rsidRDefault="00427858" w:rsidP="00392A4E">
      <w:pPr>
        <w:pStyle w:val="paragraph"/>
      </w:pPr>
      <w:r w:rsidRPr="00392A4E">
        <w:tab/>
        <w:t>(a)</w:t>
      </w:r>
      <w:r w:rsidRPr="00392A4E">
        <w:tab/>
        <w:t>prescribed by the regulations; or</w:t>
      </w:r>
    </w:p>
    <w:p w:rsidR="00427858" w:rsidRPr="00392A4E" w:rsidRDefault="00427858" w:rsidP="00392A4E">
      <w:pPr>
        <w:pStyle w:val="paragraph"/>
      </w:pPr>
      <w:r w:rsidRPr="00392A4E">
        <w:tab/>
        <w:t>(b)</w:t>
      </w:r>
      <w:r w:rsidRPr="00392A4E">
        <w:tab/>
        <w:t>worked out in accordance with a method prescribed by the regulations.</w:t>
      </w:r>
    </w:p>
    <w:p w:rsidR="00427858" w:rsidRPr="00392A4E" w:rsidRDefault="00427858" w:rsidP="00392A4E">
      <w:pPr>
        <w:pStyle w:val="subsection"/>
      </w:pPr>
      <w:r w:rsidRPr="00392A4E">
        <w:lastRenderedPageBreak/>
        <w:tab/>
        <w:t>(5)</w:t>
      </w:r>
      <w:r w:rsidRPr="00392A4E">
        <w:tab/>
        <w:t xml:space="preserve">A determination under </w:t>
      </w:r>
      <w:r w:rsidR="00392A4E" w:rsidRPr="00392A4E">
        <w:t>subsection (</w:t>
      </w:r>
      <w:r w:rsidRPr="00392A4E">
        <w:t>1) is not a legislative instrument.</w:t>
      </w:r>
    </w:p>
    <w:p w:rsidR="00427858" w:rsidRPr="00392A4E" w:rsidRDefault="0080643A" w:rsidP="00392A4E">
      <w:pPr>
        <w:pStyle w:val="ItemHead"/>
      </w:pPr>
      <w:r w:rsidRPr="00392A4E">
        <w:t>41</w:t>
      </w:r>
      <w:r w:rsidR="00427858" w:rsidRPr="00392A4E">
        <w:t xml:space="preserve">  Subsection</w:t>
      </w:r>
      <w:r w:rsidR="00392A4E" w:rsidRPr="00392A4E">
        <w:t> </w:t>
      </w:r>
      <w:r w:rsidR="00427858" w:rsidRPr="00392A4E">
        <w:t>118(1) (table item</w:t>
      </w:r>
      <w:r w:rsidR="00392A4E" w:rsidRPr="00392A4E">
        <w:t> </w:t>
      </w:r>
      <w:r w:rsidR="00427858" w:rsidRPr="00392A4E">
        <w:t>4)</w:t>
      </w:r>
    </w:p>
    <w:p w:rsidR="00427858" w:rsidRPr="00392A4E" w:rsidRDefault="00427858" w:rsidP="00392A4E">
      <w:pPr>
        <w:pStyle w:val="Item"/>
      </w:pPr>
      <w:r w:rsidRPr="00392A4E">
        <w:t>Omit “52(3)”, substitute “52(1)”.</w:t>
      </w:r>
    </w:p>
    <w:p w:rsidR="00427858" w:rsidRPr="00392A4E" w:rsidRDefault="0080643A" w:rsidP="00392A4E">
      <w:pPr>
        <w:pStyle w:val="ItemHead"/>
      </w:pPr>
      <w:r w:rsidRPr="00392A4E">
        <w:t>42</w:t>
      </w:r>
      <w:r w:rsidR="00427858" w:rsidRPr="00392A4E">
        <w:t xml:space="preserve">  Paragraph 129(2)(a)</w:t>
      </w:r>
    </w:p>
    <w:p w:rsidR="00427858" w:rsidRPr="00392A4E" w:rsidRDefault="00427858" w:rsidP="00392A4E">
      <w:pPr>
        <w:pStyle w:val="Item"/>
      </w:pPr>
      <w:r w:rsidRPr="00392A4E">
        <w:t>Repeal the paragraph.</w:t>
      </w:r>
    </w:p>
    <w:p w:rsidR="002410CC" w:rsidRPr="00392A4E" w:rsidRDefault="0080643A" w:rsidP="00392A4E">
      <w:pPr>
        <w:pStyle w:val="ItemHead"/>
      </w:pPr>
      <w:r w:rsidRPr="00392A4E">
        <w:t>43</w:t>
      </w:r>
      <w:r w:rsidR="002410CC" w:rsidRPr="00392A4E">
        <w:t xml:space="preserve">  </w:t>
      </w:r>
      <w:r w:rsidR="005E7F42" w:rsidRPr="00392A4E">
        <w:t>Transitional provision—</w:t>
      </w:r>
      <w:r w:rsidR="002410CC" w:rsidRPr="00392A4E">
        <w:t>Saving SES scores</w:t>
      </w:r>
    </w:p>
    <w:p w:rsidR="002410CC" w:rsidRPr="00392A4E" w:rsidRDefault="002410CC" w:rsidP="00392A4E">
      <w:pPr>
        <w:pStyle w:val="Item"/>
      </w:pPr>
      <w:r w:rsidRPr="00392A4E">
        <w:t>Despite the amendment of sections</w:t>
      </w:r>
      <w:r w:rsidR="00392A4E" w:rsidRPr="00392A4E">
        <w:t> </w:t>
      </w:r>
      <w:r w:rsidRPr="00392A4E">
        <w:t xml:space="preserve">52 and 53 of the </w:t>
      </w:r>
      <w:r w:rsidRPr="00392A4E">
        <w:rPr>
          <w:i/>
        </w:rPr>
        <w:t>Australian Education Act 2013</w:t>
      </w:r>
      <w:r w:rsidRPr="00392A4E">
        <w:t xml:space="preserve"> (the Act)</w:t>
      </w:r>
      <w:r w:rsidR="00C37AE7" w:rsidRPr="00392A4E">
        <w:t xml:space="preserve"> by this Schedule, an SES score</w:t>
      </w:r>
      <w:r w:rsidRPr="00392A4E">
        <w:t xml:space="preserve"> in effect for </w:t>
      </w:r>
      <w:r w:rsidR="00C37AE7" w:rsidRPr="00392A4E">
        <w:t>a</w:t>
      </w:r>
      <w:r w:rsidRPr="00392A4E">
        <w:t xml:space="preserve"> school immediately before the commencement of th</w:t>
      </w:r>
      <w:r w:rsidR="00C37AE7" w:rsidRPr="00392A4E">
        <w:t xml:space="preserve">is item </w:t>
      </w:r>
      <w:r w:rsidRPr="00392A4E">
        <w:t>continues in effect for the school until the Minister determines another SES score for the school under subsection</w:t>
      </w:r>
      <w:r w:rsidR="00392A4E" w:rsidRPr="00392A4E">
        <w:t> </w:t>
      </w:r>
      <w:r w:rsidRPr="00392A4E">
        <w:t>52(1) of the Act.</w:t>
      </w:r>
    </w:p>
    <w:p w:rsidR="005F747A" w:rsidRPr="00392A4E" w:rsidRDefault="0080643A" w:rsidP="00392A4E">
      <w:pPr>
        <w:pStyle w:val="ItemHead"/>
      </w:pPr>
      <w:r w:rsidRPr="00392A4E">
        <w:t>44</w:t>
      </w:r>
      <w:r w:rsidR="005F747A" w:rsidRPr="00392A4E">
        <w:t xml:space="preserve">  Transitional provision—funding for previous years</w:t>
      </w:r>
    </w:p>
    <w:p w:rsidR="005F747A" w:rsidRPr="00392A4E" w:rsidRDefault="005F747A" w:rsidP="00392A4E">
      <w:pPr>
        <w:pStyle w:val="Item"/>
      </w:pPr>
      <w:r w:rsidRPr="00392A4E">
        <w:t xml:space="preserve">The </w:t>
      </w:r>
      <w:r w:rsidRPr="00392A4E">
        <w:rPr>
          <w:i/>
        </w:rPr>
        <w:t>Australian Education Act 2013</w:t>
      </w:r>
      <w:r w:rsidRPr="00392A4E">
        <w:t xml:space="preserve"> as in force immediately before the commencement of this </w:t>
      </w:r>
      <w:r w:rsidR="005E7F42" w:rsidRPr="00392A4E">
        <w:t>item</w:t>
      </w:r>
      <w:r w:rsidRPr="00392A4E">
        <w:t xml:space="preserve"> continues to apply </w:t>
      </w:r>
      <w:r w:rsidR="004F7539" w:rsidRPr="00392A4E">
        <w:t>in relation to</w:t>
      </w:r>
      <w:r w:rsidRPr="00392A4E">
        <w:t xml:space="preserve"> </w:t>
      </w:r>
      <w:r w:rsidR="008C365C" w:rsidRPr="00392A4E">
        <w:t>financial assistance</w:t>
      </w:r>
      <w:r w:rsidRPr="00392A4E">
        <w:t xml:space="preserve"> for years before 2018.</w:t>
      </w:r>
    </w:p>
    <w:p w:rsidR="00FB1107" w:rsidRPr="00392A4E" w:rsidRDefault="00FB1107" w:rsidP="00392A4E">
      <w:pPr>
        <w:pStyle w:val="ActHead7"/>
        <w:pageBreakBefore/>
      </w:pPr>
      <w:bookmarkStart w:id="26" w:name="_Toc486412747"/>
      <w:r w:rsidRPr="00392A4E">
        <w:rPr>
          <w:rStyle w:val="CharAmPartNo"/>
        </w:rPr>
        <w:lastRenderedPageBreak/>
        <w:t>Part</w:t>
      </w:r>
      <w:r w:rsidR="00392A4E" w:rsidRPr="00392A4E">
        <w:rPr>
          <w:rStyle w:val="CharAmPartNo"/>
        </w:rPr>
        <w:t> </w:t>
      </w:r>
      <w:r w:rsidRPr="00392A4E">
        <w:rPr>
          <w:rStyle w:val="CharAmPartNo"/>
        </w:rPr>
        <w:t>2</w:t>
      </w:r>
      <w:r w:rsidRPr="00392A4E">
        <w:t>—</w:t>
      </w:r>
      <w:r w:rsidR="00BE0E7E" w:rsidRPr="00392A4E">
        <w:rPr>
          <w:rStyle w:val="CharAmPartText"/>
        </w:rPr>
        <w:t>Other policy changes</w:t>
      </w:r>
      <w:bookmarkEnd w:id="26"/>
    </w:p>
    <w:p w:rsidR="00FB1107" w:rsidRPr="00392A4E" w:rsidRDefault="00FB1107" w:rsidP="00392A4E">
      <w:pPr>
        <w:pStyle w:val="ActHead9"/>
        <w:rPr>
          <w:i w:val="0"/>
        </w:rPr>
      </w:pPr>
      <w:bookmarkStart w:id="27" w:name="_Toc486412748"/>
      <w:r w:rsidRPr="00392A4E">
        <w:t>Australian Education Act 2013</w:t>
      </w:r>
      <w:bookmarkEnd w:id="27"/>
    </w:p>
    <w:p w:rsidR="00650031" w:rsidRPr="00392A4E" w:rsidRDefault="0080643A" w:rsidP="00392A4E">
      <w:pPr>
        <w:pStyle w:val="ItemHead"/>
      </w:pPr>
      <w:r w:rsidRPr="00392A4E">
        <w:t>45</w:t>
      </w:r>
      <w:r w:rsidR="00650031" w:rsidRPr="00392A4E">
        <w:t xml:space="preserve">  Preamble</w:t>
      </w:r>
    </w:p>
    <w:p w:rsidR="00650031" w:rsidRPr="00392A4E" w:rsidRDefault="00650031" w:rsidP="00392A4E">
      <w:pPr>
        <w:pStyle w:val="Item"/>
      </w:pPr>
      <w:r w:rsidRPr="00392A4E">
        <w:t>Repeal the preamble, substitute:</w:t>
      </w:r>
    </w:p>
    <w:p w:rsidR="00650031" w:rsidRPr="00392A4E" w:rsidRDefault="00650031" w:rsidP="00392A4E">
      <w:pPr>
        <w:pStyle w:val="Preamble"/>
      </w:pPr>
      <w:r w:rsidRPr="00392A4E">
        <w:t>Preamble</w:t>
      </w:r>
    </w:p>
    <w:p w:rsidR="00650031" w:rsidRPr="00392A4E" w:rsidRDefault="00650031" w:rsidP="00392A4E">
      <w:pPr>
        <w:pStyle w:val="subsection"/>
      </w:pPr>
      <w:r w:rsidRPr="00392A4E">
        <w:tab/>
      </w:r>
      <w:r w:rsidRPr="00392A4E">
        <w:tab/>
      </w:r>
      <w:r w:rsidR="007A4806" w:rsidRPr="00392A4E">
        <w:t>The Parliament of Australia acknowledges the following matters.</w:t>
      </w:r>
    </w:p>
    <w:p w:rsidR="00EC7CA7" w:rsidRPr="00392A4E" w:rsidRDefault="00EC7CA7" w:rsidP="00392A4E">
      <w:pPr>
        <w:pStyle w:val="subsection"/>
      </w:pPr>
      <w:r w:rsidRPr="00392A4E">
        <w:tab/>
      </w:r>
      <w:r w:rsidRPr="00392A4E">
        <w:tab/>
        <w:t>Education is the foundation of a skilled workforce and a creative community. A strong and sustainable schooling system is critical for Australia’s future prosperity. A good education prepares students for full participation in society, both in employment and in civic life. Education also has a role to play in overcoming social and economic disadvantage.</w:t>
      </w:r>
    </w:p>
    <w:p w:rsidR="00EC7CA7" w:rsidRPr="00392A4E" w:rsidRDefault="00EC7CA7" w:rsidP="00392A4E">
      <w:pPr>
        <w:pStyle w:val="subsection"/>
      </w:pPr>
      <w:r w:rsidRPr="00392A4E">
        <w:tab/>
      </w:r>
      <w:r w:rsidRPr="00392A4E">
        <w:tab/>
        <w:t>If Australia is to be a prosperous nation with a high standard of living in the 21st Century, our schooling system must provide children with the skills needed to participate fully in a knowledge</w:t>
      </w:r>
      <w:r w:rsidR="00B84F34">
        <w:noBreakHyphen/>
      </w:r>
      <w:r w:rsidRPr="00392A4E">
        <w:t>based economy. The performance of Australia’s schools, and school students, must continuously improve; our capacity to innovate, to embrace change and to seize new opportunities will depend more and more on the education and skills of our community.</w:t>
      </w:r>
    </w:p>
    <w:p w:rsidR="00EC7CA7" w:rsidRPr="00392A4E" w:rsidRDefault="00EC7CA7" w:rsidP="00392A4E">
      <w:pPr>
        <w:pStyle w:val="subsection"/>
      </w:pPr>
      <w:r w:rsidRPr="00392A4E">
        <w:tab/>
      </w:r>
      <w:r w:rsidRPr="00392A4E">
        <w:tab/>
        <w:t>There is an ongoing and essential role for the Commonwealth in school education through its unique position to provide national policy leadership and facilitate national performance assessment and reporting. Transparency and accountability ensure public confidence in the education system and promote excellence in teaching and school leadership.</w:t>
      </w:r>
    </w:p>
    <w:p w:rsidR="00EC7CA7" w:rsidRPr="00392A4E" w:rsidRDefault="00EC7CA7" w:rsidP="00392A4E">
      <w:pPr>
        <w:pStyle w:val="subsection"/>
      </w:pPr>
      <w:r w:rsidRPr="00392A4E">
        <w:tab/>
      </w:r>
      <w:r w:rsidRPr="00392A4E">
        <w:tab/>
        <w:t>The Commonwealth will deliver record and growing levels of investment in schools. To help education authorities provide every child with a quality education, regardless of where they live and what school they attend, this investment will be fairly and transparently distributed and allocated according to need.</w:t>
      </w:r>
    </w:p>
    <w:p w:rsidR="00EC7CA7" w:rsidRPr="00392A4E" w:rsidRDefault="00EC7CA7" w:rsidP="00392A4E">
      <w:pPr>
        <w:pStyle w:val="subsection"/>
      </w:pPr>
      <w:r w:rsidRPr="00392A4E">
        <w:lastRenderedPageBreak/>
        <w:tab/>
      </w:r>
      <w:r w:rsidRPr="00392A4E">
        <w:tab/>
        <w:t>In its role as a national policy leader, the Australian Government will work collaboratively with States and Territories to achieve agreed national objectives and priorities for schools through the Council of Australian Governments and the Education Council.</w:t>
      </w:r>
    </w:p>
    <w:p w:rsidR="00EC7CA7" w:rsidRPr="00392A4E" w:rsidRDefault="00EC7CA7" w:rsidP="00392A4E">
      <w:pPr>
        <w:pStyle w:val="subsection"/>
      </w:pPr>
      <w:r w:rsidRPr="00392A4E">
        <w:tab/>
      </w:r>
      <w:r w:rsidRPr="00392A4E">
        <w:tab/>
        <w:t>To drive improvement in school outcomes, State and Territory education authorities will be required to deliver evidence</w:t>
      </w:r>
      <w:r w:rsidR="00B84F34">
        <w:noBreakHyphen/>
      </w:r>
      <w:r w:rsidRPr="00392A4E">
        <w:t xml:space="preserve">based reforms </w:t>
      </w:r>
      <w:r w:rsidR="009423CE" w:rsidRPr="00392A4E">
        <w:t>in schools</w:t>
      </w:r>
      <w:r w:rsidRPr="00392A4E">
        <w:t>.</w:t>
      </w:r>
    </w:p>
    <w:p w:rsidR="00F17C93" w:rsidRPr="00392A4E" w:rsidRDefault="0080643A" w:rsidP="00392A4E">
      <w:pPr>
        <w:pStyle w:val="ItemHead"/>
      </w:pPr>
      <w:r w:rsidRPr="00392A4E">
        <w:t>46</w:t>
      </w:r>
      <w:r w:rsidR="00F17C93" w:rsidRPr="00392A4E">
        <w:t xml:space="preserve">  Section</w:t>
      </w:r>
      <w:r w:rsidR="00392A4E" w:rsidRPr="00392A4E">
        <w:t> </w:t>
      </w:r>
      <w:r w:rsidR="00F17C93" w:rsidRPr="00392A4E">
        <w:t>3</w:t>
      </w:r>
    </w:p>
    <w:p w:rsidR="00F17C93" w:rsidRPr="00392A4E" w:rsidRDefault="00F17C93" w:rsidP="00392A4E">
      <w:pPr>
        <w:pStyle w:val="Item"/>
      </w:pPr>
      <w:r w:rsidRPr="00392A4E">
        <w:t>Repeal the section, substitute:</w:t>
      </w:r>
    </w:p>
    <w:p w:rsidR="00F17C93" w:rsidRPr="00392A4E" w:rsidRDefault="00F17C93" w:rsidP="00392A4E">
      <w:pPr>
        <w:pStyle w:val="ActHead5"/>
      </w:pPr>
      <w:bookmarkStart w:id="28" w:name="_Toc486412749"/>
      <w:r w:rsidRPr="00392A4E">
        <w:rPr>
          <w:rStyle w:val="CharSectno"/>
        </w:rPr>
        <w:t>3</w:t>
      </w:r>
      <w:r w:rsidRPr="00392A4E">
        <w:t xml:space="preserve">  Objects of this Act</w:t>
      </w:r>
      <w:bookmarkEnd w:id="28"/>
    </w:p>
    <w:p w:rsidR="00F17C93" w:rsidRPr="00392A4E" w:rsidRDefault="00F17C93" w:rsidP="00392A4E">
      <w:pPr>
        <w:pStyle w:val="subsection"/>
      </w:pPr>
      <w:r w:rsidRPr="00392A4E">
        <w:tab/>
      </w:r>
      <w:r w:rsidR="00712CA3" w:rsidRPr="00392A4E">
        <w:tab/>
        <w:t>The objects of this Act are</w:t>
      </w:r>
      <w:r w:rsidRPr="00392A4E">
        <w:t>:</w:t>
      </w:r>
    </w:p>
    <w:p w:rsidR="00650031" w:rsidRPr="00392A4E" w:rsidRDefault="00650031" w:rsidP="00392A4E">
      <w:pPr>
        <w:pStyle w:val="paragraph"/>
      </w:pPr>
      <w:r w:rsidRPr="00392A4E">
        <w:tab/>
        <w:t>(a)</w:t>
      </w:r>
      <w:r w:rsidRPr="00392A4E">
        <w:tab/>
      </w:r>
      <w:r w:rsidR="00712CA3" w:rsidRPr="00392A4E">
        <w:t>to provide a Commonwealth needs</w:t>
      </w:r>
      <w:r w:rsidR="00B84F34">
        <w:noBreakHyphen/>
      </w:r>
      <w:r w:rsidR="00712CA3" w:rsidRPr="00392A4E">
        <w:t>based funding model for school education that:</w:t>
      </w:r>
    </w:p>
    <w:p w:rsidR="00712CA3" w:rsidRPr="00392A4E" w:rsidRDefault="00712CA3" w:rsidP="00392A4E">
      <w:pPr>
        <w:pStyle w:val="paragraphsub"/>
      </w:pPr>
      <w:r w:rsidRPr="00392A4E">
        <w:tab/>
        <w:t>(</w:t>
      </w:r>
      <w:proofErr w:type="spellStart"/>
      <w:r w:rsidRPr="00392A4E">
        <w:t>i</w:t>
      </w:r>
      <w:proofErr w:type="spellEnd"/>
      <w:r w:rsidRPr="00392A4E">
        <w:t>)</w:t>
      </w:r>
      <w:r w:rsidRPr="00392A4E">
        <w:tab/>
        <w:t>includes a base amount of funding for every student and loadings for students and schools who need extra support; and</w:t>
      </w:r>
    </w:p>
    <w:p w:rsidR="00712CA3" w:rsidRPr="00392A4E" w:rsidRDefault="00712CA3" w:rsidP="00392A4E">
      <w:pPr>
        <w:pStyle w:val="paragraphsub"/>
      </w:pPr>
      <w:r w:rsidRPr="00392A4E">
        <w:tab/>
        <w:t>(ii)</w:t>
      </w:r>
      <w:r w:rsidRPr="00392A4E">
        <w:tab/>
        <w:t>is affordable, simple, predictable and fair; and</w:t>
      </w:r>
    </w:p>
    <w:p w:rsidR="00712CA3" w:rsidRPr="00392A4E" w:rsidRDefault="00712CA3" w:rsidP="00392A4E">
      <w:pPr>
        <w:pStyle w:val="paragraphsub"/>
      </w:pPr>
      <w:r w:rsidRPr="00392A4E">
        <w:tab/>
        <w:t>(iii)</w:t>
      </w:r>
      <w:r w:rsidRPr="00392A4E">
        <w:tab/>
        <w:t>invests in evidence</w:t>
      </w:r>
      <w:r w:rsidR="00B84F34">
        <w:noBreakHyphen/>
      </w:r>
      <w:r w:rsidRPr="00392A4E">
        <w:t>based reforms that will improve student outcomes; and</w:t>
      </w:r>
    </w:p>
    <w:p w:rsidR="00712CA3" w:rsidRPr="00392A4E" w:rsidRDefault="00712CA3" w:rsidP="00392A4E">
      <w:pPr>
        <w:pStyle w:val="paragraph"/>
      </w:pPr>
      <w:r w:rsidRPr="00392A4E">
        <w:tab/>
        <w:t>(b)</w:t>
      </w:r>
      <w:r w:rsidRPr="00392A4E">
        <w:tab/>
        <w:t xml:space="preserve">to support the objectives of </w:t>
      </w:r>
      <w:r w:rsidR="009A0735" w:rsidRPr="00392A4E">
        <w:t xml:space="preserve">intergovernmental agreements on </w:t>
      </w:r>
      <w:r w:rsidRPr="00392A4E">
        <w:t xml:space="preserve">school </w:t>
      </w:r>
      <w:r w:rsidR="0096449D" w:rsidRPr="00392A4E">
        <w:t>educati</w:t>
      </w:r>
      <w:r w:rsidR="009423CE" w:rsidRPr="00392A4E">
        <w:t>on</w:t>
      </w:r>
      <w:r w:rsidRPr="00392A4E">
        <w:t>.</w:t>
      </w:r>
    </w:p>
    <w:p w:rsidR="00364EED" w:rsidRPr="00392A4E" w:rsidRDefault="0080643A" w:rsidP="00392A4E">
      <w:pPr>
        <w:pStyle w:val="ItemHead"/>
      </w:pPr>
      <w:r w:rsidRPr="00392A4E">
        <w:t>47</w:t>
      </w:r>
      <w:r w:rsidR="00364EED" w:rsidRPr="00392A4E">
        <w:t xml:space="preserve">  Section</w:t>
      </w:r>
      <w:r w:rsidR="00392A4E" w:rsidRPr="00392A4E">
        <w:t> </w:t>
      </w:r>
      <w:r w:rsidR="00364EED" w:rsidRPr="00392A4E">
        <w:t>4</w:t>
      </w:r>
    </w:p>
    <w:p w:rsidR="00A90BF3" w:rsidRPr="00392A4E" w:rsidRDefault="00A90BF3" w:rsidP="00392A4E">
      <w:pPr>
        <w:pStyle w:val="Item"/>
      </w:pPr>
      <w:r w:rsidRPr="00392A4E">
        <w:t>Repeal the section, substitute:</w:t>
      </w:r>
    </w:p>
    <w:p w:rsidR="00A90BF3" w:rsidRPr="00392A4E" w:rsidRDefault="00A90BF3" w:rsidP="00392A4E">
      <w:pPr>
        <w:pStyle w:val="ActHead5"/>
      </w:pPr>
      <w:bookmarkStart w:id="29" w:name="_Toc486412750"/>
      <w:r w:rsidRPr="00392A4E">
        <w:rPr>
          <w:rStyle w:val="CharSectno"/>
        </w:rPr>
        <w:t>4</w:t>
      </w:r>
      <w:r w:rsidRPr="00392A4E">
        <w:t xml:space="preserve">  Guide to this Act</w:t>
      </w:r>
      <w:bookmarkEnd w:id="29"/>
    </w:p>
    <w:p w:rsidR="00A90BF3" w:rsidRPr="00392A4E" w:rsidRDefault="00A90BF3" w:rsidP="00392A4E">
      <w:pPr>
        <w:pStyle w:val="SOText"/>
      </w:pPr>
      <w:r w:rsidRPr="00392A4E">
        <w:t>This Act provides Commonwealth financial assistance for schools. The financial assistance is provided to States under section</w:t>
      </w:r>
      <w:r w:rsidR="00392A4E" w:rsidRPr="00392A4E">
        <w:t> </w:t>
      </w:r>
      <w:r w:rsidRPr="00392A4E">
        <w:t>96 of the Constitution, and to Territories under section</w:t>
      </w:r>
      <w:r w:rsidR="00392A4E" w:rsidRPr="00392A4E">
        <w:t> </w:t>
      </w:r>
      <w:r w:rsidRPr="00392A4E">
        <w:t>122 of the Constitution. The Act imposes requirements on States and Territories as conditions of this financial assistance, including requirements to comply with intergovernmental agreements on school education, and to implement nationally</w:t>
      </w:r>
      <w:r w:rsidR="00B84F34">
        <w:noBreakHyphen/>
      </w:r>
      <w:r w:rsidRPr="00392A4E">
        <w:t>agreed policy initiatives on school education.</w:t>
      </w:r>
    </w:p>
    <w:p w:rsidR="00A90BF3" w:rsidRPr="00392A4E" w:rsidRDefault="00A90BF3" w:rsidP="00392A4E">
      <w:pPr>
        <w:pStyle w:val="SOText"/>
      </w:pPr>
      <w:r w:rsidRPr="00392A4E">
        <w:lastRenderedPageBreak/>
        <w:t>Each school has an approved authority, which is approved by the Minister. For a government school located in a State or Territory, the approved authority is the State or Territory. For a non</w:t>
      </w:r>
      <w:r w:rsidR="00B84F34">
        <w:noBreakHyphen/>
      </w:r>
      <w:r w:rsidRPr="00392A4E">
        <w:t>government school, the approved authority is a body corporate that is approved by the Minister for the school.</w:t>
      </w:r>
    </w:p>
    <w:p w:rsidR="00A90BF3" w:rsidRPr="00392A4E" w:rsidRDefault="00A90BF3" w:rsidP="00392A4E">
      <w:pPr>
        <w:pStyle w:val="SOText"/>
      </w:pPr>
      <w:r w:rsidRPr="00392A4E">
        <w:t>Financial assistance is provided directly to a State or Territory for its government schools. Financial assistance for a non</w:t>
      </w:r>
      <w:r w:rsidR="00B84F34">
        <w:noBreakHyphen/>
      </w:r>
      <w:r w:rsidRPr="00392A4E">
        <w:t>government school located in a State or Territory is provided to the State or Territory which must give it to the approved authority for the school.</w:t>
      </w:r>
    </w:p>
    <w:p w:rsidR="00A90BF3" w:rsidRPr="00392A4E" w:rsidRDefault="00A90BF3" w:rsidP="00392A4E">
      <w:pPr>
        <w:pStyle w:val="SOText"/>
      </w:pPr>
      <w:r w:rsidRPr="00392A4E">
        <w:t>The amount of financial assistance that a school attracts for a year is worked out using the formula in Division</w:t>
      </w:r>
      <w:r w:rsidR="00392A4E" w:rsidRPr="00392A4E">
        <w:t> </w:t>
      </w:r>
      <w:r w:rsidRPr="00392A4E">
        <w:t>2 of Part</w:t>
      </w:r>
      <w:r w:rsidR="00392A4E" w:rsidRPr="00392A4E">
        <w:t> </w:t>
      </w:r>
      <w:r w:rsidRPr="00392A4E">
        <w:t>3. The financial assistance consists of a base amount for all schools, plus loadings for schools with students with greater needs. The base amount and most of the loadings are worked out by reference to an amount per student called the SRS funding amount. (SRS is short for schooling resource standard.)</w:t>
      </w:r>
    </w:p>
    <w:p w:rsidR="00A90BF3" w:rsidRPr="00392A4E" w:rsidRDefault="00085DAF" w:rsidP="00392A4E">
      <w:pPr>
        <w:pStyle w:val="SOText"/>
      </w:pPr>
      <w:r w:rsidRPr="00392A4E">
        <w:t>The formula produces the Commonwealth share of a total amount of funding.</w:t>
      </w:r>
      <w:r w:rsidR="00A90BF3" w:rsidRPr="00392A4E">
        <w:t xml:space="preserve"> Not all schools will attract the final Commonwealth share immediately. Most schools </w:t>
      </w:r>
      <w:r w:rsidR="00D973D5" w:rsidRPr="00392A4E">
        <w:t xml:space="preserve">(called transitioning schools) </w:t>
      </w:r>
      <w:r w:rsidR="00A90BF3" w:rsidRPr="00392A4E">
        <w:t xml:space="preserve">will move to that share over a period of </w:t>
      </w:r>
      <w:r w:rsidR="000C3D3F" w:rsidRPr="00452700">
        <w:t>6 to 10</w:t>
      </w:r>
      <w:r w:rsidR="000C3D3F">
        <w:t xml:space="preserve"> </w:t>
      </w:r>
      <w:r w:rsidR="00A90BF3" w:rsidRPr="00392A4E">
        <w:t>years.</w:t>
      </w:r>
    </w:p>
    <w:p w:rsidR="00A90BF3" w:rsidRPr="00392A4E" w:rsidRDefault="00A90BF3" w:rsidP="00392A4E">
      <w:pPr>
        <w:pStyle w:val="SOText"/>
      </w:pPr>
      <w:r w:rsidRPr="00392A4E">
        <w:t>The Minister can determine other kinds of funding for any school under Part</w:t>
      </w:r>
      <w:r w:rsidR="00392A4E" w:rsidRPr="00392A4E">
        <w:t> </w:t>
      </w:r>
      <w:r w:rsidRPr="00392A4E">
        <w:t>5. The Minister can determine capital funding for non</w:t>
      </w:r>
      <w:r w:rsidR="00B84F34">
        <w:noBreakHyphen/>
      </w:r>
      <w:r w:rsidRPr="00392A4E">
        <w:t xml:space="preserve">government schools, which is ultimately provided to capital grants authorities and block grant authorities. The Minister can determine funding for schools in special circumstances or if the Minister is satisfied that prescribed circumstances apply in relation to schools. In addition, the Minister can determine additional adjustment funding for transitioning schools </w:t>
      </w:r>
      <w:r w:rsidR="00085DAF" w:rsidRPr="00392A4E">
        <w:t>for</w:t>
      </w:r>
      <w:r w:rsidRPr="00392A4E">
        <w:t xml:space="preserve"> </w:t>
      </w:r>
      <w:r w:rsidR="000C3D3F" w:rsidRPr="00452700">
        <w:t>6 to 10</w:t>
      </w:r>
      <w:r w:rsidR="000C3D3F">
        <w:t xml:space="preserve"> </w:t>
      </w:r>
      <w:r w:rsidRPr="00392A4E">
        <w:t>years, in accordance with the regulations.</w:t>
      </w:r>
    </w:p>
    <w:p w:rsidR="00A90BF3" w:rsidRPr="00392A4E" w:rsidRDefault="00A90BF3" w:rsidP="00392A4E">
      <w:pPr>
        <w:pStyle w:val="SOText"/>
      </w:pPr>
      <w:r w:rsidRPr="00392A4E">
        <w:t>The Minister can also determine funding for non</w:t>
      </w:r>
      <w:r w:rsidR="00B84F34">
        <w:noBreakHyphen/>
      </w:r>
      <w:r w:rsidRPr="00392A4E">
        <w:t>government representative bodies for non</w:t>
      </w:r>
      <w:r w:rsidR="00B84F34">
        <w:noBreakHyphen/>
      </w:r>
      <w:r w:rsidRPr="00392A4E">
        <w:t>government schools. Non</w:t>
      </w:r>
      <w:r w:rsidR="00B84F34">
        <w:noBreakHyphen/>
      </w:r>
      <w:r w:rsidRPr="00392A4E">
        <w:t>government representative bodies are bodies that represent approved authorities for non</w:t>
      </w:r>
      <w:r w:rsidR="00B84F34">
        <w:noBreakHyphen/>
      </w:r>
      <w:r w:rsidRPr="00392A4E">
        <w:t>government schools. A block grant authority or non</w:t>
      </w:r>
      <w:r w:rsidR="00B84F34">
        <w:noBreakHyphen/>
      </w:r>
      <w:r w:rsidRPr="00392A4E">
        <w:t>government representative body is approved by the Minister.</w:t>
      </w:r>
    </w:p>
    <w:p w:rsidR="00A90BF3" w:rsidRPr="00392A4E" w:rsidRDefault="00A90BF3" w:rsidP="00392A4E">
      <w:pPr>
        <w:pStyle w:val="SOText"/>
      </w:pPr>
      <w:r w:rsidRPr="00392A4E">
        <w:lastRenderedPageBreak/>
        <w:t>The Minister may require an amount to be repaid, reduce an amount that would otherwise be payable, or delay making a payment, if an amount is owed to the Commonwealth under this Act (or other similar Acts) or there is a failure to comply with particular requirements.</w:t>
      </w:r>
    </w:p>
    <w:p w:rsidR="000734F4" w:rsidRPr="008C37E9" w:rsidRDefault="000734F4" w:rsidP="000734F4">
      <w:pPr>
        <w:pStyle w:val="ItemHead"/>
      </w:pPr>
      <w:r w:rsidRPr="008C37E9">
        <w:t>47A  Section 6</w:t>
      </w:r>
    </w:p>
    <w:p w:rsidR="000734F4" w:rsidRPr="008C37E9" w:rsidRDefault="000734F4" w:rsidP="000734F4">
      <w:pPr>
        <w:pStyle w:val="Item"/>
      </w:pPr>
      <w:r w:rsidRPr="008C37E9">
        <w:t>Insert:</w:t>
      </w:r>
    </w:p>
    <w:p w:rsidR="000734F4" w:rsidRPr="008C37E9" w:rsidRDefault="000734F4" w:rsidP="000734F4">
      <w:pPr>
        <w:pStyle w:val="Definition"/>
      </w:pPr>
      <w:r w:rsidRPr="008C37E9">
        <w:rPr>
          <w:b/>
          <w:i/>
        </w:rPr>
        <w:t>approved system authority</w:t>
      </w:r>
      <w:r w:rsidRPr="008C37E9">
        <w:t xml:space="preserve"> has the meaning given by subsection 78(6).</w:t>
      </w:r>
    </w:p>
    <w:p w:rsidR="00865397" w:rsidRPr="00392A4E" w:rsidRDefault="0080643A" w:rsidP="00392A4E">
      <w:pPr>
        <w:pStyle w:val="ItemHead"/>
      </w:pPr>
      <w:r w:rsidRPr="00392A4E">
        <w:t>48</w:t>
      </w:r>
      <w:r w:rsidR="00D00F43" w:rsidRPr="00392A4E">
        <w:t xml:space="preserve">  Section</w:t>
      </w:r>
      <w:r w:rsidR="00392A4E" w:rsidRPr="00392A4E">
        <w:t> </w:t>
      </w:r>
      <w:r w:rsidR="00865397" w:rsidRPr="00392A4E">
        <w:t>6</w:t>
      </w:r>
    </w:p>
    <w:p w:rsidR="00865397" w:rsidRPr="00392A4E" w:rsidRDefault="00865397" w:rsidP="00392A4E">
      <w:pPr>
        <w:pStyle w:val="Item"/>
      </w:pPr>
      <w:r w:rsidRPr="00392A4E">
        <w:t>Repeal the following definitions:</w:t>
      </w:r>
    </w:p>
    <w:p w:rsidR="00865397" w:rsidRPr="00392A4E" w:rsidRDefault="00865397" w:rsidP="00392A4E">
      <w:pPr>
        <w:pStyle w:val="paragraph"/>
      </w:pPr>
      <w:r w:rsidRPr="00392A4E">
        <w:tab/>
        <w:t>(a)</w:t>
      </w:r>
      <w:r w:rsidRPr="00392A4E">
        <w:tab/>
        <w:t xml:space="preserve">definition of </w:t>
      </w:r>
      <w:r w:rsidRPr="00392A4E">
        <w:rPr>
          <w:b/>
          <w:i/>
        </w:rPr>
        <w:t>highly equitable</w:t>
      </w:r>
      <w:r w:rsidRPr="00392A4E">
        <w:t>;</w:t>
      </w:r>
    </w:p>
    <w:p w:rsidR="00865397" w:rsidRPr="00392A4E" w:rsidRDefault="00865397" w:rsidP="00392A4E">
      <w:pPr>
        <w:pStyle w:val="paragraph"/>
      </w:pPr>
      <w:r w:rsidRPr="00392A4E">
        <w:tab/>
        <w:t>(b)</w:t>
      </w:r>
      <w:r w:rsidRPr="00392A4E">
        <w:tab/>
        <w:t xml:space="preserve">definition of </w:t>
      </w:r>
      <w:r w:rsidRPr="00392A4E">
        <w:rPr>
          <w:b/>
          <w:i/>
        </w:rPr>
        <w:t>implementation plan</w:t>
      </w:r>
      <w:r w:rsidRPr="00392A4E">
        <w:t>;</w:t>
      </w:r>
    </w:p>
    <w:p w:rsidR="00865397" w:rsidRPr="00392A4E" w:rsidRDefault="00865397" w:rsidP="00392A4E">
      <w:pPr>
        <w:pStyle w:val="paragraph"/>
      </w:pPr>
      <w:r w:rsidRPr="00392A4E">
        <w:tab/>
        <w:t>(c)</w:t>
      </w:r>
      <w:r w:rsidRPr="00392A4E">
        <w:tab/>
        <w:t xml:space="preserve">definition of </w:t>
      </w:r>
      <w:r w:rsidRPr="00392A4E">
        <w:rPr>
          <w:b/>
          <w:i/>
        </w:rPr>
        <w:t>National Education Reform Agreement</w:t>
      </w:r>
      <w:r w:rsidRPr="00392A4E">
        <w:t>;</w:t>
      </w:r>
    </w:p>
    <w:p w:rsidR="00865397" w:rsidRPr="00392A4E" w:rsidRDefault="00865397" w:rsidP="00392A4E">
      <w:pPr>
        <w:pStyle w:val="paragraph"/>
      </w:pPr>
      <w:r w:rsidRPr="00392A4E">
        <w:tab/>
        <w:t>(d)</w:t>
      </w:r>
      <w:r w:rsidRPr="00392A4E">
        <w:tab/>
      </w:r>
      <w:r w:rsidR="00364EED" w:rsidRPr="00392A4E">
        <w:t xml:space="preserve">definition of </w:t>
      </w:r>
      <w:r w:rsidR="00364EED" w:rsidRPr="00392A4E">
        <w:rPr>
          <w:b/>
          <w:i/>
        </w:rPr>
        <w:t>new approved authority</w:t>
      </w:r>
      <w:r w:rsidRPr="00392A4E">
        <w:t>;</w:t>
      </w:r>
    </w:p>
    <w:p w:rsidR="00364EED" w:rsidRPr="00392A4E" w:rsidRDefault="00865397" w:rsidP="00392A4E">
      <w:pPr>
        <w:pStyle w:val="paragraph"/>
      </w:pPr>
      <w:r w:rsidRPr="00392A4E">
        <w:tab/>
        <w:t>(e)</w:t>
      </w:r>
      <w:r w:rsidRPr="00392A4E">
        <w:tab/>
      </w:r>
      <w:r w:rsidR="00364EED" w:rsidRPr="00392A4E">
        <w:t xml:space="preserve">definition of </w:t>
      </w:r>
      <w:r w:rsidR="00364EED" w:rsidRPr="00392A4E">
        <w:rPr>
          <w:b/>
          <w:i/>
        </w:rPr>
        <w:t>new Commonwealth per student amount</w:t>
      </w:r>
      <w:r w:rsidRPr="00392A4E">
        <w:t>;</w:t>
      </w:r>
    </w:p>
    <w:p w:rsidR="00364EED" w:rsidRPr="00392A4E" w:rsidRDefault="00865397" w:rsidP="00392A4E">
      <w:pPr>
        <w:pStyle w:val="paragraph"/>
      </w:pPr>
      <w:r w:rsidRPr="00392A4E">
        <w:tab/>
        <w:t>(f)</w:t>
      </w:r>
      <w:r w:rsidRPr="00392A4E">
        <w:tab/>
      </w:r>
      <w:r w:rsidR="00364EED" w:rsidRPr="00392A4E">
        <w:t xml:space="preserve">definition of </w:t>
      </w:r>
      <w:r w:rsidR="00364EED" w:rsidRPr="00392A4E">
        <w:rPr>
          <w:b/>
          <w:i/>
        </w:rPr>
        <w:t>new per student amount</w:t>
      </w:r>
      <w:r w:rsidRPr="00392A4E">
        <w:t>;</w:t>
      </w:r>
    </w:p>
    <w:p w:rsidR="00364EED" w:rsidRPr="00392A4E" w:rsidRDefault="00865397" w:rsidP="00392A4E">
      <w:pPr>
        <w:pStyle w:val="paragraph"/>
      </w:pPr>
      <w:r w:rsidRPr="00392A4E">
        <w:tab/>
        <w:t>(g)</w:t>
      </w:r>
      <w:r w:rsidRPr="00392A4E">
        <w:tab/>
      </w:r>
      <w:r w:rsidR="00364EED" w:rsidRPr="00392A4E">
        <w:t xml:space="preserve">definition of </w:t>
      </w:r>
      <w:r w:rsidR="00364EED" w:rsidRPr="00392A4E">
        <w:rPr>
          <w:b/>
          <w:i/>
        </w:rPr>
        <w:t>non</w:t>
      </w:r>
      <w:r w:rsidR="00B84F34">
        <w:rPr>
          <w:b/>
          <w:i/>
        </w:rPr>
        <w:noBreakHyphen/>
      </w:r>
      <w:r w:rsidR="00364EED" w:rsidRPr="00392A4E">
        <w:rPr>
          <w:b/>
          <w:i/>
        </w:rPr>
        <w:t>participating school</w:t>
      </w:r>
      <w:r w:rsidRPr="00392A4E">
        <w:t>;</w:t>
      </w:r>
    </w:p>
    <w:p w:rsidR="00364EED" w:rsidRPr="00392A4E" w:rsidRDefault="00865397" w:rsidP="00392A4E">
      <w:pPr>
        <w:pStyle w:val="paragraph"/>
      </w:pPr>
      <w:r w:rsidRPr="00392A4E">
        <w:tab/>
        <w:t>(h)</w:t>
      </w:r>
      <w:r w:rsidRPr="00392A4E">
        <w:tab/>
      </w:r>
      <w:r w:rsidR="00364EED" w:rsidRPr="00392A4E">
        <w:t xml:space="preserve">definition of </w:t>
      </w:r>
      <w:r w:rsidR="00364EED" w:rsidRPr="00392A4E">
        <w:rPr>
          <w:b/>
          <w:i/>
        </w:rPr>
        <w:t>non</w:t>
      </w:r>
      <w:r w:rsidR="00B84F34">
        <w:rPr>
          <w:b/>
          <w:i/>
        </w:rPr>
        <w:noBreakHyphen/>
      </w:r>
      <w:r w:rsidR="00364EED" w:rsidRPr="00392A4E">
        <w:rPr>
          <w:b/>
          <w:i/>
        </w:rPr>
        <w:t>participating States and Territories</w:t>
      </w:r>
      <w:r w:rsidRPr="00392A4E">
        <w:t>;</w:t>
      </w:r>
    </w:p>
    <w:p w:rsidR="00364EED" w:rsidRPr="00392A4E" w:rsidRDefault="00865397" w:rsidP="00392A4E">
      <w:pPr>
        <w:pStyle w:val="paragraph"/>
      </w:pPr>
      <w:r w:rsidRPr="00392A4E">
        <w:tab/>
        <w:t>(</w:t>
      </w:r>
      <w:proofErr w:type="spellStart"/>
      <w:r w:rsidRPr="00392A4E">
        <w:t>i</w:t>
      </w:r>
      <w:proofErr w:type="spellEnd"/>
      <w:r w:rsidRPr="00392A4E">
        <w:t>)</w:t>
      </w:r>
      <w:r w:rsidRPr="00392A4E">
        <w:tab/>
      </w:r>
      <w:r w:rsidR="00364EED" w:rsidRPr="00392A4E">
        <w:t xml:space="preserve">definition of </w:t>
      </w:r>
      <w:r w:rsidR="00364EED" w:rsidRPr="00392A4E">
        <w:rPr>
          <w:b/>
          <w:i/>
        </w:rPr>
        <w:t>old Commonwealth per student amount</w:t>
      </w:r>
      <w:r w:rsidRPr="00392A4E">
        <w:t>;</w:t>
      </w:r>
    </w:p>
    <w:p w:rsidR="00364EED" w:rsidRPr="00392A4E" w:rsidRDefault="00865397" w:rsidP="00392A4E">
      <w:pPr>
        <w:pStyle w:val="paragraph"/>
      </w:pPr>
      <w:r w:rsidRPr="00392A4E">
        <w:tab/>
        <w:t>(j)</w:t>
      </w:r>
      <w:r w:rsidRPr="00392A4E">
        <w:tab/>
      </w:r>
      <w:r w:rsidR="00364EED" w:rsidRPr="00392A4E">
        <w:t xml:space="preserve">definition of </w:t>
      </w:r>
      <w:r w:rsidR="00364EED" w:rsidRPr="00392A4E">
        <w:rPr>
          <w:b/>
          <w:i/>
        </w:rPr>
        <w:t>old per student amount</w:t>
      </w:r>
      <w:r w:rsidRPr="00392A4E">
        <w:t>;</w:t>
      </w:r>
    </w:p>
    <w:p w:rsidR="00364EED" w:rsidRPr="00392A4E" w:rsidRDefault="00865397" w:rsidP="00392A4E">
      <w:pPr>
        <w:pStyle w:val="paragraph"/>
      </w:pPr>
      <w:r w:rsidRPr="00392A4E">
        <w:tab/>
        <w:t>(k)</w:t>
      </w:r>
      <w:r w:rsidRPr="00392A4E">
        <w:tab/>
      </w:r>
      <w:r w:rsidR="00364EED" w:rsidRPr="00392A4E">
        <w:t xml:space="preserve">definition of </w:t>
      </w:r>
      <w:r w:rsidR="00364EED" w:rsidRPr="00392A4E">
        <w:rPr>
          <w:b/>
          <w:i/>
        </w:rPr>
        <w:t>participating government school</w:t>
      </w:r>
      <w:r w:rsidR="002D392E" w:rsidRPr="00392A4E">
        <w:t>;</w:t>
      </w:r>
    </w:p>
    <w:p w:rsidR="00364EED" w:rsidRPr="00392A4E" w:rsidRDefault="002D392E" w:rsidP="00392A4E">
      <w:pPr>
        <w:pStyle w:val="paragraph"/>
      </w:pPr>
      <w:r w:rsidRPr="00392A4E">
        <w:tab/>
        <w:t>(l)</w:t>
      </w:r>
      <w:r w:rsidRPr="00392A4E">
        <w:tab/>
      </w:r>
      <w:r w:rsidR="00364EED" w:rsidRPr="00392A4E">
        <w:t xml:space="preserve">definition of </w:t>
      </w:r>
      <w:r w:rsidR="00364EED" w:rsidRPr="00392A4E">
        <w:rPr>
          <w:b/>
          <w:i/>
        </w:rPr>
        <w:t>participating school</w:t>
      </w:r>
      <w:r w:rsidRPr="00392A4E">
        <w:t>;</w:t>
      </w:r>
    </w:p>
    <w:p w:rsidR="00364EED" w:rsidRPr="00392A4E" w:rsidRDefault="002D392E" w:rsidP="00392A4E">
      <w:pPr>
        <w:pStyle w:val="paragraph"/>
      </w:pPr>
      <w:r w:rsidRPr="00392A4E">
        <w:tab/>
        <w:t>(m)</w:t>
      </w:r>
      <w:r w:rsidRPr="00392A4E">
        <w:tab/>
      </w:r>
      <w:r w:rsidR="00364EED" w:rsidRPr="00392A4E">
        <w:t xml:space="preserve">definition of </w:t>
      </w:r>
      <w:r w:rsidR="00364EED" w:rsidRPr="00392A4E">
        <w:rPr>
          <w:b/>
          <w:i/>
        </w:rPr>
        <w:t>participating State or Territory</w:t>
      </w:r>
      <w:r w:rsidRPr="00392A4E">
        <w:t>;</w:t>
      </w:r>
    </w:p>
    <w:p w:rsidR="004C20FB" w:rsidRDefault="002D392E" w:rsidP="00392A4E">
      <w:pPr>
        <w:pStyle w:val="paragraph"/>
      </w:pPr>
      <w:r w:rsidRPr="00392A4E">
        <w:tab/>
        <w:t>(n)</w:t>
      </w:r>
      <w:r w:rsidRPr="00392A4E">
        <w:tab/>
      </w:r>
      <w:r w:rsidR="004C20FB" w:rsidRPr="00392A4E">
        <w:t xml:space="preserve">definition of </w:t>
      </w:r>
      <w:r w:rsidR="004C20FB" w:rsidRPr="00392A4E">
        <w:rPr>
          <w:b/>
          <w:i/>
        </w:rPr>
        <w:t>relevant arrangement</w:t>
      </w:r>
      <w:r w:rsidR="000734F4" w:rsidRPr="008C37E9">
        <w:t>;</w:t>
      </w:r>
    </w:p>
    <w:p w:rsidR="000734F4" w:rsidRPr="008C37E9" w:rsidRDefault="000734F4" w:rsidP="000734F4">
      <w:pPr>
        <w:pStyle w:val="paragraph"/>
      </w:pPr>
      <w:r w:rsidRPr="008C37E9">
        <w:tab/>
        <w:t>(o)</w:t>
      </w:r>
      <w:r w:rsidRPr="008C37E9">
        <w:tab/>
        <w:t xml:space="preserve">definition of </w:t>
      </w:r>
      <w:r w:rsidRPr="008C37E9">
        <w:rPr>
          <w:b/>
          <w:i/>
        </w:rPr>
        <w:t>student with disability</w:t>
      </w:r>
      <w:r w:rsidRPr="008C37E9">
        <w:t>.</w:t>
      </w:r>
    </w:p>
    <w:p w:rsidR="00364EED" w:rsidRPr="00392A4E" w:rsidRDefault="0080643A" w:rsidP="00392A4E">
      <w:pPr>
        <w:pStyle w:val="ItemHead"/>
      </w:pPr>
      <w:r w:rsidRPr="00392A4E">
        <w:t>49</w:t>
      </w:r>
      <w:r w:rsidR="00364EED" w:rsidRPr="00392A4E">
        <w:t xml:space="preserve">  Section</w:t>
      </w:r>
      <w:r w:rsidR="00392A4E" w:rsidRPr="00392A4E">
        <w:t> </w:t>
      </w:r>
      <w:r w:rsidR="00364EED" w:rsidRPr="00392A4E">
        <w:t xml:space="preserve">6 (note 2 at the end of the definition of </w:t>
      </w:r>
      <w:r w:rsidR="00364EED" w:rsidRPr="00392A4E">
        <w:rPr>
          <w:i/>
        </w:rPr>
        <w:t>school</w:t>
      </w:r>
      <w:r w:rsidR="00364EED" w:rsidRPr="00392A4E">
        <w:t>)</w:t>
      </w:r>
    </w:p>
    <w:p w:rsidR="00364EED" w:rsidRPr="00392A4E" w:rsidRDefault="00364EED" w:rsidP="00392A4E">
      <w:pPr>
        <w:pStyle w:val="Item"/>
      </w:pPr>
      <w:r w:rsidRPr="00392A4E">
        <w:t>Omit “funding for participating”, substitute “recurrent funding for”.</w:t>
      </w:r>
    </w:p>
    <w:p w:rsidR="00E235D7" w:rsidRPr="00765DC6" w:rsidRDefault="00E235D7" w:rsidP="00E235D7">
      <w:pPr>
        <w:pStyle w:val="ItemHead"/>
      </w:pPr>
      <w:r w:rsidRPr="00765DC6">
        <w:t>49A  Section 6</w:t>
      </w:r>
    </w:p>
    <w:p w:rsidR="00E235D7" w:rsidRPr="00765DC6" w:rsidRDefault="00E235D7" w:rsidP="00E235D7">
      <w:pPr>
        <w:pStyle w:val="Item"/>
      </w:pPr>
      <w:r w:rsidRPr="00765DC6">
        <w:t>Insert:</w:t>
      </w:r>
    </w:p>
    <w:p w:rsidR="00E235D7" w:rsidRPr="00765DC6" w:rsidRDefault="00E235D7" w:rsidP="00E235D7">
      <w:pPr>
        <w:pStyle w:val="Definition"/>
      </w:pPr>
      <w:r w:rsidRPr="00765DC6">
        <w:rPr>
          <w:b/>
          <w:i/>
        </w:rPr>
        <w:t>school education reform agreement</w:t>
      </w:r>
      <w:r w:rsidRPr="00765DC6">
        <w:t xml:space="preserve"> has the meaning given by subsection 22A(6).</w:t>
      </w:r>
    </w:p>
    <w:p w:rsidR="00E235D7" w:rsidRPr="00765DC6" w:rsidRDefault="00E235D7" w:rsidP="00E235D7">
      <w:pPr>
        <w:pStyle w:val="Definition"/>
      </w:pPr>
      <w:r w:rsidRPr="00765DC6">
        <w:rPr>
          <w:b/>
          <w:i/>
        </w:rPr>
        <w:lastRenderedPageBreak/>
        <w:t>State</w:t>
      </w:r>
      <w:r w:rsidR="00B84F34">
        <w:rPr>
          <w:b/>
          <w:i/>
        </w:rPr>
        <w:noBreakHyphen/>
      </w:r>
      <w:r w:rsidRPr="00765DC6">
        <w:rPr>
          <w:b/>
          <w:i/>
        </w:rPr>
        <w:t>Territory contribution amount</w:t>
      </w:r>
      <w:r w:rsidRPr="00765DC6">
        <w:t xml:space="preserve"> has the meaning given by subsection 22A(2).</w:t>
      </w:r>
    </w:p>
    <w:p w:rsidR="00364EED" w:rsidRPr="00392A4E" w:rsidRDefault="0080643A" w:rsidP="00392A4E">
      <w:pPr>
        <w:pStyle w:val="ItemHead"/>
      </w:pPr>
      <w:r w:rsidRPr="00392A4E">
        <w:t>50</w:t>
      </w:r>
      <w:r w:rsidR="00364EED" w:rsidRPr="00392A4E">
        <w:t xml:space="preserve">  Section</w:t>
      </w:r>
      <w:r w:rsidR="00392A4E" w:rsidRPr="00392A4E">
        <w:t> </w:t>
      </w:r>
      <w:r w:rsidR="00364EED" w:rsidRPr="00392A4E">
        <w:t xml:space="preserve">6 (definition of </w:t>
      </w:r>
      <w:r w:rsidR="00364EED" w:rsidRPr="00392A4E">
        <w:rPr>
          <w:i/>
        </w:rPr>
        <w:t>total entitlement</w:t>
      </w:r>
      <w:r w:rsidR="00364EED" w:rsidRPr="00392A4E">
        <w:t>)</w:t>
      </w:r>
    </w:p>
    <w:p w:rsidR="00364EED" w:rsidRPr="00392A4E" w:rsidRDefault="00364EED" w:rsidP="00392A4E">
      <w:pPr>
        <w:pStyle w:val="Item"/>
      </w:pPr>
      <w:r w:rsidRPr="00392A4E">
        <w:t>Omit “subsections</w:t>
      </w:r>
      <w:r w:rsidR="00392A4E" w:rsidRPr="00392A4E">
        <w:t> </w:t>
      </w:r>
      <w:r w:rsidRPr="00392A4E">
        <w:t>12(1) to (3)”, substitute “section</w:t>
      </w:r>
      <w:r w:rsidR="00392A4E" w:rsidRPr="00392A4E">
        <w:t> </w:t>
      </w:r>
      <w:r w:rsidRPr="00392A4E">
        <w:t>12”.</w:t>
      </w:r>
    </w:p>
    <w:p w:rsidR="00364EED" w:rsidRPr="00392A4E" w:rsidRDefault="0080643A" w:rsidP="00392A4E">
      <w:pPr>
        <w:pStyle w:val="ItemHead"/>
      </w:pPr>
      <w:r w:rsidRPr="00392A4E">
        <w:t>51</w:t>
      </w:r>
      <w:r w:rsidR="00364EED" w:rsidRPr="00392A4E">
        <w:t xml:space="preserve">  Section</w:t>
      </w:r>
      <w:r w:rsidR="00392A4E" w:rsidRPr="00392A4E">
        <w:t> </w:t>
      </w:r>
      <w:r w:rsidR="00364EED" w:rsidRPr="00392A4E">
        <w:t xml:space="preserve">6 (definition of </w:t>
      </w:r>
      <w:r w:rsidR="00364EED" w:rsidRPr="00392A4E">
        <w:rPr>
          <w:i/>
        </w:rPr>
        <w:t>transition school</w:t>
      </w:r>
      <w:r w:rsidR="00364EED" w:rsidRPr="00392A4E">
        <w:t>)</w:t>
      </w:r>
    </w:p>
    <w:p w:rsidR="00364EED" w:rsidRPr="00392A4E" w:rsidRDefault="00364EED" w:rsidP="00392A4E">
      <w:pPr>
        <w:pStyle w:val="Item"/>
      </w:pPr>
      <w:r w:rsidRPr="00392A4E">
        <w:t>Repeal the definition.</w:t>
      </w:r>
    </w:p>
    <w:p w:rsidR="00364EED" w:rsidRPr="00392A4E" w:rsidRDefault="0080643A" w:rsidP="00392A4E">
      <w:pPr>
        <w:pStyle w:val="ItemHead"/>
      </w:pPr>
      <w:r w:rsidRPr="00392A4E">
        <w:t>52</w:t>
      </w:r>
      <w:r w:rsidR="00364EED" w:rsidRPr="00392A4E">
        <w:t xml:space="preserve">  Subsection</w:t>
      </w:r>
      <w:r w:rsidR="00392A4E" w:rsidRPr="00392A4E">
        <w:t> </w:t>
      </w:r>
      <w:r w:rsidR="00364EED" w:rsidRPr="00392A4E">
        <w:t>9(1) (heading)</w:t>
      </w:r>
    </w:p>
    <w:p w:rsidR="00364EED" w:rsidRPr="00392A4E" w:rsidRDefault="00364EED" w:rsidP="00392A4E">
      <w:pPr>
        <w:pStyle w:val="Item"/>
      </w:pPr>
      <w:r w:rsidRPr="00392A4E">
        <w:t>Repeal the heading, substitute:</w:t>
      </w:r>
    </w:p>
    <w:p w:rsidR="00364EED" w:rsidRPr="00392A4E" w:rsidRDefault="00364EED" w:rsidP="00392A4E">
      <w:pPr>
        <w:pStyle w:val="SubsectionHead"/>
      </w:pPr>
      <w:r w:rsidRPr="00392A4E">
        <w:t>Recurrent funding</w:t>
      </w:r>
    </w:p>
    <w:p w:rsidR="00364EED" w:rsidRPr="00392A4E" w:rsidRDefault="0080643A" w:rsidP="00392A4E">
      <w:pPr>
        <w:pStyle w:val="ItemHead"/>
      </w:pPr>
      <w:r w:rsidRPr="00392A4E">
        <w:t>53</w:t>
      </w:r>
      <w:r w:rsidR="00364EED" w:rsidRPr="00392A4E">
        <w:t xml:space="preserve">  Paragraph 9(1)(a)</w:t>
      </w:r>
    </w:p>
    <w:p w:rsidR="00364EED" w:rsidRPr="00392A4E" w:rsidRDefault="00364EED" w:rsidP="00392A4E">
      <w:pPr>
        <w:pStyle w:val="Item"/>
      </w:pPr>
      <w:r w:rsidRPr="00392A4E">
        <w:t>Omit “participating”.</w:t>
      </w:r>
    </w:p>
    <w:p w:rsidR="00364EED" w:rsidRPr="00392A4E" w:rsidRDefault="0080643A" w:rsidP="00392A4E">
      <w:pPr>
        <w:pStyle w:val="ItemHead"/>
      </w:pPr>
      <w:r w:rsidRPr="00392A4E">
        <w:t>54</w:t>
      </w:r>
      <w:r w:rsidR="00364EED" w:rsidRPr="00392A4E">
        <w:t xml:space="preserve">  Subsections</w:t>
      </w:r>
      <w:r w:rsidR="00392A4E" w:rsidRPr="00392A4E">
        <w:t> </w:t>
      </w:r>
      <w:r w:rsidR="00364EED" w:rsidRPr="00392A4E">
        <w:t>9(2) and (3)</w:t>
      </w:r>
    </w:p>
    <w:p w:rsidR="00364EED" w:rsidRPr="00392A4E" w:rsidRDefault="00364EED" w:rsidP="00392A4E">
      <w:pPr>
        <w:pStyle w:val="Item"/>
      </w:pPr>
      <w:r w:rsidRPr="00392A4E">
        <w:t>Repeal the subsections.</w:t>
      </w:r>
    </w:p>
    <w:p w:rsidR="00364EED" w:rsidRPr="00392A4E" w:rsidRDefault="0080643A" w:rsidP="00392A4E">
      <w:pPr>
        <w:pStyle w:val="ItemHead"/>
      </w:pPr>
      <w:r w:rsidRPr="00392A4E">
        <w:t>55</w:t>
      </w:r>
      <w:r w:rsidR="00364EED" w:rsidRPr="00392A4E">
        <w:t xml:space="preserve">  Subsections</w:t>
      </w:r>
      <w:r w:rsidR="00392A4E" w:rsidRPr="00392A4E">
        <w:t> </w:t>
      </w:r>
      <w:r w:rsidR="00364EED" w:rsidRPr="00392A4E">
        <w:t>12(1) to (3)</w:t>
      </w:r>
    </w:p>
    <w:p w:rsidR="00364EED" w:rsidRPr="00392A4E" w:rsidRDefault="00364EED" w:rsidP="00392A4E">
      <w:pPr>
        <w:pStyle w:val="Item"/>
      </w:pPr>
      <w:r w:rsidRPr="00392A4E">
        <w:t>Repeal the subsections, substitute:</w:t>
      </w:r>
    </w:p>
    <w:p w:rsidR="00364EED" w:rsidRPr="00392A4E" w:rsidRDefault="00364EED" w:rsidP="00392A4E">
      <w:pPr>
        <w:pStyle w:val="subsection"/>
      </w:pPr>
      <w:r w:rsidRPr="00392A4E">
        <w:tab/>
      </w:r>
      <w:r w:rsidRPr="00392A4E">
        <w:tab/>
        <w:t xml:space="preserve">A school’s </w:t>
      </w:r>
      <w:r w:rsidRPr="00392A4E">
        <w:rPr>
          <w:b/>
          <w:i/>
        </w:rPr>
        <w:t>total entitlement</w:t>
      </w:r>
      <w:r w:rsidRPr="00392A4E">
        <w:t xml:space="preserve"> for a year is the amount payable to a State or Territory under Division</w:t>
      </w:r>
      <w:r w:rsidR="00392A4E" w:rsidRPr="00392A4E">
        <w:t> </w:t>
      </w:r>
      <w:r w:rsidRPr="00392A4E">
        <w:t>2 of Part</w:t>
      </w:r>
      <w:r w:rsidR="00392A4E" w:rsidRPr="00392A4E">
        <w:t> </w:t>
      </w:r>
      <w:r w:rsidRPr="00392A4E">
        <w:t>3 for the school for the year.</w:t>
      </w:r>
    </w:p>
    <w:p w:rsidR="00364EED" w:rsidRPr="00392A4E" w:rsidRDefault="00364EED" w:rsidP="00392A4E">
      <w:pPr>
        <w:pStyle w:val="notetext"/>
      </w:pPr>
      <w:r w:rsidRPr="00392A4E">
        <w:t>Note:</w:t>
      </w:r>
      <w:r w:rsidRPr="00392A4E">
        <w:tab/>
        <w:t>In some circumstances, section</w:t>
      </w:r>
      <w:r w:rsidR="00392A4E" w:rsidRPr="00392A4E">
        <w:t> </w:t>
      </w:r>
      <w:r w:rsidRPr="00392A4E">
        <w:t>27 may affect a school’s total entitlement.</w:t>
      </w:r>
    </w:p>
    <w:p w:rsidR="00364EED" w:rsidRPr="00392A4E" w:rsidRDefault="0080643A" w:rsidP="00392A4E">
      <w:pPr>
        <w:pStyle w:val="ItemHead"/>
      </w:pPr>
      <w:r w:rsidRPr="00392A4E">
        <w:t>56</w:t>
      </w:r>
      <w:r w:rsidR="00364EED" w:rsidRPr="00392A4E">
        <w:t xml:space="preserve">  Section</w:t>
      </w:r>
      <w:r w:rsidR="00392A4E" w:rsidRPr="00392A4E">
        <w:t> </w:t>
      </w:r>
      <w:r w:rsidR="00364EED" w:rsidRPr="00392A4E">
        <w:t>14</w:t>
      </w:r>
    </w:p>
    <w:p w:rsidR="00364EED" w:rsidRPr="00392A4E" w:rsidRDefault="00364EED" w:rsidP="00392A4E">
      <w:pPr>
        <w:pStyle w:val="Item"/>
      </w:pPr>
      <w:r w:rsidRPr="00392A4E">
        <w:t>Repeal the section.</w:t>
      </w:r>
    </w:p>
    <w:p w:rsidR="00D0205C" w:rsidRPr="00392A4E" w:rsidRDefault="0080643A" w:rsidP="00392A4E">
      <w:pPr>
        <w:pStyle w:val="ItemHead"/>
      </w:pPr>
      <w:r w:rsidRPr="00392A4E">
        <w:t>57</w:t>
      </w:r>
      <w:r w:rsidR="00D0205C" w:rsidRPr="00392A4E">
        <w:t xml:space="preserve">  Paragraph 21(a)</w:t>
      </w:r>
    </w:p>
    <w:p w:rsidR="00D0205C" w:rsidRPr="00392A4E" w:rsidRDefault="00D0205C" w:rsidP="00392A4E">
      <w:pPr>
        <w:pStyle w:val="Item"/>
      </w:pPr>
      <w:r w:rsidRPr="00392A4E">
        <w:t>Omit “(recurrent funding) for a participating”, substitute “(funding formula for schools) for a”.</w:t>
      </w:r>
    </w:p>
    <w:p w:rsidR="00364EED" w:rsidRPr="00392A4E" w:rsidRDefault="0080643A" w:rsidP="00392A4E">
      <w:pPr>
        <w:pStyle w:val="ItemHead"/>
      </w:pPr>
      <w:r w:rsidRPr="00392A4E">
        <w:t>58</w:t>
      </w:r>
      <w:r w:rsidR="00364EED" w:rsidRPr="00392A4E">
        <w:t xml:space="preserve">  Paragraphs 21(b) and (c)</w:t>
      </w:r>
    </w:p>
    <w:p w:rsidR="00364EED" w:rsidRPr="00392A4E" w:rsidRDefault="00364EED" w:rsidP="00392A4E">
      <w:pPr>
        <w:pStyle w:val="Item"/>
      </w:pPr>
      <w:r w:rsidRPr="00392A4E">
        <w:t>Repeal the paragraphs.</w:t>
      </w:r>
    </w:p>
    <w:p w:rsidR="00650031" w:rsidRPr="00392A4E" w:rsidRDefault="0080643A" w:rsidP="00392A4E">
      <w:pPr>
        <w:pStyle w:val="ItemHead"/>
      </w:pPr>
      <w:r w:rsidRPr="00392A4E">
        <w:lastRenderedPageBreak/>
        <w:t>59</w:t>
      </w:r>
      <w:r w:rsidR="006F3CA7" w:rsidRPr="00392A4E">
        <w:t xml:space="preserve">  S</w:t>
      </w:r>
      <w:r w:rsidR="00650031" w:rsidRPr="00392A4E">
        <w:t>ection</w:t>
      </w:r>
      <w:r w:rsidR="00392A4E" w:rsidRPr="00392A4E">
        <w:t> </w:t>
      </w:r>
      <w:r w:rsidR="00650031" w:rsidRPr="00392A4E">
        <w:t>22</w:t>
      </w:r>
    </w:p>
    <w:p w:rsidR="00650031" w:rsidRPr="00392A4E" w:rsidRDefault="00650031" w:rsidP="00392A4E">
      <w:pPr>
        <w:pStyle w:val="Item"/>
      </w:pPr>
      <w:r w:rsidRPr="00392A4E">
        <w:t xml:space="preserve">Repeal the </w:t>
      </w:r>
      <w:r w:rsidR="006F3CA7" w:rsidRPr="00392A4E">
        <w:t>section</w:t>
      </w:r>
      <w:r w:rsidRPr="00392A4E">
        <w:t>, substitute:</w:t>
      </w:r>
    </w:p>
    <w:p w:rsidR="00A66E99" w:rsidRPr="00392A4E" w:rsidRDefault="00A66E99" w:rsidP="00392A4E">
      <w:pPr>
        <w:pStyle w:val="ActHead5"/>
      </w:pPr>
      <w:bookmarkStart w:id="30" w:name="_Toc486412751"/>
      <w:r w:rsidRPr="00392A4E">
        <w:rPr>
          <w:rStyle w:val="CharSectno"/>
        </w:rPr>
        <w:t>22</w:t>
      </w:r>
      <w:r w:rsidRPr="00392A4E">
        <w:t xml:space="preserve">  Conditions of financial assistance—implementing national policy initiatives and agreements relating to school education</w:t>
      </w:r>
      <w:bookmarkEnd w:id="30"/>
    </w:p>
    <w:p w:rsidR="00A66E99" w:rsidRPr="00392A4E" w:rsidRDefault="00A66E99" w:rsidP="00392A4E">
      <w:pPr>
        <w:pStyle w:val="subsection"/>
      </w:pPr>
      <w:r w:rsidRPr="00392A4E">
        <w:tab/>
        <w:t>(1)</w:t>
      </w:r>
      <w:r w:rsidRPr="00392A4E">
        <w:tab/>
        <w:t>A payment of financial assistance under this Act to a State or Territory is subject to the condition that the State or Territory implements national policy initiatives for school education:</w:t>
      </w:r>
    </w:p>
    <w:p w:rsidR="00C60DCF" w:rsidRPr="00392A4E" w:rsidRDefault="00C60DCF" w:rsidP="00392A4E">
      <w:pPr>
        <w:pStyle w:val="paragraph"/>
      </w:pPr>
      <w:r w:rsidRPr="00392A4E">
        <w:tab/>
        <w:t>(a)</w:t>
      </w:r>
      <w:r w:rsidRPr="00392A4E">
        <w:tab/>
        <w:t>agreed by the Ministerial Council from time to time; or</w:t>
      </w:r>
    </w:p>
    <w:p w:rsidR="00C60DCF" w:rsidRPr="00392A4E" w:rsidRDefault="00C60DCF" w:rsidP="00392A4E">
      <w:pPr>
        <w:pStyle w:val="paragraph"/>
      </w:pPr>
      <w:r w:rsidRPr="00392A4E">
        <w:tab/>
        <w:t>(b)</w:t>
      </w:r>
      <w:r w:rsidRPr="00392A4E">
        <w:tab/>
        <w:t>prescribed by the regulations.</w:t>
      </w:r>
    </w:p>
    <w:p w:rsidR="00650031" w:rsidRPr="00392A4E" w:rsidRDefault="00650031" w:rsidP="00392A4E">
      <w:pPr>
        <w:pStyle w:val="notetext"/>
      </w:pPr>
      <w:r w:rsidRPr="00392A4E">
        <w:t>Note:</w:t>
      </w:r>
      <w:r w:rsidRPr="00392A4E">
        <w:tab/>
      </w:r>
      <w:r w:rsidR="00C60DCF" w:rsidRPr="00392A4E">
        <w:t>Before regulations are made for the purposes of this subsection, the Minister must consult, and have regard to any relevant decisions of, the Ministerial Council (see subsection</w:t>
      </w:r>
      <w:r w:rsidR="00392A4E" w:rsidRPr="00392A4E">
        <w:t> </w:t>
      </w:r>
      <w:r w:rsidR="00C60DCF" w:rsidRPr="00392A4E">
        <w:t>130(5)).</w:t>
      </w:r>
    </w:p>
    <w:p w:rsidR="00C60DCF" w:rsidRPr="00392A4E" w:rsidRDefault="00C60DCF" w:rsidP="00392A4E">
      <w:pPr>
        <w:pStyle w:val="subsection"/>
      </w:pPr>
      <w:r w:rsidRPr="00392A4E">
        <w:tab/>
        <w:t>(2)</w:t>
      </w:r>
      <w:r w:rsidRPr="00392A4E">
        <w:tab/>
        <w:t>A payment of financial assistance under this Act to a State or Territory is also subject to the following conditions:</w:t>
      </w:r>
    </w:p>
    <w:p w:rsidR="00C60DCF" w:rsidRPr="00392A4E" w:rsidRDefault="00C60DCF" w:rsidP="00392A4E">
      <w:pPr>
        <w:pStyle w:val="paragraph"/>
      </w:pPr>
      <w:r w:rsidRPr="00392A4E">
        <w:tab/>
        <w:t>(a)</w:t>
      </w:r>
      <w:r w:rsidRPr="00392A4E">
        <w:tab/>
        <w:t>that the State or Territory is party to a national agreement relating to school education reform;</w:t>
      </w:r>
    </w:p>
    <w:p w:rsidR="00C60DCF" w:rsidRPr="00392A4E" w:rsidRDefault="00C60DCF" w:rsidP="00392A4E">
      <w:pPr>
        <w:pStyle w:val="paragraph"/>
      </w:pPr>
      <w:r w:rsidRPr="00392A4E">
        <w:tab/>
        <w:t>(b)</w:t>
      </w:r>
      <w:r w:rsidRPr="00392A4E">
        <w:tab/>
        <w:t>that the State or Territory is party to an agreement with the Commonwealth relating to implementation by the State or Territory of school education reform;</w:t>
      </w:r>
    </w:p>
    <w:p w:rsidR="00C60DCF" w:rsidRPr="00392A4E" w:rsidRDefault="00C60DCF" w:rsidP="00392A4E">
      <w:pPr>
        <w:pStyle w:val="paragraph"/>
      </w:pPr>
      <w:r w:rsidRPr="00392A4E">
        <w:tab/>
        <w:t>(c)</w:t>
      </w:r>
      <w:r w:rsidRPr="00392A4E">
        <w:tab/>
        <w:t xml:space="preserve">that the State or Territory complies with the agreements mentioned in </w:t>
      </w:r>
      <w:r w:rsidR="00392A4E" w:rsidRPr="00392A4E">
        <w:t>paragraphs (</w:t>
      </w:r>
      <w:r w:rsidR="00536FD3" w:rsidRPr="00392A4E">
        <w:t>a) and (b).</w:t>
      </w:r>
    </w:p>
    <w:p w:rsidR="00C60DCF" w:rsidRPr="00392A4E" w:rsidRDefault="00C60DCF" w:rsidP="00392A4E">
      <w:pPr>
        <w:pStyle w:val="subsection"/>
      </w:pPr>
      <w:r w:rsidRPr="00392A4E">
        <w:tab/>
        <w:t>(3)</w:t>
      </w:r>
      <w:r w:rsidRPr="00392A4E">
        <w:tab/>
        <w:t xml:space="preserve">The regulations may prescribe agreements for the purposes of </w:t>
      </w:r>
      <w:r w:rsidR="00392A4E" w:rsidRPr="00392A4E">
        <w:t>paragraphs (</w:t>
      </w:r>
      <w:r w:rsidRPr="00392A4E">
        <w:t>2)(a) and (b).</w:t>
      </w:r>
    </w:p>
    <w:p w:rsidR="000B25A6" w:rsidRPr="00392A4E" w:rsidRDefault="0080643A" w:rsidP="00392A4E">
      <w:pPr>
        <w:pStyle w:val="ItemHead"/>
      </w:pPr>
      <w:r w:rsidRPr="00392A4E">
        <w:t>60</w:t>
      </w:r>
      <w:r w:rsidR="000B25A6" w:rsidRPr="00392A4E">
        <w:t xml:space="preserve">  After section</w:t>
      </w:r>
      <w:r w:rsidR="00392A4E" w:rsidRPr="00392A4E">
        <w:t> </w:t>
      </w:r>
      <w:r w:rsidR="000B25A6" w:rsidRPr="00392A4E">
        <w:t>22</w:t>
      </w:r>
    </w:p>
    <w:p w:rsidR="000B25A6" w:rsidRPr="00392A4E" w:rsidRDefault="000B25A6" w:rsidP="00392A4E">
      <w:pPr>
        <w:pStyle w:val="Item"/>
      </w:pPr>
      <w:r w:rsidRPr="00392A4E">
        <w:t>Insert:</w:t>
      </w:r>
    </w:p>
    <w:p w:rsidR="00A41FC5" w:rsidRPr="00765DC6" w:rsidRDefault="00A41FC5" w:rsidP="00A41FC5">
      <w:pPr>
        <w:pStyle w:val="ActHead5"/>
      </w:pPr>
      <w:bookmarkStart w:id="31" w:name="_Toc486412752"/>
      <w:r w:rsidRPr="00765DC6">
        <w:rPr>
          <w:rStyle w:val="CharSectno"/>
        </w:rPr>
        <w:t>22A</w:t>
      </w:r>
      <w:r w:rsidRPr="00765DC6">
        <w:t xml:space="preserve">  Conditions of financial assistance—State</w:t>
      </w:r>
      <w:r w:rsidR="00B84F34">
        <w:noBreakHyphen/>
      </w:r>
      <w:r w:rsidRPr="00765DC6">
        <w:t>Territory contributions</w:t>
      </w:r>
      <w:bookmarkEnd w:id="31"/>
    </w:p>
    <w:p w:rsidR="00A41FC5" w:rsidRPr="00765DC6" w:rsidRDefault="00A41FC5" w:rsidP="00A41FC5">
      <w:pPr>
        <w:pStyle w:val="subsection"/>
        <w:rPr>
          <w:szCs w:val="22"/>
        </w:rPr>
      </w:pPr>
      <w:r w:rsidRPr="00765DC6">
        <w:tab/>
        <w:t>(1)</w:t>
      </w:r>
      <w:r w:rsidRPr="00765DC6">
        <w:tab/>
      </w:r>
      <w:r w:rsidRPr="00765DC6">
        <w:rPr>
          <w:szCs w:val="22"/>
        </w:rPr>
        <w:t>A payment of financial assistance under this Act to a State or Territory is subject to the following conditions:</w:t>
      </w:r>
    </w:p>
    <w:p w:rsidR="00A41FC5" w:rsidRPr="00765DC6" w:rsidRDefault="00A41FC5" w:rsidP="00A41FC5">
      <w:pPr>
        <w:pStyle w:val="paragraph"/>
      </w:pPr>
      <w:r w:rsidRPr="00765DC6">
        <w:tab/>
        <w:t>(a)</w:t>
      </w:r>
      <w:r w:rsidRPr="00765DC6">
        <w:tab/>
      </w:r>
      <w:r w:rsidRPr="00765DC6">
        <w:rPr>
          <w:szCs w:val="22"/>
        </w:rPr>
        <w:t xml:space="preserve">the total </w:t>
      </w:r>
      <w:r w:rsidRPr="00765DC6">
        <w:t>amount of funding provided by the State or Territory for a year for government schools located in the State or Territory must equal or exceed the State</w:t>
      </w:r>
      <w:r w:rsidR="00B84F34">
        <w:noBreakHyphen/>
      </w:r>
      <w:r w:rsidRPr="00765DC6">
        <w:t>Territory contribution amount for government schools in the State or Territory for the year;</w:t>
      </w:r>
    </w:p>
    <w:p w:rsidR="00A41FC5" w:rsidRPr="00765DC6" w:rsidRDefault="00A41FC5" w:rsidP="00A41FC5">
      <w:pPr>
        <w:pStyle w:val="paragraph"/>
      </w:pPr>
      <w:r w:rsidRPr="00765DC6">
        <w:lastRenderedPageBreak/>
        <w:tab/>
        <w:t>(b)</w:t>
      </w:r>
      <w:r w:rsidRPr="00765DC6">
        <w:tab/>
      </w:r>
      <w:r w:rsidRPr="00765DC6">
        <w:rPr>
          <w:szCs w:val="22"/>
        </w:rPr>
        <w:t xml:space="preserve">the total </w:t>
      </w:r>
      <w:r w:rsidRPr="00765DC6">
        <w:t>amount of funding provided by the State or Territory for a year for non</w:t>
      </w:r>
      <w:r w:rsidR="00B84F34">
        <w:noBreakHyphen/>
      </w:r>
      <w:r w:rsidRPr="00765DC6">
        <w:t>government schools located in the State or Territory must equal or exceed the State</w:t>
      </w:r>
      <w:r w:rsidR="00B84F34">
        <w:noBreakHyphen/>
      </w:r>
      <w:r w:rsidRPr="00765DC6">
        <w:t>Territory contribution amount for non</w:t>
      </w:r>
      <w:r w:rsidR="00B84F34">
        <w:noBreakHyphen/>
      </w:r>
      <w:r w:rsidRPr="00765DC6">
        <w:t>government schools in the State or Territory for the year.</w:t>
      </w:r>
    </w:p>
    <w:p w:rsidR="00A41FC5" w:rsidRPr="00765DC6" w:rsidRDefault="00A41FC5" w:rsidP="00A41FC5">
      <w:pPr>
        <w:pStyle w:val="subsection"/>
      </w:pPr>
      <w:r w:rsidRPr="00765DC6">
        <w:tab/>
        <w:t>(2)</w:t>
      </w:r>
      <w:r w:rsidRPr="00765DC6">
        <w:tab/>
        <w:t xml:space="preserve">The </w:t>
      </w:r>
      <w:r w:rsidRPr="00765DC6">
        <w:rPr>
          <w:b/>
          <w:i/>
        </w:rPr>
        <w:t>State</w:t>
      </w:r>
      <w:r w:rsidR="00B84F34">
        <w:rPr>
          <w:b/>
          <w:i/>
        </w:rPr>
        <w:noBreakHyphen/>
      </w:r>
      <w:r w:rsidRPr="00765DC6">
        <w:rPr>
          <w:b/>
          <w:i/>
        </w:rPr>
        <w:t>Territory contribution amount</w:t>
      </w:r>
      <w:r w:rsidRPr="00765DC6">
        <w:t xml:space="preserve"> for government schools or non</w:t>
      </w:r>
      <w:r w:rsidR="00B84F34">
        <w:noBreakHyphen/>
      </w:r>
      <w:r w:rsidRPr="00765DC6">
        <w:t>government schools in a State or Territory for a year is the amount worked out using the following formula:</w:t>
      </w:r>
    </w:p>
    <w:p w:rsidR="00A41FC5" w:rsidRPr="00765DC6" w:rsidRDefault="00A41FC5" w:rsidP="00A41FC5">
      <w:pPr>
        <w:pStyle w:val="subsection"/>
      </w:pPr>
      <w:r w:rsidRPr="00765DC6">
        <w:tab/>
      </w:r>
      <w:r w:rsidRPr="00765DC6">
        <w:tab/>
      </w:r>
      <w:r w:rsidR="00874CEF">
        <w:rPr>
          <w:position w:val="-20"/>
        </w:rPr>
        <w:pict>
          <v:shape id="_x0000_i1037" type="#_x0000_t75" style="width:202.9pt;height:31.8pt">
            <v:imagedata r:id="rId31" o:title=""/>
          </v:shape>
        </w:pict>
      </w:r>
    </w:p>
    <w:p w:rsidR="00A41FC5" w:rsidRPr="00765DC6" w:rsidRDefault="00A41FC5" w:rsidP="00A41FC5">
      <w:pPr>
        <w:pStyle w:val="subsection"/>
      </w:pPr>
      <w:r w:rsidRPr="00765DC6">
        <w:tab/>
        <w:t>(3)</w:t>
      </w:r>
      <w:r w:rsidRPr="00765DC6">
        <w:tab/>
        <w:t xml:space="preserve">Unless the State or Territory’s school education reform agreement specifies otherwise, the </w:t>
      </w:r>
      <w:r w:rsidRPr="00765DC6">
        <w:rPr>
          <w:b/>
          <w:i/>
        </w:rPr>
        <w:t>State</w:t>
      </w:r>
      <w:r w:rsidR="00B84F34">
        <w:rPr>
          <w:b/>
          <w:i/>
        </w:rPr>
        <w:noBreakHyphen/>
      </w:r>
      <w:r w:rsidRPr="00765DC6">
        <w:rPr>
          <w:b/>
          <w:i/>
        </w:rPr>
        <w:t>Territory share</w:t>
      </w:r>
      <w:r w:rsidRPr="00765DC6">
        <w:t xml:space="preserve"> for the State or Territory for a year from 2018 to 2023 (inclusive) is the percentage worked out using the following formula:</w:t>
      </w:r>
    </w:p>
    <w:p w:rsidR="00A41FC5" w:rsidRPr="00765DC6" w:rsidRDefault="00874CEF" w:rsidP="00A41FC5">
      <w:pPr>
        <w:pStyle w:val="subsection2"/>
      </w:pPr>
      <w:r>
        <w:rPr>
          <w:position w:val="-46"/>
        </w:rPr>
        <w:pict>
          <v:shape id="_x0000_i1038" type="#_x0000_t75" style="width:4in;height:51.45pt">
            <v:imagedata r:id="rId32" o:title=""/>
          </v:shape>
        </w:pict>
      </w:r>
    </w:p>
    <w:p w:rsidR="00A41FC5" w:rsidRPr="00765DC6" w:rsidRDefault="00A41FC5" w:rsidP="00A41FC5">
      <w:pPr>
        <w:pStyle w:val="subsection2"/>
      </w:pPr>
      <w:r w:rsidRPr="00765DC6">
        <w:t>where:</w:t>
      </w:r>
    </w:p>
    <w:p w:rsidR="00A41FC5" w:rsidRPr="00765DC6" w:rsidRDefault="00A41FC5" w:rsidP="00A41FC5">
      <w:pPr>
        <w:pStyle w:val="Definition"/>
      </w:pPr>
      <w:r w:rsidRPr="00765DC6">
        <w:rPr>
          <w:b/>
          <w:i/>
        </w:rPr>
        <w:t>final State</w:t>
      </w:r>
      <w:r w:rsidR="00B84F34">
        <w:rPr>
          <w:b/>
          <w:i/>
        </w:rPr>
        <w:noBreakHyphen/>
      </w:r>
      <w:r w:rsidRPr="00765DC6">
        <w:rPr>
          <w:b/>
          <w:i/>
        </w:rPr>
        <w:t>Territory share</w:t>
      </w:r>
      <w:r w:rsidRPr="00765DC6">
        <w:t xml:space="preserve"> means the State</w:t>
      </w:r>
      <w:r w:rsidR="00B84F34">
        <w:noBreakHyphen/>
      </w:r>
      <w:r w:rsidRPr="00765DC6">
        <w:t>Territory share (within the meaning of subsection (4)) for government schools or non</w:t>
      </w:r>
      <w:r w:rsidR="00B84F34">
        <w:noBreakHyphen/>
      </w:r>
      <w:r w:rsidRPr="00765DC6">
        <w:t>government schools, as the case requires, for the State or Territory for a year after 2023.</w:t>
      </w:r>
    </w:p>
    <w:p w:rsidR="00A41FC5" w:rsidRPr="00765DC6" w:rsidRDefault="00A41FC5" w:rsidP="00A41FC5">
      <w:pPr>
        <w:pStyle w:val="Definition"/>
      </w:pPr>
      <w:r w:rsidRPr="00765DC6">
        <w:rPr>
          <w:b/>
          <w:i/>
        </w:rPr>
        <w:t>starting State</w:t>
      </w:r>
      <w:r w:rsidR="00B84F34">
        <w:rPr>
          <w:b/>
          <w:i/>
        </w:rPr>
        <w:noBreakHyphen/>
      </w:r>
      <w:r w:rsidRPr="00765DC6">
        <w:rPr>
          <w:b/>
          <w:i/>
        </w:rPr>
        <w:t>Territory share</w:t>
      </w:r>
      <w:r w:rsidRPr="00765DC6">
        <w:t xml:space="preserve"> means the percentage prescribed by the regulations for the year for government schools or non</w:t>
      </w:r>
      <w:r w:rsidR="00B84F34">
        <w:noBreakHyphen/>
      </w:r>
      <w:r w:rsidRPr="00765DC6">
        <w:t>government schools, as the case requires, in the State or Territory.</w:t>
      </w:r>
    </w:p>
    <w:p w:rsidR="00A41FC5" w:rsidRPr="00765DC6" w:rsidRDefault="00A41FC5" w:rsidP="00A41FC5">
      <w:pPr>
        <w:pStyle w:val="Definition"/>
      </w:pPr>
      <w:r w:rsidRPr="00765DC6">
        <w:rPr>
          <w:b/>
          <w:i/>
        </w:rPr>
        <w:t>transition rate</w:t>
      </w:r>
      <w:r w:rsidRPr="00765DC6">
        <w:t xml:space="preserve"> means:</w:t>
      </w:r>
    </w:p>
    <w:p w:rsidR="00A41FC5" w:rsidRPr="00765DC6" w:rsidRDefault="00A41FC5" w:rsidP="00A41FC5">
      <w:pPr>
        <w:pStyle w:val="paragraph"/>
      </w:pPr>
      <w:r w:rsidRPr="00765DC6">
        <w:tab/>
        <w:t>(a)</w:t>
      </w:r>
      <w:r w:rsidRPr="00765DC6">
        <w:tab/>
        <w:t>for 2018—0%; and</w:t>
      </w:r>
    </w:p>
    <w:p w:rsidR="00A41FC5" w:rsidRPr="00765DC6" w:rsidRDefault="00A41FC5" w:rsidP="00A41FC5">
      <w:pPr>
        <w:pStyle w:val="paragraph"/>
      </w:pPr>
      <w:r w:rsidRPr="00765DC6">
        <w:tab/>
        <w:t>(b)</w:t>
      </w:r>
      <w:r w:rsidRPr="00765DC6">
        <w:tab/>
        <w:t>for each later year—the transition rate for the previous year increased by 20 percentage points.</w:t>
      </w:r>
    </w:p>
    <w:p w:rsidR="00A41FC5" w:rsidRPr="00765DC6" w:rsidRDefault="00A41FC5" w:rsidP="00A41FC5">
      <w:pPr>
        <w:pStyle w:val="subsection"/>
      </w:pPr>
      <w:r w:rsidRPr="00765DC6">
        <w:tab/>
        <w:t>(4)</w:t>
      </w:r>
      <w:r w:rsidRPr="00765DC6">
        <w:tab/>
        <w:t xml:space="preserve">Unless the State or Territory’s school education reform agreement specifies otherwise, the </w:t>
      </w:r>
      <w:r w:rsidRPr="00765DC6">
        <w:rPr>
          <w:b/>
          <w:i/>
        </w:rPr>
        <w:t>State</w:t>
      </w:r>
      <w:r w:rsidR="00B84F34">
        <w:rPr>
          <w:b/>
          <w:i/>
        </w:rPr>
        <w:noBreakHyphen/>
      </w:r>
      <w:r w:rsidRPr="00765DC6">
        <w:rPr>
          <w:b/>
          <w:i/>
        </w:rPr>
        <w:t>Territory share</w:t>
      </w:r>
      <w:r w:rsidRPr="00765DC6">
        <w:t xml:space="preserve"> for the State or Territory for a year after 2023:</w:t>
      </w:r>
    </w:p>
    <w:p w:rsidR="00A41FC5" w:rsidRPr="00765DC6" w:rsidRDefault="00A41FC5" w:rsidP="00A41FC5">
      <w:pPr>
        <w:pStyle w:val="paragraph"/>
      </w:pPr>
      <w:r w:rsidRPr="00765DC6">
        <w:tab/>
        <w:t>(a)</w:t>
      </w:r>
      <w:r w:rsidRPr="00765DC6">
        <w:tab/>
        <w:t>for government schools is:</w:t>
      </w:r>
    </w:p>
    <w:p w:rsidR="00A41FC5" w:rsidRPr="00765DC6" w:rsidRDefault="00A41FC5" w:rsidP="00A41FC5">
      <w:pPr>
        <w:pStyle w:val="paragraphsub"/>
      </w:pPr>
      <w:r w:rsidRPr="00765DC6">
        <w:lastRenderedPageBreak/>
        <w:tab/>
        <w:t>(</w:t>
      </w:r>
      <w:proofErr w:type="spellStart"/>
      <w:r w:rsidRPr="00765DC6">
        <w:t>i</w:t>
      </w:r>
      <w:proofErr w:type="spellEnd"/>
      <w:r w:rsidRPr="00765DC6">
        <w:t>)</w:t>
      </w:r>
      <w:r w:rsidRPr="00765DC6">
        <w:tab/>
        <w:t>if the starting State</w:t>
      </w:r>
      <w:r w:rsidR="00B84F34">
        <w:noBreakHyphen/>
      </w:r>
      <w:r w:rsidRPr="00765DC6">
        <w:t>Territory share (within the meaning of subsection (3)) for the State or Territory for government schools is 75% or less—75%; or</w:t>
      </w:r>
    </w:p>
    <w:p w:rsidR="00A41FC5" w:rsidRPr="00765DC6" w:rsidRDefault="00A41FC5" w:rsidP="00A41FC5">
      <w:pPr>
        <w:pStyle w:val="paragraphsub"/>
      </w:pPr>
      <w:r w:rsidRPr="00765DC6">
        <w:tab/>
        <w:t>(ii)</w:t>
      </w:r>
      <w:r w:rsidRPr="00765DC6">
        <w:tab/>
        <w:t>if the starting State</w:t>
      </w:r>
      <w:r w:rsidR="00B84F34">
        <w:noBreakHyphen/>
      </w:r>
      <w:r w:rsidRPr="00765DC6">
        <w:t>Territory share for the State or Territory for government schools is more than 75% but less than 80%—the starting State</w:t>
      </w:r>
      <w:r w:rsidR="00B84F34">
        <w:noBreakHyphen/>
      </w:r>
      <w:r w:rsidRPr="00765DC6">
        <w:t>Territory share; or</w:t>
      </w:r>
    </w:p>
    <w:p w:rsidR="00A41FC5" w:rsidRPr="00765DC6" w:rsidRDefault="00A41FC5" w:rsidP="00A41FC5">
      <w:pPr>
        <w:pStyle w:val="paragraphsub"/>
      </w:pPr>
      <w:r w:rsidRPr="00765DC6">
        <w:tab/>
        <w:t>(iii)</w:t>
      </w:r>
      <w:r w:rsidRPr="00765DC6">
        <w:tab/>
        <w:t>if the starting State</w:t>
      </w:r>
      <w:r w:rsidR="00B84F34">
        <w:noBreakHyphen/>
      </w:r>
      <w:r w:rsidRPr="00765DC6">
        <w:t>Territory share for the State or Territory for government schools is 80% or more—80%; and</w:t>
      </w:r>
    </w:p>
    <w:p w:rsidR="00A41FC5" w:rsidRPr="00765DC6" w:rsidRDefault="00A41FC5" w:rsidP="00A41FC5">
      <w:pPr>
        <w:pStyle w:val="paragraph"/>
      </w:pPr>
      <w:r w:rsidRPr="00765DC6">
        <w:tab/>
        <w:t>(b)</w:t>
      </w:r>
      <w:r w:rsidRPr="00765DC6">
        <w:tab/>
        <w:t>for non</w:t>
      </w:r>
      <w:r w:rsidR="00B84F34">
        <w:noBreakHyphen/>
      </w:r>
      <w:r w:rsidRPr="00765DC6">
        <w:t>government schools is:</w:t>
      </w:r>
    </w:p>
    <w:p w:rsidR="00A41FC5" w:rsidRPr="00765DC6" w:rsidRDefault="00A41FC5" w:rsidP="00A41FC5">
      <w:pPr>
        <w:pStyle w:val="paragraphsub"/>
      </w:pPr>
      <w:r w:rsidRPr="00765DC6">
        <w:tab/>
        <w:t>(</w:t>
      </w:r>
      <w:proofErr w:type="spellStart"/>
      <w:r w:rsidRPr="00765DC6">
        <w:t>i</w:t>
      </w:r>
      <w:proofErr w:type="spellEnd"/>
      <w:r w:rsidRPr="00765DC6">
        <w:t>)</w:t>
      </w:r>
      <w:r w:rsidRPr="00765DC6">
        <w:tab/>
        <w:t>if the starting State</w:t>
      </w:r>
      <w:r w:rsidR="00B84F34">
        <w:noBreakHyphen/>
      </w:r>
      <w:r w:rsidRPr="00765DC6">
        <w:t>Territory share for the State or Territory for non</w:t>
      </w:r>
      <w:r w:rsidR="00B84F34">
        <w:noBreakHyphen/>
      </w:r>
      <w:r w:rsidRPr="00765DC6">
        <w:t>government schools is 15% or less—15%; or</w:t>
      </w:r>
    </w:p>
    <w:p w:rsidR="00A41FC5" w:rsidRPr="00765DC6" w:rsidRDefault="00A41FC5" w:rsidP="00A41FC5">
      <w:pPr>
        <w:pStyle w:val="paragraphsub"/>
      </w:pPr>
      <w:r w:rsidRPr="00765DC6">
        <w:tab/>
        <w:t>(ii)</w:t>
      </w:r>
      <w:r w:rsidRPr="00765DC6">
        <w:tab/>
        <w:t>if the starting State</w:t>
      </w:r>
      <w:r w:rsidR="00B84F34">
        <w:noBreakHyphen/>
      </w:r>
      <w:r w:rsidRPr="00765DC6">
        <w:t>Territory share for the State or Territory for non</w:t>
      </w:r>
      <w:r w:rsidR="00B84F34">
        <w:noBreakHyphen/>
      </w:r>
      <w:r w:rsidRPr="00765DC6">
        <w:t>government schools is more than 15% but less than 20%—the starting State</w:t>
      </w:r>
      <w:r w:rsidR="00B84F34">
        <w:noBreakHyphen/>
      </w:r>
      <w:r w:rsidRPr="00765DC6">
        <w:t>Territory share; or</w:t>
      </w:r>
    </w:p>
    <w:p w:rsidR="00A41FC5" w:rsidRPr="00765DC6" w:rsidRDefault="00A41FC5" w:rsidP="00A41FC5">
      <w:pPr>
        <w:pStyle w:val="paragraphsub"/>
      </w:pPr>
      <w:r w:rsidRPr="00765DC6">
        <w:tab/>
        <w:t>(iii)</w:t>
      </w:r>
      <w:r w:rsidRPr="00765DC6">
        <w:tab/>
        <w:t>if the starting State</w:t>
      </w:r>
      <w:r w:rsidR="00B84F34">
        <w:noBreakHyphen/>
      </w:r>
      <w:r w:rsidRPr="00765DC6">
        <w:t>Territory share for the State or Territory for non</w:t>
      </w:r>
      <w:r w:rsidR="00B84F34">
        <w:noBreakHyphen/>
      </w:r>
      <w:r w:rsidRPr="00765DC6">
        <w:t>government schools is 20% or more—20%.</w:t>
      </w:r>
    </w:p>
    <w:p w:rsidR="00A41FC5" w:rsidRPr="00765DC6" w:rsidRDefault="00A41FC5" w:rsidP="00A41FC5">
      <w:pPr>
        <w:pStyle w:val="subsection"/>
      </w:pPr>
      <w:r w:rsidRPr="00765DC6">
        <w:tab/>
        <w:t>(5)</w:t>
      </w:r>
      <w:r w:rsidRPr="00765DC6">
        <w:tab/>
        <w:t xml:space="preserve">The </w:t>
      </w:r>
      <w:r w:rsidRPr="00765DC6">
        <w:rPr>
          <w:b/>
          <w:i/>
        </w:rPr>
        <w:t>total SRS amount</w:t>
      </w:r>
      <w:r w:rsidRPr="00765DC6">
        <w:t xml:space="preserve"> for the State or Territory is:</w:t>
      </w:r>
    </w:p>
    <w:p w:rsidR="00A41FC5" w:rsidRPr="00765DC6" w:rsidRDefault="00A41FC5" w:rsidP="00A41FC5">
      <w:pPr>
        <w:pStyle w:val="paragraph"/>
      </w:pPr>
      <w:r w:rsidRPr="00765DC6">
        <w:tab/>
        <w:t>(a)</w:t>
      </w:r>
      <w:r w:rsidRPr="00765DC6">
        <w:tab/>
        <w:t>for government schools—the sum of the amounts worked out under Division 2 of Part 3 for the year for each government school located in the State or Territory, as if the Commonwealth share for the year were 100%; and</w:t>
      </w:r>
    </w:p>
    <w:p w:rsidR="00A41FC5" w:rsidRPr="00765DC6" w:rsidRDefault="00A41FC5" w:rsidP="00A41FC5">
      <w:pPr>
        <w:pStyle w:val="paragraph"/>
      </w:pPr>
      <w:r w:rsidRPr="00765DC6">
        <w:tab/>
        <w:t>(b)</w:t>
      </w:r>
      <w:r w:rsidRPr="00765DC6">
        <w:tab/>
        <w:t>for non</w:t>
      </w:r>
      <w:r w:rsidR="00B84F34">
        <w:noBreakHyphen/>
      </w:r>
      <w:r w:rsidRPr="00765DC6">
        <w:t>government schools—the sum of the amounts worked out under Division 2 of Part 3 for the year for each non</w:t>
      </w:r>
      <w:r w:rsidR="00B84F34">
        <w:noBreakHyphen/>
      </w:r>
      <w:r w:rsidRPr="00765DC6">
        <w:t>government school located in the State or Territory, as if the Commonwealth share for the year were 100%.</w:t>
      </w:r>
    </w:p>
    <w:p w:rsidR="00A41FC5" w:rsidRPr="00765DC6" w:rsidRDefault="00A41FC5" w:rsidP="00A41FC5">
      <w:pPr>
        <w:pStyle w:val="subsection"/>
        <w:rPr>
          <w:szCs w:val="22"/>
        </w:rPr>
      </w:pPr>
      <w:r w:rsidRPr="00765DC6">
        <w:tab/>
        <w:t>(6)</w:t>
      </w:r>
      <w:r w:rsidRPr="00765DC6">
        <w:tab/>
        <w:t xml:space="preserve">The </w:t>
      </w:r>
      <w:r w:rsidRPr="00765DC6">
        <w:rPr>
          <w:b/>
          <w:i/>
        </w:rPr>
        <w:t>school education reform agreement</w:t>
      </w:r>
      <w:r w:rsidRPr="00765DC6">
        <w:t xml:space="preserve"> for a State or Territory is the agreement between the State or Territory </w:t>
      </w:r>
      <w:r w:rsidRPr="00765DC6">
        <w:rPr>
          <w:szCs w:val="22"/>
        </w:rPr>
        <w:t xml:space="preserve">and the Commonwealth relating to implementation by the State or Territory of school education reform </w:t>
      </w:r>
      <w:r w:rsidRPr="00765DC6">
        <w:t>mentioned in paragraph 22(2)(b)</w:t>
      </w:r>
      <w:r w:rsidRPr="00765DC6">
        <w:rPr>
          <w:szCs w:val="22"/>
        </w:rPr>
        <w:t>.</w:t>
      </w:r>
    </w:p>
    <w:p w:rsidR="00D4009B" w:rsidRPr="00392A4E" w:rsidRDefault="0080643A" w:rsidP="00392A4E">
      <w:pPr>
        <w:pStyle w:val="ItemHead"/>
      </w:pPr>
      <w:r w:rsidRPr="00392A4E">
        <w:t>61</w:t>
      </w:r>
      <w:r w:rsidR="00D4009B" w:rsidRPr="00392A4E">
        <w:t xml:space="preserve">  Paragraph 23(1)(a)</w:t>
      </w:r>
    </w:p>
    <w:p w:rsidR="00D4009B" w:rsidRPr="00392A4E" w:rsidRDefault="00D4009B" w:rsidP="00392A4E">
      <w:pPr>
        <w:pStyle w:val="Item"/>
      </w:pPr>
      <w:r w:rsidRPr="00392A4E">
        <w:t>Omit “</w:t>
      </w:r>
      <w:r w:rsidR="00D0205C" w:rsidRPr="00392A4E">
        <w:t>recurrent funding for participating schools</w:t>
      </w:r>
      <w:r w:rsidRPr="00392A4E">
        <w:t>”</w:t>
      </w:r>
      <w:r w:rsidR="00D0205C" w:rsidRPr="00392A4E">
        <w:t>, substitute “funding formula for schools”</w:t>
      </w:r>
      <w:r w:rsidRPr="00392A4E">
        <w:t>.</w:t>
      </w:r>
    </w:p>
    <w:p w:rsidR="00364EED" w:rsidRPr="00392A4E" w:rsidRDefault="0080643A" w:rsidP="00392A4E">
      <w:pPr>
        <w:pStyle w:val="ItemHead"/>
      </w:pPr>
      <w:r w:rsidRPr="00392A4E">
        <w:lastRenderedPageBreak/>
        <w:t>62</w:t>
      </w:r>
      <w:r w:rsidR="00364EED" w:rsidRPr="00392A4E">
        <w:t xml:space="preserve">  Paragraphs 23(1)(b) and (2)(b)</w:t>
      </w:r>
    </w:p>
    <w:p w:rsidR="00364EED" w:rsidRPr="00392A4E" w:rsidRDefault="00364EED" w:rsidP="00392A4E">
      <w:pPr>
        <w:pStyle w:val="Item"/>
      </w:pPr>
      <w:r w:rsidRPr="00392A4E">
        <w:t>Repeal the paragraphs.</w:t>
      </w:r>
    </w:p>
    <w:p w:rsidR="000A6F40" w:rsidRPr="00392A4E" w:rsidRDefault="0080643A" w:rsidP="00392A4E">
      <w:pPr>
        <w:pStyle w:val="ItemHead"/>
      </w:pPr>
      <w:r w:rsidRPr="00392A4E">
        <w:t>63</w:t>
      </w:r>
      <w:r w:rsidR="000A6F40" w:rsidRPr="00392A4E">
        <w:t xml:space="preserve">  Paragraph 25(1)(a)</w:t>
      </w:r>
    </w:p>
    <w:p w:rsidR="000A6F40" w:rsidRPr="00392A4E" w:rsidRDefault="000A6F40" w:rsidP="00392A4E">
      <w:pPr>
        <w:pStyle w:val="Item"/>
      </w:pPr>
      <w:r w:rsidRPr="00392A4E">
        <w:t>Omit “</w:t>
      </w:r>
      <w:r w:rsidR="00D0205C" w:rsidRPr="00392A4E">
        <w:t>(recurrent funding for participating schools) to a State or Territory for a year for a participating”, substitute “(funding formula for schools) to a State or Territory for a year for a”.</w:t>
      </w:r>
    </w:p>
    <w:p w:rsidR="00364EED" w:rsidRPr="00392A4E" w:rsidRDefault="0080643A" w:rsidP="00392A4E">
      <w:pPr>
        <w:pStyle w:val="ItemHead"/>
      </w:pPr>
      <w:r w:rsidRPr="00392A4E">
        <w:t>64</w:t>
      </w:r>
      <w:r w:rsidR="00364EED" w:rsidRPr="00392A4E">
        <w:t xml:space="preserve">  Paragraphs 25(1)(b) and (c)</w:t>
      </w:r>
    </w:p>
    <w:p w:rsidR="00364EED" w:rsidRPr="00392A4E" w:rsidRDefault="00364EED" w:rsidP="00392A4E">
      <w:pPr>
        <w:pStyle w:val="Item"/>
      </w:pPr>
      <w:r w:rsidRPr="00392A4E">
        <w:t>Repeal the paragraphs.</w:t>
      </w:r>
    </w:p>
    <w:p w:rsidR="00364EED" w:rsidRPr="00392A4E" w:rsidRDefault="0080643A" w:rsidP="00392A4E">
      <w:pPr>
        <w:pStyle w:val="ItemHead"/>
      </w:pPr>
      <w:r w:rsidRPr="00392A4E">
        <w:t>65</w:t>
      </w:r>
      <w:r w:rsidR="00364EED" w:rsidRPr="00392A4E">
        <w:t xml:space="preserve">  Paragraph 25(1)(d)</w:t>
      </w:r>
    </w:p>
    <w:p w:rsidR="00364EED" w:rsidRPr="00392A4E" w:rsidRDefault="00364EED" w:rsidP="00392A4E">
      <w:pPr>
        <w:pStyle w:val="Item"/>
      </w:pPr>
      <w:r w:rsidRPr="00392A4E">
        <w:t xml:space="preserve">Omit “referred to in </w:t>
      </w:r>
      <w:r w:rsidR="00392A4E" w:rsidRPr="00392A4E">
        <w:t>paragraphs (</w:t>
      </w:r>
      <w:r w:rsidRPr="00392A4E">
        <w:t>a) to (c)”.</w:t>
      </w:r>
    </w:p>
    <w:p w:rsidR="00364EED" w:rsidRPr="00392A4E" w:rsidRDefault="0080643A" w:rsidP="00392A4E">
      <w:pPr>
        <w:pStyle w:val="ItemHead"/>
      </w:pPr>
      <w:r w:rsidRPr="00392A4E">
        <w:t>66</w:t>
      </w:r>
      <w:r w:rsidR="00364EED" w:rsidRPr="00392A4E">
        <w:t xml:space="preserve">  Subsection</w:t>
      </w:r>
      <w:r w:rsidR="00392A4E" w:rsidRPr="00392A4E">
        <w:t> </w:t>
      </w:r>
      <w:r w:rsidR="00364EED" w:rsidRPr="00392A4E">
        <w:t>26(1)</w:t>
      </w:r>
    </w:p>
    <w:p w:rsidR="00364EED" w:rsidRPr="00392A4E" w:rsidRDefault="00364EED" w:rsidP="00392A4E">
      <w:pPr>
        <w:pStyle w:val="Item"/>
      </w:pPr>
      <w:r w:rsidRPr="00392A4E">
        <w:t>Omit “participating”.</w:t>
      </w:r>
    </w:p>
    <w:p w:rsidR="00364EED" w:rsidRPr="00392A4E" w:rsidRDefault="0080643A" w:rsidP="00392A4E">
      <w:pPr>
        <w:pStyle w:val="ItemHead"/>
      </w:pPr>
      <w:r w:rsidRPr="00392A4E">
        <w:t>67</w:t>
      </w:r>
      <w:r w:rsidR="00364EED" w:rsidRPr="00392A4E">
        <w:t xml:space="preserve">  Subsections</w:t>
      </w:r>
      <w:r w:rsidR="00392A4E" w:rsidRPr="00392A4E">
        <w:t> </w:t>
      </w:r>
      <w:r w:rsidR="00364EED" w:rsidRPr="00392A4E">
        <w:t>26(2) to (4)</w:t>
      </w:r>
    </w:p>
    <w:p w:rsidR="00364EED" w:rsidRPr="00392A4E" w:rsidRDefault="00364EED" w:rsidP="00392A4E">
      <w:pPr>
        <w:pStyle w:val="Item"/>
      </w:pPr>
      <w:r w:rsidRPr="00392A4E">
        <w:t>Repeal the subsections, substitute:</w:t>
      </w:r>
    </w:p>
    <w:p w:rsidR="00364EED" w:rsidRPr="00392A4E" w:rsidRDefault="00364EED" w:rsidP="00392A4E">
      <w:pPr>
        <w:pStyle w:val="subsection"/>
      </w:pPr>
      <w:r w:rsidRPr="00392A4E">
        <w:tab/>
        <w:t>(4)</w:t>
      </w:r>
      <w:r w:rsidRPr="00392A4E">
        <w:tab/>
        <w:t>The Minister must, in writing, determine an amount that the Minister is satisfied is the total entitlement for a school covered by Division</w:t>
      </w:r>
      <w:r w:rsidR="00392A4E" w:rsidRPr="00392A4E">
        <w:t> </w:t>
      </w:r>
      <w:r w:rsidRPr="00392A4E">
        <w:t>2 of Part</w:t>
      </w:r>
      <w:r w:rsidR="00392A4E" w:rsidRPr="00392A4E">
        <w:t> </w:t>
      </w:r>
      <w:r w:rsidRPr="00392A4E">
        <w:t>3 (</w:t>
      </w:r>
      <w:r w:rsidR="00857C2F" w:rsidRPr="00392A4E">
        <w:t>funding formula for schools</w:t>
      </w:r>
      <w:r w:rsidRPr="00392A4E">
        <w:t>).</w:t>
      </w:r>
    </w:p>
    <w:p w:rsidR="00364EED" w:rsidRPr="00392A4E" w:rsidRDefault="00364EED" w:rsidP="00392A4E">
      <w:pPr>
        <w:pStyle w:val="notetext"/>
      </w:pPr>
      <w:r w:rsidRPr="00392A4E">
        <w:t>Note:</w:t>
      </w:r>
      <w:r w:rsidRPr="00392A4E">
        <w:tab/>
        <w:t>A decision under this subsection is a reviewable decision (see Division</w:t>
      </w:r>
      <w:r w:rsidR="00392A4E" w:rsidRPr="00392A4E">
        <w:t> </w:t>
      </w:r>
      <w:r w:rsidRPr="00392A4E">
        <w:t>3 of Part</w:t>
      </w:r>
      <w:r w:rsidR="00392A4E" w:rsidRPr="00392A4E">
        <w:t> </w:t>
      </w:r>
      <w:r w:rsidRPr="00392A4E">
        <w:t>9).</w:t>
      </w:r>
    </w:p>
    <w:p w:rsidR="00364EED" w:rsidRPr="00392A4E" w:rsidRDefault="0080643A" w:rsidP="00392A4E">
      <w:pPr>
        <w:pStyle w:val="ItemHead"/>
      </w:pPr>
      <w:r w:rsidRPr="00392A4E">
        <w:t>68</w:t>
      </w:r>
      <w:r w:rsidR="00364EED" w:rsidRPr="00392A4E">
        <w:t xml:space="preserve">  Subsection</w:t>
      </w:r>
      <w:r w:rsidR="00392A4E" w:rsidRPr="00392A4E">
        <w:t> </w:t>
      </w:r>
      <w:r w:rsidR="00364EED" w:rsidRPr="00392A4E">
        <w:t>27(1)</w:t>
      </w:r>
    </w:p>
    <w:p w:rsidR="00364EED" w:rsidRPr="00392A4E" w:rsidRDefault="00364EED" w:rsidP="00392A4E">
      <w:pPr>
        <w:pStyle w:val="Item"/>
      </w:pPr>
      <w:r w:rsidRPr="00392A4E">
        <w:t>Omit “participating school, or an approved authority for a participating school,”, substitute “school”.</w:t>
      </w:r>
    </w:p>
    <w:p w:rsidR="00364EED" w:rsidRPr="00392A4E" w:rsidRDefault="0080643A" w:rsidP="00392A4E">
      <w:pPr>
        <w:pStyle w:val="ItemHead"/>
      </w:pPr>
      <w:r w:rsidRPr="00392A4E">
        <w:t>69</w:t>
      </w:r>
      <w:r w:rsidR="00364EED" w:rsidRPr="00392A4E">
        <w:t xml:space="preserve">  Part</w:t>
      </w:r>
      <w:r w:rsidR="00392A4E" w:rsidRPr="00392A4E">
        <w:t> </w:t>
      </w:r>
      <w:r w:rsidR="00364EED" w:rsidRPr="00392A4E">
        <w:t>3 (heading)</w:t>
      </w:r>
    </w:p>
    <w:p w:rsidR="00364EED" w:rsidRPr="00392A4E" w:rsidRDefault="00364EED" w:rsidP="00392A4E">
      <w:pPr>
        <w:pStyle w:val="Item"/>
      </w:pPr>
      <w:r w:rsidRPr="00392A4E">
        <w:t>Repeal the heading, substitute:</w:t>
      </w:r>
    </w:p>
    <w:p w:rsidR="00364EED" w:rsidRPr="00392A4E" w:rsidRDefault="00364EED" w:rsidP="00392A4E">
      <w:pPr>
        <w:pStyle w:val="ActHead2"/>
      </w:pPr>
      <w:bookmarkStart w:id="32" w:name="f_Check_Lines_above"/>
      <w:bookmarkStart w:id="33" w:name="_Toc486412753"/>
      <w:bookmarkEnd w:id="32"/>
      <w:r w:rsidRPr="00392A4E">
        <w:rPr>
          <w:rStyle w:val="CharPartNo"/>
        </w:rPr>
        <w:t>Part</w:t>
      </w:r>
      <w:r w:rsidR="00392A4E" w:rsidRPr="00392A4E">
        <w:rPr>
          <w:rStyle w:val="CharPartNo"/>
        </w:rPr>
        <w:t> </w:t>
      </w:r>
      <w:r w:rsidRPr="00392A4E">
        <w:rPr>
          <w:rStyle w:val="CharPartNo"/>
        </w:rPr>
        <w:t>3</w:t>
      </w:r>
      <w:r w:rsidRPr="00392A4E">
        <w:t>—</w:t>
      </w:r>
      <w:r w:rsidRPr="00392A4E">
        <w:rPr>
          <w:rStyle w:val="CharPartText"/>
        </w:rPr>
        <w:t>Recurrent funding for schools</w:t>
      </w:r>
      <w:bookmarkEnd w:id="33"/>
    </w:p>
    <w:p w:rsidR="00364EED" w:rsidRPr="00392A4E" w:rsidRDefault="0080643A" w:rsidP="00392A4E">
      <w:pPr>
        <w:pStyle w:val="ItemHead"/>
      </w:pPr>
      <w:r w:rsidRPr="00392A4E">
        <w:t>70</w:t>
      </w:r>
      <w:r w:rsidR="00364EED" w:rsidRPr="00392A4E">
        <w:t xml:space="preserve">  Division</w:t>
      </w:r>
      <w:r w:rsidR="00392A4E" w:rsidRPr="00392A4E">
        <w:t> </w:t>
      </w:r>
      <w:r w:rsidR="00364EED" w:rsidRPr="00392A4E">
        <w:t>1 of Part</w:t>
      </w:r>
      <w:r w:rsidR="00392A4E" w:rsidRPr="00392A4E">
        <w:t> </w:t>
      </w:r>
      <w:r w:rsidR="00364EED" w:rsidRPr="00392A4E">
        <w:t>3 (heading)</w:t>
      </w:r>
    </w:p>
    <w:p w:rsidR="00364EED" w:rsidRPr="00392A4E" w:rsidRDefault="00364EED" w:rsidP="00392A4E">
      <w:pPr>
        <w:pStyle w:val="Item"/>
      </w:pPr>
      <w:r w:rsidRPr="00392A4E">
        <w:t>Repeal the heading, substitute:</w:t>
      </w:r>
    </w:p>
    <w:p w:rsidR="00364EED" w:rsidRPr="00392A4E" w:rsidRDefault="00364EED" w:rsidP="00392A4E">
      <w:pPr>
        <w:pStyle w:val="ActHead3"/>
      </w:pPr>
      <w:bookmarkStart w:id="34" w:name="_Toc486412754"/>
      <w:r w:rsidRPr="00392A4E">
        <w:rPr>
          <w:rStyle w:val="CharDivNo"/>
        </w:rPr>
        <w:lastRenderedPageBreak/>
        <w:t>Division</w:t>
      </w:r>
      <w:r w:rsidR="00392A4E" w:rsidRPr="00392A4E">
        <w:rPr>
          <w:rStyle w:val="CharDivNo"/>
        </w:rPr>
        <w:t> </w:t>
      </w:r>
      <w:r w:rsidRPr="00392A4E">
        <w:rPr>
          <w:rStyle w:val="CharDivNo"/>
        </w:rPr>
        <w:t>1</w:t>
      </w:r>
      <w:r w:rsidRPr="00392A4E">
        <w:t>—</w:t>
      </w:r>
      <w:r w:rsidRPr="00392A4E">
        <w:rPr>
          <w:rStyle w:val="CharDivText"/>
        </w:rPr>
        <w:t>Preliminary</w:t>
      </w:r>
      <w:bookmarkEnd w:id="34"/>
    </w:p>
    <w:p w:rsidR="006D21D9" w:rsidRPr="00392A4E" w:rsidRDefault="0080643A" w:rsidP="00392A4E">
      <w:pPr>
        <w:pStyle w:val="ItemHead"/>
      </w:pPr>
      <w:r w:rsidRPr="00392A4E">
        <w:t>71</w:t>
      </w:r>
      <w:r w:rsidR="006D21D9" w:rsidRPr="00392A4E">
        <w:t xml:space="preserve">  Section</w:t>
      </w:r>
      <w:r w:rsidR="00392A4E" w:rsidRPr="00392A4E">
        <w:t> </w:t>
      </w:r>
      <w:r w:rsidR="006D21D9" w:rsidRPr="00392A4E">
        <w:t>31</w:t>
      </w:r>
    </w:p>
    <w:p w:rsidR="006D21D9" w:rsidRPr="00392A4E" w:rsidRDefault="006D21D9" w:rsidP="00392A4E">
      <w:pPr>
        <w:pStyle w:val="Item"/>
      </w:pPr>
      <w:r w:rsidRPr="00392A4E">
        <w:t>Repeal the section, substitute:</w:t>
      </w:r>
    </w:p>
    <w:p w:rsidR="006D21D9" w:rsidRPr="00392A4E" w:rsidRDefault="006D21D9" w:rsidP="00392A4E">
      <w:pPr>
        <w:pStyle w:val="ActHead5"/>
      </w:pPr>
      <w:bookmarkStart w:id="35" w:name="_Toc486412755"/>
      <w:r w:rsidRPr="00392A4E">
        <w:rPr>
          <w:rStyle w:val="CharSectno"/>
        </w:rPr>
        <w:t>31</w:t>
      </w:r>
      <w:r w:rsidRPr="00392A4E">
        <w:t xml:space="preserve">  Guide to this Part</w:t>
      </w:r>
      <w:bookmarkEnd w:id="35"/>
    </w:p>
    <w:p w:rsidR="006D21D9" w:rsidRPr="00392A4E" w:rsidRDefault="006D21D9" w:rsidP="00392A4E">
      <w:pPr>
        <w:pStyle w:val="SOText"/>
      </w:pPr>
      <w:r w:rsidRPr="00392A4E">
        <w:t>Financial assistance for schools is payable by the Commonwealth each year, based on a formula in Division</w:t>
      </w:r>
      <w:r w:rsidR="00392A4E" w:rsidRPr="00392A4E">
        <w:t> </w:t>
      </w:r>
      <w:r w:rsidRPr="00392A4E">
        <w:t>2 of this Part. The formula produces the Commonwealth share of a total amount of funding.</w:t>
      </w:r>
      <w:r w:rsidR="00085DAF" w:rsidRPr="00392A4E">
        <w:t xml:space="preserve"> Most schools </w:t>
      </w:r>
      <w:r w:rsidR="00D973D5" w:rsidRPr="00392A4E">
        <w:t xml:space="preserve">(called transitioning schools) </w:t>
      </w:r>
      <w:r w:rsidR="00085DAF" w:rsidRPr="00392A4E">
        <w:t xml:space="preserve">will move to that share over a period of </w:t>
      </w:r>
      <w:r w:rsidR="002B7AC8" w:rsidRPr="00452700">
        <w:t>6 to 10</w:t>
      </w:r>
      <w:r w:rsidR="002B7AC8">
        <w:t xml:space="preserve"> </w:t>
      </w:r>
      <w:r w:rsidR="00085DAF" w:rsidRPr="00392A4E">
        <w:t>years.</w:t>
      </w:r>
    </w:p>
    <w:p w:rsidR="006D21D9" w:rsidRPr="00392A4E" w:rsidRDefault="006D21D9" w:rsidP="00392A4E">
      <w:pPr>
        <w:pStyle w:val="SOText"/>
      </w:pPr>
      <w:r w:rsidRPr="00392A4E">
        <w:t>All schools are entitled to a base amount of funding for every student. Students and schools who need extra support will also attract additional loadings.</w:t>
      </w:r>
    </w:p>
    <w:p w:rsidR="006D21D9" w:rsidRPr="00392A4E" w:rsidRDefault="006D21D9" w:rsidP="00392A4E">
      <w:pPr>
        <w:pStyle w:val="SOText"/>
      </w:pPr>
      <w:r w:rsidRPr="00392A4E">
        <w:t>The base amount, and most of the loadings, are worked out by reference to an amount per student called the SRS funding amount. (SRS is short for schooling resource standard). There is a different SRS funding amount for primary and secondary students, which is indexed yearly.</w:t>
      </w:r>
    </w:p>
    <w:p w:rsidR="006D21D9" w:rsidRPr="00392A4E" w:rsidRDefault="006D21D9" w:rsidP="00392A4E">
      <w:pPr>
        <w:pStyle w:val="SOText"/>
      </w:pPr>
      <w:r w:rsidRPr="00392A4E">
        <w:t>The base amount for a school for a year reflects:</w:t>
      </w:r>
    </w:p>
    <w:p w:rsidR="006D21D9" w:rsidRPr="00392A4E" w:rsidRDefault="006D21D9" w:rsidP="00392A4E">
      <w:pPr>
        <w:pStyle w:val="SOPara"/>
      </w:pPr>
      <w:r w:rsidRPr="00392A4E">
        <w:tab/>
        <w:t>(a)</w:t>
      </w:r>
      <w:r w:rsidRPr="00392A4E">
        <w:tab/>
        <w:t>the number of students at the school for the year; and</w:t>
      </w:r>
    </w:p>
    <w:p w:rsidR="006D21D9" w:rsidRPr="00392A4E" w:rsidRDefault="006D21D9" w:rsidP="00392A4E">
      <w:pPr>
        <w:pStyle w:val="SOPara"/>
      </w:pPr>
      <w:r w:rsidRPr="00392A4E">
        <w:tab/>
        <w:t>(b)</w:t>
      </w:r>
      <w:r w:rsidRPr="00392A4E">
        <w:tab/>
        <w:t>the SRS funding amount for the year for a student at the school; and</w:t>
      </w:r>
    </w:p>
    <w:p w:rsidR="006D21D9" w:rsidRPr="00392A4E" w:rsidRDefault="006D21D9" w:rsidP="00392A4E">
      <w:pPr>
        <w:pStyle w:val="SOPara"/>
      </w:pPr>
      <w:r w:rsidRPr="00392A4E">
        <w:tab/>
        <w:t>(c)</w:t>
      </w:r>
      <w:r w:rsidRPr="00392A4E">
        <w:tab/>
        <w:t>the capacity of the school’s community to contribute financially to the school.</w:t>
      </w:r>
    </w:p>
    <w:p w:rsidR="006D21D9" w:rsidRPr="00392A4E" w:rsidRDefault="006D21D9" w:rsidP="00392A4E">
      <w:pPr>
        <w:pStyle w:val="SOText"/>
      </w:pPr>
      <w:r w:rsidRPr="00392A4E">
        <w:t>The following loadings are also provided:</w:t>
      </w:r>
    </w:p>
    <w:p w:rsidR="006D21D9" w:rsidRPr="00392A4E" w:rsidRDefault="006D21D9" w:rsidP="00392A4E">
      <w:pPr>
        <w:pStyle w:val="SOPara"/>
      </w:pPr>
      <w:r w:rsidRPr="00392A4E">
        <w:tab/>
        <w:t>(a)</w:t>
      </w:r>
      <w:r w:rsidRPr="00392A4E">
        <w:tab/>
        <w:t>a loading for students with disability;</w:t>
      </w:r>
    </w:p>
    <w:p w:rsidR="006D21D9" w:rsidRPr="00392A4E" w:rsidRDefault="006D21D9" w:rsidP="00392A4E">
      <w:pPr>
        <w:pStyle w:val="SOPara"/>
      </w:pPr>
      <w:r w:rsidRPr="00392A4E">
        <w:tab/>
        <w:t>(b)</w:t>
      </w:r>
      <w:r w:rsidRPr="00392A4E">
        <w:tab/>
        <w:t>a loading for Aboriginal and Torres Strait Islander students;</w:t>
      </w:r>
    </w:p>
    <w:p w:rsidR="006D21D9" w:rsidRPr="00392A4E" w:rsidRDefault="006D21D9" w:rsidP="00392A4E">
      <w:pPr>
        <w:pStyle w:val="SOPara"/>
      </w:pPr>
      <w:r w:rsidRPr="00392A4E">
        <w:tab/>
        <w:t>(c)</w:t>
      </w:r>
      <w:r w:rsidRPr="00392A4E">
        <w:tab/>
      </w:r>
      <w:r w:rsidR="00B17F89" w:rsidRPr="00392A4E">
        <w:t>a loading for socio</w:t>
      </w:r>
      <w:r w:rsidR="00B84F34">
        <w:noBreakHyphen/>
      </w:r>
      <w:r w:rsidR="00B17F89" w:rsidRPr="00392A4E">
        <w:t>educational disadvantage</w:t>
      </w:r>
      <w:r w:rsidRPr="00392A4E">
        <w:t>;</w:t>
      </w:r>
    </w:p>
    <w:p w:rsidR="006D21D9" w:rsidRPr="00392A4E" w:rsidRDefault="006D21D9" w:rsidP="00392A4E">
      <w:pPr>
        <w:pStyle w:val="SOPara"/>
      </w:pPr>
      <w:r w:rsidRPr="00392A4E">
        <w:tab/>
        <w:t>(d)</w:t>
      </w:r>
      <w:r w:rsidRPr="00392A4E">
        <w:tab/>
        <w:t>a loading for students who have low English proficiency;</w:t>
      </w:r>
    </w:p>
    <w:p w:rsidR="006D21D9" w:rsidRPr="00392A4E" w:rsidRDefault="006D21D9" w:rsidP="00392A4E">
      <w:pPr>
        <w:pStyle w:val="SOPara"/>
      </w:pPr>
      <w:r w:rsidRPr="00392A4E">
        <w:tab/>
        <w:t>(e)</w:t>
      </w:r>
      <w:r w:rsidRPr="00392A4E">
        <w:tab/>
        <w:t>a loading for schools that are not in major cities;</w:t>
      </w:r>
    </w:p>
    <w:p w:rsidR="006D21D9" w:rsidRPr="00392A4E" w:rsidRDefault="006D21D9" w:rsidP="00392A4E">
      <w:pPr>
        <w:pStyle w:val="SOPara"/>
      </w:pPr>
      <w:r w:rsidRPr="00392A4E">
        <w:tab/>
        <w:t>(f)</w:t>
      </w:r>
      <w:r w:rsidRPr="00392A4E">
        <w:tab/>
        <w:t>a loading for schools that are not large schools.</w:t>
      </w:r>
    </w:p>
    <w:p w:rsidR="006D21D9" w:rsidRPr="00392A4E" w:rsidRDefault="006D21D9" w:rsidP="00392A4E">
      <w:pPr>
        <w:pStyle w:val="SOText"/>
      </w:pPr>
      <w:r w:rsidRPr="00392A4E">
        <w:lastRenderedPageBreak/>
        <w:t>The loadings (except the size loading) are a percentage of the relevant SRS funding amount multiplied by the number of students at a school that qualify for that loading. The size loading provides an amount based on the total number of students at a school. Small schools, and very small schools in very remote areas with a certain number of students, are entitled to the maximum size loading while large schools are not entitled to any size loading. All other schools are entitled to a proportion of the maximum size loading.</w:t>
      </w:r>
    </w:p>
    <w:p w:rsidR="00364EED" w:rsidRPr="00392A4E" w:rsidRDefault="0080643A" w:rsidP="00392A4E">
      <w:pPr>
        <w:pStyle w:val="ItemHead"/>
      </w:pPr>
      <w:r w:rsidRPr="00392A4E">
        <w:t>72</w:t>
      </w:r>
      <w:r w:rsidR="00364EED" w:rsidRPr="00392A4E">
        <w:t xml:space="preserve">  At the end of Division</w:t>
      </w:r>
      <w:r w:rsidR="00392A4E" w:rsidRPr="00392A4E">
        <w:t> </w:t>
      </w:r>
      <w:r w:rsidR="00364EED" w:rsidRPr="00392A4E">
        <w:t>1 of Part</w:t>
      </w:r>
      <w:r w:rsidR="00392A4E" w:rsidRPr="00392A4E">
        <w:t> </w:t>
      </w:r>
      <w:r w:rsidR="00364EED" w:rsidRPr="00392A4E">
        <w:t>3</w:t>
      </w:r>
    </w:p>
    <w:p w:rsidR="00364EED" w:rsidRPr="00392A4E" w:rsidRDefault="00364EED" w:rsidP="00392A4E">
      <w:pPr>
        <w:pStyle w:val="Item"/>
      </w:pPr>
      <w:r w:rsidRPr="00392A4E">
        <w:t>Add:</w:t>
      </w:r>
    </w:p>
    <w:p w:rsidR="00364EED" w:rsidRPr="00392A4E" w:rsidRDefault="00364EED" w:rsidP="00392A4E">
      <w:pPr>
        <w:pStyle w:val="ActHead5"/>
      </w:pPr>
      <w:bookmarkStart w:id="36" w:name="_Toc486412756"/>
      <w:r w:rsidRPr="00392A4E">
        <w:rPr>
          <w:rStyle w:val="CharSectno"/>
        </w:rPr>
        <w:t>31A</w:t>
      </w:r>
      <w:r w:rsidRPr="00392A4E">
        <w:t xml:space="preserve">  Eligibility for funding under this Part</w:t>
      </w:r>
      <w:bookmarkEnd w:id="36"/>
    </w:p>
    <w:p w:rsidR="00364EED" w:rsidRPr="00392A4E" w:rsidRDefault="00BF3B9F" w:rsidP="00392A4E">
      <w:pPr>
        <w:pStyle w:val="subsection"/>
      </w:pPr>
      <w:r w:rsidRPr="00392A4E">
        <w:tab/>
      </w:r>
      <w:r w:rsidR="00364EED" w:rsidRPr="00392A4E">
        <w:tab/>
        <w:t>Financial assistance is not payable under this Part for a school unless:</w:t>
      </w:r>
    </w:p>
    <w:p w:rsidR="00364EED" w:rsidRPr="00392A4E" w:rsidRDefault="00364EED" w:rsidP="00392A4E">
      <w:pPr>
        <w:pStyle w:val="paragraph"/>
      </w:pPr>
      <w:r w:rsidRPr="00392A4E">
        <w:tab/>
        <w:t>(a)</w:t>
      </w:r>
      <w:r w:rsidRPr="00392A4E">
        <w:tab/>
        <w:t>there is an approved authority for the school; and</w:t>
      </w:r>
    </w:p>
    <w:p w:rsidR="00364EED" w:rsidRPr="00392A4E" w:rsidRDefault="00364EED" w:rsidP="00392A4E">
      <w:pPr>
        <w:pStyle w:val="paragraph"/>
      </w:pPr>
      <w:r w:rsidRPr="00392A4E">
        <w:tab/>
        <w:t>(b)</w:t>
      </w:r>
      <w:r w:rsidRPr="00392A4E">
        <w:tab/>
        <w:t>the approved authority is approved in relation to:</w:t>
      </w:r>
    </w:p>
    <w:p w:rsidR="00364EED" w:rsidRPr="00392A4E" w:rsidRDefault="00364EED" w:rsidP="00392A4E">
      <w:pPr>
        <w:pStyle w:val="paragraphsub"/>
      </w:pPr>
      <w:r w:rsidRPr="00392A4E">
        <w:tab/>
        <w:t>(</w:t>
      </w:r>
      <w:proofErr w:type="spellStart"/>
      <w:r w:rsidRPr="00392A4E">
        <w:t>i</w:t>
      </w:r>
      <w:proofErr w:type="spellEnd"/>
      <w:r w:rsidRPr="00392A4E">
        <w:t>)</w:t>
      </w:r>
      <w:r w:rsidRPr="00392A4E">
        <w:tab/>
        <w:t>one or more locations of the school; and</w:t>
      </w:r>
    </w:p>
    <w:p w:rsidR="00364EED" w:rsidRPr="00392A4E" w:rsidRDefault="00364EED" w:rsidP="00392A4E">
      <w:pPr>
        <w:pStyle w:val="paragraphsub"/>
      </w:pPr>
      <w:r w:rsidRPr="00392A4E">
        <w:tab/>
        <w:t>(ii)</w:t>
      </w:r>
      <w:r w:rsidRPr="00392A4E">
        <w:tab/>
        <w:t>a level of education provided by the school at any of those locations.</w:t>
      </w:r>
    </w:p>
    <w:p w:rsidR="00364EED" w:rsidRPr="00392A4E" w:rsidRDefault="0080643A" w:rsidP="00392A4E">
      <w:pPr>
        <w:pStyle w:val="ItemHead"/>
      </w:pPr>
      <w:r w:rsidRPr="00392A4E">
        <w:t>73</w:t>
      </w:r>
      <w:r w:rsidR="00364EED" w:rsidRPr="00392A4E">
        <w:t xml:space="preserve">  Division</w:t>
      </w:r>
      <w:r w:rsidR="00392A4E" w:rsidRPr="00392A4E">
        <w:t> </w:t>
      </w:r>
      <w:r w:rsidR="00364EED" w:rsidRPr="00392A4E">
        <w:t>2 of Part</w:t>
      </w:r>
      <w:r w:rsidR="00392A4E" w:rsidRPr="00392A4E">
        <w:t> </w:t>
      </w:r>
      <w:r w:rsidR="00364EED" w:rsidRPr="00392A4E">
        <w:t>3 (heading)</w:t>
      </w:r>
    </w:p>
    <w:p w:rsidR="00364EED" w:rsidRPr="00392A4E" w:rsidRDefault="00364EED" w:rsidP="00392A4E">
      <w:pPr>
        <w:pStyle w:val="Item"/>
      </w:pPr>
      <w:r w:rsidRPr="00392A4E">
        <w:t>Repeal the heading, substitute:</w:t>
      </w:r>
    </w:p>
    <w:p w:rsidR="00364EED" w:rsidRPr="00392A4E" w:rsidRDefault="00364EED" w:rsidP="00392A4E">
      <w:pPr>
        <w:pStyle w:val="ActHead3"/>
      </w:pPr>
      <w:bookmarkStart w:id="37" w:name="_Toc486412757"/>
      <w:r w:rsidRPr="00392A4E">
        <w:rPr>
          <w:rStyle w:val="CharDivNo"/>
        </w:rPr>
        <w:t>Division</w:t>
      </w:r>
      <w:r w:rsidR="00392A4E" w:rsidRPr="00392A4E">
        <w:rPr>
          <w:rStyle w:val="CharDivNo"/>
        </w:rPr>
        <w:t> </w:t>
      </w:r>
      <w:r w:rsidRPr="00392A4E">
        <w:rPr>
          <w:rStyle w:val="CharDivNo"/>
        </w:rPr>
        <w:t>2</w:t>
      </w:r>
      <w:r w:rsidRPr="00392A4E">
        <w:t>—</w:t>
      </w:r>
      <w:r w:rsidRPr="00392A4E">
        <w:rPr>
          <w:rStyle w:val="CharDivText"/>
        </w:rPr>
        <w:t>The funding formula for schools</w:t>
      </w:r>
      <w:bookmarkEnd w:id="37"/>
    </w:p>
    <w:p w:rsidR="00364EED" w:rsidRPr="00392A4E" w:rsidRDefault="0080643A" w:rsidP="00392A4E">
      <w:pPr>
        <w:pStyle w:val="ItemHead"/>
      </w:pPr>
      <w:r w:rsidRPr="00392A4E">
        <w:t>74</w:t>
      </w:r>
      <w:r w:rsidR="00364EED" w:rsidRPr="00392A4E">
        <w:t xml:space="preserve">  Section</w:t>
      </w:r>
      <w:r w:rsidR="00392A4E" w:rsidRPr="00392A4E">
        <w:t> </w:t>
      </w:r>
      <w:r w:rsidR="00364EED" w:rsidRPr="00392A4E">
        <w:t>32 (heading)</w:t>
      </w:r>
    </w:p>
    <w:p w:rsidR="00364EED" w:rsidRPr="00392A4E" w:rsidRDefault="00364EED" w:rsidP="00392A4E">
      <w:pPr>
        <w:pStyle w:val="Item"/>
      </w:pPr>
      <w:r w:rsidRPr="00392A4E">
        <w:t>Repeal the heading, substitute:</w:t>
      </w:r>
    </w:p>
    <w:p w:rsidR="00364EED" w:rsidRPr="00392A4E" w:rsidRDefault="00364EED" w:rsidP="00392A4E">
      <w:pPr>
        <w:pStyle w:val="ActHead5"/>
      </w:pPr>
      <w:bookmarkStart w:id="38" w:name="_Toc486412758"/>
      <w:r w:rsidRPr="00392A4E">
        <w:rPr>
          <w:rStyle w:val="CharSectno"/>
        </w:rPr>
        <w:t>32</w:t>
      </w:r>
      <w:r w:rsidRPr="00392A4E">
        <w:t xml:space="preserve">  The amount payable for a school</w:t>
      </w:r>
      <w:bookmarkEnd w:id="38"/>
    </w:p>
    <w:p w:rsidR="00364EED" w:rsidRPr="00392A4E" w:rsidRDefault="0080643A" w:rsidP="00392A4E">
      <w:pPr>
        <w:pStyle w:val="ItemHead"/>
      </w:pPr>
      <w:r w:rsidRPr="00392A4E">
        <w:t>75</w:t>
      </w:r>
      <w:r w:rsidR="00364EED" w:rsidRPr="00392A4E">
        <w:t xml:space="preserve">  Section</w:t>
      </w:r>
      <w:r w:rsidR="00392A4E" w:rsidRPr="00392A4E">
        <w:t> </w:t>
      </w:r>
      <w:r w:rsidR="00364EED" w:rsidRPr="00392A4E">
        <w:t>32</w:t>
      </w:r>
    </w:p>
    <w:p w:rsidR="00364EED" w:rsidRPr="00392A4E" w:rsidRDefault="00364EED" w:rsidP="00392A4E">
      <w:pPr>
        <w:pStyle w:val="Item"/>
      </w:pPr>
      <w:r w:rsidRPr="00392A4E">
        <w:t>Omit “participating”.</w:t>
      </w:r>
    </w:p>
    <w:p w:rsidR="00364EED" w:rsidRPr="00392A4E" w:rsidRDefault="0080643A" w:rsidP="00392A4E">
      <w:pPr>
        <w:pStyle w:val="ItemHead"/>
      </w:pPr>
      <w:r w:rsidRPr="00392A4E">
        <w:t>76</w:t>
      </w:r>
      <w:r w:rsidR="00364EED" w:rsidRPr="00392A4E">
        <w:t xml:space="preserve">  Section</w:t>
      </w:r>
      <w:r w:rsidR="00392A4E" w:rsidRPr="00392A4E">
        <w:t> </w:t>
      </w:r>
      <w:r w:rsidR="00364EED" w:rsidRPr="00392A4E">
        <w:t>32 (note 1)</w:t>
      </w:r>
    </w:p>
    <w:p w:rsidR="002D19DB" w:rsidRPr="00392A4E" w:rsidRDefault="002D19DB" w:rsidP="00392A4E">
      <w:pPr>
        <w:pStyle w:val="Item"/>
      </w:pPr>
      <w:r w:rsidRPr="00392A4E">
        <w:t>Repeal the note.</w:t>
      </w:r>
    </w:p>
    <w:p w:rsidR="002D19DB" w:rsidRPr="00392A4E" w:rsidRDefault="0080643A" w:rsidP="00392A4E">
      <w:pPr>
        <w:pStyle w:val="ItemHead"/>
      </w:pPr>
      <w:r w:rsidRPr="00392A4E">
        <w:lastRenderedPageBreak/>
        <w:t>77</w:t>
      </w:r>
      <w:r w:rsidR="002D19DB" w:rsidRPr="00392A4E">
        <w:t xml:space="preserve">  Section</w:t>
      </w:r>
      <w:r w:rsidR="00392A4E" w:rsidRPr="00392A4E">
        <w:t> </w:t>
      </w:r>
      <w:r w:rsidR="002D19DB" w:rsidRPr="00392A4E">
        <w:t>32 (note 2)</w:t>
      </w:r>
    </w:p>
    <w:p w:rsidR="002D19DB" w:rsidRPr="00392A4E" w:rsidRDefault="002D19DB" w:rsidP="00392A4E">
      <w:pPr>
        <w:pStyle w:val="Item"/>
      </w:pPr>
      <w:r w:rsidRPr="00392A4E">
        <w:t>Omit “2”.</w:t>
      </w:r>
    </w:p>
    <w:p w:rsidR="00364EED" w:rsidRPr="00392A4E" w:rsidRDefault="0080643A" w:rsidP="00392A4E">
      <w:pPr>
        <w:pStyle w:val="ItemHead"/>
      </w:pPr>
      <w:r w:rsidRPr="00392A4E">
        <w:t>78</w:t>
      </w:r>
      <w:r w:rsidR="00364EED" w:rsidRPr="00392A4E">
        <w:t xml:space="preserve">  Paragraph 56(a)</w:t>
      </w:r>
    </w:p>
    <w:p w:rsidR="00364EED" w:rsidRPr="00392A4E" w:rsidRDefault="00364EED" w:rsidP="00392A4E">
      <w:pPr>
        <w:pStyle w:val="Item"/>
      </w:pPr>
      <w:r w:rsidRPr="00392A4E">
        <w:t>Omit “</w:t>
      </w:r>
      <w:r w:rsidR="003B2504" w:rsidRPr="00392A4E">
        <w:t>for a year for a participating school, as worked out under section</w:t>
      </w:r>
      <w:r w:rsidR="00392A4E" w:rsidRPr="00392A4E">
        <w:t> </w:t>
      </w:r>
      <w:r w:rsidR="003B2504" w:rsidRPr="00392A4E">
        <w:t>32”, substitute “</w:t>
      </w:r>
      <w:r w:rsidR="00F931EB" w:rsidRPr="00392A4E">
        <w:t>under Division</w:t>
      </w:r>
      <w:r w:rsidR="00392A4E" w:rsidRPr="00392A4E">
        <w:t> </w:t>
      </w:r>
      <w:r w:rsidR="00F931EB" w:rsidRPr="00392A4E">
        <w:t>2 of Part</w:t>
      </w:r>
      <w:r w:rsidR="00392A4E" w:rsidRPr="00392A4E">
        <w:t> </w:t>
      </w:r>
      <w:r w:rsidR="00F931EB" w:rsidRPr="00392A4E">
        <w:t>3 for a school for a year”.</w:t>
      </w:r>
    </w:p>
    <w:p w:rsidR="00364EED" w:rsidRPr="00392A4E" w:rsidRDefault="0080643A" w:rsidP="00392A4E">
      <w:pPr>
        <w:pStyle w:val="ItemHead"/>
      </w:pPr>
      <w:r w:rsidRPr="00392A4E">
        <w:t>79</w:t>
      </w:r>
      <w:r w:rsidR="00364EED" w:rsidRPr="00392A4E">
        <w:t xml:space="preserve">  Division</w:t>
      </w:r>
      <w:r w:rsidR="00392A4E" w:rsidRPr="00392A4E">
        <w:t> </w:t>
      </w:r>
      <w:r w:rsidR="00364EED" w:rsidRPr="00392A4E">
        <w:t>5 of Part</w:t>
      </w:r>
      <w:r w:rsidR="00392A4E" w:rsidRPr="00392A4E">
        <w:t> </w:t>
      </w:r>
      <w:r w:rsidR="00364EED" w:rsidRPr="00392A4E">
        <w:t>3</w:t>
      </w:r>
    </w:p>
    <w:p w:rsidR="00364EED" w:rsidRPr="00392A4E" w:rsidRDefault="00364EED" w:rsidP="00392A4E">
      <w:pPr>
        <w:pStyle w:val="Item"/>
      </w:pPr>
      <w:r w:rsidRPr="00392A4E">
        <w:t>Repeal the Division.</w:t>
      </w:r>
    </w:p>
    <w:p w:rsidR="00364EED" w:rsidRPr="00392A4E" w:rsidRDefault="0080643A" w:rsidP="00392A4E">
      <w:pPr>
        <w:pStyle w:val="ItemHead"/>
      </w:pPr>
      <w:r w:rsidRPr="00392A4E">
        <w:t>80</w:t>
      </w:r>
      <w:r w:rsidR="00364EED" w:rsidRPr="00392A4E">
        <w:t xml:space="preserve">  Part</w:t>
      </w:r>
      <w:r w:rsidR="00392A4E" w:rsidRPr="00392A4E">
        <w:t> </w:t>
      </w:r>
      <w:r w:rsidR="00364EED" w:rsidRPr="00392A4E">
        <w:t>4</w:t>
      </w:r>
    </w:p>
    <w:p w:rsidR="00364EED" w:rsidRPr="00392A4E" w:rsidRDefault="00364EED" w:rsidP="00392A4E">
      <w:pPr>
        <w:pStyle w:val="Item"/>
      </w:pPr>
      <w:r w:rsidRPr="00392A4E">
        <w:t>Repeal the Part.</w:t>
      </w:r>
    </w:p>
    <w:p w:rsidR="00364EED" w:rsidRPr="00392A4E" w:rsidRDefault="0080643A" w:rsidP="00392A4E">
      <w:pPr>
        <w:pStyle w:val="ItemHead"/>
      </w:pPr>
      <w:r w:rsidRPr="00392A4E">
        <w:t>81</w:t>
      </w:r>
      <w:r w:rsidR="00364EED" w:rsidRPr="00392A4E">
        <w:t xml:space="preserve">  Section</w:t>
      </w:r>
      <w:r w:rsidR="00392A4E" w:rsidRPr="00392A4E">
        <w:t> </w:t>
      </w:r>
      <w:r w:rsidR="00364EED" w:rsidRPr="00392A4E">
        <w:t>66</w:t>
      </w:r>
    </w:p>
    <w:p w:rsidR="00364EED" w:rsidRPr="00392A4E" w:rsidRDefault="00364EED" w:rsidP="00392A4E">
      <w:pPr>
        <w:pStyle w:val="Item"/>
      </w:pPr>
      <w:r w:rsidRPr="00392A4E">
        <w:t>Omit:</w:t>
      </w:r>
    </w:p>
    <w:p w:rsidR="00364EED" w:rsidRPr="00392A4E" w:rsidRDefault="00364EED" w:rsidP="00392A4E">
      <w:pPr>
        <w:pStyle w:val="SOText"/>
      </w:pPr>
      <w:r w:rsidRPr="00392A4E">
        <w:t>This Part provides additional discretionary funding for any school (whether the school is a participating school or not).</w:t>
      </w:r>
    </w:p>
    <w:p w:rsidR="00364EED" w:rsidRPr="00392A4E" w:rsidRDefault="00364EED" w:rsidP="00392A4E">
      <w:pPr>
        <w:pStyle w:val="Item"/>
      </w:pPr>
      <w:r w:rsidRPr="00392A4E">
        <w:t>substitute:</w:t>
      </w:r>
    </w:p>
    <w:p w:rsidR="00364EED" w:rsidRPr="00392A4E" w:rsidRDefault="00364EED" w:rsidP="00392A4E">
      <w:pPr>
        <w:pStyle w:val="SOText"/>
      </w:pPr>
      <w:r w:rsidRPr="00392A4E">
        <w:t>This Part provides additional discretionary funding for schools.</w:t>
      </w:r>
    </w:p>
    <w:p w:rsidR="00204841" w:rsidRPr="00392A4E" w:rsidRDefault="0080643A" w:rsidP="00392A4E">
      <w:pPr>
        <w:pStyle w:val="ItemHead"/>
      </w:pPr>
      <w:r w:rsidRPr="00392A4E">
        <w:t>82</w:t>
      </w:r>
      <w:r w:rsidR="00204841" w:rsidRPr="00392A4E">
        <w:t xml:space="preserve">  Section</w:t>
      </w:r>
      <w:r w:rsidR="00392A4E" w:rsidRPr="00392A4E">
        <w:t> </w:t>
      </w:r>
      <w:r w:rsidR="00204841" w:rsidRPr="00392A4E">
        <w:t>66</w:t>
      </w:r>
    </w:p>
    <w:p w:rsidR="00204841" w:rsidRPr="00392A4E" w:rsidRDefault="00204841" w:rsidP="00392A4E">
      <w:pPr>
        <w:pStyle w:val="Item"/>
      </w:pPr>
      <w:r w:rsidRPr="00392A4E">
        <w:t>Omit:</w:t>
      </w:r>
    </w:p>
    <w:p w:rsidR="00204841" w:rsidRPr="00392A4E" w:rsidRDefault="00204841" w:rsidP="00392A4E">
      <w:pPr>
        <w:pStyle w:val="SOText"/>
      </w:pPr>
      <w:r w:rsidRPr="00392A4E">
        <w:t>The Minister may also determine that financial assistance is payable for a school in special circumstances or if the Minister is satisfied that prescribed circumstances apply in relation to the school.</w:t>
      </w:r>
    </w:p>
    <w:p w:rsidR="00204841" w:rsidRPr="00392A4E" w:rsidRDefault="00204841" w:rsidP="00392A4E">
      <w:pPr>
        <w:pStyle w:val="Item"/>
      </w:pPr>
      <w:r w:rsidRPr="00392A4E">
        <w:t>substitute:</w:t>
      </w:r>
    </w:p>
    <w:p w:rsidR="00204841" w:rsidRPr="00392A4E" w:rsidRDefault="00204841" w:rsidP="00392A4E">
      <w:pPr>
        <w:pStyle w:val="SOText"/>
      </w:pPr>
      <w:r w:rsidRPr="00392A4E">
        <w:t xml:space="preserve">The Minister may also determine that financial assistance is payable for a school in special circumstances or if the Minister is satisfied that prescribed circumstances apply in relation to the school. In addition, the Minister can determine additional </w:t>
      </w:r>
      <w:r w:rsidRPr="00392A4E">
        <w:lastRenderedPageBreak/>
        <w:t xml:space="preserve">adjustment funding for transitioning schools for </w:t>
      </w:r>
      <w:r w:rsidR="002B7AC8" w:rsidRPr="00452700">
        <w:t>the years 2018 to 2027</w:t>
      </w:r>
      <w:r w:rsidRPr="00392A4E">
        <w:t>, in accordance with the regulations.</w:t>
      </w:r>
    </w:p>
    <w:p w:rsidR="00204841" w:rsidRPr="00392A4E" w:rsidRDefault="0080643A" w:rsidP="00392A4E">
      <w:pPr>
        <w:pStyle w:val="ItemHead"/>
      </w:pPr>
      <w:r w:rsidRPr="00392A4E">
        <w:t>83</w:t>
      </w:r>
      <w:r w:rsidR="00204841" w:rsidRPr="00392A4E">
        <w:t xml:space="preserve">  Subsection</w:t>
      </w:r>
      <w:r w:rsidR="00392A4E" w:rsidRPr="00392A4E">
        <w:t> </w:t>
      </w:r>
      <w:r w:rsidR="00204841" w:rsidRPr="00392A4E">
        <w:t>73(4)</w:t>
      </w:r>
    </w:p>
    <w:p w:rsidR="00204841" w:rsidRPr="00392A4E" w:rsidRDefault="00204841" w:rsidP="00392A4E">
      <w:pPr>
        <w:pStyle w:val="Item"/>
      </w:pPr>
      <w:r w:rsidRPr="00392A4E">
        <w:t>Repeal the subsection.</w:t>
      </w:r>
    </w:p>
    <w:p w:rsidR="00F576B2" w:rsidRPr="00392A4E" w:rsidRDefault="0080643A" w:rsidP="00392A4E">
      <w:pPr>
        <w:pStyle w:val="ItemHead"/>
      </w:pPr>
      <w:r w:rsidRPr="00392A4E">
        <w:t>84</w:t>
      </w:r>
      <w:r w:rsidR="00F576B2" w:rsidRPr="00392A4E">
        <w:t xml:space="preserve">  Paragraphs 77(2)(a)</w:t>
      </w:r>
      <w:r w:rsidR="00AE5E8D" w:rsidRPr="00392A4E">
        <w:t>, (d) and (e)</w:t>
      </w:r>
    </w:p>
    <w:p w:rsidR="00AE5E8D" w:rsidRPr="00392A4E" w:rsidRDefault="00E571D1" w:rsidP="00392A4E">
      <w:pPr>
        <w:pStyle w:val="Item"/>
      </w:pPr>
      <w:r w:rsidRPr="00392A4E">
        <w:t>Repeal the paragraph</w:t>
      </w:r>
      <w:r w:rsidR="00AE5E8D" w:rsidRPr="00392A4E">
        <w:t>s.</w:t>
      </w:r>
    </w:p>
    <w:p w:rsidR="00AE5E8D" w:rsidRPr="00392A4E" w:rsidRDefault="0080643A" w:rsidP="00392A4E">
      <w:pPr>
        <w:pStyle w:val="ItemHead"/>
      </w:pPr>
      <w:r w:rsidRPr="00392A4E">
        <w:t>85</w:t>
      </w:r>
      <w:r w:rsidR="00AE5E8D" w:rsidRPr="00392A4E">
        <w:t xml:space="preserve">  After subsection</w:t>
      </w:r>
      <w:r w:rsidR="00392A4E" w:rsidRPr="00392A4E">
        <w:t> </w:t>
      </w:r>
      <w:r w:rsidR="00AE5E8D" w:rsidRPr="00392A4E">
        <w:t>77(2)</w:t>
      </w:r>
    </w:p>
    <w:p w:rsidR="00AE5E8D" w:rsidRPr="00392A4E" w:rsidRDefault="00AE5E8D" w:rsidP="00392A4E">
      <w:pPr>
        <w:pStyle w:val="Item"/>
      </w:pPr>
      <w:r w:rsidRPr="00392A4E">
        <w:t>Insert:</w:t>
      </w:r>
    </w:p>
    <w:p w:rsidR="00AE5E8D" w:rsidRPr="00392A4E" w:rsidRDefault="00AE5E8D" w:rsidP="00392A4E">
      <w:pPr>
        <w:pStyle w:val="subsection"/>
      </w:pPr>
      <w:r w:rsidRPr="00392A4E">
        <w:tab/>
        <w:t>(2A)</w:t>
      </w:r>
      <w:r w:rsidRPr="00392A4E">
        <w:tab/>
        <w:t>In addition, the ongoing policy requirements for an approved authority for the non</w:t>
      </w:r>
      <w:r w:rsidR="00B84F34">
        <w:noBreakHyphen/>
      </w:r>
      <w:r w:rsidRPr="00392A4E">
        <w:t xml:space="preserve">government schools for which the authority is approved </w:t>
      </w:r>
      <w:r w:rsidR="00BC7B9A" w:rsidRPr="00392A4E">
        <w:t>include</w:t>
      </w:r>
      <w:r w:rsidRPr="00392A4E">
        <w:t xml:space="preserve"> the following:</w:t>
      </w:r>
    </w:p>
    <w:p w:rsidR="00AE5E8D" w:rsidRPr="00392A4E" w:rsidRDefault="00AE5E8D" w:rsidP="00392A4E">
      <w:pPr>
        <w:pStyle w:val="paragraph"/>
      </w:pPr>
      <w:r w:rsidRPr="00392A4E">
        <w:tab/>
        <w:t>(a)</w:t>
      </w:r>
      <w:r w:rsidRPr="00392A4E">
        <w:tab/>
        <w:t>the approved authority cooperates with the States and Territories in which the schools are located in implementing:</w:t>
      </w:r>
    </w:p>
    <w:p w:rsidR="00AE5E8D" w:rsidRPr="00392A4E" w:rsidRDefault="00AE5E8D" w:rsidP="00392A4E">
      <w:pPr>
        <w:pStyle w:val="paragraphsub"/>
      </w:pPr>
      <w:r w:rsidRPr="00392A4E">
        <w:tab/>
        <w:t>(</w:t>
      </w:r>
      <w:proofErr w:type="spellStart"/>
      <w:r w:rsidRPr="00392A4E">
        <w:t>i</w:t>
      </w:r>
      <w:proofErr w:type="spellEnd"/>
      <w:r w:rsidRPr="00392A4E">
        <w:t>)</w:t>
      </w:r>
      <w:r w:rsidRPr="00392A4E">
        <w:tab/>
        <w:t>the national policy initiatives mentioned in subsection</w:t>
      </w:r>
      <w:r w:rsidR="00392A4E" w:rsidRPr="00392A4E">
        <w:t> </w:t>
      </w:r>
      <w:r w:rsidRPr="00392A4E">
        <w:t>22(1); and</w:t>
      </w:r>
    </w:p>
    <w:p w:rsidR="00AE5E8D" w:rsidRPr="00392A4E" w:rsidRDefault="00AE5E8D" w:rsidP="00392A4E">
      <w:pPr>
        <w:pStyle w:val="paragraphsub"/>
      </w:pPr>
      <w:r w:rsidRPr="00392A4E">
        <w:tab/>
        <w:t>(ii)</w:t>
      </w:r>
      <w:r w:rsidRPr="00392A4E">
        <w:tab/>
        <w:t>the agreements mentioned in paragraphs 22(2)(a) and (b); and</w:t>
      </w:r>
    </w:p>
    <w:p w:rsidR="00AE5E8D" w:rsidRPr="00392A4E" w:rsidRDefault="00AE5E8D" w:rsidP="00392A4E">
      <w:pPr>
        <w:pStyle w:val="paragraph"/>
      </w:pPr>
      <w:r w:rsidRPr="00392A4E">
        <w:tab/>
        <w:t>(b)</w:t>
      </w:r>
      <w:r w:rsidRPr="00392A4E">
        <w:tab/>
        <w:t>the approved authority implements</w:t>
      </w:r>
      <w:r w:rsidR="00BC7B9A" w:rsidRPr="00392A4E">
        <w:t xml:space="preserve"> </w:t>
      </w:r>
      <w:r w:rsidRPr="00392A4E">
        <w:t>policy initiatives in accordance with the regulations.</w:t>
      </w:r>
    </w:p>
    <w:p w:rsidR="00204841" w:rsidRPr="00392A4E" w:rsidRDefault="0080643A" w:rsidP="00392A4E">
      <w:pPr>
        <w:pStyle w:val="ItemHead"/>
      </w:pPr>
      <w:r w:rsidRPr="00392A4E">
        <w:t>86</w:t>
      </w:r>
      <w:r w:rsidR="00204841" w:rsidRPr="00392A4E">
        <w:t xml:space="preserve">  Paragraph 77(3)(d)</w:t>
      </w:r>
    </w:p>
    <w:p w:rsidR="00D37932" w:rsidRPr="00392A4E" w:rsidRDefault="00204841" w:rsidP="00392A4E">
      <w:pPr>
        <w:pStyle w:val="Item"/>
      </w:pPr>
      <w:r w:rsidRPr="00392A4E">
        <w:t>Repeal the paragraph.</w:t>
      </w:r>
    </w:p>
    <w:p w:rsidR="00364EED" w:rsidRPr="00392A4E" w:rsidRDefault="0080643A" w:rsidP="00392A4E">
      <w:pPr>
        <w:pStyle w:val="ItemHead"/>
      </w:pPr>
      <w:r w:rsidRPr="00392A4E">
        <w:t>87</w:t>
      </w:r>
      <w:r w:rsidR="00364EED" w:rsidRPr="00392A4E">
        <w:t xml:space="preserve">  Paragraph 78(2)(a)</w:t>
      </w:r>
    </w:p>
    <w:p w:rsidR="00364EED" w:rsidRPr="00392A4E" w:rsidRDefault="00364EED" w:rsidP="00392A4E">
      <w:pPr>
        <w:pStyle w:val="Item"/>
      </w:pPr>
      <w:r w:rsidRPr="00392A4E">
        <w:t>Omit “or 5 of Part</w:t>
      </w:r>
      <w:r w:rsidR="00392A4E" w:rsidRPr="00392A4E">
        <w:t> </w:t>
      </w:r>
      <w:r w:rsidRPr="00392A4E">
        <w:t>3 (recurrent funding for participating schools), Part</w:t>
      </w:r>
      <w:r w:rsidR="00392A4E" w:rsidRPr="00392A4E">
        <w:t> </w:t>
      </w:r>
      <w:r w:rsidRPr="00392A4E">
        <w:t>4 (recurrent funding for non</w:t>
      </w:r>
      <w:r w:rsidR="00B84F34">
        <w:noBreakHyphen/>
      </w:r>
      <w:r w:rsidRPr="00392A4E">
        <w:t>participating schools),”, substitute “</w:t>
      </w:r>
      <w:r w:rsidR="005F747A" w:rsidRPr="00392A4E">
        <w:t xml:space="preserve">of </w:t>
      </w:r>
      <w:r w:rsidRPr="00392A4E">
        <w:t>Part</w:t>
      </w:r>
      <w:r w:rsidR="00392A4E" w:rsidRPr="00392A4E">
        <w:t> </w:t>
      </w:r>
      <w:r w:rsidRPr="00392A4E">
        <w:t>3 (</w:t>
      </w:r>
      <w:r w:rsidR="003F2093" w:rsidRPr="00392A4E">
        <w:t>funding formula for schools</w:t>
      </w:r>
      <w:r w:rsidRPr="00392A4E">
        <w:t>)”.</w:t>
      </w:r>
    </w:p>
    <w:p w:rsidR="008C365C" w:rsidRPr="00392A4E" w:rsidRDefault="0080643A" w:rsidP="00392A4E">
      <w:pPr>
        <w:pStyle w:val="ItemHead"/>
      </w:pPr>
      <w:r w:rsidRPr="00392A4E">
        <w:t>88</w:t>
      </w:r>
      <w:r w:rsidR="008C365C" w:rsidRPr="00392A4E">
        <w:t xml:space="preserve">  Paragraph 78(2)(b)</w:t>
      </w:r>
    </w:p>
    <w:p w:rsidR="008C365C" w:rsidRPr="00392A4E" w:rsidRDefault="008C365C" w:rsidP="00392A4E">
      <w:pPr>
        <w:pStyle w:val="Item"/>
      </w:pPr>
      <w:r w:rsidRPr="00392A4E">
        <w:t>Omit “, and with any implementation plan required by Part</w:t>
      </w:r>
      <w:r w:rsidR="00392A4E" w:rsidRPr="00392A4E">
        <w:t> </w:t>
      </w:r>
      <w:r w:rsidRPr="00392A4E">
        <w:t>7”.</w:t>
      </w:r>
    </w:p>
    <w:p w:rsidR="005F747A" w:rsidRPr="00392A4E" w:rsidRDefault="0080643A" w:rsidP="00392A4E">
      <w:pPr>
        <w:pStyle w:val="ItemHead"/>
      </w:pPr>
      <w:r w:rsidRPr="00392A4E">
        <w:t>89</w:t>
      </w:r>
      <w:r w:rsidR="005F747A" w:rsidRPr="00392A4E">
        <w:t xml:space="preserve">  Subsection</w:t>
      </w:r>
      <w:r w:rsidR="00392A4E" w:rsidRPr="00392A4E">
        <w:t> </w:t>
      </w:r>
      <w:r w:rsidR="005F747A" w:rsidRPr="00392A4E">
        <w:t>78(3)</w:t>
      </w:r>
    </w:p>
    <w:p w:rsidR="005F747A" w:rsidRPr="00392A4E" w:rsidRDefault="005F747A" w:rsidP="00392A4E">
      <w:pPr>
        <w:pStyle w:val="Item"/>
      </w:pPr>
      <w:r w:rsidRPr="00392A4E">
        <w:t>Repeal the subsection, substitute:</w:t>
      </w:r>
    </w:p>
    <w:p w:rsidR="00B22736" w:rsidRPr="008C37E9" w:rsidRDefault="00B22736" w:rsidP="00B22736">
      <w:pPr>
        <w:pStyle w:val="subsection"/>
      </w:pPr>
      <w:r w:rsidRPr="008C37E9">
        <w:lastRenderedPageBreak/>
        <w:tab/>
        <w:t>(3)</w:t>
      </w:r>
      <w:r w:rsidRPr="008C37E9">
        <w:tab/>
        <w:t>An ongoing funding requirement for an approved authority for more than one school is to distribute all financial assistance received in accordance with Division 2 of Part 3 in accordance with a needs</w:t>
      </w:r>
      <w:r w:rsidR="00B84F34">
        <w:noBreakHyphen/>
      </w:r>
      <w:r w:rsidRPr="008C37E9">
        <w:t>based funding arrangement determined by the approved authority that complies with subsection (4) or (5).</w:t>
      </w:r>
    </w:p>
    <w:p w:rsidR="00B22736" w:rsidRPr="008C37E9" w:rsidRDefault="00B22736" w:rsidP="00B22736">
      <w:pPr>
        <w:pStyle w:val="SubsectionHead"/>
      </w:pPr>
      <w:r w:rsidRPr="008C37E9">
        <w:t>Funding arrangement based on Division 2 of Part 3</w:t>
      </w:r>
    </w:p>
    <w:p w:rsidR="00B22736" w:rsidRPr="008C37E9" w:rsidRDefault="00B22736" w:rsidP="00B22736">
      <w:pPr>
        <w:pStyle w:val="subsection"/>
      </w:pPr>
      <w:r w:rsidRPr="008C37E9">
        <w:tab/>
        <w:t>(4)</w:t>
      </w:r>
      <w:r w:rsidRPr="008C37E9">
        <w:tab/>
        <w:t>A needs</w:t>
      </w:r>
      <w:r w:rsidR="00B84F34">
        <w:noBreakHyphen/>
      </w:r>
      <w:r w:rsidRPr="008C37E9">
        <w:t>based funding arrangement that complies with this subsection distributes to each school for which the authority is approved the amount of financial assistance worked out for the school under Division 2 of Part 3.</w:t>
      </w:r>
    </w:p>
    <w:p w:rsidR="00B22736" w:rsidRPr="008C37E9" w:rsidRDefault="00B22736" w:rsidP="00B22736">
      <w:pPr>
        <w:pStyle w:val="SubsectionHead"/>
      </w:pPr>
      <w:r w:rsidRPr="008C37E9">
        <w:t>Funding arrangement based on other factors</w:t>
      </w:r>
    </w:p>
    <w:p w:rsidR="00B22736" w:rsidRPr="008C37E9" w:rsidRDefault="00B22736" w:rsidP="00B22736">
      <w:pPr>
        <w:pStyle w:val="subsection"/>
      </w:pPr>
      <w:r w:rsidRPr="008C37E9">
        <w:tab/>
        <w:t>(5)</w:t>
      </w:r>
      <w:r w:rsidRPr="008C37E9">
        <w:tab/>
        <w:t>A needs</w:t>
      </w:r>
      <w:r w:rsidR="00B84F34">
        <w:noBreakHyphen/>
      </w:r>
      <w:r w:rsidRPr="008C37E9">
        <w:t>based funding arrangement that complies with this subsection:</w:t>
      </w:r>
    </w:p>
    <w:p w:rsidR="00B22736" w:rsidRPr="008C37E9" w:rsidRDefault="00B22736" w:rsidP="00B22736">
      <w:pPr>
        <w:pStyle w:val="paragraph"/>
      </w:pPr>
      <w:r w:rsidRPr="008C37E9">
        <w:tab/>
        <w:t>(a)</w:t>
      </w:r>
      <w:r w:rsidRPr="008C37E9">
        <w:tab/>
        <w:t>provides an amount per student that:</w:t>
      </w:r>
    </w:p>
    <w:p w:rsidR="00B22736" w:rsidRPr="008C37E9" w:rsidRDefault="00B22736" w:rsidP="00B22736">
      <w:pPr>
        <w:pStyle w:val="paragraphsub"/>
      </w:pPr>
      <w:r w:rsidRPr="008C37E9">
        <w:tab/>
        <w:t>(</w:t>
      </w:r>
      <w:proofErr w:type="spellStart"/>
      <w:r w:rsidRPr="008C37E9">
        <w:t>i</w:t>
      </w:r>
      <w:proofErr w:type="spellEnd"/>
      <w:r w:rsidRPr="008C37E9">
        <w:t>)</w:t>
      </w:r>
      <w:r w:rsidRPr="008C37E9">
        <w:tab/>
        <w:t>represents the recurrent resources required to support a student with minimal educational disadvantage to achieve expected educational outcomes; and</w:t>
      </w:r>
    </w:p>
    <w:p w:rsidR="00B22736" w:rsidRPr="008C37E9" w:rsidRDefault="00B22736" w:rsidP="00B22736">
      <w:pPr>
        <w:pStyle w:val="paragraphsub"/>
      </w:pPr>
      <w:r w:rsidRPr="008C37E9">
        <w:tab/>
        <w:t>(ii)</w:t>
      </w:r>
      <w:r w:rsidRPr="008C37E9">
        <w:tab/>
        <w:t>takes account of efficiencies that can be realised while improving educational outcomes; and</w:t>
      </w:r>
    </w:p>
    <w:p w:rsidR="00B22736" w:rsidRPr="008C37E9" w:rsidRDefault="00B22736" w:rsidP="00B22736">
      <w:pPr>
        <w:pStyle w:val="paragraph"/>
      </w:pPr>
      <w:r w:rsidRPr="008C37E9">
        <w:tab/>
        <w:t>(b)</w:t>
      </w:r>
      <w:r w:rsidRPr="008C37E9">
        <w:tab/>
        <w:t>in addition to the amount per student mentioned in paragraph (a), provides loadings to students and schools with additional needs in order to support student achievement, including loadings for the following:</w:t>
      </w:r>
    </w:p>
    <w:p w:rsidR="00B22736" w:rsidRPr="008C37E9" w:rsidRDefault="00B22736" w:rsidP="00B22736">
      <w:pPr>
        <w:pStyle w:val="paragraphsub"/>
      </w:pPr>
      <w:r w:rsidRPr="008C37E9">
        <w:tab/>
        <w:t>(</w:t>
      </w:r>
      <w:proofErr w:type="spellStart"/>
      <w:r w:rsidRPr="008C37E9">
        <w:t>i</w:t>
      </w:r>
      <w:proofErr w:type="spellEnd"/>
      <w:r w:rsidRPr="008C37E9">
        <w:t>)</w:t>
      </w:r>
      <w:r w:rsidRPr="008C37E9">
        <w:tab/>
        <w:t>students with disability;</w:t>
      </w:r>
    </w:p>
    <w:p w:rsidR="00B22736" w:rsidRPr="008C37E9" w:rsidRDefault="00B22736" w:rsidP="00B22736">
      <w:pPr>
        <w:pStyle w:val="paragraphsub"/>
      </w:pPr>
      <w:r w:rsidRPr="008C37E9">
        <w:tab/>
        <w:t>(ii)</w:t>
      </w:r>
      <w:r w:rsidRPr="008C37E9">
        <w:tab/>
        <w:t>Aboriginal and Torres Strait Islander students;</w:t>
      </w:r>
    </w:p>
    <w:p w:rsidR="00B22736" w:rsidRPr="008C37E9" w:rsidRDefault="00B22736" w:rsidP="00B22736">
      <w:pPr>
        <w:pStyle w:val="paragraphsub"/>
      </w:pPr>
      <w:r w:rsidRPr="008C37E9">
        <w:tab/>
        <w:t>(iii)</w:t>
      </w:r>
      <w:r w:rsidRPr="008C37E9">
        <w:tab/>
        <w:t>students with socio</w:t>
      </w:r>
      <w:r w:rsidR="00B84F34">
        <w:noBreakHyphen/>
      </w:r>
      <w:r w:rsidRPr="008C37E9">
        <w:t>educational disadvantage;</w:t>
      </w:r>
    </w:p>
    <w:p w:rsidR="00B22736" w:rsidRPr="008C37E9" w:rsidRDefault="00B22736" w:rsidP="00B22736">
      <w:pPr>
        <w:pStyle w:val="paragraphsub"/>
      </w:pPr>
      <w:r w:rsidRPr="008C37E9">
        <w:tab/>
        <w:t>(iv)</w:t>
      </w:r>
      <w:r w:rsidRPr="008C37E9">
        <w:tab/>
        <w:t>students who have low English proficiency;</w:t>
      </w:r>
    </w:p>
    <w:p w:rsidR="00B22736" w:rsidRPr="008C37E9" w:rsidRDefault="00B22736" w:rsidP="00B22736">
      <w:pPr>
        <w:pStyle w:val="paragraphsub"/>
      </w:pPr>
      <w:r w:rsidRPr="008C37E9">
        <w:tab/>
        <w:t>(v)</w:t>
      </w:r>
      <w:r w:rsidRPr="008C37E9">
        <w:tab/>
        <w:t>schools based on location;</w:t>
      </w:r>
    </w:p>
    <w:p w:rsidR="00B22736" w:rsidRPr="008C37E9" w:rsidRDefault="00B22736" w:rsidP="00B22736">
      <w:pPr>
        <w:pStyle w:val="paragraphsub"/>
      </w:pPr>
      <w:r w:rsidRPr="008C37E9">
        <w:tab/>
        <w:t>(vi)</w:t>
      </w:r>
      <w:r w:rsidRPr="008C37E9">
        <w:tab/>
        <w:t>schools based on size; and</w:t>
      </w:r>
    </w:p>
    <w:p w:rsidR="00B22736" w:rsidRPr="008C37E9" w:rsidRDefault="00B22736" w:rsidP="00B22736">
      <w:pPr>
        <w:pStyle w:val="paragraph"/>
      </w:pPr>
      <w:r w:rsidRPr="008C37E9">
        <w:tab/>
        <w:t>(c)</w:t>
      </w:r>
      <w:r w:rsidRPr="008C37E9">
        <w:tab/>
        <w:t>is publicly available and transparent.</w:t>
      </w:r>
    </w:p>
    <w:p w:rsidR="00B22736" w:rsidRPr="008C37E9" w:rsidRDefault="00B22736" w:rsidP="00B22736">
      <w:pPr>
        <w:pStyle w:val="subsection"/>
      </w:pPr>
      <w:r w:rsidRPr="008C37E9">
        <w:tab/>
        <w:t>(6)</w:t>
      </w:r>
      <w:r w:rsidRPr="008C37E9">
        <w:tab/>
        <w:t xml:space="preserve">An approved authority that distributes financial assistance in accordance with subsection (5) is an </w:t>
      </w:r>
      <w:r w:rsidRPr="008C37E9">
        <w:rPr>
          <w:b/>
          <w:i/>
        </w:rPr>
        <w:t>approved system authority</w:t>
      </w:r>
      <w:r w:rsidRPr="008C37E9">
        <w:t>.</w:t>
      </w:r>
    </w:p>
    <w:p w:rsidR="00F576B2" w:rsidRPr="00392A4E" w:rsidRDefault="0080643A" w:rsidP="00392A4E">
      <w:pPr>
        <w:pStyle w:val="ItemHead"/>
      </w:pPr>
      <w:r w:rsidRPr="00392A4E">
        <w:t>90</w:t>
      </w:r>
      <w:r w:rsidR="00F576B2" w:rsidRPr="00392A4E">
        <w:t xml:space="preserve">  Paragraph 81(1)(d)</w:t>
      </w:r>
    </w:p>
    <w:p w:rsidR="00F576B2" w:rsidRPr="00392A4E" w:rsidRDefault="00F576B2" w:rsidP="00392A4E">
      <w:pPr>
        <w:pStyle w:val="Item"/>
      </w:pPr>
      <w:r w:rsidRPr="00392A4E">
        <w:t>After “section</w:t>
      </w:r>
      <w:r w:rsidR="00392A4E" w:rsidRPr="00392A4E">
        <w:t> </w:t>
      </w:r>
      <w:r w:rsidRPr="00392A4E">
        <w:t>22”, insert “, 22A”.</w:t>
      </w:r>
    </w:p>
    <w:p w:rsidR="00204841" w:rsidRPr="00392A4E" w:rsidRDefault="0080643A" w:rsidP="00392A4E">
      <w:pPr>
        <w:pStyle w:val="ItemHead"/>
      </w:pPr>
      <w:r w:rsidRPr="00392A4E">
        <w:lastRenderedPageBreak/>
        <w:t>91</w:t>
      </w:r>
      <w:r w:rsidR="00204841" w:rsidRPr="00392A4E">
        <w:t xml:space="preserve">  Subsection</w:t>
      </w:r>
      <w:r w:rsidR="00392A4E" w:rsidRPr="00392A4E">
        <w:t> </w:t>
      </w:r>
      <w:r w:rsidR="00204841" w:rsidRPr="00392A4E">
        <w:t>81(6)</w:t>
      </w:r>
    </w:p>
    <w:p w:rsidR="00204841" w:rsidRPr="00392A4E" w:rsidRDefault="00204841" w:rsidP="00392A4E">
      <w:pPr>
        <w:pStyle w:val="Item"/>
      </w:pPr>
      <w:r w:rsidRPr="00392A4E">
        <w:t>Repeal the subsection.</w:t>
      </w:r>
    </w:p>
    <w:p w:rsidR="008C365C" w:rsidRPr="00392A4E" w:rsidRDefault="0080643A" w:rsidP="00392A4E">
      <w:pPr>
        <w:pStyle w:val="ItemHead"/>
      </w:pPr>
      <w:r w:rsidRPr="00392A4E">
        <w:t>92</w:t>
      </w:r>
      <w:r w:rsidR="008C365C" w:rsidRPr="00392A4E">
        <w:t xml:space="preserve">  Part</w:t>
      </w:r>
      <w:r w:rsidR="00392A4E" w:rsidRPr="00392A4E">
        <w:t> </w:t>
      </w:r>
      <w:r w:rsidR="008C365C" w:rsidRPr="00392A4E">
        <w:t>7</w:t>
      </w:r>
    </w:p>
    <w:p w:rsidR="008C365C" w:rsidRPr="00392A4E" w:rsidRDefault="008C365C" w:rsidP="00392A4E">
      <w:pPr>
        <w:pStyle w:val="Item"/>
      </w:pPr>
      <w:r w:rsidRPr="00392A4E">
        <w:t>Repeal the Part.</w:t>
      </w:r>
    </w:p>
    <w:p w:rsidR="00A55683" w:rsidRPr="00392A4E" w:rsidRDefault="0080643A" w:rsidP="00392A4E">
      <w:pPr>
        <w:pStyle w:val="ItemHead"/>
      </w:pPr>
      <w:r w:rsidRPr="00392A4E">
        <w:t>93</w:t>
      </w:r>
      <w:r w:rsidR="00A55683" w:rsidRPr="00392A4E">
        <w:t xml:space="preserve">  Paragraph 108(a)</w:t>
      </w:r>
    </w:p>
    <w:p w:rsidR="00A55683" w:rsidRPr="00392A4E" w:rsidRDefault="00A55683" w:rsidP="00392A4E">
      <w:pPr>
        <w:pStyle w:val="Item"/>
      </w:pPr>
      <w:r w:rsidRPr="00392A4E">
        <w:t>After “section</w:t>
      </w:r>
      <w:r w:rsidR="00392A4E" w:rsidRPr="00392A4E">
        <w:t> </w:t>
      </w:r>
      <w:r w:rsidRPr="00392A4E">
        <w:t>22”, insert “or 22A”.</w:t>
      </w:r>
    </w:p>
    <w:p w:rsidR="00364EED" w:rsidRPr="00392A4E" w:rsidRDefault="0080643A" w:rsidP="00392A4E">
      <w:pPr>
        <w:pStyle w:val="ItemHead"/>
      </w:pPr>
      <w:r w:rsidRPr="00392A4E">
        <w:t>94</w:t>
      </w:r>
      <w:r w:rsidR="00120C8B" w:rsidRPr="00392A4E">
        <w:t xml:space="preserve">  Paragraph 110(2)(b)</w:t>
      </w:r>
    </w:p>
    <w:p w:rsidR="00364EED" w:rsidRPr="00392A4E" w:rsidRDefault="00364EED" w:rsidP="00392A4E">
      <w:pPr>
        <w:pStyle w:val="Item"/>
      </w:pPr>
      <w:r w:rsidRPr="00392A4E">
        <w:t>Repeal the paragraph.</w:t>
      </w:r>
    </w:p>
    <w:p w:rsidR="00120C8B" w:rsidRPr="00392A4E" w:rsidRDefault="0080643A" w:rsidP="00392A4E">
      <w:pPr>
        <w:pStyle w:val="ItemHead"/>
      </w:pPr>
      <w:r w:rsidRPr="00392A4E">
        <w:t>95</w:t>
      </w:r>
      <w:r w:rsidR="00120C8B" w:rsidRPr="00392A4E">
        <w:t xml:space="preserve">  Subsection</w:t>
      </w:r>
      <w:r w:rsidR="00392A4E" w:rsidRPr="00392A4E">
        <w:t> </w:t>
      </w:r>
      <w:r w:rsidR="00120C8B" w:rsidRPr="00392A4E">
        <w:t>110(4)</w:t>
      </w:r>
    </w:p>
    <w:p w:rsidR="00120C8B" w:rsidRPr="00392A4E" w:rsidRDefault="00120C8B" w:rsidP="00392A4E">
      <w:pPr>
        <w:pStyle w:val="Item"/>
      </w:pPr>
      <w:r w:rsidRPr="00392A4E">
        <w:t>Repeal the subsection.</w:t>
      </w:r>
    </w:p>
    <w:p w:rsidR="00120C8B" w:rsidRPr="00392A4E" w:rsidRDefault="0080643A" w:rsidP="00392A4E">
      <w:pPr>
        <w:pStyle w:val="ItemHead"/>
      </w:pPr>
      <w:r w:rsidRPr="00392A4E">
        <w:t>96</w:t>
      </w:r>
      <w:r w:rsidR="00120C8B" w:rsidRPr="00392A4E">
        <w:t xml:space="preserve">  Paragraph 111(2)(b)</w:t>
      </w:r>
    </w:p>
    <w:p w:rsidR="00120C8B" w:rsidRPr="00392A4E" w:rsidRDefault="00120C8B" w:rsidP="00392A4E">
      <w:pPr>
        <w:pStyle w:val="Item"/>
      </w:pPr>
      <w:r w:rsidRPr="00392A4E">
        <w:t>Repeal the paragraph.</w:t>
      </w:r>
    </w:p>
    <w:p w:rsidR="00364EED" w:rsidRPr="00392A4E" w:rsidRDefault="0080643A" w:rsidP="00392A4E">
      <w:pPr>
        <w:pStyle w:val="ItemHead"/>
      </w:pPr>
      <w:r w:rsidRPr="00392A4E">
        <w:t>97</w:t>
      </w:r>
      <w:r w:rsidR="00364EED" w:rsidRPr="00392A4E">
        <w:t xml:space="preserve">  Paragraph 111(3)(a)</w:t>
      </w:r>
    </w:p>
    <w:p w:rsidR="00364EED" w:rsidRPr="00392A4E" w:rsidRDefault="00364EED" w:rsidP="00392A4E">
      <w:pPr>
        <w:pStyle w:val="Item"/>
      </w:pPr>
      <w:r w:rsidRPr="00392A4E">
        <w:t>Omit “</w:t>
      </w:r>
      <w:r w:rsidR="003F2093" w:rsidRPr="00392A4E">
        <w:t>recurrent funding for participating schools</w:t>
      </w:r>
      <w:r w:rsidRPr="00392A4E">
        <w:t>”</w:t>
      </w:r>
      <w:r w:rsidR="003F2093" w:rsidRPr="00392A4E">
        <w:t>, substitute “funding formula for schools”</w:t>
      </w:r>
      <w:r w:rsidRPr="00392A4E">
        <w:t>.</w:t>
      </w:r>
    </w:p>
    <w:p w:rsidR="00364EED" w:rsidRPr="00392A4E" w:rsidRDefault="0080643A" w:rsidP="00392A4E">
      <w:pPr>
        <w:pStyle w:val="ItemHead"/>
      </w:pPr>
      <w:r w:rsidRPr="00392A4E">
        <w:t>98</w:t>
      </w:r>
      <w:r w:rsidR="00364EED" w:rsidRPr="00392A4E">
        <w:t xml:space="preserve">  Paragraphs 111(3)(b) and (c)</w:t>
      </w:r>
    </w:p>
    <w:p w:rsidR="00364EED" w:rsidRPr="00392A4E" w:rsidRDefault="00364EED" w:rsidP="00392A4E">
      <w:pPr>
        <w:pStyle w:val="Item"/>
      </w:pPr>
      <w:r w:rsidRPr="00392A4E">
        <w:t>Repeal the paragraphs.</w:t>
      </w:r>
    </w:p>
    <w:p w:rsidR="00364EED" w:rsidRPr="00392A4E" w:rsidRDefault="0080643A" w:rsidP="00392A4E">
      <w:pPr>
        <w:pStyle w:val="ItemHead"/>
      </w:pPr>
      <w:r w:rsidRPr="00392A4E">
        <w:t>99</w:t>
      </w:r>
      <w:r w:rsidR="00364EED" w:rsidRPr="00392A4E">
        <w:t xml:space="preserve">  Subsection</w:t>
      </w:r>
      <w:r w:rsidR="00392A4E" w:rsidRPr="00392A4E">
        <w:t> </w:t>
      </w:r>
      <w:r w:rsidR="00364EED" w:rsidRPr="00392A4E">
        <w:t>118(1) (table item</w:t>
      </w:r>
      <w:r w:rsidR="00392A4E" w:rsidRPr="00392A4E">
        <w:t> </w:t>
      </w:r>
      <w:r w:rsidR="00364EED" w:rsidRPr="00392A4E">
        <w:t>3A)</w:t>
      </w:r>
    </w:p>
    <w:p w:rsidR="00364EED" w:rsidRPr="00392A4E" w:rsidRDefault="00364EED" w:rsidP="00392A4E">
      <w:pPr>
        <w:pStyle w:val="Item"/>
      </w:pPr>
      <w:r w:rsidRPr="00392A4E">
        <w:t>Repeal the item.</w:t>
      </w:r>
    </w:p>
    <w:p w:rsidR="008C365C" w:rsidRPr="00392A4E" w:rsidRDefault="0080643A" w:rsidP="00392A4E">
      <w:pPr>
        <w:pStyle w:val="ItemHead"/>
      </w:pPr>
      <w:r w:rsidRPr="00392A4E">
        <w:t>100</w:t>
      </w:r>
      <w:r w:rsidR="008C365C" w:rsidRPr="00392A4E">
        <w:t xml:space="preserve">  Subsection</w:t>
      </w:r>
      <w:r w:rsidR="00392A4E" w:rsidRPr="00392A4E">
        <w:t> </w:t>
      </w:r>
      <w:r w:rsidR="008C365C" w:rsidRPr="00392A4E">
        <w:t>118(1) (table item</w:t>
      </w:r>
      <w:r w:rsidR="00392A4E" w:rsidRPr="00392A4E">
        <w:t> </w:t>
      </w:r>
      <w:r w:rsidR="008C365C" w:rsidRPr="00392A4E">
        <w:t>24)</w:t>
      </w:r>
    </w:p>
    <w:p w:rsidR="008C365C" w:rsidRPr="00392A4E" w:rsidRDefault="008C365C" w:rsidP="00392A4E">
      <w:pPr>
        <w:pStyle w:val="Item"/>
      </w:pPr>
      <w:r w:rsidRPr="00392A4E">
        <w:t>Repeal the item.</w:t>
      </w:r>
    </w:p>
    <w:p w:rsidR="00364EED" w:rsidRPr="00392A4E" w:rsidRDefault="0080643A" w:rsidP="00392A4E">
      <w:pPr>
        <w:pStyle w:val="ItemHead"/>
      </w:pPr>
      <w:r w:rsidRPr="00392A4E">
        <w:t>101</w:t>
      </w:r>
      <w:r w:rsidR="00364EED" w:rsidRPr="00392A4E">
        <w:t xml:space="preserve">  Subsection</w:t>
      </w:r>
      <w:r w:rsidR="00392A4E" w:rsidRPr="00392A4E">
        <w:t> </w:t>
      </w:r>
      <w:r w:rsidR="00364EED" w:rsidRPr="00392A4E">
        <w:t>122(2)</w:t>
      </w:r>
    </w:p>
    <w:p w:rsidR="00364EED" w:rsidRPr="00392A4E" w:rsidRDefault="00364EED" w:rsidP="00392A4E">
      <w:pPr>
        <w:pStyle w:val="Item"/>
      </w:pPr>
      <w:r w:rsidRPr="00392A4E">
        <w:t>Repeal the subsection.</w:t>
      </w:r>
    </w:p>
    <w:p w:rsidR="003F2093" w:rsidRPr="00392A4E" w:rsidRDefault="0080643A" w:rsidP="00392A4E">
      <w:pPr>
        <w:pStyle w:val="ItemHead"/>
      </w:pPr>
      <w:r w:rsidRPr="00392A4E">
        <w:t>102</w:t>
      </w:r>
      <w:r w:rsidR="003F2093" w:rsidRPr="00392A4E">
        <w:t xml:space="preserve">  Paragraph 126(a)</w:t>
      </w:r>
    </w:p>
    <w:p w:rsidR="003F2093" w:rsidRPr="00392A4E" w:rsidRDefault="003F2093" w:rsidP="00392A4E">
      <w:pPr>
        <w:pStyle w:val="Item"/>
      </w:pPr>
      <w:r w:rsidRPr="00392A4E">
        <w:t>Omit “recurrent funding for schools”, substitute “timing and amounts of recurrent funding”.</w:t>
      </w:r>
    </w:p>
    <w:p w:rsidR="00A85911" w:rsidRPr="00392A4E" w:rsidRDefault="0080643A" w:rsidP="00392A4E">
      <w:pPr>
        <w:pStyle w:val="ItemHead"/>
      </w:pPr>
      <w:r w:rsidRPr="00392A4E">
        <w:lastRenderedPageBreak/>
        <w:t>103</w:t>
      </w:r>
      <w:r w:rsidR="00A85911" w:rsidRPr="00392A4E">
        <w:t xml:space="preserve">  Paragraphs 127(a) and (b)</w:t>
      </w:r>
    </w:p>
    <w:p w:rsidR="00A85911" w:rsidRPr="00392A4E" w:rsidRDefault="00A85911" w:rsidP="00392A4E">
      <w:pPr>
        <w:pStyle w:val="Item"/>
      </w:pPr>
      <w:r w:rsidRPr="00392A4E">
        <w:t xml:space="preserve">After “paid”, insert </w:t>
      </w:r>
      <w:r w:rsidR="007B6418" w:rsidRPr="008C37E9">
        <w:t>“to an approved authority”</w:t>
      </w:r>
      <w:r w:rsidRPr="00392A4E">
        <w:t>.</w:t>
      </w:r>
    </w:p>
    <w:p w:rsidR="00A85911" w:rsidRPr="00392A4E" w:rsidRDefault="0080643A" w:rsidP="00392A4E">
      <w:pPr>
        <w:pStyle w:val="ItemHead"/>
      </w:pPr>
      <w:r w:rsidRPr="00392A4E">
        <w:t>104</w:t>
      </w:r>
      <w:r w:rsidR="00A85911" w:rsidRPr="00392A4E">
        <w:t xml:space="preserve">  Subparagraph 127(c)(iv)</w:t>
      </w:r>
    </w:p>
    <w:p w:rsidR="00A85911" w:rsidRPr="00392A4E" w:rsidRDefault="00A85911" w:rsidP="00392A4E">
      <w:pPr>
        <w:pStyle w:val="Item"/>
      </w:pPr>
      <w:r w:rsidRPr="00392A4E">
        <w:t>Repeal the subparagraph.</w:t>
      </w:r>
    </w:p>
    <w:p w:rsidR="00A85911" w:rsidRPr="00392A4E" w:rsidRDefault="0080643A" w:rsidP="00392A4E">
      <w:pPr>
        <w:pStyle w:val="ItemHead"/>
      </w:pPr>
      <w:r w:rsidRPr="00392A4E">
        <w:t>105</w:t>
      </w:r>
      <w:r w:rsidR="00A85911" w:rsidRPr="00392A4E">
        <w:t xml:space="preserve">  At the end of section</w:t>
      </w:r>
      <w:r w:rsidR="00392A4E" w:rsidRPr="00392A4E">
        <w:t> </w:t>
      </w:r>
      <w:r w:rsidR="00A85911" w:rsidRPr="00392A4E">
        <w:t>127</w:t>
      </w:r>
    </w:p>
    <w:p w:rsidR="00A85911" w:rsidRPr="00392A4E" w:rsidRDefault="00A85911" w:rsidP="00392A4E">
      <w:pPr>
        <w:pStyle w:val="Item"/>
      </w:pPr>
      <w:r w:rsidRPr="00392A4E">
        <w:t>Add:</w:t>
      </w:r>
    </w:p>
    <w:p w:rsidR="00A85911" w:rsidRPr="00392A4E" w:rsidRDefault="00A85911" w:rsidP="00392A4E">
      <w:pPr>
        <w:pStyle w:val="paragraph"/>
      </w:pPr>
      <w:r w:rsidRPr="00392A4E">
        <w:tab/>
        <w:t>(d)</w:t>
      </w:r>
      <w:r w:rsidRPr="00392A4E">
        <w:tab/>
        <w:t>any other matter prescribed by the regulations.</w:t>
      </w:r>
    </w:p>
    <w:p w:rsidR="007B6418" w:rsidRPr="008C37E9" w:rsidRDefault="007B6418" w:rsidP="007B6418">
      <w:pPr>
        <w:pStyle w:val="ItemHead"/>
      </w:pPr>
      <w:r w:rsidRPr="008C37E9">
        <w:t>106  Section 128</w:t>
      </w:r>
    </w:p>
    <w:p w:rsidR="007B6418" w:rsidRPr="008C37E9" w:rsidRDefault="007B6418" w:rsidP="007B6418">
      <w:pPr>
        <w:pStyle w:val="Item"/>
      </w:pPr>
      <w:r w:rsidRPr="008C37E9">
        <w:t>Repeal the section, substitute:</w:t>
      </w:r>
    </w:p>
    <w:p w:rsidR="007B6418" w:rsidRPr="008C37E9" w:rsidRDefault="007B6418" w:rsidP="007B6418">
      <w:pPr>
        <w:pStyle w:val="ActHead5"/>
      </w:pPr>
      <w:bookmarkStart w:id="39" w:name="_Toc486412759"/>
      <w:r w:rsidRPr="008C37E9">
        <w:rPr>
          <w:rStyle w:val="CharSectno"/>
        </w:rPr>
        <w:t>128</w:t>
      </w:r>
      <w:r w:rsidRPr="008C37E9">
        <w:t xml:space="preserve">  Independent reviews of arrangements and requirements relating to funding</w:t>
      </w:r>
      <w:bookmarkEnd w:id="39"/>
    </w:p>
    <w:p w:rsidR="007B6418" w:rsidRPr="0057120A" w:rsidRDefault="007B6418" w:rsidP="007B6418">
      <w:pPr>
        <w:pStyle w:val="subsection"/>
      </w:pPr>
      <w:r w:rsidRPr="0057120A">
        <w:tab/>
        <w:t>(1)</w:t>
      </w:r>
      <w:r w:rsidRPr="0057120A">
        <w:tab/>
        <w:t xml:space="preserve">Independent reviews of the operation of this Act, and in particular of arrangements and requirements relating to funding for schools, are to be conducted by a review board (the </w:t>
      </w:r>
      <w:r w:rsidRPr="0057120A">
        <w:rPr>
          <w:b/>
          <w:i/>
        </w:rPr>
        <w:t>National School Resourcing Board</w:t>
      </w:r>
      <w:r w:rsidRPr="0057120A">
        <w:t>):</w:t>
      </w:r>
    </w:p>
    <w:p w:rsidR="007B6418" w:rsidRPr="0057120A" w:rsidRDefault="007B6418" w:rsidP="007B6418">
      <w:pPr>
        <w:pStyle w:val="paragraph"/>
      </w:pPr>
      <w:r w:rsidRPr="0057120A">
        <w:tab/>
        <w:t>(a)</w:t>
      </w:r>
      <w:r w:rsidRPr="0057120A">
        <w:tab/>
        <w:t>on request by the Minister; or</w:t>
      </w:r>
    </w:p>
    <w:p w:rsidR="007B6418" w:rsidRPr="0057120A" w:rsidRDefault="007B6418" w:rsidP="007B6418">
      <w:pPr>
        <w:pStyle w:val="paragraph"/>
      </w:pPr>
      <w:r w:rsidRPr="0057120A">
        <w:tab/>
        <w:t>(b)</w:t>
      </w:r>
      <w:r w:rsidRPr="0057120A">
        <w:tab/>
        <w:t>on its own initiative.</w:t>
      </w:r>
    </w:p>
    <w:p w:rsidR="007B6418" w:rsidRPr="0057120A" w:rsidRDefault="007B6418" w:rsidP="007B6418">
      <w:pPr>
        <w:pStyle w:val="SubsectionHead"/>
      </w:pPr>
      <w:r w:rsidRPr="0057120A">
        <w:t>Review boards</w:t>
      </w:r>
    </w:p>
    <w:p w:rsidR="007B6418" w:rsidRPr="0057120A" w:rsidRDefault="007B6418" w:rsidP="007B6418">
      <w:pPr>
        <w:pStyle w:val="subsection"/>
      </w:pPr>
      <w:r w:rsidRPr="0057120A">
        <w:tab/>
        <w:t>(2)</w:t>
      </w:r>
      <w:r w:rsidRPr="0057120A">
        <w:tab/>
        <w:t>A review board must consist of at least 6, but no more than 9, members who:</w:t>
      </w:r>
    </w:p>
    <w:p w:rsidR="007B6418" w:rsidRPr="0057120A" w:rsidRDefault="007B6418" w:rsidP="007B6418">
      <w:pPr>
        <w:pStyle w:val="paragraph"/>
      </w:pPr>
      <w:r w:rsidRPr="0057120A">
        <w:tab/>
        <w:t>(a)</w:t>
      </w:r>
      <w:r w:rsidRPr="0057120A">
        <w:tab/>
        <w:t>are appointed by the Minister; and</w:t>
      </w:r>
    </w:p>
    <w:p w:rsidR="007B6418" w:rsidRPr="0057120A" w:rsidRDefault="007B6418" w:rsidP="007B6418">
      <w:pPr>
        <w:pStyle w:val="paragraph"/>
      </w:pPr>
      <w:r w:rsidRPr="0057120A">
        <w:tab/>
        <w:t>(b)</w:t>
      </w:r>
      <w:r w:rsidRPr="0057120A">
        <w:tab/>
        <w:t>in the opinion of the Minister, have suitable experience and expertise in the matters to be addressed by the review.</w:t>
      </w:r>
    </w:p>
    <w:p w:rsidR="007B6418" w:rsidRPr="008C37E9" w:rsidRDefault="007B6418" w:rsidP="007B6418">
      <w:pPr>
        <w:pStyle w:val="subsection"/>
      </w:pPr>
      <w:r w:rsidRPr="008C37E9">
        <w:tab/>
        <w:t>(3)</w:t>
      </w:r>
      <w:r w:rsidRPr="008C37E9">
        <w:tab/>
        <w:t>In appointing members, the Minister must consult with the following:</w:t>
      </w:r>
    </w:p>
    <w:p w:rsidR="007B6418" w:rsidRPr="008C37E9" w:rsidRDefault="007B6418" w:rsidP="007B6418">
      <w:pPr>
        <w:pStyle w:val="paragraph"/>
      </w:pPr>
      <w:r w:rsidRPr="008C37E9">
        <w:tab/>
        <w:t>(a)</w:t>
      </w:r>
      <w:r w:rsidRPr="008C37E9">
        <w:tab/>
        <w:t>the Ministerial Council;</w:t>
      </w:r>
    </w:p>
    <w:p w:rsidR="007B6418" w:rsidRPr="008C37E9" w:rsidRDefault="007B6418" w:rsidP="007B6418">
      <w:pPr>
        <w:pStyle w:val="paragraph"/>
      </w:pPr>
      <w:r w:rsidRPr="008C37E9">
        <w:tab/>
        <w:t>(b)</w:t>
      </w:r>
      <w:r w:rsidRPr="008C37E9">
        <w:tab/>
        <w:t>the national representative body for Catholic systemic schools;</w:t>
      </w:r>
    </w:p>
    <w:p w:rsidR="007B6418" w:rsidRPr="008C37E9" w:rsidRDefault="007B6418" w:rsidP="007B6418">
      <w:pPr>
        <w:pStyle w:val="paragraph"/>
      </w:pPr>
      <w:r w:rsidRPr="008C37E9">
        <w:tab/>
        <w:t>(c)</w:t>
      </w:r>
      <w:r w:rsidRPr="008C37E9">
        <w:tab/>
        <w:t>the national representative body for independent schools.</w:t>
      </w:r>
    </w:p>
    <w:p w:rsidR="007B6418" w:rsidRPr="008C37E9" w:rsidRDefault="007B6418" w:rsidP="007B6418">
      <w:pPr>
        <w:pStyle w:val="subsection"/>
      </w:pPr>
      <w:r w:rsidRPr="008C37E9">
        <w:tab/>
        <w:t>(4)</w:t>
      </w:r>
      <w:r w:rsidRPr="008C37E9">
        <w:tab/>
        <w:t>A review board must include members nominated by the bodies mentioned in paragraphs (3)(a) to (c).</w:t>
      </w:r>
    </w:p>
    <w:p w:rsidR="007B6418" w:rsidRPr="008C37E9" w:rsidRDefault="007B6418" w:rsidP="007B6418">
      <w:pPr>
        <w:pStyle w:val="subsection"/>
      </w:pPr>
      <w:r w:rsidRPr="008C37E9">
        <w:lastRenderedPageBreak/>
        <w:tab/>
        <w:t>(5)</w:t>
      </w:r>
      <w:r w:rsidRPr="008C37E9">
        <w:tab/>
        <w:t>The Minister must appoint one member to be the Chair of a review board, and another to be the Deputy Chair of the board.</w:t>
      </w:r>
    </w:p>
    <w:p w:rsidR="007B6418" w:rsidRPr="008C37E9" w:rsidRDefault="007B6418" w:rsidP="007B6418">
      <w:pPr>
        <w:pStyle w:val="SubsectionHead"/>
      </w:pPr>
      <w:r w:rsidRPr="008C37E9">
        <w:t>Reviews to be conducted periodically</w:t>
      </w:r>
    </w:p>
    <w:p w:rsidR="007B6418" w:rsidRPr="008C37E9" w:rsidRDefault="007B6418" w:rsidP="007B6418">
      <w:pPr>
        <w:pStyle w:val="subsection"/>
      </w:pPr>
      <w:r w:rsidRPr="008C37E9">
        <w:tab/>
        <w:t>(6)</w:t>
      </w:r>
      <w:r w:rsidRPr="008C37E9">
        <w:tab/>
        <w:t>The independent reviews must be conducted periodically.</w:t>
      </w:r>
    </w:p>
    <w:p w:rsidR="007B6418" w:rsidRPr="0057120A" w:rsidRDefault="007B6418" w:rsidP="007B6418">
      <w:pPr>
        <w:pStyle w:val="subsection"/>
      </w:pPr>
      <w:r w:rsidRPr="0057120A">
        <w:tab/>
        <w:t>(6A)</w:t>
      </w:r>
      <w:r w:rsidRPr="0057120A">
        <w:tab/>
        <w:t>An independent review of the matter mentioned in paragraph (7)(a) must be conducted at least annually.</w:t>
      </w:r>
    </w:p>
    <w:p w:rsidR="007B6418" w:rsidRPr="008C37E9" w:rsidRDefault="007B6418" w:rsidP="007B6418">
      <w:pPr>
        <w:pStyle w:val="subsection"/>
      </w:pPr>
      <w:r w:rsidRPr="008C37E9">
        <w:tab/>
        <w:t>(7)</w:t>
      </w:r>
      <w:r w:rsidRPr="008C37E9">
        <w:tab/>
        <w:t>A review must address at least one of the following:</w:t>
      </w:r>
    </w:p>
    <w:p w:rsidR="007B6418" w:rsidRPr="008C37E9" w:rsidRDefault="007B6418" w:rsidP="007B6418">
      <w:pPr>
        <w:pStyle w:val="paragraph"/>
      </w:pPr>
      <w:r w:rsidRPr="008C37E9">
        <w:tab/>
        <w:t>(a)</w:t>
      </w:r>
      <w:r w:rsidRPr="008C37E9">
        <w:tab/>
        <w:t>compliance by States and Territories with section 22A;</w:t>
      </w:r>
    </w:p>
    <w:p w:rsidR="007B6418" w:rsidRPr="008C37E9" w:rsidRDefault="007B6418" w:rsidP="007B6418">
      <w:pPr>
        <w:pStyle w:val="paragraph"/>
      </w:pPr>
      <w:r w:rsidRPr="008C37E9">
        <w:tab/>
        <w:t>(b)</w:t>
      </w:r>
      <w:r w:rsidRPr="008C37E9">
        <w:tab/>
        <w:t>compliance by approved authorities with section 78;</w:t>
      </w:r>
    </w:p>
    <w:p w:rsidR="007B6418" w:rsidRPr="008C37E9" w:rsidRDefault="007B6418" w:rsidP="007B6418">
      <w:pPr>
        <w:pStyle w:val="paragraph"/>
      </w:pPr>
      <w:r w:rsidRPr="008C37E9">
        <w:tab/>
        <w:t>(c)</w:t>
      </w:r>
      <w:r w:rsidRPr="008C37E9">
        <w:tab/>
        <w:t>the matters set out in written terms of reference given to the review board by the Minister.</w:t>
      </w:r>
    </w:p>
    <w:p w:rsidR="007B6418" w:rsidRPr="00BB3256" w:rsidRDefault="007B6418" w:rsidP="007B6418">
      <w:pPr>
        <w:pStyle w:val="subsection"/>
      </w:pPr>
      <w:r w:rsidRPr="00BB3256">
        <w:tab/>
        <w:t>(7A)</w:t>
      </w:r>
      <w:r w:rsidRPr="00BB3256">
        <w:tab/>
        <w:t>A review may also address the following:</w:t>
      </w:r>
    </w:p>
    <w:p w:rsidR="007B6418" w:rsidRPr="00BB3256" w:rsidRDefault="007B6418" w:rsidP="007B6418">
      <w:pPr>
        <w:pStyle w:val="paragraph"/>
      </w:pPr>
      <w:r w:rsidRPr="00BB3256">
        <w:tab/>
        <w:t>(a)</w:t>
      </w:r>
      <w:r w:rsidRPr="00BB3256">
        <w:tab/>
        <w:t>whether the Commonwealth, a State, a Territory or an approved authority has:</w:t>
      </w:r>
    </w:p>
    <w:p w:rsidR="007B6418" w:rsidRPr="00BB3256" w:rsidRDefault="007B6418" w:rsidP="007B6418">
      <w:pPr>
        <w:pStyle w:val="paragraphsub"/>
      </w:pPr>
      <w:r w:rsidRPr="00BB3256">
        <w:tab/>
        <w:t>(</w:t>
      </w:r>
      <w:proofErr w:type="spellStart"/>
      <w:r w:rsidRPr="00BB3256">
        <w:t>i</w:t>
      </w:r>
      <w:proofErr w:type="spellEnd"/>
      <w:r w:rsidRPr="00BB3256">
        <w:t>)</w:t>
      </w:r>
      <w:r w:rsidRPr="00BB3256">
        <w:tab/>
        <w:t>not distributed funding on a needs basis; or</w:t>
      </w:r>
    </w:p>
    <w:p w:rsidR="007B6418" w:rsidRPr="00BB3256" w:rsidRDefault="007B6418" w:rsidP="007B6418">
      <w:pPr>
        <w:pStyle w:val="paragraphsub"/>
      </w:pPr>
      <w:r w:rsidRPr="00BB3256">
        <w:tab/>
        <w:t>(ii)</w:t>
      </w:r>
      <w:r w:rsidRPr="00BB3256">
        <w:tab/>
        <w:t>funded a school below its share for a year; or</w:t>
      </w:r>
    </w:p>
    <w:p w:rsidR="007B6418" w:rsidRPr="00BB3256" w:rsidRDefault="007B6418" w:rsidP="007B6418">
      <w:pPr>
        <w:pStyle w:val="paragraphsub"/>
      </w:pPr>
      <w:r w:rsidRPr="00BB3256">
        <w:tab/>
        <w:t>(iii)</w:t>
      </w:r>
      <w:r w:rsidRPr="00BB3256">
        <w:tab/>
        <w:t>funded a school above its share for a year;</w:t>
      </w:r>
    </w:p>
    <w:p w:rsidR="007B6418" w:rsidRPr="00BB3256" w:rsidRDefault="007B6418" w:rsidP="007B6418">
      <w:pPr>
        <w:pStyle w:val="paragraph"/>
      </w:pPr>
      <w:r w:rsidRPr="00BB3256">
        <w:tab/>
        <w:t>(b)</w:t>
      </w:r>
      <w:r w:rsidRPr="00BB3256">
        <w:tab/>
        <w:t>measuring improved educational outcomes for students against the rate of school funding.</w:t>
      </w:r>
    </w:p>
    <w:p w:rsidR="007B6418" w:rsidRPr="008C37E9" w:rsidRDefault="007B6418" w:rsidP="007B6418">
      <w:pPr>
        <w:pStyle w:val="subsection"/>
      </w:pPr>
      <w:r w:rsidRPr="008C37E9">
        <w:tab/>
        <w:t>(8)</w:t>
      </w:r>
      <w:r w:rsidRPr="008C37E9">
        <w:tab/>
        <w:t>In developing the terms of reference for a review, the Minister must:</w:t>
      </w:r>
    </w:p>
    <w:p w:rsidR="007B6418" w:rsidRPr="008C37E9" w:rsidRDefault="007B6418" w:rsidP="007B6418">
      <w:pPr>
        <w:pStyle w:val="paragraph"/>
      </w:pPr>
      <w:r w:rsidRPr="008C37E9">
        <w:tab/>
        <w:t>(a)</w:t>
      </w:r>
      <w:r w:rsidRPr="008C37E9">
        <w:tab/>
        <w:t>consider the matters (if any) prescribed by regulations for the purposes of this paragraph; and</w:t>
      </w:r>
    </w:p>
    <w:p w:rsidR="007B6418" w:rsidRPr="008C37E9" w:rsidRDefault="007B6418" w:rsidP="007B6418">
      <w:pPr>
        <w:pStyle w:val="paragraph"/>
      </w:pPr>
      <w:r w:rsidRPr="008C37E9">
        <w:tab/>
        <w:t>(b)</w:t>
      </w:r>
      <w:r w:rsidRPr="008C37E9">
        <w:tab/>
        <w:t>consult the following:</w:t>
      </w:r>
    </w:p>
    <w:p w:rsidR="007B6418" w:rsidRPr="008C37E9" w:rsidRDefault="007B6418" w:rsidP="007B6418">
      <w:pPr>
        <w:pStyle w:val="paragraphsub"/>
      </w:pPr>
      <w:r w:rsidRPr="008C37E9">
        <w:tab/>
        <w:t>(</w:t>
      </w:r>
      <w:proofErr w:type="spellStart"/>
      <w:r w:rsidRPr="008C37E9">
        <w:t>i</w:t>
      </w:r>
      <w:proofErr w:type="spellEnd"/>
      <w:r w:rsidRPr="008C37E9">
        <w:t>)</w:t>
      </w:r>
      <w:r w:rsidRPr="008C37E9">
        <w:tab/>
        <w:t>the Ministerial Council;</w:t>
      </w:r>
    </w:p>
    <w:p w:rsidR="007B6418" w:rsidRPr="008C37E9" w:rsidRDefault="007B6418" w:rsidP="007B6418">
      <w:pPr>
        <w:pStyle w:val="paragraphsub"/>
      </w:pPr>
      <w:r w:rsidRPr="008C37E9">
        <w:tab/>
        <w:t>(ii)</w:t>
      </w:r>
      <w:r w:rsidRPr="008C37E9">
        <w:tab/>
        <w:t>the national representative body for Catholic systemic schools;</w:t>
      </w:r>
    </w:p>
    <w:p w:rsidR="007B6418" w:rsidRPr="008C37E9" w:rsidRDefault="007B6418" w:rsidP="007B6418">
      <w:pPr>
        <w:pStyle w:val="paragraphsub"/>
      </w:pPr>
      <w:r w:rsidRPr="008C37E9">
        <w:tab/>
        <w:t>(iii)</w:t>
      </w:r>
      <w:r w:rsidRPr="008C37E9">
        <w:tab/>
        <w:t>the national representative body for independent schools.</w:t>
      </w:r>
    </w:p>
    <w:p w:rsidR="007B6418" w:rsidRPr="008C37E9" w:rsidRDefault="007B6418" w:rsidP="007B6418">
      <w:pPr>
        <w:pStyle w:val="SubsectionHead"/>
      </w:pPr>
      <w:r w:rsidRPr="008C37E9">
        <w:t>Reports of reviews</w:t>
      </w:r>
    </w:p>
    <w:p w:rsidR="007B6418" w:rsidRPr="008C37E9" w:rsidRDefault="007B6418" w:rsidP="007B6418">
      <w:pPr>
        <w:pStyle w:val="subsection"/>
      </w:pPr>
      <w:r w:rsidRPr="008C37E9">
        <w:tab/>
        <w:t>(9)</w:t>
      </w:r>
      <w:r w:rsidRPr="008C37E9">
        <w:tab/>
        <w:t xml:space="preserve">The Chair of a review board must give to the Minister a report of a review as soon as practicable after the review is completed. A </w:t>
      </w:r>
      <w:r w:rsidRPr="008C37E9">
        <w:lastRenderedPageBreak/>
        <w:t>review board must use its best efforts to provide a consensus report.</w:t>
      </w:r>
    </w:p>
    <w:p w:rsidR="007B6418" w:rsidRPr="008C37E9" w:rsidRDefault="007B6418" w:rsidP="007B6418">
      <w:pPr>
        <w:pStyle w:val="subsection"/>
      </w:pPr>
      <w:r w:rsidRPr="008C37E9">
        <w:tab/>
        <w:t>(10)</w:t>
      </w:r>
      <w:r w:rsidRPr="008C37E9">
        <w:tab/>
        <w:t>The Minister must:</w:t>
      </w:r>
    </w:p>
    <w:p w:rsidR="007B6418" w:rsidRPr="008C37E9" w:rsidRDefault="007B6418" w:rsidP="007B6418">
      <w:pPr>
        <w:pStyle w:val="paragraph"/>
      </w:pPr>
      <w:r w:rsidRPr="008C37E9">
        <w:tab/>
        <w:t>(a)</w:t>
      </w:r>
      <w:r w:rsidRPr="008C37E9">
        <w:tab/>
        <w:t>give a copy of the report to the following:</w:t>
      </w:r>
    </w:p>
    <w:p w:rsidR="007B6418" w:rsidRPr="008C37E9" w:rsidRDefault="007B6418" w:rsidP="007B6418">
      <w:pPr>
        <w:pStyle w:val="paragraphsub"/>
      </w:pPr>
      <w:r w:rsidRPr="008C37E9">
        <w:tab/>
        <w:t>(</w:t>
      </w:r>
      <w:proofErr w:type="spellStart"/>
      <w:r w:rsidRPr="008C37E9">
        <w:t>i</w:t>
      </w:r>
      <w:proofErr w:type="spellEnd"/>
      <w:r w:rsidRPr="008C37E9">
        <w:t>)</w:t>
      </w:r>
      <w:r w:rsidRPr="008C37E9">
        <w:tab/>
        <w:t>the Ministerial Council;</w:t>
      </w:r>
    </w:p>
    <w:p w:rsidR="007B6418" w:rsidRPr="008C37E9" w:rsidRDefault="007B6418" w:rsidP="007B6418">
      <w:pPr>
        <w:pStyle w:val="paragraphsub"/>
      </w:pPr>
      <w:r w:rsidRPr="008C37E9">
        <w:tab/>
        <w:t>(ii)</w:t>
      </w:r>
      <w:r w:rsidRPr="008C37E9">
        <w:tab/>
        <w:t>the national representative body for Catholic systemic schools;</w:t>
      </w:r>
    </w:p>
    <w:p w:rsidR="007B6418" w:rsidRPr="008C37E9" w:rsidRDefault="007B6418" w:rsidP="007B6418">
      <w:pPr>
        <w:pStyle w:val="paragraphsub"/>
      </w:pPr>
      <w:r w:rsidRPr="008C37E9">
        <w:tab/>
        <w:t>(iii)</w:t>
      </w:r>
      <w:r w:rsidRPr="008C37E9">
        <w:tab/>
        <w:t>the national representative body for independent schools; and</w:t>
      </w:r>
    </w:p>
    <w:p w:rsidR="007B6418" w:rsidRPr="008C37E9" w:rsidRDefault="007B6418" w:rsidP="007B6418">
      <w:pPr>
        <w:pStyle w:val="paragraph"/>
      </w:pPr>
      <w:r w:rsidRPr="008C37E9">
        <w:tab/>
        <w:t>(b)</w:t>
      </w:r>
      <w:r w:rsidRPr="008C37E9">
        <w:tab/>
        <w:t>cause a copy of the report to be tabled in each House of the Parliament within 15 sitting days of that House after the report is given to the Ministerial Council.</w:t>
      </w:r>
    </w:p>
    <w:p w:rsidR="007B6418" w:rsidRPr="008C37E9" w:rsidRDefault="007B6418" w:rsidP="007B6418">
      <w:pPr>
        <w:pStyle w:val="subsection"/>
      </w:pPr>
      <w:r w:rsidRPr="008C37E9">
        <w:tab/>
        <w:t>(11)</w:t>
      </w:r>
      <w:r w:rsidRPr="008C37E9">
        <w:tab/>
        <w:t>The Minister:</w:t>
      </w:r>
    </w:p>
    <w:p w:rsidR="007B6418" w:rsidRPr="008C37E9" w:rsidRDefault="007B6418" w:rsidP="007B6418">
      <w:pPr>
        <w:pStyle w:val="paragraph"/>
      </w:pPr>
      <w:r w:rsidRPr="008C37E9">
        <w:tab/>
        <w:t>(a)</w:t>
      </w:r>
      <w:r w:rsidRPr="008C37E9">
        <w:tab/>
        <w:t>may have regard to reports of reviews in deciding:</w:t>
      </w:r>
    </w:p>
    <w:p w:rsidR="007B6418" w:rsidRPr="008C37E9" w:rsidRDefault="007B6418" w:rsidP="007B6418">
      <w:pPr>
        <w:pStyle w:val="paragraphsub"/>
      </w:pPr>
      <w:r w:rsidRPr="008C37E9">
        <w:tab/>
        <w:t>(</w:t>
      </w:r>
      <w:proofErr w:type="spellStart"/>
      <w:r w:rsidRPr="008C37E9">
        <w:t>i</w:t>
      </w:r>
      <w:proofErr w:type="spellEnd"/>
      <w:r w:rsidRPr="008C37E9">
        <w:t>)</w:t>
      </w:r>
      <w:r w:rsidRPr="008C37E9">
        <w:tab/>
        <w:t>whether to take action in relation to a State or Territory or approved system authority under this Act; and</w:t>
      </w:r>
    </w:p>
    <w:p w:rsidR="007B6418" w:rsidRPr="008C37E9" w:rsidRDefault="007B6418" w:rsidP="007B6418">
      <w:pPr>
        <w:pStyle w:val="paragraphsub"/>
      </w:pPr>
      <w:r w:rsidRPr="008C37E9">
        <w:tab/>
        <w:t>(ii)</w:t>
      </w:r>
      <w:r w:rsidRPr="008C37E9">
        <w:tab/>
        <w:t>what action to take; and</w:t>
      </w:r>
    </w:p>
    <w:p w:rsidR="007B6418" w:rsidRPr="008C37E9" w:rsidRDefault="007B6418" w:rsidP="007B6418">
      <w:pPr>
        <w:pStyle w:val="paragraph"/>
      </w:pPr>
      <w:r w:rsidRPr="008C37E9">
        <w:tab/>
        <w:t>(b)</w:t>
      </w:r>
      <w:r w:rsidRPr="008C37E9">
        <w:tab/>
        <w:t>must consider the results of reviews and any impact of reviews on this Act.</w:t>
      </w:r>
    </w:p>
    <w:p w:rsidR="007B6418" w:rsidRPr="008C37E9" w:rsidRDefault="007B6418" w:rsidP="007B6418">
      <w:pPr>
        <w:pStyle w:val="SubsectionHead"/>
      </w:pPr>
      <w:r w:rsidRPr="008C37E9">
        <w:t>Minister may undertake other reviews and investigations</w:t>
      </w:r>
    </w:p>
    <w:p w:rsidR="007B6418" w:rsidRPr="008C37E9" w:rsidRDefault="007B6418" w:rsidP="007B6418">
      <w:pPr>
        <w:pStyle w:val="subsection"/>
        <w:rPr>
          <w:i/>
        </w:rPr>
      </w:pPr>
      <w:r w:rsidRPr="008C37E9">
        <w:tab/>
        <w:t>(12)</w:t>
      </w:r>
      <w:r w:rsidRPr="008C37E9">
        <w:tab/>
        <w:t>This section does not prevent the Minister from undertaking any other review or investigation in relation to the operation of this Act.</w:t>
      </w:r>
    </w:p>
    <w:p w:rsidR="004954B7" w:rsidRPr="00392A4E" w:rsidRDefault="004954B7" w:rsidP="00392A4E">
      <w:pPr>
        <w:pStyle w:val="ActHead9"/>
        <w:rPr>
          <w:i w:val="0"/>
        </w:rPr>
      </w:pPr>
      <w:bookmarkStart w:id="40" w:name="_Toc486412760"/>
      <w:r w:rsidRPr="00392A4E">
        <w:t>Australian Education (Consequential and Transitional Provisions) Act 2013</w:t>
      </w:r>
      <w:bookmarkEnd w:id="40"/>
    </w:p>
    <w:p w:rsidR="004954B7" w:rsidRPr="00392A4E" w:rsidRDefault="0080643A" w:rsidP="00392A4E">
      <w:pPr>
        <w:pStyle w:val="ItemHead"/>
      </w:pPr>
      <w:r w:rsidRPr="00392A4E">
        <w:t>108</w:t>
      </w:r>
      <w:r w:rsidR="004954B7" w:rsidRPr="00392A4E">
        <w:t xml:space="preserve">  Item</w:t>
      </w:r>
      <w:r w:rsidR="00392A4E" w:rsidRPr="00392A4E">
        <w:t> </w:t>
      </w:r>
      <w:r w:rsidR="004954B7" w:rsidRPr="00392A4E">
        <w:t>9 of Schedule</w:t>
      </w:r>
      <w:r w:rsidR="00392A4E" w:rsidRPr="00392A4E">
        <w:t> </w:t>
      </w:r>
      <w:r w:rsidR="004954B7" w:rsidRPr="00392A4E">
        <w:t>2</w:t>
      </w:r>
    </w:p>
    <w:p w:rsidR="004954B7" w:rsidRPr="00392A4E" w:rsidRDefault="004954B7" w:rsidP="00392A4E">
      <w:pPr>
        <w:pStyle w:val="Item"/>
      </w:pPr>
      <w:r w:rsidRPr="00392A4E">
        <w:t>Repeal the item.</w:t>
      </w:r>
    </w:p>
    <w:p w:rsidR="005E7F42" w:rsidRPr="00392A4E" w:rsidRDefault="0080643A" w:rsidP="00392A4E">
      <w:pPr>
        <w:pStyle w:val="ItemHead"/>
      </w:pPr>
      <w:r w:rsidRPr="00392A4E">
        <w:t>109</w:t>
      </w:r>
      <w:r w:rsidR="00A92880" w:rsidRPr="00392A4E">
        <w:t xml:space="preserve">  Transitional provision—regulations commencing on or after 1</w:t>
      </w:r>
      <w:r w:rsidR="00392A4E" w:rsidRPr="00392A4E">
        <w:t> </w:t>
      </w:r>
      <w:r w:rsidR="00A92880" w:rsidRPr="00392A4E">
        <w:t>January 2018</w:t>
      </w:r>
    </w:p>
    <w:p w:rsidR="00A92880" w:rsidRPr="00392A4E" w:rsidRDefault="00A92880" w:rsidP="00392A4E">
      <w:pPr>
        <w:pStyle w:val="Subitem"/>
      </w:pPr>
      <w:r w:rsidRPr="00392A4E">
        <w:t>(1)</w:t>
      </w:r>
      <w:r w:rsidRPr="00392A4E">
        <w:tab/>
        <w:t>Paragraph 22</w:t>
      </w:r>
      <w:r w:rsidR="000F7502" w:rsidRPr="00392A4E">
        <w:t>(2)</w:t>
      </w:r>
      <w:r w:rsidRPr="00392A4E">
        <w:t>(</w:t>
      </w:r>
      <w:r w:rsidR="005E7F42" w:rsidRPr="00392A4E">
        <w:t xml:space="preserve">b) of the </w:t>
      </w:r>
      <w:r w:rsidR="005E7F42" w:rsidRPr="00392A4E">
        <w:rPr>
          <w:i/>
        </w:rPr>
        <w:t>Australian Education Act 2013</w:t>
      </w:r>
      <w:r w:rsidR="005E7F42" w:rsidRPr="00392A4E">
        <w:t xml:space="preserve">, as in force at the commencement of this item, does not apply to regulations made for </w:t>
      </w:r>
      <w:r w:rsidR="005E7F42" w:rsidRPr="00392A4E">
        <w:lastRenderedPageBreak/>
        <w:t>the purposes of section</w:t>
      </w:r>
      <w:r w:rsidR="00392A4E" w:rsidRPr="00392A4E">
        <w:t> </w:t>
      </w:r>
      <w:r w:rsidR="005E7F42" w:rsidRPr="00392A4E">
        <w:t>22 of that Act that commence on or after 1</w:t>
      </w:r>
      <w:r w:rsidR="00392A4E" w:rsidRPr="00392A4E">
        <w:t> </w:t>
      </w:r>
      <w:r w:rsidR="005E7F42" w:rsidRPr="00392A4E">
        <w:t>January 2018.</w:t>
      </w:r>
    </w:p>
    <w:p w:rsidR="00A92880" w:rsidRPr="00392A4E" w:rsidRDefault="005E7F42" w:rsidP="00392A4E">
      <w:pPr>
        <w:pStyle w:val="Subitem"/>
      </w:pPr>
      <w:r w:rsidRPr="00392A4E">
        <w:t>(2)</w:t>
      </w:r>
      <w:r w:rsidRPr="00392A4E">
        <w:tab/>
        <w:t>Subsection</w:t>
      </w:r>
      <w:r w:rsidR="00392A4E" w:rsidRPr="00392A4E">
        <w:t> </w:t>
      </w:r>
      <w:r w:rsidRPr="00392A4E">
        <w:t xml:space="preserve">77(4) of the </w:t>
      </w:r>
      <w:r w:rsidRPr="00392A4E">
        <w:rPr>
          <w:i/>
        </w:rPr>
        <w:t>Australian Education Act 2013</w:t>
      </w:r>
      <w:r w:rsidRPr="00392A4E">
        <w:t>, as in fo</w:t>
      </w:r>
      <w:r w:rsidR="00485A33" w:rsidRPr="00392A4E">
        <w:t>r</w:t>
      </w:r>
      <w:r w:rsidRPr="00392A4E">
        <w:t>ce at the commencement of this item, does not apply to regulations made for the purposes of section</w:t>
      </w:r>
      <w:r w:rsidR="00392A4E" w:rsidRPr="00392A4E">
        <w:t> </w:t>
      </w:r>
      <w:r w:rsidRPr="00392A4E">
        <w:t>77 of that Act that commence on or after 1</w:t>
      </w:r>
      <w:r w:rsidR="00392A4E" w:rsidRPr="00392A4E">
        <w:t> </w:t>
      </w:r>
      <w:r w:rsidRPr="00392A4E">
        <w:t>January 2018.</w:t>
      </w:r>
    </w:p>
    <w:p w:rsidR="00BE0E7E" w:rsidRPr="00392A4E" w:rsidRDefault="00BE0E7E" w:rsidP="00392A4E">
      <w:pPr>
        <w:pStyle w:val="ActHead7"/>
        <w:pageBreakBefore/>
      </w:pPr>
      <w:bookmarkStart w:id="41" w:name="_Toc486412761"/>
      <w:r w:rsidRPr="00392A4E">
        <w:rPr>
          <w:rStyle w:val="CharAmPartNo"/>
        </w:rPr>
        <w:lastRenderedPageBreak/>
        <w:t>Part</w:t>
      </w:r>
      <w:r w:rsidR="00392A4E" w:rsidRPr="00392A4E">
        <w:rPr>
          <w:rStyle w:val="CharAmPartNo"/>
        </w:rPr>
        <w:t> </w:t>
      </w:r>
      <w:r w:rsidRPr="00392A4E">
        <w:rPr>
          <w:rStyle w:val="CharAmPartNo"/>
        </w:rPr>
        <w:t>3</w:t>
      </w:r>
      <w:r w:rsidR="00427858" w:rsidRPr="00392A4E">
        <w:t>—</w:t>
      </w:r>
      <w:r w:rsidRPr="00392A4E">
        <w:rPr>
          <w:rStyle w:val="CharAmPartText"/>
        </w:rPr>
        <w:t>Miscellaneous technical amendments</w:t>
      </w:r>
      <w:bookmarkEnd w:id="41"/>
    </w:p>
    <w:p w:rsidR="00F17C93" w:rsidRPr="00392A4E" w:rsidRDefault="00F17C93" w:rsidP="00392A4E">
      <w:pPr>
        <w:pStyle w:val="ActHead9"/>
        <w:rPr>
          <w:i w:val="0"/>
        </w:rPr>
      </w:pPr>
      <w:bookmarkStart w:id="42" w:name="_Toc486412762"/>
      <w:r w:rsidRPr="00392A4E">
        <w:t>Australian Education Act 2013</w:t>
      </w:r>
      <w:bookmarkEnd w:id="42"/>
    </w:p>
    <w:p w:rsidR="00D24AB2" w:rsidRPr="00392A4E" w:rsidRDefault="0080643A" w:rsidP="00392A4E">
      <w:pPr>
        <w:pStyle w:val="ItemHead"/>
      </w:pPr>
      <w:r w:rsidRPr="00392A4E">
        <w:t>110</w:t>
      </w:r>
      <w:r w:rsidR="00D24AB2" w:rsidRPr="00392A4E">
        <w:t xml:space="preserve">  Section</w:t>
      </w:r>
      <w:r w:rsidR="00392A4E" w:rsidRPr="00392A4E">
        <w:t> </w:t>
      </w:r>
      <w:r w:rsidR="00D24AB2" w:rsidRPr="00392A4E">
        <w:t>6</w:t>
      </w:r>
      <w:r w:rsidR="00D54EE7" w:rsidRPr="00392A4E">
        <w:t xml:space="preserve"> (definition of </w:t>
      </w:r>
      <w:r w:rsidR="00D54EE7" w:rsidRPr="00392A4E">
        <w:rPr>
          <w:i/>
        </w:rPr>
        <w:t>census day</w:t>
      </w:r>
      <w:r w:rsidR="00D54EE7" w:rsidRPr="00392A4E">
        <w:t>)</w:t>
      </w:r>
    </w:p>
    <w:p w:rsidR="00D24AB2" w:rsidRPr="00392A4E" w:rsidRDefault="00D54EE7" w:rsidP="00392A4E">
      <w:pPr>
        <w:pStyle w:val="Item"/>
      </w:pPr>
      <w:r w:rsidRPr="00392A4E">
        <w:t>Repeal the definition.</w:t>
      </w:r>
    </w:p>
    <w:p w:rsidR="00B81A89" w:rsidRPr="00392A4E" w:rsidRDefault="0080643A" w:rsidP="00392A4E">
      <w:pPr>
        <w:pStyle w:val="ItemHead"/>
      </w:pPr>
      <w:r w:rsidRPr="00392A4E">
        <w:t>111</w:t>
      </w:r>
      <w:r w:rsidR="00B81A89" w:rsidRPr="00392A4E">
        <w:t xml:space="preserve">  Section</w:t>
      </w:r>
      <w:r w:rsidR="00392A4E" w:rsidRPr="00392A4E">
        <w:t> </w:t>
      </w:r>
      <w:r w:rsidR="00B81A89" w:rsidRPr="00392A4E">
        <w:t>6</w:t>
      </w:r>
    </w:p>
    <w:p w:rsidR="00B81A89" w:rsidRPr="00392A4E" w:rsidRDefault="00B81A89" w:rsidP="00392A4E">
      <w:pPr>
        <w:pStyle w:val="Item"/>
      </w:pPr>
      <w:r w:rsidRPr="00392A4E">
        <w:t>Insert:</w:t>
      </w:r>
    </w:p>
    <w:p w:rsidR="00B81A89" w:rsidRPr="00392A4E" w:rsidRDefault="00B81A89" w:rsidP="00392A4E">
      <w:pPr>
        <w:pStyle w:val="Definition"/>
      </w:pPr>
      <w:r w:rsidRPr="00392A4E">
        <w:rPr>
          <w:b/>
          <w:i/>
        </w:rPr>
        <w:t>continuing requirement</w:t>
      </w:r>
      <w:r w:rsidRPr="00392A4E">
        <w:t xml:space="preserve"> has the meaning given by subsection</w:t>
      </w:r>
      <w:r w:rsidR="00392A4E" w:rsidRPr="00392A4E">
        <w:t> </w:t>
      </w:r>
      <w:r w:rsidRPr="00392A4E">
        <w:t>96A(2).</w:t>
      </w:r>
    </w:p>
    <w:p w:rsidR="00D24AB2" w:rsidRPr="00392A4E" w:rsidRDefault="0080643A" w:rsidP="00392A4E">
      <w:pPr>
        <w:pStyle w:val="ItemHead"/>
      </w:pPr>
      <w:r w:rsidRPr="00392A4E">
        <w:t>112</w:t>
      </w:r>
      <w:r w:rsidR="00D24AB2" w:rsidRPr="00392A4E">
        <w:t xml:space="preserve">  Section</w:t>
      </w:r>
      <w:r w:rsidR="00392A4E" w:rsidRPr="00392A4E">
        <w:t> </w:t>
      </w:r>
      <w:r w:rsidR="00D24AB2" w:rsidRPr="00392A4E">
        <w:t xml:space="preserve">6 (definition of </w:t>
      </w:r>
      <w:r w:rsidR="00D24AB2" w:rsidRPr="00392A4E">
        <w:rPr>
          <w:i/>
        </w:rPr>
        <w:t>distance education</w:t>
      </w:r>
      <w:r w:rsidR="00D24AB2" w:rsidRPr="00392A4E">
        <w:t>)</w:t>
      </w:r>
    </w:p>
    <w:p w:rsidR="00D24AB2" w:rsidRPr="00392A4E" w:rsidRDefault="00D24AB2" w:rsidP="00392A4E">
      <w:pPr>
        <w:pStyle w:val="Item"/>
      </w:pPr>
      <w:r w:rsidRPr="00392A4E">
        <w:t>Repeal the definition.</w:t>
      </w:r>
    </w:p>
    <w:p w:rsidR="00D24AB2" w:rsidRPr="00392A4E" w:rsidRDefault="0080643A" w:rsidP="00392A4E">
      <w:pPr>
        <w:pStyle w:val="ItemHead"/>
      </w:pPr>
      <w:r w:rsidRPr="00392A4E">
        <w:t>113</w:t>
      </w:r>
      <w:r w:rsidR="00D24AB2" w:rsidRPr="00392A4E">
        <w:t xml:space="preserve">  Section</w:t>
      </w:r>
      <w:r w:rsidR="00392A4E" w:rsidRPr="00392A4E">
        <w:t> </w:t>
      </w:r>
      <w:r w:rsidR="00D24AB2" w:rsidRPr="00392A4E">
        <w:t>6</w:t>
      </w:r>
    </w:p>
    <w:p w:rsidR="00D24AB2" w:rsidRPr="00392A4E" w:rsidRDefault="00D24AB2" w:rsidP="00392A4E">
      <w:pPr>
        <w:pStyle w:val="Item"/>
      </w:pPr>
      <w:r w:rsidRPr="00392A4E">
        <w:t>Insert:</w:t>
      </w:r>
    </w:p>
    <w:p w:rsidR="00D24AB2" w:rsidRPr="00392A4E" w:rsidRDefault="00D24AB2" w:rsidP="00392A4E">
      <w:pPr>
        <w:pStyle w:val="Definition"/>
      </w:pPr>
      <w:r w:rsidRPr="00392A4E">
        <w:rPr>
          <w:b/>
          <w:i/>
        </w:rPr>
        <w:t>distance education student</w:t>
      </w:r>
      <w:r w:rsidRPr="00392A4E">
        <w:t xml:space="preserve">: a person is a </w:t>
      </w:r>
      <w:r w:rsidRPr="00392A4E">
        <w:rPr>
          <w:b/>
          <w:i/>
        </w:rPr>
        <w:t>distance education student</w:t>
      </w:r>
      <w:r w:rsidRPr="00392A4E">
        <w:t xml:space="preserve"> at a school located in a State or Territory only if:</w:t>
      </w:r>
    </w:p>
    <w:p w:rsidR="00D24AB2" w:rsidRPr="00392A4E" w:rsidRDefault="00D24AB2" w:rsidP="00392A4E">
      <w:pPr>
        <w:pStyle w:val="paragraph"/>
      </w:pPr>
      <w:r w:rsidRPr="00392A4E">
        <w:tab/>
        <w:t>(a)</w:t>
      </w:r>
      <w:r w:rsidRPr="00392A4E">
        <w:tab/>
        <w:t>the person resides in the State or Territory; and</w:t>
      </w:r>
    </w:p>
    <w:p w:rsidR="00D24AB2" w:rsidRPr="00392A4E" w:rsidRDefault="00D24AB2" w:rsidP="00392A4E">
      <w:pPr>
        <w:pStyle w:val="paragraph"/>
      </w:pPr>
      <w:r w:rsidRPr="00392A4E">
        <w:tab/>
        <w:t>(b)</w:t>
      </w:r>
      <w:r w:rsidRPr="00392A4E">
        <w:tab/>
        <w:t>the State or Territory provides funding for the school (other than financial assistance provided to the State or Territory for the school in accordance with this Act) for students enrolled at the school who receive distance education (however described) from the school; and</w:t>
      </w:r>
    </w:p>
    <w:p w:rsidR="00D24AB2" w:rsidRPr="00392A4E" w:rsidRDefault="00D24AB2" w:rsidP="00392A4E">
      <w:pPr>
        <w:pStyle w:val="paragraph"/>
      </w:pPr>
      <w:r w:rsidRPr="00392A4E">
        <w:tab/>
        <w:t>(c)</w:t>
      </w:r>
      <w:r w:rsidRPr="00392A4E">
        <w:tab/>
        <w:t>the person is not approved as a home education student (however described) in accordance with the law of the State or Territory in which the person resides.</w:t>
      </w:r>
    </w:p>
    <w:p w:rsidR="00D24AB2" w:rsidRPr="00392A4E" w:rsidRDefault="0080643A" w:rsidP="00392A4E">
      <w:pPr>
        <w:pStyle w:val="ItemHead"/>
      </w:pPr>
      <w:r w:rsidRPr="00392A4E">
        <w:t>114</w:t>
      </w:r>
      <w:r w:rsidR="00D24AB2" w:rsidRPr="00392A4E">
        <w:t xml:space="preserve">  Section</w:t>
      </w:r>
      <w:r w:rsidR="00392A4E" w:rsidRPr="00392A4E">
        <w:t> </w:t>
      </w:r>
      <w:r w:rsidR="00D24AB2" w:rsidRPr="00392A4E">
        <w:t xml:space="preserve">6 (definition of </w:t>
      </w:r>
      <w:r w:rsidR="00D24AB2" w:rsidRPr="00392A4E">
        <w:rPr>
          <w:i/>
        </w:rPr>
        <w:t>primary education</w:t>
      </w:r>
      <w:r w:rsidR="00D24AB2" w:rsidRPr="00392A4E">
        <w:t>)</w:t>
      </w:r>
    </w:p>
    <w:p w:rsidR="00D24AB2" w:rsidRPr="00392A4E" w:rsidRDefault="00D24AB2" w:rsidP="00392A4E">
      <w:pPr>
        <w:pStyle w:val="Item"/>
      </w:pPr>
      <w:r w:rsidRPr="00392A4E">
        <w:t>Repeal the definition, substitute:</w:t>
      </w:r>
    </w:p>
    <w:p w:rsidR="00D24AB2" w:rsidRPr="00392A4E" w:rsidRDefault="00D24AB2" w:rsidP="00392A4E">
      <w:pPr>
        <w:pStyle w:val="Definition"/>
      </w:pPr>
      <w:r w:rsidRPr="00392A4E">
        <w:rPr>
          <w:b/>
          <w:i/>
        </w:rPr>
        <w:t>primary education</w:t>
      </w:r>
      <w:r w:rsidRPr="00392A4E">
        <w:t>: see subsections</w:t>
      </w:r>
      <w:r w:rsidR="00392A4E" w:rsidRPr="00392A4E">
        <w:t> </w:t>
      </w:r>
      <w:r w:rsidRPr="00392A4E">
        <w:t>15(1) and (3).</w:t>
      </w:r>
    </w:p>
    <w:p w:rsidR="00B81A89" w:rsidRPr="00392A4E" w:rsidRDefault="0080643A" w:rsidP="00392A4E">
      <w:pPr>
        <w:pStyle w:val="ItemHead"/>
      </w:pPr>
      <w:r w:rsidRPr="00392A4E">
        <w:t>115</w:t>
      </w:r>
      <w:r w:rsidR="00B81A89" w:rsidRPr="00392A4E">
        <w:t xml:space="preserve">  Section</w:t>
      </w:r>
      <w:r w:rsidR="00392A4E" w:rsidRPr="00392A4E">
        <w:t> </w:t>
      </w:r>
      <w:r w:rsidR="00B81A89" w:rsidRPr="00392A4E">
        <w:t xml:space="preserve">6 (definition of </w:t>
      </w:r>
      <w:r w:rsidR="00B81A89" w:rsidRPr="00392A4E">
        <w:rPr>
          <w:i/>
        </w:rPr>
        <w:t>protected information</w:t>
      </w:r>
      <w:r w:rsidR="00B81A89" w:rsidRPr="00392A4E">
        <w:t>)</w:t>
      </w:r>
    </w:p>
    <w:p w:rsidR="00B81A89" w:rsidRPr="00392A4E" w:rsidRDefault="00B81A89" w:rsidP="00392A4E">
      <w:pPr>
        <w:pStyle w:val="Item"/>
      </w:pPr>
      <w:r w:rsidRPr="00392A4E">
        <w:t>Repeal the definition.</w:t>
      </w:r>
    </w:p>
    <w:p w:rsidR="00D24AB2" w:rsidRPr="00392A4E" w:rsidRDefault="0080643A" w:rsidP="00392A4E">
      <w:pPr>
        <w:pStyle w:val="ItemHead"/>
      </w:pPr>
      <w:r w:rsidRPr="00392A4E">
        <w:lastRenderedPageBreak/>
        <w:t>116</w:t>
      </w:r>
      <w:r w:rsidR="00D24AB2" w:rsidRPr="00392A4E">
        <w:t xml:space="preserve">  Section</w:t>
      </w:r>
      <w:r w:rsidR="00392A4E" w:rsidRPr="00392A4E">
        <w:t> </w:t>
      </w:r>
      <w:r w:rsidR="00D24AB2" w:rsidRPr="00392A4E">
        <w:t xml:space="preserve">6 (definition of </w:t>
      </w:r>
      <w:r w:rsidR="00D24AB2" w:rsidRPr="00392A4E">
        <w:rPr>
          <w:i/>
        </w:rPr>
        <w:t>receives</w:t>
      </w:r>
      <w:r w:rsidR="00D24AB2" w:rsidRPr="00392A4E">
        <w:t>)</w:t>
      </w:r>
    </w:p>
    <w:p w:rsidR="00D24AB2" w:rsidRPr="00392A4E" w:rsidRDefault="00D24AB2" w:rsidP="00392A4E">
      <w:pPr>
        <w:pStyle w:val="Item"/>
      </w:pPr>
      <w:r w:rsidRPr="00392A4E">
        <w:t>Repeal the definition.</w:t>
      </w:r>
    </w:p>
    <w:p w:rsidR="00B81A89" w:rsidRPr="00392A4E" w:rsidRDefault="0080643A" w:rsidP="00392A4E">
      <w:pPr>
        <w:pStyle w:val="ItemHead"/>
      </w:pPr>
      <w:r w:rsidRPr="00392A4E">
        <w:t>117</w:t>
      </w:r>
      <w:r w:rsidR="00B81A89" w:rsidRPr="00392A4E">
        <w:t xml:space="preserve">  Section</w:t>
      </w:r>
      <w:r w:rsidR="00392A4E" w:rsidRPr="00392A4E">
        <w:t> </w:t>
      </w:r>
      <w:r w:rsidR="00B81A89" w:rsidRPr="00392A4E">
        <w:t>6 (</w:t>
      </w:r>
      <w:r w:rsidR="00392A4E" w:rsidRPr="00392A4E">
        <w:t>paragraph (</w:t>
      </w:r>
      <w:r w:rsidR="00B81A89" w:rsidRPr="00392A4E">
        <w:t xml:space="preserve">a) of the definition of </w:t>
      </w:r>
      <w:r w:rsidR="00B81A89" w:rsidRPr="00392A4E">
        <w:rPr>
          <w:i/>
        </w:rPr>
        <w:t>relevant person</w:t>
      </w:r>
      <w:r w:rsidR="00B81A89" w:rsidRPr="00392A4E">
        <w:t>)</w:t>
      </w:r>
    </w:p>
    <w:p w:rsidR="00B81A89" w:rsidRPr="00392A4E" w:rsidRDefault="00B81A89" w:rsidP="00392A4E">
      <w:pPr>
        <w:pStyle w:val="Item"/>
      </w:pPr>
      <w:r w:rsidRPr="00392A4E">
        <w:t>Repeal the paragraph, substitute:</w:t>
      </w:r>
    </w:p>
    <w:p w:rsidR="00B81A89" w:rsidRPr="00392A4E" w:rsidRDefault="00B81A89" w:rsidP="00392A4E">
      <w:pPr>
        <w:pStyle w:val="paragraph"/>
      </w:pPr>
      <w:r w:rsidRPr="00392A4E">
        <w:tab/>
        <w:t>(a)</w:t>
      </w:r>
      <w:r w:rsidRPr="00392A4E">
        <w:tab/>
        <w:t>for a reviewable decision referred to in an item of the table in subsection</w:t>
      </w:r>
      <w:r w:rsidR="00392A4E" w:rsidRPr="00392A4E">
        <w:t> </w:t>
      </w:r>
      <w:r w:rsidRPr="00392A4E">
        <w:t>118(1)—the person referred to in column 3 of that item; and</w:t>
      </w:r>
    </w:p>
    <w:p w:rsidR="00A85911" w:rsidRPr="00392A4E" w:rsidRDefault="0080643A" w:rsidP="00392A4E">
      <w:pPr>
        <w:pStyle w:val="ItemHead"/>
      </w:pPr>
      <w:r w:rsidRPr="00392A4E">
        <w:t>118</w:t>
      </w:r>
      <w:r w:rsidR="00A85911" w:rsidRPr="00392A4E">
        <w:t xml:space="preserve">  Section</w:t>
      </w:r>
      <w:r w:rsidR="00392A4E" w:rsidRPr="00392A4E">
        <w:t> </w:t>
      </w:r>
      <w:r w:rsidR="00A85911" w:rsidRPr="00392A4E">
        <w:t xml:space="preserve">6 (note 1 at the end of the definition of </w:t>
      </w:r>
      <w:r w:rsidR="00A85911" w:rsidRPr="00392A4E">
        <w:rPr>
          <w:i/>
        </w:rPr>
        <w:t>school</w:t>
      </w:r>
      <w:r w:rsidR="00A85911" w:rsidRPr="00392A4E">
        <w:t>)</w:t>
      </w:r>
    </w:p>
    <w:p w:rsidR="00A85911" w:rsidRPr="00392A4E" w:rsidRDefault="00A85911" w:rsidP="00392A4E">
      <w:pPr>
        <w:pStyle w:val="Item"/>
      </w:pPr>
      <w:r w:rsidRPr="00392A4E">
        <w:t>Omit “only distance education”, substitute “education to distance education students</w:t>
      </w:r>
      <w:r w:rsidR="009E55E8" w:rsidRPr="00392A4E">
        <w:t xml:space="preserve"> only</w:t>
      </w:r>
      <w:r w:rsidRPr="00392A4E">
        <w:t>”.</w:t>
      </w:r>
    </w:p>
    <w:p w:rsidR="00B81A89" w:rsidRPr="00392A4E" w:rsidRDefault="0080643A" w:rsidP="00392A4E">
      <w:pPr>
        <w:pStyle w:val="ItemHead"/>
      </w:pPr>
      <w:r w:rsidRPr="00392A4E">
        <w:t>119</w:t>
      </w:r>
      <w:r w:rsidR="00B81A89" w:rsidRPr="00392A4E">
        <w:t xml:space="preserve">  Section</w:t>
      </w:r>
      <w:r w:rsidR="00392A4E" w:rsidRPr="00392A4E">
        <w:t> </w:t>
      </w:r>
      <w:r w:rsidR="00B81A89" w:rsidRPr="00392A4E">
        <w:t>6</w:t>
      </w:r>
    </w:p>
    <w:p w:rsidR="00B81A89" w:rsidRPr="00392A4E" w:rsidRDefault="00B81A89" w:rsidP="00392A4E">
      <w:pPr>
        <w:pStyle w:val="Item"/>
      </w:pPr>
      <w:r w:rsidRPr="00392A4E">
        <w:t>Insert:</w:t>
      </w:r>
    </w:p>
    <w:p w:rsidR="00B81A89" w:rsidRPr="00392A4E" w:rsidRDefault="00B81A89" w:rsidP="00392A4E">
      <w:pPr>
        <w:pStyle w:val="Definition"/>
      </w:pPr>
      <w:r w:rsidRPr="00392A4E">
        <w:rPr>
          <w:b/>
          <w:i/>
        </w:rPr>
        <w:t>school education information</w:t>
      </w:r>
      <w:r w:rsidRPr="00392A4E">
        <w:t xml:space="preserve"> means information obtained under or for the purposes of this Act.</w:t>
      </w:r>
    </w:p>
    <w:p w:rsidR="00D24AB2" w:rsidRPr="00392A4E" w:rsidRDefault="0080643A" w:rsidP="00392A4E">
      <w:pPr>
        <w:pStyle w:val="ItemHead"/>
      </w:pPr>
      <w:r w:rsidRPr="00392A4E">
        <w:t>120</w:t>
      </w:r>
      <w:r w:rsidR="00D24AB2" w:rsidRPr="00392A4E">
        <w:t xml:space="preserve">  Section</w:t>
      </w:r>
      <w:r w:rsidR="00392A4E" w:rsidRPr="00392A4E">
        <w:t> </w:t>
      </w:r>
      <w:r w:rsidR="00D24AB2" w:rsidRPr="00392A4E">
        <w:t xml:space="preserve">6 (definition of </w:t>
      </w:r>
      <w:r w:rsidR="00D24AB2" w:rsidRPr="00392A4E">
        <w:rPr>
          <w:i/>
        </w:rPr>
        <w:t>secondary</w:t>
      </w:r>
      <w:r w:rsidR="00D24AB2" w:rsidRPr="00392A4E">
        <w:rPr>
          <w:b w:val="0"/>
          <w:i/>
        </w:rPr>
        <w:t xml:space="preserve"> </w:t>
      </w:r>
      <w:r w:rsidR="00D24AB2" w:rsidRPr="00392A4E">
        <w:rPr>
          <w:i/>
        </w:rPr>
        <w:t>education</w:t>
      </w:r>
      <w:r w:rsidR="00D24AB2" w:rsidRPr="00392A4E">
        <w:t>)</w:t>
      </w:r>
    </w:p>
    <w:p w:rsidR="00D24AB2" w:rsidRPr="00392A4E" w:rsidRDefault="00D24AB2" w:rsidP="00392A4E">
      <w:pPr>
        <w:pStyle w:val="Item"/>
      </w:pPr>
      <w:r w:rsidRPr="00392A4E">
        <w:t>Repeal the definition, substitute:</w:t>
      </w:r>
    </w:p>
    <w:p w:rsidR="00D24AB2" w:rsidRPr="00392A4E" w:rsidRDefault="00D24AB2" w:rsidP="00392A4E">
      <w:pPr>
        <w:pStyle w:val="Definition"/>
      </w:pPr>
      <w:r w:rsidRPr="00392A4E">
        <w:rPr>
          <w:b/>
          <w:i/>
        </w:rPr>
        <w:t>secondary education</w:t>
      </w:r>
      <w:r w:rsidRPr="00392A4E">
        <w:t>: see subsections</w:t>
      </w:r>
      <w:r w:rsidR="00392A4E" w:rsidRPr="00392A4E">
        <w:t> </w:t>
      </w:r>
      <w:r w:rsidRPr="00392A4E">
        <w:t>15(1) and (3).</w:t>
      </w:r>
    </w:p>
    <w:p w:rsidR="00D24AB2" w:rsidRPr="00392A4E" w:rsidRDefault="0080643A" w:rsidP="00392A4E">
      <w:pPr>
        <w:pStyle w:val="ItemHead"/>
      </w:pPr>
      <w:r w:rsidRPr="00392A4E">
        <w:t>121</w:t>
      </w:r>
      <w:r w:rsidR="00D24AB2" w:rsidRPr="00392A4E">
        <w:t xml:space="preserve">  Section</w:t>
      </w:r>
      <w:r w:rsidR="00392A4E" w:rsidRPr="00392A4E">
        <w:t> </w:t>
      </w:r>
      <w:r w:rsidR="00D24AB2" w:rsidRPr="00392A4E">
        <w:t>7</w:t>
      </w:r>
    </w:p>
    <w:p w:rsidR="00D24AB2" w:rsidRPr="00392A4E" w:rsidRDefault="00D24AB2" w:rsidP="00392A4E">
      <w:pPr>
        <w:pStyle w:val="Item"/>
      </w:pPr>
      <w:r w:rsidRPr="00392A4E">
        <w:t>Repeal the section.</w:t>
      </w:r>
    </w:p>
    <w:p w:rsidR="00D24AB2" w:rsidRPr="00392A4E" w:rsidRDefault="0080643A" w:rsidP="00392A4E">
      <w:pPr>
        <w:pStyle w:val="ItemHead"/>
      </w:pPr>
      <w:r w:rsidRPr="00392A4E">
        <w:t>122</w:t>
      </w:r>
      <w:r w:rsidR="00D24AB2" w:rsidRPr="00392A4E">
        <w:t xml:space="preserve">  Paragraph 8(1)(b)</w:t>
      </w:r>
    </w:p>
    <w:p w:rsidR="00D24AB2" w:rsidRPr="00392A4E" w:rsidRDefault="00D24AB2" w:rsidP="00392A4E">
      <w:pPr>
        <w:pStyle w:val="Item"/>
      </w:pPr>
      <w:r w:rsidRPr="00392A4E">
        <w:t xml:space="preserve">Omit “students receiving primary education or secondary education at the school on the school’s census day for the previous year are”, substitute “primary and secondary students </w:t>
      </w:r>
      <w:r w:rsidR="00D54EE7" w:rsidRPr="00392A4E">
        <w:t>at the school</w:t>
      </w:r>
      <w:r w:rsidRPr="00392A4E">
        <w:t xml:space="preserve"> for the previous year were”.</w:t>
      </w:r>
    </w:p>
    <w:p w:rsidR="00D24AB2" w:rsidRPr="00392A4E" w:rsidRDefault="0080643A" w:rsidP="00392A4E">
      <w:pPr>
        <w:pStyle w:val="ItemHead"/>
      </w:pPr>
      <w:r w:rsidRPr="00392A4E">
        <w:t>123</w:t>
      </w:r>
      <w:r w:rsidR="00D24AB2" w:rsidRPr="00392A4E">
        <w:t xml:space="preserve">  Subsection</w:t>
      </w:r>
      <w:r w:rsidR="00392A4E" w:rsidRPr="00392A4E">
        <w:t> </w:t>
      </w:r>
      <w:r w:rsidR="00D24AB2" w:rsidRPr="00392A4E">
        <w:t>8(1) (note)</w:t>
      </w:r>
    </w:p>
    <w:p w:rsidR="00D24AB2" w:rsidRPr="00392A4E" w:rsidRDefault="00D24AB2" w:rsidP="00392A4E">
      <w:pPr>
        <w:pStyle w:val="Item"/>
      </w:pPr>
      <w:r w:rsidRPr="00392A4E">
        <w:t>Repeal the note</w:t>
      </w:r>
      <w:r w:rsidR="00533294" w:rsidRPr="00392A4E">
        <w:t>, substitute</w:t>
      </w:r>
      <w:r w:rsidR="009E55E8" w:rsidRPr="00392A4E">
        <w:t>:</w:t>
      </w:r>
    </w:p>
    <w:p w:rsidR="00D24AB2" w:rsidRPr="00392A4E" w:rsidRDefault="00D24AB2" w:rsidP="00392A4E">
      <w:pPr>
        <w:pStyle w:val="notetext"/>
      </w:pPr>
      <w:r w:rsidRPr="00392A4E">
        <w:t>Note:</w:t>
      </w:r>
      <w:r w:rsidRPr="00392A4E">
        <w:tab/>
        <w:t xml:space="preserve">For </w:t>
      </w:r>
      <w:r w:rsidR="00533294" w:rsidRPr="00392A4E">
        <w:t>the number of students at the school,</w:t>
      </w:r>
      <w:r w:rsidRPr="00392A4E">
        <w:t xml:space="preserve"> see section</w:t>
      </w:r>
      <w:r w:rsidR="00392A4E" w:rsidRPr="00392A4E">
        <w:t> </w:t>
      </w:r>
      <w:r w:rsidRPr="00392A4E">
        <w:t>1</w:t>
      </w:r>
      <w:r w:rsidR="00533294" w:rsidRPr="00392A4E">
        <w:t>6</w:t>
      </w:r>
      <w:r w:rsidRPr="00392A4E">
        <w:t>.</w:t>
      </w:r>
    </w:p>
    <w:p w:rsidR="00D24AB2" w:rsidRPr="00392A4E" w:rsidRDefault="0080643A" w:rsidP="00392A4E">
      <w:pPr>
        <w:pStyle w:val="ItemHead"/>
      </w:pPr>
      <w:r w:rsidRPr="00392A4E">
        <w:lastRenderedPageBreak/>
        <w:t>124</w:t>
      </w:r>
      <w:r w:rsidR="00D24AB2" w:rsidRPr="00392A4E">
        <w:t xml:space="preserve">  Paragraph 8(2)(b)</w:t>
      </w:r>
    </w:p>
    <w:p w:rsidR="00D24AB2" w:rsidRPr="00392A4E" w:rsidRDefault="00D24AB2" w:rsidP="00392A4E">
      <w:pPr>
        <w:pStyle w:val="Item"/>
      </w:pPr>
      <w:r w:rsidRPr="00392A4E">
        <w:t xml:space="preserve">Omit “students receiving primary education or secondary education at the school on the school’s census day for the previous year are”, substitute “primary and secondary students </w:t>
      </w:r>
      <w:r w:rsidR="00D54EE7" w:rsidRPr="00392A4E">
        <w:t>at the school</w:t>
      </w:r>
      <w:r w:rsidRPr="00392A4E">
        <w:t xml:space="preserve"> for the previous year were”.</w:t>
      </w:r>
    </w:p>
    <w:p w:rsidR="00D24AB2" w:rsidRPr="00392A4E" w:rsidRDefault="0080643A" w:rsidP="00392A4E">
      <w:pPr>
        <w:pStyle w:val="ItemHead"/>
      </w:pPr>
      <w:r w:rsidRPr="00392A4E">
        <w:t>125</w:t>
      </w:r>
      <w:r w:rsidR="00D24AB2" w:rsidRPr="00392A4E">
        <w:t xml:space="preserve">  Section</w:t>
      </w:r>
      <w:r w:rsidR="00392A4E" w:rsidRPr="00392A4E">
        <w:t> </w:t>
      </w:r>
      <w:r w:rsidR="00D24AB2" w:rsidRPr="00392A4E">
        <w:t>10</w:t>
      </w:r>
    </w:p>
    <w:p w:rsidR="00D24AB2" w:rsidRPr="00392A4E" w:rsidRDefault="00D24AB2" w:rsidP="00392A4E">
      <w:pPr>
        <w:pStyle w:val="Item"/>
      </w:pPr>
      <w:r w:rsidRPr="00392A4E">
        <w:t>Repeal the section</w:t>
      </w:r>
      <w:r w:rsidR="00533294" w:rsidRPr="00392A4E">
        <w:t>.</w:t>
      </w:r>
    </w:p>
    <w:p w:rsidR="00D24AB2" w:rsidRPr="00392A4E" w:rsidRDefault="0080643A" w:rsidP="00392A4E">
      <w:pPr>
        <w:pStyle w:val="ItemHead"/>
      </w:pPr>
      <w:r w:rsidRPr="00392A4E">
        <w:t>126</w:t>
      </w:r>
      <w:r w:rsidR="00D24AB2" w:rsidRPr="00392A4E">
        <w:t xml:space="preserve">  Subsections</w:t>
      </w:r>
      <w:r w:rsidR="00392A4E" w:rsidRPr="00392A4E">
        <w:t> </w:t>
      </w:r>
      <w:r w:rsidR="00D24AB2" w:rsidRPr="00392A4E">
        <w:t>15(1) and (3)</w:t>
      </w:r>
    </w:p>
    <w:p w:rsidR="00D24AB2" w:rsidRPr="00392A4E" w:rsidRDefault="00D24AB2" w:rsidP="00392A4E">
      <w:pPr>
        <w:pStyle w:val="Item"/>
      </w:pPr>
      <w:r w:rsidRPr="00392A4E">
        <w:t>Omit “primary education or secondary education”, substitute “</w:t>
      </w:r>
      <w:r w:rsidRPr="00392A4E">
        <w:rPr>
          <w:b/>
          <w:i/>
        </w:rPr>
        <w:t xml:space="preserve">primary education </w:t>
      </w:r>
      <w:r w:rsidRPr="00392A4E">
        <w:t>or</w:t>
      </w:r>
      <w:r w:rsidRPr="00392A4E">
        <w:rPr>
          <w:b/>
          <w:i/>
        </w:rPr>
        <w:t xml:space="preserve"> secondary education</w:t>
      </w:r>
      <w:r w:rsidRPr="00392A4E">
        <w:t>”.</w:t>
      </w:r>
    </w:p>
    <w:p w:rsidR="00D24AB2" w:rsidRPr="00392A4E" w:rsidRDefault="0080643A" w:rsidP="00392A4E">
      <w:pPr>
        <w:pStyle w:val="ItemHead"/>
      </w:pPr>
      <w:r w:rsidRPr="00392A4E">
        <w:t>127</w:t>
      </w:r>
      <w:r w:rsidR="00D24AB2" w:rsidRPr="00392A4E">
        <w:t xml:space="preserve">  Sections</w:t>
      </w:r>
      <w:r w:rsidR="00392A4E" w:rsidRPr="00392A4E">
        <w:t> </w:t>
      </w:r>
      <w:r w:rsidR="00D24AB2" w:rsidRPr="00392A4E">
        <w:t>16 and 17</w:t>
      </w:r>
    </w:p>
    <w:p w:rsidR="00D24AB2" w:rsidRPr="00392A4E" w:rsidRDefault="00D24AB2" w:rsidP="00392A4E">
      <w:pPr>
        <w:pStyle w:val="Item"/>
      </w:pPr>
      <w:r w:rsidRPr="00392A4E">
        <w:t>Repeal the sections, substitute:</w:t>
      </w:r>
    </w:p>
    <w:p w:rsidR="00D24AB2" w:rsidRPr="00392A4E" w:rsidRDefault="00D24AB2" w:rsidP="00392A4E">
      <w:pPr>
        <w:pStyle w:val="ActHead5"/>
      </w:pPr>
      <w:bookmarkStart w:id="43" w:name="_Toc486412763"/>
      <w:r w:rsidRPr="00392A4E">
        <w:rPr>
          <w:rStyle w:val="CharSectno"/>
        </w:rPr>
        <w:t>16</w:t>
      </w:r>
      <w:r w:rsidRPr="00392A4E">
        <w:t xml:space="preserve">  </w:t>
      </w:r>
      <w:r w:rsidR="00D54EE7" w:rsidRPr="00392A4E">
        <w:t>Working out</w:t>
      </w:r>
      <w:r w:rsidRPr="00392A4E">
        <w:t xml:space="preserve"> the number of students at a school for a year</w:t>
      </w:r>
      <w:bookmarkEnd w:id="43"/>
    </w:p>
    <w:p w:rsidR="00D54EE7" w:rsidRPr="00392A4E" w:rsidRDefault="00D24AB2" w:rsidP="00392A4E">
      <w:pPr>
        <w:pStyle w:val="subsection"/>
      </w:pPr>
      <w:r w:rsidRPr="00392A4E">
        <w:tab/>
      </w:r>
      <w:r w:rsidR="00D54EE7" w:rsidRPr="00392A4E">
        <w:t>(1)</w:t>
      </w:r>
      <w:r w:rsidR="00D54EE7" w:rsidRPr="00392A4E">
        <w:tab/>
        <w:t>The regulations must prescribe a method for working out the number of students at a school for a year.</w:t>
      </w:r>
    </w:p>
    <w:p w:rsidR="00D54EE7" w:rsidRPr="00392A4E" w:rsidRDefault="00D54EE7" w:rsidP="00392A4E">
      <w:pPr>
        <w:pStyle w:val="subsection"/>
      </w:pPr>
      <w:r w:rsidRPr="00392A4E">
        <w:tab/>
        <w:t>(2)</w:t>
      </w:r>
      <w:r w:rsidRPr="00392A4E">
        <w:tab/>
        <w:t>A reference in this Act to the number of students at a school for a year is a reference to the number worked out in accordance with the regulations.</w:t>
      </w:r>
    </w:p>
    <w:p w:rsidR="00A85911" w:rsidRPr="00392A4E" w:rsidRDefault="0080643A" w:rsidP="00392A4E">
      <w:pPr>
        <w:pStyle w:val="ItemHead"/>
      </w:pPr>
      <w:r w:rsidRPr="00392A4E">
        <w:t>128</w:t>
      </w:r>
      <w:r w:rsidR="00A85911" w:rsidRPr="00392A4E">
        <w:t xml:space="preserve">  Subsection</w:t>
      </w:r>
      <w:r w:rsidR="00392A4E" w:rsidRPr="00392A4E">
        <w:t> </w:t>
      </w:r>
      <w:r w:rsidR="00A85911" w:rsidRPr="00392A4E">
        <w:t>19(1)</w:t>
      </w:r>
    </w:p>
    <w:p w:rsidR="00A85911" w:rsidRPr="00392A4E" w:rsidRDefault="00A85911" w:rsidP="00392A4E">
      <w:pPr>
        <w:pStyle w:val="Item"/>
      </w:pPr>
      <w:r w:rsidRPr="00392A4E">
        <w:t>Omit “</w:t>
      </w:r>
      <w:r w:rsidR="009E55E8" w:rsidRPr="00392A4E">
        <w:t xml:space="preserve">only </w:t>
      </w:r>
      <w:r w:rsidRPr="00392A4E">
        <w:t>by distance education”, substitute “to distance education students</w:t>
      </w:r>
      <w:r w:rsidR="009E55E8" w:rsidRPr="00392A4E">
        <w:t xml:space="preserve"> only</w:t>
      </w:r>
      <w:r w:rsidRPr="00392A4E">
        <w:t>”.</w:t>
      </w:r>
    </w:p>
    <w:p w:rsidR="00533294" w:rsidRPr="00392A4E" w:rsidRDefault="0080643A" w:rsidP="00392A4E">
      <w:pPr>
        <w:pStyle w:val="ItemHead"/>
      </w:pPr>
      <w:r w:rsidRPr="00392A4E">
        <w:t>129</w:t>
      </w:r>
      <w:r w:rsidR="00533294" w:rsidRPr="00392A4E">
        <w:t xml:space="preserve">  Paragraph 25(2)(a)</w:t>
      </w:r>
    </w:p>
    <w:p w:rsidR="00533294" w:rsidRPr="00392A4E" w:rsidRDefault="00533294" w:rsidP="00392A4E">
      <w:pPr>
        <w:pStyle w:val="Item"/>
      </w:pPr>
      <w:r w:rsidRPr="00392A4E">
        <w:t>Omit “(including information from a census day of a previous year)”.</w:t>
      </w:r>
    </w:p>
    <w:p w:rsidR="00D24AB2" w:rsidRPr="00392A4E" w:rsidRDefault="0080643A" w:rsidP="00392A4E">
      <w:pPr>
        <w:pStyle w:val="ItemHead"/>
      </w:pPr>
      <w:r w:rsidRPr="00392A4E">
        <w:t>130</w:t>
      </w:r>
      <w:r w:rsidR="00D24AB2" w:rsidRPr="00392A4E">
        <w:t xml:space="preserve">  Subsection</w:t>
      </w:r>
      <w:r w:rsidR="00392A4E" w:rsidRPr="00392A4E">
        <w:t> </w:t>
      </w:r>
      <w:r w:rsidR="00D24AB2" w:rsidRPr="00392A4E">
        <w:t>33(1) (note)</w:t>
      </w:r>
    </w:p>
    <w:p w:rsidR="00D24AB2" w:rsidRPr="00392A4E" w:rsidRDefault="00D24AB2" w:rsidP="00392A4E">
      <w:pPr>
        <w:pStyle w:val="Item"/>
      </w:pPr>
      <w:r w:rsidRPr="00392A4E">
        <w:t>Repeal the note, substitute:</w:t>
      </w:r>
    </w:p>
    <w:p w:rsidR="00D24AB2" w:rsidRPr="00392A4E" w:rsidRDefault="00D24AB2" w:rsidP="00392A4E">
      <w:pPr>
        <w:pStyle w:val="notetext"/>
      </w:pPr>
      <w:r w:rsidRPr="00392A4E">
        <w:t>Note:</w:t>
      </w:r>
      <w:r w:rsidRPr="00392A4E">
        <w:tab/>
        <w:t>For the number of students at a school for a year, see section</w:t>
      </w:r>
      <w:r w:rsidR="00392A4E" w:rsidRPr="00392A4E">
        <w:t> </w:t>
      </w:r>
      <w:r w:rsidR="00533294" w:rsidRPr="00392A4E">
        <w:t>16.</w:t>
      </w:r>
    </w:p>
    <w:p w:rsidR="00D24AB2" w:rsidRPr="00392A4E" w:rsidRDefault="0080643A" w:rsidP="00392A4E">
      <w:pPr>
        <w:pStyle w:val="ItemHead"/>
      </w:pPr>
      <w:r w:rsidRPr="00392A4E">
        <w:t>131</w:t>
      </w:r>
      <w:r w:rsidR="00D24AB2" w:rsidRPr="00392A4E">
        <w:t xml:space="preserve">  Subsection</w:t>
      </w:r>
      <w:r w:rsidR="00392A4E" w:rsidRPr="00392A4E">
        <w:t> </w:t>
      </w:r>
      <w:r w:rsidR="00D24AB2" w:rsidRPr="00392A4E">
        <w:t>33(3)</w:t>
      </w:r>
    </w:p>
    <w:p w:rsidR="00D24AB2" w:rsidRPr="00392A4E" w:rsidRDefault="00D24AB2" w:rsidP="00392A4E">
      <w:pPr>
        <w:pStyle w:val="Item"/>
      </w:pPr>
      <w:r w:rsidRPr="00392A4E">
        <w:t>Omit “at which students receive distance education”, substitute “</w:t>
      </w:r>
      <w:r w:rsidR="00533294" w:rsidRPr="00392A4E">
        <w:t>at which there are distance education students</w:t>
      </w:r>
      <w:r w:rsidRPr="00392A4E">
        <w:t>”.</w:t>
      </w:r>
    </w:p>
    <w:p w:rsidR="00D24AB2" w:rsidRPr="00392A4E" w:rsidRDefault="0080643A" w:rsidP="00392A4E">
      <w:pPr>
        <w:pStyle w:val="ItemHead"/>
      </w:pPr>
      <w:r w:rsidRPr="00392A4E">
        <w:lastRenderedPageBreak/>
        <w:t>132</w:t>
      </w:r>
      <w:r w:rsidR="00D24AB2" w:rsidRPr="00392A4E">
        <w:t xml:space="preserve">  Paragraph 33(3)(a)</w:t>
      </w:r>
    </w:p>
    <w:p w:rsidR="00D24AB2" w:rsidRPr="00392A4E" w:rsidRDefault="00D24AB2" w:rsidP="00392A4E">
      <w:pPr>
        <w:pStyle w:val="Item"/>
      </w:pPr>
      <w:r w:rsidRPr="00392A4E">
        <w:t>Omit “students receiving distance education at the school”, substitute “the distance education students”.</w:t>
      </w:r>
    </w:p>
    <w:p w:rsidR="00D24AB2" w:rsidRPr="00392A4E" w:rsidRDefault="0080643A" w:rsidP="00392A4E">
      <w:pPr>
        <w:pStyle w:val="ItemHead"/>
      </w:pPr>
      <w:r w:rsidRPr="00392A4E">
        <w:t>133</w:t>
      </w:r>
      <w:r w:rsidR="00D24AB2" w:rsidRPr="00392A4E">
        <w:t xml:space="preserve">  Subparagraph 33(3)(b)(</w:t>
      </w:r>
      <w:proofErr w:type="spellStart"/>
      <w:r w:rsidR="00D24AB2" w:rsidRPr="00392A4E">
        <w:t>i</w:t>
      </w:r>
      <w:proofErr w:type="spellEnd"/>
      <w:r w:rsidR="00D24AB2" w:rsidRPr="00392A4E">
        <w:t>)</w:t>
      </w:r>
    </w:p>
    <w:p w:rsidR="00D24AB2" w:rsidRPr="00392A4E" w:rsidRDefault="00D24AB2" w:rsidP="00392A4E">
      <w:pPr>
        <w:pStyle w:val="Item"/>
      </w:pPr>
      <w:r w:rsidRPr="00392A4E">
        <w:t>Omit “those students receiving distance education at the school”, substitute “the distance education students”.</w:t>
      </w:r>
    </w:p>
    <w:p w:rsidR="00D24AB2" w:rsidRPr="00392A4E" w:rsidRDefault="0080643A" w:rsidP="00392A4E">
      <w:pPr>
        <w:pStyle w:val="ItemHead"/>
      </w:pPr>
      <w:r w:rsidRPr="00392A4E">
        <w:t>134</w:t>
      </w:r>
      <w:r w:rsidR="00D24AB2" w:rsidRPr="00392A4E">
        <w:t xml:space="preserve">  Subsection</w:t>
      </w:r>
      <w:r w:rsidR="00392A4E" w:rsidRPr="00392A4E">
        <w:t> </w:t>
      </w:r>
      <w:r w:rsidR="00D24AB2" w:rsidRPr="00392A4E">
        <w:t>33(4) (note 2)</w:t>
      </w:r>
    </w:p>
    <w:p w:rsidR="00D24AB2" w:rsidRPr="00392A4E" w:rsidRDefault="00D24AB2" w:rsidP="00392A4E">
      <w:pPr>
        <w:pStyle w:val="Item"/>
      </w:pPr>
      <w:r w:rsidRPr="00392A4E">
        <w:t>Omit “students who receive distance education at the school”, substitute “distance education students”.</w:t>
      </w:r>
    </w:p>
    <w:p w:rsidR="00D24AB2" w:rsidRPr="00392A4E" w:rsidRDefault="0080643A" w:rsidP="00392A4E">
      <w:pPr>
        <w:pStyle w:val="ItemHead"/>
      </w:pPr>
      <w:r w:rsidRPr="00392A4E">
        <w:t>135</w:t>
      </w:r>
      <w:r w:rsidR="00D24AB2" w:rsidRPr="00392A4E">
        <w:t xml:space="preserve">  Subsection</w:t>
      </w:r>
      <w:r w:rsidR="00392A4E" w:rsidRPr="00392A4E">
        <w:t> </w:t>
      </w:r>
      <w:r w:rsidR="00D24AB2" w:rsidRPr="00392A4E">
        <w:t>34(1) (note)</w:t>
      </w:r>
    </w:p>
    <w:p w:rsidR="00D24AB2" w:rsidRPr="00392A4E" w:rsidRDefault="00D24AB2" w:rsidP="00392A4E">
      <w:pPr>
        <w:pStyle w:val="Item"/>
      </w:pPr>
      <w:r w:rsidRPr="00392A4E">
        <w:t>Omit “students receiving distance education”, substitute “distance education students”.</w:t>
      </w:r>
    </w:p>
    <w:p w:rsidR="00D24AB2" w:rsidRPr="00392A4E" w:rsidRDefault="0080643A" w:rsidP="00392A4E">
      <w:pPr>
        <w:pStyle w:val="ItemHead"/>
      </w:pPr>
      <w:r w:rsidRPr="00392A4E">
        <w:t>136</w:t>
      </w:r>
      <w:r w:rsidR="00D24AB2" w:rsidRPr="00392A4E">
        <w:t xml:space="preserve">  Subsection</w:t>
      </w:r>
      <w:r w:rsidR="00392A4E" w:rsidRPr="00392A4E">
        <w:t> </w:t>
      </w:r>
      <w:r w:rsidR="00D24AB2" w:rsidRPr="00392A4E">
        <w:t>37(3)</w:t>
      </w:r>
    </w:p>
    <w:p w:rsidR="00D24AB2" w:rsidRPr="00392A4E" w:rsidRDefault="00533294" w:rsidP="00392A4E">
      <w:pPr>
        <w:pStyle w:val="Item"/>
      </w:pPr>
      <w:r w:rsidRPr="00392A4E">
        <w:t>Repeal the subsection.</w:t>
      </w:r>
    </w:p>
    <w:p w:rsidR="00D24AB2" w:rsidRPr="00392A4E" w:rsidRDefault="0080643A" w:rsidP="00392A4E">
      <w:pPr>
        <w:pStyle w:val="ItemHead"/>
      </w:pPr>
      <w:r w:rsidRPr="00392A4E">
        <w:t>137</w:t>
      </w:r>
      <w:r w:rsidR="00D24AB2" w:rsidRPr="00392A4E">
        <w:t xml:space="preserve">  Subsection</w:t>
      </w:r>
      <w:r w:rsidR="00392A4E" w:rsidRPr="00392A4E">
        <w:t> </w:t>
      </w:r>
      <w:r w:rsidR="00D24AB2" w:rsidRPr="00392A4E">
        <w:t>38(3) (note)</w:t>
      </w:r>
    </w:p>
    <w:p w:rsidR="00D24AB2" w:rsidRPr="00392A4E" w:rsidRDefault="00D24AB2" w:rsidP="00392A4E">
      <w:pPr>
        <w:pStyle w:val="Item"/>
      </w:pPr>
      <w:r w:rsidRPr="00392A4E">
        <w:t>Repeal the note, substitute:</w:t>
      </w:r>
    </w:p>
    <w:p w:rsidR="00D24AB2" w:rsidRPr="00392A4E" w:rsidRDefault="00D24AB2" w:rsidP="00392A4E">
      <w:pPr>
        <w:pStyle w:val="notetext"/>
      </w:pPr>
      <w:r w:rsidRPr="00392A4E">
        <w:t>Note:</w:t>
      </w:r>
      <w:r w:rsidRPr="00392A4E">
        <w:tab/>
        <w:t>For the number of students at a school for a year, see section</w:t>
      </w:r>
      <w:r w:rsidR="00392A4E" w:rsidRPr="00392A4E">
        <w:t> </w:t>
      </w:r>
      <w:r w:rsidRPr="00392A4E">
        <w:t>16.</w:t>
      </w:r>
    </w:p>
    <w:p w:rsidR="00D24AB2" w:rsidRPr="00392A4E" w:rsidRDefault="0080643A" w:rsidP="00392A4E">
      <w:pPr>
        <w:pStyle w:val="ItemHead"/>
      </w:pPr>
      <w:r w:rsidRPr="00392A4E">
        <w:t>138</w:t>
      </w:r>
      <w:r w:rsidR="00D24AB2" w:rsidRPr="00392A4E">
        <w:t xml:space="preserve">  Subsection</w:t>
      </w:r>
      <w:r w:rsidR="00392A4E" w:rsidRPr="00392A4E">
        <w:t> </w:t>
      </w:r>
      <w:r w:rsidR="00D24AB2" w:rsidRPr="00392A4E">
        <w:t>39(2) (note)</w:t>
      </w:r>
    </w:p>
    <w:p w:rsidR="00D24AB2" w:rsidRPr="00392A4E" w:rsidRDefault="00D24AB2" w:rsidP="00392A4E">
      <w:pPr>
        <w:pStyle w:val="Item"/>
      </w:pPr>
      <w:r w:rsidRPr="00392A4E">
        <w:t>Repeal the note.</w:t>
      </w:r>
    </w:p>
    <w:p w:rsidR="00D24AB2" w:rsidRPr="00392A4E" w:rsidRDefault="0080643A" w:rsidP="00392A4E">
      <w:pPr>
        <w:pStyle w:val="ItemHead"/>
      </w:pPr>
      <w:r w:rsidRPr="00392A4E">
        <w:t>139</w:t>
      </w:r>
      <w:r w:rsidR="00D24AB2" w:rsidRPr="00392A4E">
        <w:t xml:space="preserve">  Subsection</w:t>
      </w:r>
      <w:r w:rsidR="00392A4E" w:rsidRPr="00392A4E">
        <w:t> </w:t>
      </w:r>
      <w:r w:rsidR="00D24AB2" w:rsidRPr="00392A4E">
        <w:t>40(1) (note 1)</w:t>
      </w:r>
    </w:p>
    <w:p w:rsidR="00D24AB2" w:rsidRPr="00392A4E" w:rsidRDefault="00D24AB2" w:rsidP="00392A4E">
      <w:pPr>
        <w:pStyle w:val="Item"/>
      </w:pPr>
      <w:r w:rsidRPr="00392A4E">
        <w:t>Repeal the note, substitute:</w:t>
      </w:r>
    </w:p>
    <w:p w:rsidR="00D24AB2" w:rsidRPr="00392A4E" w:rsidRDefault="00D24AB2" w:rsidP="00392A4E">
      <w:pPr>
        <w:pStyle w:val="notetext"/>
      </w:pPr>
      <w:r w:rsidRPr="00392A4E">
        <w:t>Note 1:</w:t>
      </w:r>
      <w:r w:rsidRPr="00392A4E">
        <w:tab/>
        <w:t>For the number of students at a school for a year, see section</w:t>
      </w:r>
      <w:r w:rsidR="00392A4E" w:rsidRPr="00392A4E">
        <w:t> </w:t>
      </w:r>
      <w:r w:rsidRPr="00392A4E">
        <w:t>16.</w:t>
      </w:r>
    </w:p>
    <w:p w:rsidR="00D24AB2" w:rsidRPr="00392A4E" w:rsidRDefault="0080643A" w:rsidP="00392A4E">
      <w:pPr>
        <w:pStyle w:val="ItemHead"/>
      </w:pPr>
      <w:r w:rsidRPr="00392A4E">
        <w:t>140</w:t>
      </w:r>
      <w:r w:rsidR="00D24AB2" w:rsidRPr="00392A4E">
        <w:t xml:space="preserve">  Subsection</w:t>
      </w:r>
      <w:r w:rsidR="00392A4E" w:rsidRPr="00392A4E">
        <w:t> </w:t>
      </w:r>
      <w:r w:rsidR="00D24AB2" w:rsidRPr="00392A4E">
        <w:t>45(1)</w:t>
      </w:r>
    </w:p>
    <w:p w:rsidR="00D24AB2" w:rsidRPr="00392A4E" w:rsidRDefault="00D24AB2" w:rsidP="00392A4E">
      <w:pPr>
        <w:pStyle w:val="Item"/>
      </w:pPr>
      <w:r w:rsidRPr="00392A4E">
        <w:t xml:space="preserve">Omit “students at the school receiving primary education on the school’s census day”, substitute “primary students </w:t>
      </w:r>
      <w:r w:rsidR="00D37932" w:rsidRPr="00392A4E">
        <w:t>at the school</w:t>
      </w:r>
      <w:r w:rsidRPr="00392A4E">
        <w:t>”.</w:t>
      </w:r>
    </w:p>
    <w:p w:rsidR="00D24AB2" w:rsidRPr="00392A4E" w:rsidRDefault="0080643A" w:rsidP="00392A4E">
      <w:pPr>
        <w:pStyle w:val="ItemHead"/>
      </w:pPr>
      <w:r w:rsidRPr="00392A4E">
        <w:t>141</w:t>
      </w:r>
      <w:r w:rsidR="00D24AB2" w:rsidRPr="00392A4E">
        <w:t xml:space="preserve">  Subsection</w:t>
      </w:r>
      <w:r w:rsidR="00392A4E" w:rsidRPr="00392A4E">
        <w:t> </w:t>
      </w:r>
      <w:r w:rsidR="00D24AB2" w:rsidRPr="00392A4E">
        <w:t>45(2)</w:t>
      </w:r>
    </w:p>
    <w:p w:rsidR="00D24AB2" w:rsidRPr="00392A4E" w:rsidRDefault="00D24AB2" w:rsidP="00392A4E">
      <w:pPr>
        <w:pStyle w:val="Item"/>
      </w:pPr>
      <w:r w:rsidRPr="00392A4E">
        <w:t xml:space="preserve">Omit “students at the school receiving secondary education on the school’s census day”, substitute “secondary students </w:t>
      </w:r>
      <w:r w:rsidR="00D37932" w:rsidRPr="00392A4E">
        <w:t>at the school</w:t>
      </w:r>
      <w:r w:rsidRPr="00392A4E">
        <w:t>”.</w:t>
      </w:r>
    </w:p>
    <w:p w:rsidR="00D24AB2" w:rsidRPr="00392A4E" w:rsidRDefault="0080643A" w:rsidP="00392A4E">
      <w:pPr>
        <w:pStyle w:val="ItemHead"/>
      </w:pPr>
      <w:r w:rsidRPr="00392A4E">
        <w:lastRenderedPageBreak/>
        <w:t>142</w:t>
      </w:r>
      <w:r w:rsidR="00D24AB2" w:rsidRPr="00392A4E">
        <w:t xml:space="preserve">  Subsection</w:t>
      </w:r>
      <w:r w:rsidR="00392A4E" w:rsidRPr="00392A4E">
        <w:t> </w:t>
      </w:r>
      <w:r w:rsidR="00D24AB2" w:rsidRPr="00392A4E">
        <w:t>47(1) (note 2)</w:t>
      </w:r>
    </w:p>
    <w:p w:rsidR="00D24AB2" w:rsidRPr="00392A4E" w:rsidRDefault="00D24AB2" w:rsidP="00392A4E">
      <w:pPr>
        <w:pStyle w:val="Item"/>
      </w:pPr>
      <w:r w:rsidRPr="00392A4E">
        <w:t>Repeal the note, substitute:</w:t>
      </w:r>
    </w:p>
    <w:p w:rsidR="00D24AB2" w:rsidRPr="00392A4E" w:rsidRDefault="00D24AB2" w:rsidP="00392A4E">
      <w:pPr>
        <w:pStyle w:val="notetext"/>
      </w:pPr>
      <w:r w:rsidRPr="00392A4E">
        <w:t>Note 2:</w:t>
      </w:r>
      <w:r w:rsidRPr="00392A4E">
        <w:tab/>
        <w:t>For the number of students at a school for a year, see section</w:t>
      </w:r>
      <w:r w:rsidR="00392A4E" w:rsidRPr="00392A4E">
        <w:t> </w:t>
      </w:r>
      <w:r w:rsidRPr="00392A4E">
        <w:t>16.</w:t>
      </w:r>
    </w:p>
    <w:p w:rsidR="00D24AB2" w:rsidRPr="00392A4E" w:rsidRDefault="0080643A" w:rsidP="00392A4E">
      <w:pPr>
        <w:pStyle w:val="ItemHead"/>
      </w:pPr>
      <w:r w:rsidRPr="00392A4E">
        <w:t>143</w:t>
      </w:r>
      <w:r w:rsidR="00D24AB2" w:rsidRPr="00392A4E">
        <w:t xml:space="preserve">  Sections</w:t>
      </w:r>
      <w:r w:rsidR="00392A4E" w:rsidRPr="00392A4E">
        <w:t> </w:t>
      </w:r>
      <w:r w:rsidR="00D24AB2" w:rsidRPr="00392A4E">
        <w:t>48 and 51 (note)</w:t>
      </w:r>
    </w:p>
    <w:p w:rsidR="00D24AB2" w:rsidRPr="00392A4E" w:rsidRDefault="00D24AB2" w:rsidP="00392A4E">
      <w:pPr>
        <w:pStyle w:val="Item"/>
      </w:pPr>
      <w:r w:rsidRPr="00392A4E">
        <w:t>Repeal the note, substitute:</w:t>
      </w:r>
    </w:p>
    <w:p w:rsidR="00D24AB2" w:rsidRPr="00392A4E" w:rsidRDefault="00D24AB2" w:rsidP="00392A4E">
      <w:pPr>
        <w:pStyle w:val="notetext"/>
      </w:pPr>
      <w:r w:rsidRPr="00392A4E">
        <w:t>Note:</w:t>
      </w:r>
      <w:r w:rsidRPr="00392A4E">
        <w:tab/>
        <w:t>For the number of students at a school for a year, see section</w:t>
      </w:r>
      <w:r w:rsidR="00392A4E" w:rsidRPr="00392A4E">
        <w:t> </w:t>
      </w:r>
      <w:r w:rsidRPr="00392A4E">
        <w:t>16.</w:t>
      </w:r>
    </w:p>
    <w:p w:rsidR="00D24AB2" w:rsidRPr="00392A4E" w:rsidRDefault="0080643A" w:rsidP="00392A4E">
      <w:pPr>
        <w:pStyle w:val="ItemHead"/>
      </w:pPr>
      <w:r w:rsidRPr="00392A4E">
        <w:t>144</w:t>
      </w:r>
      <w:r w:rsidR="00D24AB2" w:rsidRPr="00392A4E">
        <w:t xml:space="preserve">  Subsections</w:t>
      </w:r>
      <w:r w:rsidR="00392A4E" w:rsidRPr="00392A4E">
        <w:t> </w:t>
      </w:r>
      <w:r w:rsidR="00D24AB2" w:rsidRPr="00392A4E">
        <w:t>54(2) and (3) (note)</w:t>
      </w:r>
    </w:p>
    <w:p w:rsidR="00D24AB2" w:rsidRPr="00392A4E" w:rsidRDefault="00D24AB2" w:rsidP="00392A4E">
      <w:pPr>
        <w:pStyle w:val="Item"/>
      </w:pPr>
      <w:r w:rsidRPr="00392A4E">
        <w:t>Omit “students who receive distance education at the school”, substitute “distance education students”.</w:t>
      </w:r>
    </w:p>
    <w:p w:rsidR="00F17C93" w:rsidRPr="00392A4E" w:rsidRDefault="0080643A" w:rsidP="00392A4E">
      <w:pPr>
        <w:pStyle w:val="ItemHead"/>
      </w:pPr>
      <w:r w:rsidRPr="00392A4E">
        <w:t>145</w:t>
      </w:r>
      <w:r w:rsidR="00F17C93" w:rsidRPr="00392A4E">
        <w:t xml:space="preserve">  Subsection</w:t>
      </w:r>
      <w:r w:rsidR="00392A4E" w:rsidRPr="00392A4E">
        <w:t> </w:t>
      </w:r>
      <w:r w:rsidR="00F17C93" w:rsidRPr="00392A4E">
        <w:t>77(4)</w:t>
      </w:r>
    </w:p>
    <w:p w:rsidR="00F17C93" w:rsidRPr="00392A4E" w:rsidRDefault="00F17C93" w:rsidP="00392A4E">
      <w:pPr>
        <w:pStyle w:val="Item"/>
      </w:pPr>
      <w:r w:rsidRPr="00392A4E">
        <w:t>Repeal the subsection.</w:t>
      </w:r>
    </w:p>
    <w:p w:rsidR="007618CA" w:rsidRPr="00392A4E" w:rsidRDefault="0080643A" w:rsidP="00392A4E">
      <w:pPr>
        <w:pStyle w:val="ItemHead"/>
      </w:pPr>
      <w:r w:rsidRPr="00392A4E">
        <w:t>146</w:t>
      </w:r>
      <w:r w:rsidR="007618CA" w:rsidRPr="00392A4E">
        <w:t xml:space="preserve">  Subsections</w:t>
      </w:r>
      <w:r w:rsidR="00392A4E" w:rsidRPr="00392A4E">
        <w:t> </w:t>
      </w:r>
      <w:r w:rsidR="007618CA" w:rsidRPr="00392A4E">
        <w:t>81(4)</w:t>
      </w:r>
      <w:r w:rsidR="007617A1" w:rsidRPr="00392A4E">
        <w:t xml:space="preserve">, </w:t>
      </w:r>
      <w:r w:rsidR="007618CA" w:rsidRPr="00392A4E">
        <w:t>88(4) and 96(3)</w:t>
      </w:r>
    </w:p>
    <w:p w:rsidR="007618CA" w:rsidRPr="00392A4E" w:rsidRDefault="007618CA" w:rsidP="00392A4E">
      <w:pPr>
        <w:pStyle w:val="Item"/>
      </w:pPr>
      <w:r w:rsidRPr="00392A4E">
        <w:t>Repeal the subsections.</w:t>
      </w:r>
    </w:p>
    <w:p w:rsidR="00053921" w:rsidRPr="00392A4E" w:rsidRDefault="0080643A" w:rsidP="00392A4E">
      <w:pPr>
        <w:pStyle w:val="ItemHead"/>
      </w:pPr>
      <w:r w:rsidRPr="00392A4E">
        <w:t>147</w:t>
      </w:r>
      <w:r w:rsidR="00053921" w:rsidRPr="00392A4E">
        <w:t xml:space="preserve">  At the end of Part</w:t>
      </w:r>
      <w:r w:rsidR="00392A4E" w:rsidRPr="00392A4E">
        <w:t> </w:t>
      </w:r>
      <w:r w:rsidR="00053921" w:rsidRPr="00392A4E">
        <w:t>6</w:t>
      </w:r>
    </w:p>
    <w:p w:rsidR="00053921" w:rsidRPr="00392A4E" w:rsidRDefault="00053921" w:rsidP="00392A4E">
      <w:pPr>
        <w:pStyle w:val="Item"/>
      </w:pPr>
      <w:r w:rsidRPr="00392A4E">
        <w:t>Add:</w:t>
      </w:r>
    </w:p>
    <w:p w:rsidR="00053921" w:rsidRPr="00392A4E" w:rsidRDefault="00053921" w:rsidP="00392A4E">
      <w:pPr>
        <w:pStyle w:val="ActHead3"/>
      </w:pPr>
      <w:bookmarkStart w:id="44" w:name="_Toc486412764"/>
      <w:r w:rsidRPr="00392A4E">
        <w:rPr>
          <w:rStyle w:val="CharDivNo"/>
        </w:rPr>
        <w:t>Division</w:t>
      </w:r>
      <w:r w:rsidR="00392A4E" w:rsidRPr="00392A4E">
        <w:rPr>
          <w:rStyle w:val="CharDivNo"/>
        </w:rPr>
        <w:t> </w:t>
      </w:r>
      <w:r w:rsidRPr="00392A4E">
        <w:rPr>
          <w:rStyle w:val="CharDivNo"/>
        </w:rPr>
        <w:t>5</w:t>
      </w:r>
      <w:r w:rsidRPr="00392A4E">
        <w:t>—</w:t>
      </w:r>
      <w:r w:rsidRPr="00392A4E">
        <w:rPr>
          <w:rStyle w:val="CharDivText"/>
        </w:rPr>
        <w:t>Former approved authorities and bodies</w:t>
      </w:r>
      <w:bookmarkEnd w:id="44"/>
    </w:p>
    <w:p w:rsidR="00053921" w:rsidRPr="00392A4E" w:rsidRDefault="00053921" w:rsidP="00392A4E">
      <w:pPr>
        <w:pStyle w:val="ActHead5"/>
      </w:pPr>
      <w:bookmarkStart w:id="45" w:name="_Toc486412765"/>
      <w:r w:rsidRPr="00392A4E">
        <w:rPr>
          <w:rStyle w:val="CharSectno"/>
        </w:rPr>
        <w:t>96A</w:t>
      </w:r>
      <w:r w:rsidRPr="00392A4E">
        <w:t xml:space="preserve">  Continuing requirements</w:t>
      </w:r>
      <w:bookmarkEnd w:id="45"/>
    </w:p>
    <w:p w:rsidR="00053921" w:rsidRPr="00392A4E" w:rsidRDefault="00053921" w:rsidP="00392A4E">
      <w:pPr>
        <w:pStyle w:val="subsection"/>
      </w:pPr>
      <w:r w:rsidRPr="00392A4E">
        <w:tab/>
        <w:t>(1)</w:t>
      </w:r>
      <w:r w:rsidRPr="00392A4E">
        <w:tab/>
        <w:t>The regulations may prescribe continuing requirements that must be met by a person who was:</w:t>
      </w:r>
    </w:p>
    <w:p w:rsidR="00053921" w:rsidRPr="00392A4E" w:rsidRDefault="00053921" w:rsidP="00392A4E">
      <w:pPr>
        <w:pStyle w:val="paragraph"/>
      </w:pPr>
      <w:r w:rsidRPr="00392A4E">
        <w:tab/>
        <w:t>(a)</w:t>
      </w:r>
      <w:r w:rsidRPr="00392A4E">
        <w:tab/>
        <w:t>an approved authority for a school; or</w:t>
      </w:r>
    </w:p>
    <w:p w:rsidR="00053921" w:rsidRPr="00392A4E" w:rsidRDefault="00053921" w:rsidP="00392A4E">
      <w:pPr>
        <w:pStyle w:val="paragraph"/>
      </w:pPr>
      <w:r w:rsidRPr="00392A4E">
        <w:tab/>
        <w:t>(b)</w:t>
      </w:r>
      <w:r w:rsidRPr="00392A4E">
        <w:tab/>
        <w:t>a block grant authority for a school; or</w:t>
      </w:r>
    </w:p>
    <w:p w:rsidR="00053921" w:rsidRPr="00392A4E" w:rsidRDefault="00053921" w:rsidP="00392A4E">
      <w:pPr>
        <w:pStyle w:val="paragraph"/>
      </w:pPr>
      <w:r w:rsidRPr="00392A4E">
        <w:tab/>
        <w:t>(c)</w:t>
      </w:r>
      <w:r w:rsidRPr="00392A4E">
        <w:tab/>
        <w:t>a non</w:t>
      </w:r>
      <w:r w:rsidR="00B84F34">
        <w:noBreakHyphen/>
      </w:r>
      <w:r w:rsidRPr="00392A4E">
        <w:t>government representative body for a school.</w:t>
      </w:r>
    </w:p>
    <w:p w:rsidR="00053921" w:rsidRPr="00392A4E" w:rsidRDefault="00053921" w:rsidP="00392A4E">
      <w:pPr>
        <w:pStyle w:val="subsection"/>
      </w:pPr>
      <w:r w:rsidRPr="00392A4E">
        <w:tab/>
        <w:t>(2)</w:t>
      </w:r>
      <w:r w:rsidRPr="00392A4E">
        <w:tab/>
        <w:t xml:space="preserve">A </w:t>
      </w:r>
      <w:r w:rsidRPr="00392A4E">
        <w:rPr>
          <w:b/>
          <w:i/>
        </w:rPr>
        <w:t>continuing requirement</w:t>
      </w:r>
      <w:r w:rsidRPr="00392A4E">
        <w:t xml:space="preserve"> is a requirement that would or could be imposed on the person if the person were still the approved authority, block grant authority or non</w:t>
      </w:r>
      <w:r w:rsidR="00B84F34">
        <w:noBreakHyphen/>
      </w:r>
      <w:r w:rsidRPr="00392A4E">
        <w:t>government representative body for the school.</w:t>
      </w:r>
    </w:p>
    <w:p w:rsidR="007618CA" w:rsidRPr="00392A4E" w:rsidRDefault="0080643A" w:rsidP="00392A4E">
      <w:pPr>
        <w:pStyle w:val="ItemHead"/>
      </w:pPr>
      <w:r w:rsidRPr="00392A4E">
        <w:t>148</w:t>
      </w:r>
      <w:r w:rsidR="004773EF" w:rsidRPr="00392A4E">
        <w:t xml:space="preserve">  Section</w:t>
      </w:r>
      <w:r w:rsidR="00392A4E" w:rsidRPr="00392A4E">
        <w:t> </w:t>
      </w:r>
      <w:r w:rsidR="004773EF" w:rsidRPr="00392A4E">
        <w:t>108</w:t>
      </w:r>
    </w:p>
    <w:p w:rsidR="004773EF" w:rsidRPr="00392A4E" w:rsidRDefault="004773EF" w:rsidP="00392A4E">
      <w:pPr>
        <w:pStyle w:val="Item"/>
      </w:pPr>
      <w:r w:rsidRPr="00392A4E">
        <w:t>After “This Division applies to a State or Territory if”, insert “the Minister is satisfied that”.</w:t>
      </w:r>
    </w:p>
    <w:p w:rsidR="00053921" w:rsidRPr="00392A4E" w:rsidRDefault="0080643A" w:rsidP="00392A4E">
      <w:pPr>
        <w:pStyle w:val="ItemHead"/>
      </w:pPr>
      <w:r w:rsidRPr="00392A4E">
        <w:lastRenderedPageBreak/>
        <w:t>149</w:t>
      </w:r>
      <w:r w:rsidR="00053921" w:rsidRPr="00392A4E">
        <w:t xml:space="preserve">  At the end of section</w:t>
      </w:r>
      <w:r w:rsidR="00392A4E" w:rsidRPr="00392A4E">
        <w:t> </w:t>
      </w:r>
      <w:r w:rsidR="00053921" w:rsidRPr="00392A4E">
        <w:t>108</w:t>
      </w:r>
    </w:p>
    <w:p w:rsidR="00053921" w:rsidRPr="00392A4E" w:rsidRDefault="00053921" w:rsidP="00392A4E">
      <w:pPr>
        <w:pStyle w:val="Item"/>
      </w:pPr>
      <w:r w:rsidRPr="00392A4E">
        <w:t>Add:</w:t>
      </w:r>
    </w:p>
    <w:p w:rsidR="00053921" w:rsidRPr="00392A4E" w:rsidRDefault="00053921" w:rsidP="00392A4E">
      <w:pPr>
        <w:pStyle w:val="paragraph"/>
      </w:pPr>
      <w:r w:rsidRPr="00392A4E">
        <w:tab/>
        <w:t>; (h)</w:t>
      </w:r>
      <w:r w:rsidRPr="00392A4E">
        <w:tab/>
        <w:t>a person who was an approved authority, a block grant authority or a non</w:t>
      </w:r>
      <w:r w:rsidR="00B84F34">
        <w:noBreakHyphen/>
      </w:r>
      <w:r w:rsidRPr="00392A4E">
        <w:t>government representative body does not comply, is not complying or has not complied with a continuing requirement.</w:t>
      </w:r>
    </w:p>
    <w:p w:rsidR="004773EF" w:rsidRPr="00392A4E" w:rsidRDefault="0080643A" w:rsidP="00392A4E">
      <w:pPr>
        <w:pStyle w:val="ItemHead"/>
      </w:pPr>
      <w:r w:rsidRPr="00392A4E">
        <w:t>150</w:t>
      </w:r>
      <w:r w:rsidR="004773EF" w:rsidRPr="00392A4E">
        <w:t xml:space="preserve"> </w:t>
      </w:r>
      <w:r w:rsidR="00623C79" w:rsidRPr="00392A4E">
        <w:t xml:space="preserve"> Subsections</w:t>
      </w:r>
      <w:r w:rsidR="00392A4E" w:rsidRPr="00392A4E">
        <w:t> </w:t>
      </w:r>
      <w:r w:rsidR="00623C79" w:rsidRPr="00392A4E">
        <w:t>109(1) and (2)</w:t>
      </w:r>
    </w:p>
    <w:p w:rsidR="00623C79" w:rsidRPr="00392A4E" w:rsidRDefault="00623C79" w:rsidP="00392A4E">
      <w:pPr>
        <w:pStyle w:val="Item"/>
      </w:pPr>
      <w:r w:rsidRPr="00392A4E">
        <w:t>Omit “the Commonwealth makes”, substitute “the Minister is satisfied that the Commonwealth has made”.</w:t>
      </w:r>
    </w:p>
    <w:p w:rsidR="00623C79" w:rsidRPr="00392A4E" w:rsidRDefault="0080643A" w:rsidP="00392A4E">
      <w:pPr>
        <w:pStyle w:val="ItemHead"/>
      </w:pPr>
      <w:r w:rsidRPr="00392A4E">
        <w:t>151</w:t>
      </w:r>
      <w:r w:rsidR="00623C79" w:rsidRPr="00392A4E">
        <w:t xml:space="preserve">  Subsections</w:t>
      </w:r>
      <w:r w:rsidR="00392A4E" w:rsidRPr="00392A4E">
        <w:t> </w:t>
      </w:r>
      <w:r w:rsidR="00623C79" w:rsidRPr="00392A4E">
        <w:t>109(3) and (4)</w:t>
      </w:r>
    </w:p>
    <w:p w:rsidR="00623C79" w:rsidRPr="00392A4E" w:rsidRDefault="00623C79" w:rsidP="00392A4E">
      <w:pPr>
        <w:pStyle w:val="Item"/>
      </w:pPr>
      <w:r w:rsidRPr="00392A4E">
        <w:t>Omit “State or Territory if:”, substitute “State or Territory if the Minister is satisfied that:”.</w:t>
      </w:r>
    </w:p>
    <w:p w:rsidR="00623C79" w:rsidRPr="00392A4E" w:rsidRDefault="0080643A" w:rsidP="00392A4E">
      <w:pPr>
        <w:pStyle w:val="ItemHead"/>
      </w:pPr>
      <w:r w:rsidRPr="00392A4E">
        <w:t>152</w:t>
      </w:r>
      <w:r w:rsidR="00623C79" w:rsidRPr="00392A4E">
        <w:t xml:space="preserve">  Paragraph 109(4)(a)</w:t>
      </w:r>
    </w:p>
    <w:p w:rsidR="00623C79" w:rsidRPr="00392A4E" w:rsidRDefault="00623C79" w:rsidP="00392A4E">
      <w:pPr>
        <w:pStyle w:val="Item"/>
      </w:pPr>
      <w:r w:rsidRPr="00392A4E">
        <w:t>Omit “is paid”, substitute “has been paid”.</w:t>
      </w:r>
    </w:p>
    <w:p w:rsidR="00623C79" w:rsidRPr="00392A4E" w:rsidRDefault="0080643A" w:rsidP="00392A4E">
      <w:pPr>
        <w:pStyle w:val="ItemHead"/>
      </w:pPr>
      <w:r w:rsidRPr="00392A4E">
        <w:t>153</w:t>
      </w:r>
      <w:r w:rsidR="00623C79" w:rsidRPr="00392A4E">
        <w:t xml:space="preserve">  Paragraph 109(4)(b)</w:t>
      </w:r>
    </w:p>
    <w:p w:rsidR="00623C79" w:rsidRPr="00392A4E" w:rsidRDefault="00623C79" w:rsidP="00392A4E">
      <w:pPr>
        <w:pStyle w:val="Item"/>
      </w:pPr>
      <w:r w:rsidRPr="00392A4E">
        <w:t>Omit “is spent”, substitute “has been spent”.</w:t>
      </w:r>
    </w:p>
    <w:p w:rsidR="00623C79" w:rsidRPr="00392A4E" w:rsidRDefault="0080643A" w:rsidP="00392A4E">
      <w:pPr>
        <w:pStyle w:val="ItemHead"/>
      </w:pPr>
      <w:r w:rsidRPr="00392A4E">
        <w:t>154</w:t>
      </w:r>
      <w:r w:rsidR="00623C79" w:rsidRPr="00392A4E">
        <w:t xml:space="preserve">  Paragraph 109(4)(c)</w:t>
      </w:r>
    </w:p>
    <w:p w:rsidR="00623C79" w:rsidRPr="00392A4E" w:rsidRDefault="00623C79" w:rsidP="00392A4E">
      <w:pPr>
        <w:pStyle w:val="Item"/>
      </w:pPr>
      <w:r w:rsidRPr="00392A4E">
        <w:t>Omit “ceases”, substitute “has ceased”.</w:t>
      </w:r>
    </w:p>
    <w:p w:rsidR="00B81A89" w:rsidRPr="00392A4E" w:rsidRDefault="0080643A" w:rsidP="00392A4E">
      <w:pPr>
        <w:pStyle w:val="ItemHead"/>
      </w:pPr>
      <w:r w:rsidRPr="00392A4E">
        <w:t>155</w:t>
      </w:r>
      <w:r w:rsidR="00B81A89" w:rsidRPr="00392A4E">
        <w:t xml:space="preserve">  Subsection</w:t>
      </w:r>
      <w:r w:rsidR="00392A4E" w:rsidRPr="00392A4E">
        <w:t> </w:t>
      </w:r>
      <w:r w:rsidR="00B81A89" w:rsidRPr="00392A4E">
        <w:t>118(1)</w:t>
      </w:r>
    </w:p>
    <w:p w:rsidR="00B81A89" w:rsidRPr="00392A4E" w:rsidRDefault="00B81A89" w:rsidP="00392A4E">
      <w:pPr>
        <w:pStyle w:val="Item"/>
      </w:pPr>
      <w:r w:rsidRPr="00392A4E">
        <w:t>Omit “of the decisions referred to in column 1 of the following table”, substitute “decision of a kind referred to in column 1 of an item in the following table made under the provision referred to in column 2 of the item”.</w:t>
      </w:r>
    </w:p>
    <w:p w:rsidR="00B81A89" w:rsidRPr="00392A4E" w:rsidRDefault="0080643A" w:rsidP="00392A4E">
      <w:pPr>
        <w:pStyle w:val="ItemHead"/>
      </w:pPr>
      <w:r w:rsidRPr="00392A4E">
        <w:t>156</w:t>
      </w:r>
      <w:r w:rsidR="00B81A89" w:rsidRPr="00392A4E">
        <w:t xml:space="preserve">  Subsection</w:t>
      </w:r>
      <w:r w:rsidR="00392A4E" w:rsidRPr="00392A4E">
        <w:t> </w:t>
      </w:r>
      <w:r w:rsidR="00B81A89" w:rsidRPr="00392A4E">
        <w:t>118(1) (table, heading to column 1)</w:t>
      </w:r>
    </w:p>
    <w:p w:rsidR="00B81A89" w:rsidRPr="00392A4E" w:rsidRDefault="00B81A89" w:rsidP="00392A4E">
      <w:pPr>
        <w:pStyle w:val="Item"/>
      </w:pPr>
      <w:r w:rsidRPr="00392A4E">
        <w:t>Repeal the heading, substitute:</w:t>
      </w:r>
    </w:p>
    <w:tbl>
      <w:tblPr>
        <w:tblW w:w="0" w:type="auto"/>
        <w:tblInd w:w="828" w:type="dxa"/>
        <w:tblLayout w:type="fixed"/>
        <w:tblLook w:val="0020" w:firstRow="1" w:lastRow="0" w:firstColumn="0" w:lastColumn="0" w:noHBand="0" w:noVBand="0"/>
      </w:tblPr>
      <w:tblGrid>
        <w:gridCol w:w="2966"/>
      </w:tblGrid>
      <w:tr w:rsidR="00B81A89" w:rsidRPr="00392A4E" w:rsidTr="00584807">
        <w:trPr>
          <w:cantSplit/>
        </w:trPr>
        <w:tc>
          <w:tcPr>
            <w:tcW w:w="2966" w:type="dxa"/>
          </w:tcPr>
          <w:p w:rsidR="00B81A89" w:rsidRPr="00392A4E" w:rsidRDefault="00B81A89" w:rsidP="00392A4E">
            <w:pPr>
              <w:pStyle w:val="TableHeading"/>
            </w:pPr>
            <w:r w:rsidRPr="00392A4E">
              <w:t>Column 1</w:t>
            </w:r>
          </w:p>
          <w:p w:rsidR="00B81A89" w:rsidRPr="00392A4E" w:rsidRDefault="00B81A89" w:rsidP="00392A4E">
            <w:pPr>
              <w:pStyle w:val="TableHeading"/>
            </w:pPr>
            <w:r w:rsidRPr="00392A4E">
              <w:t>Decision</w:t>
            </w:r>
          </w:p>
        </w:tc>
      </w:tr>
    </w:tbl>
    <w:p w:rsidR="00B81A89" w:rsidRPr="00392A4E" w:rsidRDefault="0080643A" w:rsidP="00392A4E">
      <w:pPr>
        <w:pStyle w:val="ItemHead"/>
      </w:pPr>
      <w:r w:rsidRPr="00392A4E">
        <w:t>157</w:t>
      </w:r>
      <w:r w:rsidR="00B81A89" w:rsidRPr="00392A4E">
        <w:t xml:space="preserve">  Subsection</w:t>
      </w:r>
      <w:r w:rsidR="00392A4E" w:rsidRPr="00392A4E">
        <w:t> </w:t>
      </w:r>
      <w:r w:rsidR="00B81A89" w:rsidRPr="00392A4E">
        <w:t>118(1) (table, heading to column 2)</w:t>
      </w:r>
    </w:p>
    <w:p w:rsidR="00B81A89" w:rsidRPr="00392A4E" w:rsidRDefault="00B81A89" w:rsidP="00392A4E">
      <w:pPr>
        <w:pStyle w:val="Item"/>
      </w:pPr>
      <w:r w:rsidRPr="00392A4E">
        <w:t>Repeal the heading, substitute:</w:t>
      </w:r>
    </w:p>
    <w:tbl>
      <w:tblPr>
        <w:tblW w:w="0" w:type="auto"/>
        <w:tblInd w:w="828" w:type="dxa"/>
        <w:tblLayout w:type="fixed"/>
        <w:tblLook w:val="0020" w:firstRow="1" w:lastRow="0" w:firstColumn="0" w:lastColumn="0" w:noHBand="0" w:noVBand="0"/>
      </w:tblPr>
      <w:tblGrid>
        <w:gridCol w:w="2966"/>
      </w:tblGrid>
      <w:tr w:rsidR="00B81A89" w:rsidRPr="00392A4E" w:rsidTr="00584807">
        <w:trPr>
          <w:cantSplit/>
        </w:trPr>
        <w:tc>
          <w:tcPr>
            <w:tcW w:w="2966" w:type="dxa"/>
          </w:tcPr>
          <w:p w:rsidR="00B81A89" w:rsidRPr="00392A4E" w:rsidRDefault="00B81A89" w:rsidP="00392A4E">
            <w:pPr>
              <w:pStyle w:val="TableHeading"/>
            </w:pPr>
            <w:r w:rsidRPr="00392A4E">
              <w:lastRenderedPageBreak/>
              <w:t>Column 2</w:t>
            </w:r>
          </w:p>
          <w:p w:rsidR="00B81A89" w:rsidRPr="00392A4E" w:rsidRDefault="00B81A89" w:rsidP="00392A4E">
            <w:pPr>
              <w:pStyle w:val="TableHeading"/>
            </w:pPr>
            <w:r w:rsidRPr="00392A4E">
              <w:t>Provision under which the decision is made</w:t>
            </w:r>
          </w:p>
        </w:tc>
      </w:tr>
    </w:tbl>
    <w:p w:rsidR="0028590B" w:rsidRPr="00392A4E" w:rsidRDefault="0080643A" w:rsidP="00392A4E">
      <w:pPr>
        <w:pStyle w:val="ItemHead"/>
      </w:pPr>
      <w:r w:rsidRPr="00392A4E">
        <w:t>158</w:t>
      </w:r>
      <w:r w:rsidR="0028590B" w:rsidRPr="00392A4E">
        <w:t xml:space="preserve">  Subsection</w:t>
      </w:r>
      <w:r w:rsidR="00392A4E" w:rsidRPr="00392A4E">
        <w:t> </w:t>
      </w:r>
      <w:r w:rsidR="0028590B" w:rsidRPr="00392A4E">
        <w:t>118(1) (table item</w:t>
      </w:r>
      <w:r w:rsidR="00392A4E" w:rsidRPr="00392A4E">
        <w:t> </w:t>
      </w:r>
      <w:r w:rsidR="0028590B" w:rsidRPr="00392A4E">
        <w:t>1)</w:t>
      </w:r>
    </w:p>
    <w:p w:rsidR="0028590B" w:rsidRPr="00392A4E" w:rsidRDefault="00536FD3" w:rsidP="00392A4E">
      <w:pPr>
        <w:pStyle w:val="Item"/>
      </w:pPr>
      <w:r w:rsidRPr="00392A4E">
        <w:t>Repeal the item.</w:t>
      </w:r>
    </w:p>
    <w:p w:rsidR="008C365C" w:rsidRPr="00392A4E" w:rsidRDefault="0080643A" w:rsidP="00392A4E">
      <w:pPr>
        <w:pStyle w:val="ItemHead"/>
      </w:pPr>
      <w:r w:rsidRPr="00392A4E">
        <w:t>159</w:t>
      </w:r>
      <w:r w:rsidR="008C365C" w:rsidRPr="00392A4E">
        <w:t xml:space="preserve">  </w:t>
      </w:r>
      <w:r w:rsidR="00454D4C" w:rsidRPr="00392A4E">
        <w:t>Subsection</w:t>
      </w:r>
      <w:r w:rsidR="00392A4E" w:rsidRPr="00392A4E">
        <w:t> </w:t>
      </w:r>
      <w:r w:rsidR="00454D4C" w:rsidRPr="00392A4E">
        <w:t>120(1)</w:t>
      </w:r>
    </w:p>
    <w:p w:rsidR="004D3125" w:rsidRPr="00392A4E" w:rsidRDefault="00454D4C" w:rsidP="00392A4E">
      <w:pPr>
        <w:pStyle w:val="Item"/>
      </w:pPr>
      <w:r w:rsidRPr="00392A4E">
        <w:t xml:space="preserve">Omit </w:t>
      </w:r>
      <w:r w:rsidR="004D3125" w:rsidRPr="00392A4E">
        <w:t xml:space="preserve">all the words after </w:t>
      </w:r>
      <w:r w:rsidRPr="00392A4E">
        <w:t>“unless the decision</w:t>
      </w:r>
      <w:r w:rsidR="004D3125" w:rsidRPr="00392A4E">
        <w:t>”, substitute:</w:t>
      </w:r>
    </w:p>
    <w:p w:rsidR="004D3125" w:rsidRPr="00392A4E" w:rsidRDefault="004D3125" w:rsidP="00392A4E">
      <w:pPr>
        <w:pStyle w:val="subsection"/>
      </w:pPr>
      <w:r w:rsidRPr="00392A4E">
        <w:tab/>
      </w:r>
      <w:r w:rsidRPr="00392A4E">
        <w:tab/>
        <w:t>was made:</w:t>
      </w:r>
    </w:p>
    <w:p w:rsidR="004D3125" w:rsidRPr="00392A4E" w:rsidRDefault="004D3125" w:rsidP="00392A4E">
      <w:pPr>
        <w:pStyle w:val="paragraph"/>
      </w:pPr>
      <w:r w:rsidRPr="00392A4E">
        <w:tab/>
        <w:t>(a)</w:t>
      </w:r>
      <w:r w:rsidRPr="00392A4E">
        <w:tab/>
      </w:r>
      <w:r w:rsidR="00454D4C" w:rsidRPr="00392A4E">
        <w:t>by the Minister or Secretary personally</w:t>
      </w:r>
      <w:r w:rsidRPr="00392A4E">
        <w:t>; or</w:t>
      </w:r>
    </w:p>
    <w:p w:rsidR="00454D4C" w:rsidRPr="00392A4E" w:rsidRDefault="004D3125" w:rsidP="00392A4E">
      <w:pPr>
        <w:pStyle w:val="paragraph"/>
      </w:pPr>
      <w:r w:rsidRPr="00392A4E">
        <w:tab/>
        <w:t>(b)</w:t>
      </w:r>
      <w:r w:rsidRPr="00392A4E">
        <w:tab/>
        <w:t>under paragraph</w:t>
      </w:r>
      <w:r w:rsidR="00392A4E" w:rsidRPr="00392A4E">
        <w:t> </w:t>
      </w:r>
      <w:r w:rsidRPr="00392A4E">
        <w:t>81(1)(a), (b) or (d) or subsection</w:t>
      </w:r>
      <w:r w:rsidR="00392A4E" w:rsidRPr="00392A4E">
        <w:t> </w:t>
      </w:r>
      <w:r w:rsidRPr="00392A4E">
        <w:t>88(1) or 96(1).</w:t>
      </w:r>
    </w:p>
    <w:p w:rsidR="00C6643E" w:rsidRPr="00392A4E" w:rsidRDefault="0080643A" w:rsidP="00392A4E">
      <w:pPr>
        <w:pStyle w:val="ItemHead"/>
      </w:pPr>
      <w:r w:rsidRPr="00392A4E">
        <w:t>160</w:t>
      </w:r>
      <w:r w:rsidR="00C6643E" w:rsidRPr="00392A4E">
        <w:t xml:space="preserve">  </w:t>
      </w:r>
      <w:r w:rsidR="00202BA0" w:rsidRPr="00392A4E">
        <w:t>Subsection</w:t>
      </w:r>
      <w:r w:rsidR="00392A4E" w:rsidRPr="00392A4E">
        <w:t> </w:t>
      </w:r>
      <w:r w:rsidR="00202BA0" w:rsidRPr="00392A4E">
        <w:t>120(3)</w:t>
      </w:r>
    </w:p>
    <w:p w:rsidR="00202BA0" w:rsidRPr="00392A4E" w:rsidRDefault="00202BA0" w:rsidP="00392A4E">
      <w:pPr>
        <w:pStyle w:val="Item"/>
      </w:pPr>
      <w:r w:rsidRPr="00392A4E">
        <w:t>Omit “Secretary must either”, substitute “reviewable decision must be reviewed by”.</w:t>
      </w:r>
    </w:p>
    <w:p w:rsidR="00202BA0" w:rsidRPr="00392A4E" w:rsidRDefault="0080643A" w:rsidP="00392A4E">
      <w:pPr>
        <w:pStyle w:val="ItemHead"/>
      </w:pPr>
      <w:r w:rsidRPr="00392A4E">
        <w:t>161</w:t>
      </w:r>
      <w:r w:rsidR="00202BA0" w:rsidRPr="00392A4E">
        <w:t xml:space="preserve">  Paragraph 120(3)(a)</w:t>
      </w:r>
    </w:p>
    <w:p w:rsidR="00202BA0" w:rsidRPr="00392A4E" w:rsidRDefault="00202BA0" w:rsidP="00392A4E">
      <w:pPr>
        <w:pStyle w:val="Item"/>
      </w:pPr>
      <w:r w:rsidRPr="00392A4E">
        <w:t>Repeal the paragraph, substitute:</w:t>
      </w:r>
    </w:p>
    <w:p w:rsidR="00202BA0" w:rsidRPr="00392A4E" w:rsidRDefault="00202BA0" w:rsidP="00392A4E">
      <w:pPr>
        <w:pStyle w:val="paragraph"/>
      </w:pPr>
      <w:r w:rsidRPr="00392A4E">
        <w:tab/>
        <w:t>(a)</w:t>
      </w:r>
      <w:r w:rsidRPr="00392A4E">
        <w:tab/>
        <w:t>the Secretary personally; or</w:t>
      </w:r>
    </w:p>
    <w:p w:rsidR="00202BA0" w:rsidRPr="00392A4E" w:rsidRDefault="0080643A" w:rsidP="00392A4E">
      <w:pPr>
        <w:pStyle w:val="ItemHead"/>
      </w:pPr>
      <w:r w:rsidRPr="00392A4E">
        <w:t>162</w:t>
      </w:r>
      <w:r w:rsidR="00202BA0" w:rsidRPr="00392A4E">
        <w:t xml:space="preserve">  Paragraph 120(3)(b)</w:t>
      </w:r>
    </w:p>
    <w:p w:rsidR="00202BA0" w:rsidRPr="00392A4E" w:rsidRDefault="00202BA0" w:rsidP="00392A4E">
      <w:pPr>
        <w:pStyle w:val="Item"/>
      </w:pPr>
      <w:r w:rsidRPr="00392A4E">
        <w:t>Omit “cause the reviewable decision to be reviewed by a”, substitute “another”.</w:t>
      </w:r>
    </w:p>
    <w:p w:rsidR="00EB79C5" w:rsidRPr="00392A4E" w:rsidRDefault="0080643A" w:rsidP="00392A4E">
      <w:pPr>
        <w:pStyle w:val="ItemHead"/>
      </w:pPr>
      <w:r w:rsidRPr="00392A4E">
        <w:t>163</w:t>
      </w:r>
      <w:r w:rsidR="00EB79C5" w:rsidRPr="00392A4E">
        <w:t xml:space="preserve">  At the end of subsection</w:t>
      </w:r>
      <w:r w:rsidR="00392A4E" w:rsidRPr="00392A4E">
        <w:t> </w:t>
      </w:r>
      <w:r w:rsidR="00EB79C5" w:rsidRPr="00392A4E">
        <w:t>122(1)</w:t>
      </w:r>
    </w:p>
    <w:p w:rsidR="00EB79C5" w:rsidRPr="00392A4E" w:rsidRDefault="00EB79C5" w:rsidP="00392A4E">
      <w:pPr>
        <w:pStyle w:val="Item"/>
      </w:pPr>
      <w:r w:rsidRPr="00392A4E">
        <w:t>Add:</w:t>
      </w:r>
    </w:p>
    <w:p w:rsidR="00EB79C5" w:rsidRPr="00392A4E" w:rsidRDefault="00EB79C5" w:rsidP="00392A4E">
      <w:pPr>
        <w:pStyle w:val="paragraph"/>
      </w:pPr>
      <w:r w:rsidRPr="00392A4E">
        <w:tab/>
        <w:t>; or (c)</w:t>
      </w:r>
      <w:r w:rsidRPr="00392A4E">
        <w:tab/>
        <w:t>a reviewable decision made under paragraph</w:t>
      </w:r>
      <w:r w:rsidR="00392A4E" w:rsidRPr="00392A4E">
        <w:t> </w:t>
      </w:r>
      <w:r w:rsidRPr="00392A4E">
        <w:t>81(1)(a), (b) or (d) or subsection</w:t>
      </w:r>
      <w:r w:rsidR="00392A4E" w:rsidRPr="00392A4E">
        <w:t> </w:t>
      </w:r>
      <w:r w:rsidRPr="00392A4E">
        <w:t>88(1) or 96(1).</w:t>
      </w:r>
    </w:p>
    <w:p w:rsidR="0059762B" w:rsidRPr="00392A4E" w:rsidRDefault="0080643A" w:rsidP="00392A4E">
      <w:pPr>
        <w:pStyle w:val="ItemHead"/>
      </w:pPr>
      <w:r w:rsidRPr="00392A4E">
        <w:t>164</w:t>
      </w:r>
      <w:r w:rsidR="0059762B" w:rsidRPr="00392A4E">
        <w:t xml:space="preserve">  </w:t>
      </w:r>
      <w:r w:rsidR="004C0ED0" w:rsidRPr="00392A4E">
        <w:t>Subsection</w:t>
      </w:r>
      <w:r w:rsidR="00392A4E" w:rsidRPr="00392A4E">
        <w:t> </w:t>
      </w:r>
      <w:r w:rsidR="004C0ED0" w:rsidRPr="00392A4E">
        <w:t>122(3)</w:t>
      </w:r>
    </w:p>
    <w:p w:rsidR="004C0ED0" w:rsidRPr="00392A4E" w:rsidRDefault="004C0ED0" w:rsidP="00392A4E">
      <w:pPr>
        <w:pStyle w:val="Item"/>
      </w:pPr>
      <w:r w:rsidRPr="00392A4E">
        <w:t xml:space="preserve">Omit </w:t>
      </w:r>
      <w:r w:rsidR="002D392E" w:rsidRPr="00392A4E">
        <w:t xml:space="preserve">“(1)(a) or (b)”, substitute </w:t>
      </w:r>
      <w:r w:rsidRPr="00392A4E">
        <w:t>“(1)(a), (b) or (c)”.</w:t>
      </w:r>
    </w:p>
    <w:p w:rsidR="000B7D83" w:rsidRPr="00392A4E" w:rsidRDefault="0080643A" w:rsidP="00392A4E">
      <w:pPr>
        <w:pStyle w:val="ItemHead"/>
      </w:pPr>
      <w:r w:rsidRPr="00392A4E">
        <w:t>165</w:t>
      </w:r>
      <w:r w:rsidR="000B7D83" w:rsidRPr="00392A4E">
        <w:t xml:space="preserve">  Section</w:t>
      </w:r>
      <w:r w:rsidR="00392A4E" w:rsidRPr="00392A4E">
        <w:t> </w:t>
      </w:r>
      <w:r w:rsidR="000B7D83" w:rsidRPr="00392A4E">
        <w:t>125 (heading)</w:t>
      </w:r>
    </w:p>
    <w:p w:rsidR="000B7D83" w:rsidRPr="00392A4E" w:rsidRDefault="000B7D83" w:rsidP="00392A4E">
      <w:pPr>
        <w:pStyle w:val="Item"/>
      </w:pPr>
      <w:r w:rsidRPr="00392A4E">
        <w:t>Repeal the heading, substitute:</w:t>
      </w:r>
    </w:p>
    <w:p w:rsidR="000B7D83" w:rsidRPr="00392A4E" w:rsidRDefault="000B7D83" w:rsidP="00392A4E">
      <w:pPr>
        <w:pStyle w:val="ActHead5"/>
      </w:pPr>
      <w:bookmarkStart w:id="46" w:name="_Toc486412766"/>
      <w:r w:rsidRPr="00392A4E">
        <w:rPr>
          <w:rStyle w:val="CharSectno"/>
        </w:rPr>
        <w:lastRenderedPageBreak/>
        <w:t>125</w:t>
      </w:r>
      <w:r w:rsidRPr="00392A4E">
        <w:t xml:space="preserve">  Using, disclosing or publishing school education information</w:t>
      </w:r>
      <w:bookmarkEnd w:id="46"/>
    </w:p>
    <w:p w:rsidR="00B81A89" w:rsidRPr="00392A4E" w:rsidRDefault="0080643A" w:rsidP="00392A4E">
      <w:pPr>
        <w:pStyle w:val="ItemHead"/>
      </w:pPr>
      <w:r w:rsidRPr="00392A4E">
        <w:t>166</w:t>
      </w:r>
      <w:r w:rsidR="00B81A89" w:rsidRPr="00392A4E">
        <w:t xml:space="preserve">  Paragraph 125(1)(a)</w:t>
      </w:r>
    </w:p>
    <w:p w:rsidR="000B7D83" w:rsidRPr="00392A4E" w:rsidRDefault="00B81A89" w:rsidP="00392A4E">
      <w:pPr>
        <w:pStyle w:val="Item"/>
      </w:pPr>
      <w:r w:rsidRPr="00392A4E">
        <w:t>Omit “make a record of, use or disclose protected information (including protected information”, substitute “use or disclose school education information (including</w:t>
      </w:r>
      <w:r w:rsidR="000B7D83" w:rsidRPr="00392A4E">
        <w:t xml:space="preserve"> school education information”.</w:t>
      </w:r>
    </w:p>
    <w:p w:rsidR="00B81A89" w:rsidRPr="00392A4E" w:rsidRDefault="0080643A" w:rsidP="00392A4E">
      <w:pPr>
        <w:pStyle w:val="ItemHead"/>
      </w:pPr>
      <w:r w:rsidRPr="00392A4E">
        <w:t>167</w:t>
      </w:r>
      <w:r w:rsidR="00B81A89" w:rsidRPr="00392A4E">
        <w:t xml:space="preserve">  Paragraph 125(1)(b)</w:t>
      </w:r>
    </w:p>
    <w:p w:rsidR="00B81A89" w:rsidRPr="00392A4E" w:rsidRDefault="00B81A89" w:rsidP="00392A4E">
      <w:pPr>
        <w:pStyle w:val="Item"/>
      </w:pPr>
      <w:r w:rsidRPr="00392A4E">
        <w:t>Omit “record, use or disclosure of protected information”, substitute “use or disclosure of school education information”.</w:t>
      </w:r>
    </w:p>
    <w:p w:rsidR="00B81A89" w:rsidRPr="00392A4E" w:rsidRDefault="0080643A" w:rsidP="00392A4E">
      <w:pPr>
        <w:pStyle w:val="ItemHead"/>
      </w:pPr>
      <w:r w:rsidRPr="00392A4E">
        <w:t>168</w:t>
      </w:r>
      <w:r w:rsidR="00B81A89" w:rsidRPr="00392A4E">
        <w:t xml:space="preserve">  Subsection</w:t>
      </w:r>
      <w:r w:rsidR="00392A4E" w:rsidRPr="00392A4E">
        <w:t> </w:t>
      </w:r>
      <w:r w:rsidR="00B81A89" w:rsidRPr="00392A4E">
        <w:t>125(2)</w:t>
      </w:r>
    </w:p>
    <w:p w:rsidR="00B81A89" w:rsidRPr="00392A4E" w:rsidRDefault="00B81A89" w:rsidP="00392A4E">
      <w:pPr>
        <w:pStyle w:val="Item"/>
      </w:pPr>
      <w:r w:rsidRPr="00392A4E">
        <w:t>Omit “protected information”, substitute “school education information”.</w:t>
      </w:r>
    </w:p>
    <w:p w:rsidR="00B81A89" w:rsidRPr="00392A4E" w:rsidRDefault="0080643A" w:rsidP="00392A4E">
      <w:pPr>
        <w:pStyle w:val="ItemHead"/>
      </w:pPr>
      <w:r w:rsidRPr="00392A4E">
        <w:t>169</w:t>
      </w:r>
      <w:r w:rsidR="00B81A89" w:rsidRPr="00392A4E">
        <w:t xml:space="preserve">  Paragraph 125(3)(a)</w:t>
      </w:r>
    </w:p>
    <w:p w:rsidR="00B81A89" w:rsidRPr="00392A4E" w:rsidRDefault="00B81A89" w:rsidP="00392A4E">
      <w:pPr>
        <w:pStyle w:val="Item"/>
      </w:pPr>
      <w:r w:rsidRPr="00392A4E">
        <w:t>Omit “protected information”, substitute “school education information”.</w:t>
      </w:r>
    </w:p>
    <w:p w:rsidR="00B81A89" w:rsidRPr="00392A4E" w:rsidRDefault="0080643A" w:rsidP="00392A4E">
      <w:pPr>
        <w:pStyle w:val="ItemHead"/>
      </w:pPr>
      <w:r w:rsidRPr="00392A4E">
        <w:t>170</w:t>
      </w:r>
      <w:r w:rsidR="00B81A89" w:rsidRPr="00392A4E">
        <w:t xml:space="preserve">  Paragraph 125(3)(b)</w:t>
      </w:r>
    </w:p>
    <w:p w:rsidR="00B81A89" w:rsidRPr="00392A4E" w:rsidRDefault="00B81A89" w:rsidP="00392A4E">
      <w:pPr>
        <w:pStyle w:val="Item"/>
      </w:pPr>
      <w:r w:rsidRPr="00392A4E">
        <w:t>Omit “protected information may be recorded,”, substitute “school education information may be”.</w:t>
      </w:r>
    </w:p>
    <w:p w:rsidR="00B81A89" w:rsidRPr="00392A4E" w:rsidRDefault="0080643A" w:rsidP="00392A4E">
      <w:pPr>
        <w:pStyle w:val="ItemHead"/>
      </w:pPr>
      <w:r w:rsidRPr="00392A4E">
        <w:t>171</w:t>
      </w:r>
      <w:r w:rsidR="00B81A89" w:rsidRPr="00392A4E">
        <w:t xml:space="preserve">  Paragraph 125(3)(c)</w:t>
      </w:r>
    </w:p>
    <w:p w:rsidR="00B81A89" w:rsidRPr="00392A4E" w:rsidRDefault="00B81A89" w:rsidP="00392A4E">
      <w:pPr>
        <w:pStyle w:val="Item"/>
      </w:pPr>
      <w:r w:rsidRPr="00392A4E">
        <w:t>Omit “record, use or disclosure of protected information”, substitute “use or disclosure of school education information”.</w:t>
      </w:r>
    </w:p>
    <w:p w:rsidR="00B81A89" w:rsidRPr="00392A4E" w:rsidRDefault="0080643A" w:rsidP="00392A4E">
      <w:pPr>
        <w:pStyle w:val="ItemHead"/>
      </w:pPr>
      <w:r w:rsidRPr="00392A4E">
        <w:t>172</w:t>
      </w:r>
      <w:r w:rsidR="00B81A89" w:rsidRPr="00392A4E">
        <w:t xml:space="preserve">  Subsection</w:t>
      </w:r>
      <w:r w:rsidR="00392A4E" w:rsidRPr="00392A4E">
        <w:t> </w:t>
      </w:r>
      <w:r w:rsidR="00B81A89" w:rsidRPr="00392A4E">
        <w:t>125(3) (note)</w:t>
      </w:r>
    </w:p>
    <w:p w:rsidR="00B81A89" w:rsidRPr="00392A4E" w:rsidRDefault="00B81A89" w:rsidP="00392A4E">
      <w:pPr>
        <w:pStyle w:val="Item"/>
      </w:pPr>
      <w:r w:rsidRPr="00392A4E">
        <w:t>Omit “making records of, using or disclosing protected information”, substitute “using or disclosing school education information”.</w:t>
      </w:r>
    </w:p>
    <w:p w:rsidR="00312DC7" w:rsidRPr="00392A4E" w:rsidRDefault="0080643A" w:rsidP="00392A4E">
      <w:pPr>
        <w:pStyle w:val="ItemHead"/>
      </w:pPr>
      <w:r w:rsidRPr="00392A4E">
        <w:t>173</w:t>
      </w:r>
      <w:r w:rsidR="00312DC7" w:rsidRPr="00392A4E">
        <w:t xml:space="preserve">  Subsection</w:t>
      </w:r>
      <w:r w:rsidR="00392A4E" w:rsidRPr="00392A4E">
        <w:t> </w:t>
      </w:r>
      <w:r w:rsidR="00312DC7" w:rsidRPr="00392A4E">
        <w:t>129(3)</w:t>
      </w:r>
    </w:p>
    <w:p w:rsidR="00312DC7" w:rsidRPr="00392A4E" w:rsidRDefault="00312DC7" w:rsidP="00392A4E">
      <w:pPr>
        <w:pStyle w:val="Item"/>
      </w:pPr>
      <w:r w:rsidRPr="00392A4E">
        <w:t>Omit “an SES employee or acting SES employee”, substitute “an APS employee”.</w:t>
      </w:r>
    </w:p>
    <w:p w:rsidR="00AC437F" w:rsidRPr="00392A4E" w:rsidRDefault="0080643A" w:rsidP="00392A4E">
      <w:pPr>
        <w:pStyle w:val="ItemHead"/>
      </w:pPr>
      <w:r w:rsidRPr="00392A4E">
        <w:t>174</w:t>
      </w:r>
      <w:r w:rsidR="00AC437F" w:rsidRPr="00392A4E">
        <w:t xml:space="preserve">  Subparagraph 130(2)(a)(ii)</w:t>
      </w:r>
    </w:p>
    <w:p w:rsidR="00AC437F" w:rsidRPr="00392A4E" w:rsidRDefault="00AC437F" w:rsidP="00392A4E">
      <w:pPr>
        <w:pStyle w:val="Item"/>
      </w:pPr>
      <w:r w:rsidRPr="00392A4E">
        <w:t>Repeal the subparagraph, substitute:</w:t>
      </w:r>
    </w:p>
    <w:p w:rsidR="00D37932" w:rsidRPr="00392A4E" w:rsidRDefault="00AC437F" w:rsidP="00392A4E">
      <w:pPr>
        <w:pStyle w:val="paragraphsub"/>
      </w:pPr>
      <w:r w:rsidRPr="00392A4E">
        <w:tab/>
        <w:t>(ii)</w:t>
      </w:r>
      <w:r w:rsidRPr="00392A4E">
        <w:tab/>
        <w:t>using or disclosing school education information;</w:t>
      </w:r>
    </w:p>
    <w:p w:rsidR="00F17C93" w:rsidRPr="00392A4E" w:rsidRDefault="0080643A" w:rsidP="00392A4E">
      <w:pPr>
        <w:pStyle w:val="ItemHead"/>
      </w:pPr>
      <w:r w:rsidRPr="00392A4E">
        <w:lastRenderedPageBreak/>
        <w:t>175</w:t>
      </w:r>
      <w:r w:rsidR="00F17C93" w:rsidRPr="00392A4E">
        <w:t xml:space="preserve">  Subsection</w:t>
      </w:r>
      <w:r w:rsidR="00392A4E" w:rsidRPr="00392A4E">
        <w:t> </w:t>
      </w:r>
      <w:r w:rsidR="00F17C93" w:rsidRPr="00392A4E">
        <w:t>130(5)</w:t>
      </w:r>
    </w:p>
    <w:p w:rsidR="00F17C93" w:rsidRPr="00392A4E" w:rsidRDefault="00F17C93" w:rsidP="00392A4E">
      <w:pPr>
        <w:pStyle w:val="Item"/>
      </w:pPr>
      <w:r w:rsidRPr="00392A4E">
        <w:t>Repeal the subsection, substitute:</w:t>
      </w:r>
    </w:p>
    <w:p w:rsidR="00F17C93" w:rsidRPr="00392A4E" w:rsidRDefault="00F17C93" w:rsidP="00392A4E">
      <w:pPr>
        <w:pStyle w:val="SubsectionHead"/>
      </w:pPr>
      <w:r w:rsidRPr="00392A4E">
        <w:t>Requirement to consult Ministerial Council</w:t>
      </w:r>
    </w:p>
    <w:p w:rsidR="00F17C93" w:rsidRPr="00392A4E" w:rsidRDefault="00F17C93" w:rsidP="00392A4E">
      <w:pPr>
        <w:pStyle w:val="subsection"/>
      </w:pPr>
      <w:r w:rsidRPr="00392A4E">
        <w:tab/>
        <w:t>(5)</w:t>
      </w:r>
      <w:r w:rsidRPr="00392A4E">
        <w:tab/>
        <w:t>Before the Governor</w:t>
      </w:r>
      <w:r w:rsidR="00B84F34">
        <w:noBreakHyphen/>
      </w:r>
      <w:r w:rsidRPr="00392A4E">
        <w:t>General makes one of the following, the Minister must consult, and have regard to any relevant decisions of, the Ministerial Council:</w:t>
      </w:r>
    </w:p>
    <w:p w:rsidR="00F17C93" w:rsidRPr="00392A4E" w:rsidRDefault="00F17C93" w:rsidP="00392A4E">
      <w:pPr>
        <w:pStyle w:val="paragraph"/>
      </w:pPr>
      <w:r w:rsidRPr="00392A4E">
        <w:tab/>
        <w:t>(a)</w:t>
      </w:r>
      <w:r w:rsidRPr="00392A4E">
        <w:tab/>
        <w:t>a regulation for the purposes of:</w:t>
      </w:r>
    </w:p>
    <w:p w:rsidR="00F17C93" w:rsidRPr="00392A4E" w:rsidRDefault="00F17C93" w:rsidP="00392A4E">
      <w:pPr>
        <w:pStyle w:val="paragraphsub"/>
      </w:pPr>
      <w:r w:rsidRPr="00392A4E">
        <w:tab/>
        <w:t>(</w:t>
      </w:r>
      <w:proofErr w:type="spellStart"/>
      <w:r w:rsidRPr="00392A4E">
        <w:t>i</w:t>
      </w:r>
      <w:proofErr w:type="spellEnd"/>
      <w:r w:rsidRPr="00392A4E">
        <w:t>)</w:t>
      </w:r>
      <w:r w:rsidRPr="00392A4E">
        <w:tab/>
        <w:t>s</w:t>
      </w:r>
      <w:r w:rsidR="00312DC7" w:rsidRPr="00392A4E">
        <w:t>ubs</w:t>
      </w:r>
      <w:r w:rsidRPr="00392A4E">
        <w:t>ection</w:t>
      </w:r>
      <w:r w:rsidR="00392A4E" w:rsidRPr="00392A4E">
        <w:t> </w:t>
      </w:r>
      <w:r w:rsidRPr="00392A4E">
        <w:t>22</w:t>
      </w:r>
      <w:r w:rsidR="00312DC7" w:rsidRPr="00392A4E">
        <w:t>(1)</w:t>
      </w:r>
      <w:r w:rsidRPr="00392A4E">
        <w:t xml:space="preserve"> (conditions of financial assistance—implementing national policy initiatives relating to school education); or</w:t>
      </w:r>
    </w:p>
    <w:p w:rsidR="00B85C58" w:rsidRPr="00392A4E" w:rsidRDefault="00B85C58" w:rsidP="00392A4E">
      <w:pPr>
        <w:pStyle w:val="paragraphsub"/>
      </w:pPr>
      <w:r w:rsidRPr="00392A4E">
        <w:tab/>
        <w:t>(ii)</w:t>
      </w:r>
      <w:r w:rsidRPr="00392A4E">
        <w:tab/>
        <w:t>section</w:t>
      </w:r>
      <w:r w:rsidR="00392A4E" w:rsidRPr="00392A4E">
        <w:t> </w:t>
      </w:r>
      <w:r w:rsidRPr="00392A4E">
        <w:t>22A (conditions of financial assistance—maintaining State and Territory contributions);</w:t>
      </w:r>
    </w:p>
    <w:p w:rsidR="00F17C93" w:rsidRPr="00392A4E" w:rsidRDefault="00F17C93" w:rsidP="00392A4E">
      <w:pPr>
        <w:pStyle w:val="paragraphsub"/>
      </w:pPr>
      <w:r w:rsidRPr="00392A4E">
        <w:tab/>
        <w:t>(ii</w:t>
      </w:r>
      <w:r w:rsidR="00B85C58" w:rsidRPr="00392A4E">
        <w:t>i</w:t>
      </w:r>
      <w:r w:rsidRPr="00392A4E">
        <w:t>)</w:t>
      </w:r>
      <w:r w:rsidRPr="00392A4E">
        <w:tab/>
        <w:t>section</w:t>
      </w:r>
      <w:r w:rsidR="00392A4E" w:rsidRPr="00392A4E">
        <w:t> </w:t>
      </w:r>
      <w:r w:rsidRPr="00392A4E">
        <w:t>24 (condition of financial assistance—recovering amounts);</w:t>
      </w:r>
    </w:p>
    <w:p w:rsidR="00F17C93" w:rsidRPr="00392A4E" w:rsidRDefault="00F17C93" w:rsidP="00392A4E">
      <w:pPr>
        <w:pStyle w:val="paragraph"/>
      </w:pPr>
      <w:r w:rsidRPr="00392A4E">
        <w:tab/>
        <w:t>(b)</w:t>
      </w:r>
      <w:r w:rsidRPr="00392A4E">
        <w:tab/>
        <w:t>a regulation that will affect an approved authority for a government school for the purposes of:</w:t>
      </w:r>
    </w:p>
    <w:p w:rsidR="00F17C93" w:rsidRPr="00392A4E" w:rsidRDefault="00F17C93" w:rsidP="00392A4E">
      <w:pPr>
        <w:pStyle w:val="paragraphsub"/>
      </w:pPr>
      <w:r w:rsidRPr="00392A4E">
        <w:tab/>
        <w:t>(</w:t>
      </w:r>
      <w:proofErr w:type="spellStart"/>
      <w:r w:rsidRPr="00392A4E">
        <w:t>i</w:t>
      </w:r>
      <w:proofErr w:type="spellEnd"/>
      <w:r w:rsidRPr="00392A4E">
        <w:t>)</w:t>
      </w:r>
      <w:r w:rsidRPr="00392A4E">
        <w:tab/>
        <w:t>section</w:t>
      </w:r>
      <w:r w:rsidR="00392A4E" w:rsidRPr="00392A4E">
        <w:t> </w:t>
      </w:r>
      <w:r w:rsidRPr="00392A4E">
        <w:t>77 (ongoing policy requirements for approved authorities); or</w:t>
      </w:r>
    </w:p>
    <w:p w:rsidR="00B85C58" w:rsidRPr="00392A4E" w:rsidRDefault="00F17C93" w:rsidP="00392A4E">
      <w:pPr>
        <w:pStyle w:val="paragraphsub"/>
      </w:pPr>
      <w:r w:rsidRPr="00392A4E">
        <w:tab/>
        <w:t>(ii)</w:t>
      </w:r>
      <w:r w:rsidRPr="00392A4E">
        <w:tab/>
        <w:t>section</w:t>
      </w:r>
      <w:r w:rsidR="00392A4E" w:rsidRPr="00392A4E">
        <w:t> </w:t>
      </w:r>
      <w:r w:rsidRPr="00392A4E">
        <w:t>78 (ongoing funding requirem</w:t>
      </w:r>
      <w:r w:rsidR="00AC437F" w:rsidRPr="00392A4E">
        <w:t>ents for approved authorities).</w:t>
      </w:r>
    </w:p>
    <w:p w:rsidR="009423CE" w:rsidRPr="00392A4E" w:rsidRDefault="0080643A" w:rsidP="00392A4E">
      <w:pPr>
        <w:pStyle w:val="ItemHead"/>
      </w:pPr>
      <w:r w:rsidRPr="00392A4E">
        <w:t>176</w:t>
      </w:r>
      <w:r w:rsidR="009423CE" w:rsidRPr="00392A4E">
        <w:t xml:space="preserve">  Transitional provision—review of decisions made before 1</w:t>
      </w:r>
      <w:r w:rsidR="00392A4E" w:rsidRPr="00392A4E">
        <w:t> </w:t>
      </w:r>
      <w:r w:rsidR="009423CE" w:rsidRPr="00392A4E">
        <w:t>January 2018</w:t>
      </w:r>
    </w:p>
    <w:p w:rsidR="00B84F34" w:rsidRDefault="009423CE" w:rsidP="00392A4E">
      <w:pPr>
        <w:pStyle w:val="Item"/>
      </w:pPr>
      <w:r w:rsidRPr="00392A4E">
        <w:t>Division</w:t>
      </w:r>
      <w:r w:rsidR="00392A4E" w:rsidRPr="00392A4E">
        <w:t> </w:t>
      </w:r>
      <w:r w:rsidRPr="00392A4E">
        <w:t>3 of Part</w:t>
      </w:r>
      <w:r w:rsidR="00392A4E" w:rsidRPr="00392A4E">
        <w:t> </w:t>
      </w:r>
      <w:r w:rsidRPr="00392A4E">
        <w:t xml:space="preserve">9 (review of decisions) of the </w:t>
      </w:r>
      <w:r w:rsidRPr="00392A4E">
        <w:rPr>
          <w:i/>
        </w:rPr>
        <w:t>Australian Education Act 2013</w:t>
      </w:r>
      <w:r w:rsidRPr="00392A4E">
        <w:t xml:space="preserve">, as in force immediately before the commencement of this </w:t>
      </w:r>
      <w:r w:rsidR="005E7F42" w:rsidRPr="00392A4E">
        <w:t>item</w:t>
      </w:r>
      <w:r w:rsidRPr="00392A4E">
        <w:t>, continues to apply in relation to a decision made before that commencement.</w:t>
      </w:r>
    </w:p>
    <w:p w:rsidR="00927150" w:rsidRDefault="00927150" w:rsidP="00927150"/>
    <w:p w:rsidR="00927150" w:rsidRDefault="00927150" w:rsidP="00927150">
      <w:pPr>
        <w:pStyle w:val="AssentBk"/>
        <w:keepNext/>
      </w:pPr>
    </w:p>
    <w:p w:rsidR="00927150" w:rsidRDefault="00927150" w:rsidP="00927150">
      <w:pPr>
        <w:pStyle w:val="AssentBk"/>
        <w:keepNext/>
      </w:pPr>
    </w:p>
    <w:p w:rsidR="00927150" w:rsidRDefault="00927150" w:rsidP="00927150">
      <w:pPr>
        <w:pStyle w:val="2ndRd"/>
        <w:keepNext/>
        <w:pBdr>
          <w:top w:val="single" w:sz="2" w:space="1" w:color="auto"/>
        </w:pBdr>
      </w:pPr>
    </w:p>
    <w:p w:rsidR="00927150" w:rsidRDefault="00927150" w:rsidP="00927150">
      <w:pPr>
        <w:pStyle w:val="2ndRd"/>
        <w:keepNext/>
        <w:spacing w:line="260" w:lineRule="atLeast"/>
        <w:rPr>
          <w:i/>
        </w:rPr>
      </w:pPr>
      <w:r>
        <w:t>[</w:t>
      </w:r>
      <w:r>
        <w:rPr>
          <w:i/>
        </w:rPr>
        <w:t>Minister’s second reading speech made in—</w:t>
      </w:r>
    </w:p>
    <w:p w:rsidR="00927150" w:rsidRDefault="00927150" w:rsidP="00927150">
      <w:pPr>
        <w:pStyle w:val="2ndRd"/>
        <w:keepNext/>
        <w:spacing w:line="260" w:lineRule="atLeast"/>
        <w:rPr>
          <w:i/>
        </w:rPr>
      </w:pPr>
      <w:r>
        <w:rPr>
          <w:i/>
        </w:rPr>
        <w:t>House of Representatives on 11 May 2017</w:t>
      </w:r>
    </w:p>
    <w:p w:rsidR="00927150" w:rsidRDefault="00927150" w:rsidP="00927150">
      <w:pPr>
        <w:pStyle w:val="2ndRd"/>
        <w:keepNext/>
        <w:spacing w:line="260" w:lineRule="atLeast"/>
        <w:rPr>
          <w:i/>
        </w:rPr>
      </w:pPr>
      <w:r>
        <w:rPr>
          <w:i/>
        </w:rPr>
        <w:t>Senate on 13 June 2017</w:t>
      </w:r>
      <w:r>
        <w:t>]</w:t>
      </w:r>
    </w:p>
    <w:p w:rsidR="00927150" w:rsidRDefault="00927150" w:rsidP="00927150"/>
    <w:p w:rsidR="007914CC" w:rsidRDefault="007914CC" w:rsidP="00927150"/>
    <w:p w:rsidR="00927150" w:rsidRDefault="00927150" w:rsidP="00927150"/>
    <w:p w:rsidR="00927150" w:rsidRDefault="00927150" w:rsidP="00927150">
      <w:pPr>
        <w:sectPr w:rsidR="00927150" w:rsidSect="007914CC">
          <w:headerReference w:type="even" r:id="rId33"/>
          <w:headerReference w:type="default" r:id="rId34"/>
          <w:footerReference w:type="even" r:id="rId35"/>
          <w:footerReference w:type="default" r:id="rId36"/>
          <w:headerReference w:type="first" r:id="rId37"/>
          <w:footerReference w:type="first" r:id="rId38"/>
          <w:pgSz w:w="11907" w:h="16839"/>
          <w:pgMar w:top="1871" w:right="2409" w:bottom="4252" w:left="2409" w:header="720" w:footer="3402" w:gutter="0"/>
          <w:pgNumType w:start="1"/>
          <w:cols w:space="708"/>
          <w:titlePg/>
          <w:docGrid w:linePitch="360"/>
        </w:sectPr>
      </w:pPr>
    </w:p>
    <w:p w:rsidR="00197898" w:rsidRDefault="00197898" w:rsidP="00197898">
      <w:pPr>
        <w:framePr w:hSpace="180" w:wrap="around" w:vAnchor="text" w:hAnchor="page" w:x="2371" w:y="229"/>
      </w:pPr>
      <w:r>
        <w:t>(85/17)</w:t>
      </w:r>
    </w:p>
    <w:p w:rsidR="00D25FA5" w:rsidRDefault="00D25FA5" w:rsidP="00927150"/>
    <w:sectPr w:rsidR="00D25FA5" w:rsidSect="00927150">
      <w:headerReference w:type="even" r:id="rId39"/>
      <w:headerReference w:type="default" r:id="rId40"/>
      <w:footerReference w:type="even" r:id="rId41"/>
      <w:footerReference w:type="default" r:id="rId42"/>
      <w:headerReference w:type="first" r:id="rId43"/>
      <w:footerReference w:type="first" r:id="rId44"/>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E97" w:rsidRDefault="00433E97" w:rsidP="0048364F">
      <w:pPr>
        <w:spacing w:line="240" w:lineRule="auto"/>
      </w:pPr>
      <w:r>
        <w:separator/>
      </w:r>
    </w:p>
  </w:endnote>
  <w:endnote w:type="continuationSeparator" w:id="0">
    <w:p w:rsidR="00433E97" w:rsidRDefault="00433E9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97" w:rsidRPr="005F1388" w:rsidRDefault="00433E97" w:rsidP="00392A4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4CC" w:rsidRPr="00A961C4" w:rsidRDefault="007914CC" w:rsidP="00392A4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914CC" w:rsidTr="00392A4E">
      <w:tc>
        <w:tcPr>
          <w:tcW w:w="1247" w:type="dxa"/>
        </w:tcPr>
        <w:p w:rsidR="007914CC" w:rsidRDefault="0073208D" w:rsidP="00F453BF">
          <w:pPr>
            <w:rPr>
              <w:sz w:val="18"/>
            </w:rPr>
          </w:pPr>
          <w:r>
            <w:rPr>
              <w:i/>
              <w:sz w:val="18"/>
            </w:rPr>
            <w:t>No.      , 2017</w:t>
          </w:r>
        </w:p>
      </w:tc>
      <w:tc>
        <w:tcPr>
          <w:tcW w:w="5387" w:type="dxa"/>
        </w:tcPr>
        <w:p w:rsidR="007914CC" w:rsidRDefault="0073208D" w:rsidP="00F453BF">
          <w:pPr>
            <w:jc w:val="center"/>
            <w:rPr>
              <w:sz w:val="18"/>
            </w:rPr>
          </w:pPr>
          <w:r>
            <w:rPr>
              <w:i/>
              <w:sz w:val="18"/>
            </w:rPr>
            <w:t>Australian Education Amendment Act 2017</w:t>
          </w:r>
        </w:p>
      </w:tc>
      <w:tc>
        <w:tcPr>
          <w:tcW w:w="669" w:type="dxa"/>
        </w:tcPr>
        <w:p w:rsidR="007914CC" w:rsidRDefault="007914CC" w:rsidP="00F453B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74CEF">
            <w:rPr>
              <w:i/>
              <w:noProof/>
              <w:sz w:val="18"/>
            </w:rPr>
            <w:t>35</w:t>
          </w:r>
          <w:r w:rsidRPr="007A1328">
            <w:rPr>
              <w:i/>
              <w:sz w:val="18"/>
            </w:rPr>
            <w:fldChar w:fldCharType="end"/>
          </w:r>
        </w:p>
      </w:tc>
    </w:tr>
  </w:tbl>
  <w:p w:rsidR="007914CC" w:rsidRPr="00055B5C" w:rsidRDefault="007914CC" w:rsidP="0095368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4CC" w:rsidRPr="00A961C4" w:rsidRDefault="007914CC" w:rsidP="00392A4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914CC" w:rsidTr="00392A4E">
      <w:tc>
        <w:tcPr>
          <w:tcW w:w="1247" w:type="dxa"/>
        </w:tcPr>
        <w:p w:rsidR="007914CC" w:rsidRDefault="007914CC" w:rsidP="00F453B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74CEF">
            <w:rPr>
              <w:i/>
              <w:sz w:val="18"/>
            </w:rPr>
            <w:t>No. 78, 2017</w:t>
          </w:r>
          <w:r w:rsidRPr="007A1328">
            <w:rPr>
              <w:i/>
              <w:sz w:val="18"/>
            </w:rPr>
            <w:fldChar w:fldCharType="end"/>
          </w:r>
        </w:p>
      </w:tc>
      <w:tc>
        <w:tcPr>
          <w:tcW w:w="5387" w:type="dxa"/>
        </w:tcPr>
        <w:p w:rsidR="007914CC" w:rsidRDefault="007914CC" w:rsidP="00F453B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74CEF">
            <w:rPr>
              <w:i/>
              <w:sz w:val="18"/>
            </w:rPr>
            <w:t>Australian Education Amendment Act 2017</w:t>
          </w:r>
          <w:r w:rsidRPr="007A1328">
            <w:rPr>
              <w:i/>
              <w:sz w:val="18"/>
            </w:rPr>
            <w:fldChar w:fldCharType="end"/>
          </w:r>
        </w:p>
      </w:tc>
      <w:tc>
        <w:tcPr>
          <w:tcW w:w="669" w:type="dxa"/>
        </w:tcPr>
        <w:p w:rsidR="007914CC" w:rsidRDefault="007914CC" w:rsidP="00F453B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74CEF">
            <w:rPr>
              <w:i/>
              <w:noProof/>
              <w:sz w:val="18"/>
            </w:rPr>
            <w:t>35</w:t>
          </w:r>
          <w:r w:rsidRPr="007A1328">
            <w:rPr>
              <w:i/>
              <w:sz w:val="18"/>
            </w:rPr>
            <w:fldChar w:fldCharType="end"/>
          </w:r>
        </w:p>
      </w:tc>
    </w:tr>
  </w:tbl>
  <w:p w:rsidR="007914CC" w:rsidRPr="00A961C4" w:rsidRDefault="007914CC" w:rsidP="00953682">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A5" w:rsidRDefault="00D25FA5" w:rsidP="007517B8">
    <w:pPr>
      <w:pStyle w:val="ScalePlusRef"/>
    </w:pPr>
    <w:r>
      <w:t>Note: An electronic version of this Act is available on the Federal Register of Legislation (</w:t>
    </w:r>
    <w:hyperlink r:id="rId1" w:history="1">
      <w:r>
        <w:t>https://www.legislation.gov.au/</w:t>
      </w:r>
    </w:hyperlink>
    <w:r>
      <w:t>)</w:t>
    </w:r>
  </w:p>
  <w:p w:rsidR="00D25FA5" w:rsidRDefault="00D25FA5" w:rsidP="007517B8"/>
  <w:p w:rsidR="00D25FA5" w:rsidRDefault="00D25FA5" w:rsidP="007517B8"/>
  <w:p w:rsidR="00433E97" w:rsidRDefault="00433E97" w:rsidP="00392A4E">
    <w:pPr>
      <w:pStyle w:val="Footer"/>
      <w:spacing w:before="120"/>
    </w:pPr>
  </w:p>
  <w:p w:rsidR="00433E97" w:rsidRPr="005F1388" w:rsidRDefault="00433E97" w:rsidP="0095368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97" w:rsidRPr="00ED79B6" w:rsidRDefault="00433E97" w:rsidP="00392A4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97" w:rsidRDefault="00433E97" w:rsidP="00392A4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33E97" w:rsidTr="00F453BF">
      <w:tc>
        <w:tcPr>
          <w:tcW w:w="646" w:type="dxa"/>
        </w:tcPr>
        <w:p w:rsidR="00433E97" w:rsidRDefault="00433E97" w:rsidP="00F453B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74CEF">
            <w:rPr>
              <w:i/>
              <w:noProof/>
              <w:sz w:val="18"/>
            </w:rPr>
            <w:t>xxxv</w:t>
          </w:r>
          <w:r w:rsidRPr="00ED79B6">
            <w:rPr>
              <w:i/>
              <w:sz w:val="18"/>
            </w:rPr>
            <w:fldChar w:fldCharType="end"/>
          </w:r>
        </w:p>
      </w:tc>
      <w:tc>
        <w:tcPr>
          <w:tcW w:w="5387" w:type="dxa"/>
        </w:tcPr>
        <w:p w:rsidR="00433E97" w:rsidRDefault="0073208D" w:rsidP="00F453BF">
          <w:pPr>
            <w:jc w:val="center"/>
            <w:rPr>
              <w:sz w:val="18"/>
            </w:rPr>
          </w:pPr>
          <w:r>
            <w:rPr>
              <w:i/>
              <w:sz w:val="18"/>
            </w:rPr>
            <w:t>Australian Education Amendment Act 2017</w:t>
          </w:r>
        </w:p>
      </w:tc>
      <w:tc>
        <w:tcPr>
          <w:tcW w:w="1270" w:type="dxa"/>
        </w:tcPr>
        <w:p w:rsidR="00433E97" w:rsidRDefault="0073208D" w:rsidP="00F453BF">
          <w:pPr>
            <w:jc w:val="right"/>
            <w:rPr>
              <w:sz w:val="18"/>
            </w:rPr>
          </w:pPr>
          <w:r>
            <w:rPr>
              <w:i/>
              <w:sz w:val="18"/>
            </w:rPr>
            <w:t>No.      , 2017</w:t>
          </w:r>
        </w:p>
      </w:tc>
    </w:tr>
  </w:tbl>
  <w:p w:rsidR="00433E97" w:rsidRDefault="00433E97" w:rsidP="0095368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97" w:rsidRDefault="00433E97" w:rsidP="00392A4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33E97" w:rsidTr="00F453BF">
      <w:tc>
        <w:tcPr>
          <w:tcW w:w="1247" w:type="dxa"/>
        </w:tcPr>
        <w:p w:rsidR="00433E97" w:rsidRDefault="0073208D" w:rsidP="00AB0695">
          <w:pPr>
            <w:rPr>
              <w:i/>
              <w:sz w:val="18"/>
            </w:rPr>
          </w:pPr>
          <w:r>
            <w:rPr>
              <w:i/>
              <w:sz w:val="18"/>
            </w:rPr>
            <w:t>No.</w:t>
          </w:r>
          <w:r w:rsidR="00AB0695">
            <w:rPr>
              <w:i/>
              <w:sz w:val="18"/>
            </w:rPr>
            <w:t xml:space="preserve"> 78</w:t>
          </w:r>
          <w:r>
            <w:rPr>
              <w:i/>
              <w:sz w:val="18"/>
            </w:rPr>
            <w:t>, 2017</w:t>
          </w:r>
        </w:p>
      </w:tc>
      <w:tc>
        <w:tcPr>
          <w:tcW w:w="5387" w:type="dxa"/>
        </w:tcPr>
        <w:p w:rsidR="00433E97" w:rsidRDefault="0073208D" w:rsidP="00F453BF">
          <w:pPr>
            <w:jc w:val="center"/>
            <w:rPr>
              <w:i/>
              <w:sz w:val="18"/>
            </w:rPr>
          </w:pPr>
          <w:r>
            <w:rPr>
              <w:i/>
              <w:sz w:val="18"/>
            </w:rPr>
            <w:t>Australian Education Amendment Act 2017</w:t>
          </w:r>
        </w:p>
      </w:tc>
      <w:tc>
        <w:tcPr>
          <w:tcW w:w="669" w:type="dxa"/>
        </w:tcPr>
        <w:p w:rsidR="00433E97" w:rsidRDefault="00433E97" w:rsidP="00F453B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74CEF">
            <w:rPr>
              <w:i/>
              <w:noProof/>
              <w:sz w:val="18"/>
            </w:rPr>
            <w:t>i</w:t>
          </w:r>
          <w:r w:rsidRPr="00ED79B6">
            <w:rPr>
              <w:i/>
              <w:sz w:val="18"/>
            </w:rPr>
            <w:fldChar w:fldCharType="end"/>
          </w:r>
        </w:p>
      </w:tc>
    </w:tr>
  </w:tbl>
  <w:p w:rsidR="00433E97" w:rsidRPr="00ED79B6" w:rsidRDefault="00433E97" w:rsidP="00953682">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97" w:rsidRPr="00A961C4" w:rsidRDefault="00433E97" w:rsidP="00392A4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33E97" w:rsidTr="00392A4E">
      <w:tc>
        <w:tcPr>
          <w:tcW w:w="646" w:type="dxa"/>
        </w:tcPr>
        <w:p w:rsidR="00433E97" w:rsidRDefault="00433E97" w:rsidP="00F453B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74CEF">
            <w:rPr>
              <w:i/>
              <w:noProof/>
              <w:sz w:val="18"/>
            </w:rPr>
            <w:t>2</w:t>
          </w:r>
          <w:r w:rsidRPr="007A1328">
            <w:rPr>
              <w:i/>
              <w:sz w:val="18"/>
            </w:rPr>
            <w:fldChar w:fldCharType="end"/>
          </w:r>
        </w:p>
      </w:tc>
      <w:tc>
        <w:tcPr>
          <w:tcW w:w="5387" w:type="dxa"/>
        </w:tcPr>
        <w:p w:rsidR="00433E97" w:rsidRDefault="0073208D" w:rsidP="00F453BF">
          <w:pPr>
            <w:jc w:val="center"/>
            <w:rPr>
              <w:sz w:val="18"/>
            </w:rPr>
          </w:pPr>
          <w:r>
            <w:rPr>
              <w:i/>
              <w:sz w:val="18"/>
            </w:rPr>
            <w:t>Australian Education Amendment Act 2017</w:t>
          </w:r>
        </w:p>
      </w:tc>
      <w:tc>
        <w:tcPr>
          <w:tcW w:w="1270" w:type="dxa"/>
        </w:tcPr>
        <w:p w:rsidR="00433E97" w:rsidRDefault="00AB0695" w:rsidP="00F453BF">
          <w:pPr>
            <w:jc w:val="right"/>
            <w:rPr>
              <w:sz w:val="18"/>
            </w:rPr>
          </w:pPr>
          <w:r>
            <w:rPr>
              <w:i/>
              <w:sz w:val="18"/>
            </w:rPr>
            <w:t>No. 78, 2017</w:t>
          </w:r>
        </w:p>
      </w:tc>
    </w:tr>
  </w:tbl>
  <w:p w:rsidR="00433E97" w:rsidRPr="00A961C4" w:rsidRDefault="00433E97" w:rsidP="00953682">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97" w:rsidRPr="00A961C4" w:rsidRDefault="00433E97" w:rsidP="00392A4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33E97" w:rsidTr="00392A4E">
      <w:tc>
        <w:tcPr>
          <w:tcW w:w="1247" w:type="dxa"/>
        </w:tcPr>
        <w:p w:rsidR="00433E97" w:rsidRDefault="00AB0695" w:rsidP="00F453BF">
          <w:pPr>
            <w:rPr>
              <w:sz w:val="18"/>
            </w:rPr>
          </w:pPr>
          <w:r>
            <w:rPr>
              <w:i/>
              <w:sz w:val="18"/>
            </w:rPr>
            <w:t>No. 78, 2017</w:t>
          </w:r>
        </w:p>
      </w:tc>
      <w:tc>
        <w:tcPr>
          <w:tcW w:w="5387" w:type="dxa"/>
        </w:tcPr>
        <w:p w:rsidR="00433E97" w:rsidRDefault="0073208D" w:rsidP="00F453BF">
          <w:pPr>
            <w:jc w:val="center"/>
            <w:rPr>
              <w:sz w:val="18"/>
            </w:rPr>
          </w:pPr>
          <w:r>
            <w:rPr>
              <w:i/>
              <w:sz w:val="18"/>
            </w:rPr>
            <w:t>Australian Education Amendment Act 2017</w:t>
          </w:r>
        </w:p>
      </w:tc>
      <w:tc>
        <w:tcPr>
          <w:tcW w:w="669" w:type="dxa"/>
        </w:tcPr>
        <w:p w:rsidR="00433E97" w:rsidRDefault="00433E97" w:rsidP="00F453B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74CEF">
            <w:rPr>
              <w:i/>
              <w:noProof/>
              <w:sz w:val="18"/>
            </w:rPr>
            <w:t>43</w:t>
          </w:r>
          <w:r w:rsidRPr="007A1328">
            <w:rPr>
              <w:i/>
              <w:sz w:val="18"/>
            </w:rPr>
            <w:fldChar w:fldCharType="end"/>
          </w:r>
        </w:p>
      </w:tc>
    </w:tr>
  </w:tbl>
  <w:p w:rsidR="00433E97" w:rsidRPr="00055B5C" w:rsidRDefault="00433E97" w:rsidP="0095368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97" w:rsidRPr="00A961C4" w:rsidRDefault="00433E97" w:rsidP="00392A4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33E97" w:rsidTr="00392A4E">
      <w:tc>
        <w:tcPr>
          <w:tcW w:w="1247" w:type="dxa"/>
        </w:tcPr>
        <w:p w:rsidR="00433E97" w:rsidRDefault="00AB0695" w:rsidP="00F453BF">
          <w:pPr>
            <w:rPr>
              <w:sz w:val="18"/>
            </w:rPr>
          </w:pPr>
          <w:r>
            <w:rPr>
              <w:i/>
              <w:sz w:val="18"/>
            </w:rPr>
            <w:t>No. 78, 2017</w:t>
          </w:r>
        </w:p>
      </w:tc>
      <w:tc>
        <w:tcPr>
          <w:tcW w:w="5387" w:type="dxa"/>
        </w:tcPr>
        <w:p w:rsidR="00433E97" w:rsidRDefault="0073208D" w:rsidP="00F453BF">
          <w:pPr>
            <w:jc w:val="center"/>
            <w:rPr>
              <w:sz w:val="18"/>
            </w:rPr>
          </w:pPr>
          <w:r>
            <w:rPr>
              <w:i/>
              <w:sz w:val="18"/>
            </w:rPr>
            <w:t>Australian Education Amendment Act 2017</w:t>
          </w:r>
        </w:p>
      </w:tc>
      <w:tc>
        <w:tcPr>
          <w:tcW w:w="669" w:type="dxa"/>
        </w:tcPr>
        <w:p w:rsidR="00433E97" w:rsidRDefault="00433E97" w:rsidP="00F453B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74CEF">
            <w:rPr>
              <w:i/>
              <w:noProof/>
              <w:sz w:val="18"/>
            </w:rPr>
            <w:t>1</w:t>
          </w:r>
          <w:r w:rsidRPr="007A1328">
            <w:rPr>
              <w:i/>
              <w:sz w:val="18"/>
            </w:rPr>
            <w:fldChar w:fldCharType="end"/>
          </w:r>
        </w:p>
      </w:tc>
    </w:tr>
  </w:tbl>
  <w:p w:rsidR="00433E97" w:rsidRPr="00A961C4" w:rsidRDefault="00433E97" w:rsidP="00953682">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4CC" w:rsidRPr="00A961C4" w:rsidRDefault="007914CC" w:rsidP="00392A4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914CC" w:rsidTr="00392A4E">
      <w:tc>
        <w:tcPr>
          <w:tcW w:w="646" w:type="dxa"/>
        </w:tcPr>
        <w:p w:rsidR="007914CC" w:rsidRDefault="007914CC" w:rsidP="00F453B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74CEF">
            <w:rPr>
              <w:i/>
              <w:noProof/>
              <w:sz w:val="18"/>
            </w:rPr>
            <w:t>35</w:t>
          </w:r>
          <w:r w:rsidRPr="007A1328">
            <w:rPr>
              <w:i/>
              <w:sz w:val="18"/>
            </w:rPr>
            <w:fldChar w:fldCharType="end"/>
          </w:r>
        </w:p>
      </w:tc>
      <w:tc>
        <w:tcPr>
          <w:tcW w:w="5387" w:type="dxa"/>
        </w:tcPr>
        <w:p w:rsidR="007914CC" w:rsidRDefault="0073208D" w:rsidP="00F453BF">
          <w:pPr>
            <w:jc w:val="center"/>
            <w:rPr>
              <w:sz w:val="18"/>
            </w:rPr>
          </w:pPr>
          <w:r>
            <w:rPr>
              <w:i/>
              <w:sz w:val="18"/>
            </w:rPr>
            <w:t>Australian Education Amendment Act 2017</w:t>
          </w:r>
        </w:p>
      </w:tc>
      <w:tc>
        <w:tcPr>
          <w:tcW w:w="1270" w:type="dxa"/>
        </w:tcPr>
        <w:p w:rsidR="007914CC" w:rsidRDefault="0073208D" w:rsidP="00F453BF">
          <w:pPr>
            <w:jc w:val="right"/>
            <w:rPr>
              <w:sz w:val="18"/>
            </w:rPr>
          </w:pPr>
          <w:r>
            <w:rPr>
              <w:i/>
              <w:sz w:val="18"/>
            </w:rPr>
            <w:t>No.      , 2017</w:t>
          </w:r>
        </w:p>
      </w:tc>
    </w:tr>
  </w:tbl>
  <w:p w:rsidR="007914CC" w:rsidRPr="00A961C4" w:rsidRDefault="007914CC" w:rsidP="00953682">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E97" w:rsidRDefault="00433E97" w:rsidP="0048364F">
      <w:pPr>
        <w:spacing w:line="240" w:lineRule="auto"/>
      </w:pPr>
      <w:r>
        <w:separator/>
      </w:r>
    </w:p>
  </w:footnote>
  <w:footnote w:type="continuationSeparator" w:id="0">
    <w:p w:rsidR="00433E97" w:rsidRDefault="00433E9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97" w:rsidRPr="005F1388" w:rsidRDefault="00433E97" w:rsidP="00953682">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4CC" w:rsidRPr="00A961C4" w:rsidRDefault="007914CC" w:rsidP="00953682">
    <w:pPr>
      <w:rPr>
        <w:b/>
        <w:sz w:val="20"/>
      </w:rPr>
    </w:pPr>
  </w:p>
  <w:p w:rsidR="007914CC" w:rsidRPr="00A961C4" w:rsidRDefault="007914CC" w:rsidP="00953682">
    <w:pPr>
      <w:rPr>
        <w:b/>
        <w:sz w:val="20"/>
      </w:rPr>
    </w:pPr>
  </w:p>
  <w:p w:rsidR="007914CC" w:rsidRPr="00A961C4" w:rsidRDefault="007914CC" w:rsidP="00953682">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4CC" w:rsidRPr="00A961C4" w:rsidRDefault="007914CC" w:rsidP="00953682">
    <w:pPr>
      <w:jc w:val="right"/>
      <w:rPr>
        <w:sz w:val="20"/>
      </w:rPr>
    </w:pPr>
  </w:p>
  <w:p w:rsidR="007914CC" w:rsidRPr="00A961C4" w:rsidRDefault="007914CC" w:rsidP="00953682">
    <w:pPr>
      <w:jc w:val="right"/>
      <w:rPr>
        <w:b/>
        <w:sz w:val="20"/>
      </w:rPr>
    </w:pPr>
  </w:p>
  <w:p w:rsidR="007914CC" w:rsidRPr="00A961C4" w:rsidRDefault="007914CC" w:rsidP="00953682">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4CC" w:rsidRPr="00A961C4" w:rsidRDefault="007914CC" w:rsidP="009536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97" w:rsidRPr="005F1388" w:rsidRDefault="00433E97" w:rsidP="00953682">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97" w:rsidRPr="005F1388" w:rsidRDefault="00433E97" w:rsidP="0095368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97" w:rsidRPr="00ED79B6" w:rsidRDefault="00433E97" w:rsidP="00953682">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97" w:rsidRPr="00ED79B6" w:rsidRDefault="00433E97" w:rsidP="00953682">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97" w:rsidRPr="00ED79B6" w:rsidRDefault="00433E97" w:rsidP="0095368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97" w:rsidRPr="00A961C4" w:rsidRDefault="00433E97" w:rsidP="00953682">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433E97" w:rsidRPr="00A961C4" w:rsidRDefault="00433E97" w:rsidP="00953682">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433E97" w:rsidRPr="00A961C4" w:rsidRDefault="00433E97" w:rsidP="009536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97" w:rsidRPr="00A961C4" w:rsidRDefault="00433E97" w:rsidP="00953682">
    <w:pPr>
      <w:jc w:val="right"/>
      <w:rPr>
        <w:sz w:val="20"/>
      </w:rPr>
    </w:pPr>
    <w:r w:rsidRPr="00A961C4">
      <w:rPr>
        <w:sz w:val="20"/>
      </w:rPr>
      <w:fldChar w:fldCharType="begin"/>
    </w:r>
    <w:r w:rsidRPr="00A961C4">
      <w:rPr>
        <w:sz w:val="20"/>
      </w:rPr>
      <w:instrText xml:space="preserve"> STYLEREF CharAmSchText </w:instrText>
    </w:r>
    <w:r w:rsidR="00874CEF">
      <w:rPr>
        <w:sz w:val="20"/>
      </w:rPr>
      <w:fldChar w:fldCharType="separate"/>
    </w:r>
    <w:r w:rsidR="00874CEF">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74CEF">
      <w:rPr>
        <w:b/>
        <w:sz w:val="20"/>
      </w:rPr>
      <w:fldChar w:fldCharType="separate"/>
    </w:r>
    <w:r w:rsidR="00874CEF">
      <w:rPr>
        <w:b/>
        <w:noProof/>
        <w:sz w:val="20"/>
      </w:rPr>
      <w:t>Schedule 1</w:t>
    </w:r>
    <w:r>
      <w:rPr>
        <w:b/>
        <w:sz w:val="20"/>
      </w:rPr>
      <w:fldChar w:fldCharType="end"/>
    </w:r>
  </w:p>
  <w:p w:rsidR="00433E97" w:rsidRPr="00A961C4" w:rsidRDefault="00433E97" w:rsidP="00953682">
    <w:pPr>
      <w:jc w:val="right"/>
      <w:rPr>
        <w:b/>
        <w:sz w:val="20"/>
      </w:rPr>
    </w:pPr>
    <w:r w:rsidRPr="00A961C4">
      <w:rPr>
        <w:sz w:val="20"/>
      </w:rPr>
      <w:fldChar w:fldCharType="begin"/>
    </w:r>
    <w:r w:rsidRPr="00A961C4">
      <w:rPr>
        <w:sz w:val="20"/>
      </w:rPr>
      <w:instrText xml:space="preserve"> STYLEREF CharAmPartText </w:instrText>
    </w:r>
    <w:r w:rsidR="00874CEF">
      <w:rPr>
        <w:sz w:val="20"/>
      </w:rPr>
      <w:fldChar w:fldCharType="separate"/>
    </w:r>
    <w:r w:rsidR="00874CEF">
      <w:rPr>
        <w:noProof/>
        <w:sz w:val="20"/>
      </w:rPr>
      <w:t>Miscellaneous technical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874CEF">
      <w:rPr>
        <w:b/>
        <w:sz w:val="20"/>
      </w:rPr>
      <w:fldChar w:fldCharType="separate"/>
    </w:r>
    <w:r w:rsidR="00874CEF">
      <w:rPr>
        <w:b/>
        <w:noProof/>
        <w:sz w:val="20"/>
      </w:rPr>
      <w:t>Part 3</w:t>
    </w:r>
    <w:r w:rsidRPr="00A961C4">
      <w:rPr>
        <w:b/>
        <w:sz w:val="20"/>
      </w:rPr>
      <w:fldChar w:fldCharType="end"/>
    </w:r>
  </w:p>
  <w:p w:rsidR="00433E97" w:rsidRPr="00A961C4" w:rsidRDefault="00433E97" w:rsidP="009536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97" w:rsidRPr="00A961C4" w:rsidRDefault="00433E97" w:rsidP="009536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D6525E"/>
    <w:lvl w:ilvl="0">
      <w:start w:val="1"/>
      <w:numFmt w:val="decimal"/>
      <w:lvlText w:val="%1."/>
      <w:lvlJc w:val="left"/>
      <w:pPr>
        <w:tabs>
          <w:tab w:val="num" w:pos="1492"/>
        </w:tabs>
        <w:ind w:left="1492" w:hanging="360"/>
      </w:pPr>
    </w:lvl>
  </w:abstractNum>
  <w:abstractNum w:abstractNumId="1">
    <w:nsid w:val="FFFFFF7D"/>
    <w:multiLevelType w:val="singleLevel"/>
    <w:tmpl w:val="4CC0B13A"/>
    <w:lvl w:ilvl="0">
      <w:start w:val="1"/>
      <w:numFmt w:val="decimal"/>
      <w:lvlText w:val="%1."/>
      <w:lvlJc w:val="left"/>
      <w:pPr>
        <w:tabs>
          <w:tab w:val="num" w:pos="1209"/>
        </w:tabs>
        <w:ind w:left="1209" w:hanging="360"/>
      </w:pPr>
    </w:lvl>
  </w:abstractNum>
  <w:abstractNum w:abstractNumId="2">
    <w:nsid w:val="FFFFFF7E"/>
    <w:multiLevelType w:val="singleLevel"/>
    <w:tmpl w:val="6E702FE8"/>
    <w:lvl w:ilvl="0">
      <w:start w:val="1"/>
      <w:numFmt w:val="decimal"/>
      <w:lvlText w:val="%1."/>
      <w:lvlJc w:val="left"/>
      <w:pPr>
        <w:tabs>
          <w:tab w:val="num" w:pos="926"/>
        </w:tabs>
        <w:ind w:left="926" w:hanging="360"/>
      </w:pPr>
    </w:lvl>
  </w:abstractNum>
  <w:abstractNum w:abstractNumId="3">
    <w:nsid w:val="FFFFFF7F"/>
    <w:multiLevelType w:val="singleLevel"/>
    <w:tmpl w:val="40FEDFF6"/>
    <w:lvl w:ilvl="0">
      <w:start w:val="1"/>
      <w:numFmt w:val="decimal"/>
      <w:lvlText w:val="%1."/>
      <w:lvlJc w:val="left"/>
      <w:pPr>
        <w:tabs>
          <w:tab w:val="num" w:pos="643"/>
        </w:tabs>
        <w:ind w:left="643" w:hanging="360"/>
      </w:pPr>
    </w:lvl>
  </w:abstractNum>
  <w:abstractNum w:abstractNumId="4">
    <w:nsid w:val="FFFFFF80"/>
    <w:multiLevelType w:val="singleLevel"/>
    <w:tmpl w:val="E68873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DA0CD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848B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028C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3C5A6C"/>
    <w:lvl w:ilvl="0">
      <w:start w:val="1"/>
      <w:numFmt w:val="decimal"/>
      <w:lvlText w:val="%1."/>
      <w:lvlJc w:val="left"/>
      <w:pPr>
        <w:tabs>
          <w:tab w:val="num" w:pos="360"/>
        </w:tabs>
        <w:ind w:left="360" w:hanging="360"/>
      </w:pPr>
    </w:lvl>
  </w:abstractNum>
  <w:abstractNum w:abstractNumId="9">
    <w:nsid w:val="FFFFFF89"/>
    <w:multiLevelType w:val="singleLevel"/>
    <w:tmpl w:val="F6EC5E3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73E"/>
    <w:rsid w:val="00001AE8"/>
    <w:rsid w:val="000066C8"/>
    <w:rsid w:val="000113BC"/>
    <w:rsid w:val="000136AF"/>
    <w:rsid w:val="0003122E"/>
    <w:rsid w:val="000417C9"/>
    <w:rsid w:val="00047A50"/>
    <w:rsid w:val="00053921"/>
    <w:rsid w:val="00055B5C"/>
    <w:rsid w:val="00056391"/>
    <w:rsid w:val="00060FF9"/>
    <w:rsid w:val="000614BF"/>
    <w:rsid w:val="0007078D"/>
    <w:rsid w:val="000734F4"/>
    <w:rsid w:val="0008074E"/>
    <w:rsid w:val="000819E8"/>
    <w:rsid w:val="00085DAF"/>
    <w:rsid w:val="00086F70"/>
    <w:rsid w:val="0009229B"/>
    <w:rsid w:val="000A36C2"/>
    <w:rsid w:val="000A6F40"/>
    <w:rsid w:val="000A7B1A"/>
    <w:rsid w:val="000B0703"/>
    <w:rsid w:val="000B1FD2"/>
    <w:rsid w:val="000B25A6"/>
    <w:rsid w:val="000B7D83"/>
    <w:rsid w:val="000C11EF"/>
    <w:rsid w:val="000C3D3F"/>
    <w:rsid w:val="000C613A"/>
    <w:rsid w:val="000D05EF"/>
    <w:rsid w:val="000E5030"/>
    <w:rsid w:val="000F21C1"/>
    <w:rsid w:val="000F7502"/>
    <w:rsid w:val="00101D90"/>
    <w:rsid w:val="001029E0"/>
    <w:rsid w:val="00102ABC"/>
    <w:rsid w:val="00104F4F"/>
    <w:rsid w:val="0010745C"/>
    <w:rsid w:val="00110ADB"/>
    <w:rsid w:val="00113BD1"/>
    <w:rsid w:val="00120C8B"/>
    <w:rsid w:val="00122206"/>
    <w:rsid w:val="0012552E"/>
    <w:rsid w:val="00142DB3"/>
    <w:rsid w:val="0014467F"/>
    <w:rsid w:val="00155A3E"/>
    <w:rsid w:val="0015646E"/>
    <w:rsid w:val="001571AE"/>
    <w:rsid w:val="001643C9"/>
    <w:rsid w:val="00165568"/>
    <w:rsid w:val="00166C2F"/>
    <w:rsid w:val="00167EC4"/>
    <w:rsid w:val="001716C9"/>
    <w:rsid w:val="00173363"/>
    <w:rsid w:val="00173B94"/>
    <w:rsid w:val="00183A2E"/>
    <w:rsid w:val="001854B4"/>
    <w:rsid w:val="00187AAF"/>
    <w:rsid w:val="001939E1"/>
    <w:rsid w:val="00195382"/>
    <w:rsid w:val="0019549E"/>
    <w:rsid w:val="00197898"/>
    <w:rsid w:val="001A3658"/>
    <w:rsid w:val="001A4F76"/>
    <w:rsid w:val="001A759A"/>
    <w:rsid w:val="001B7A5D"/>
    <w:rsid w:val="001C2418"/>
    <w:rsid w:val="001C69C4"/>
    <w:rsid w:val="001D7A0B"/>
    <w:rsid w:val="001E3590"/>
    <w:rsid w:val="001E488E"/>
    <w:rsid w:val="001E7407"/>
    <w:rsid w:val="00201D27"/>
    <w:rsid w:val="00202618"/>
    <w:rsid w:val="00202BA0"/>
    <w:rsid w:val="00204841"/>
    <w:rsid w:val="0020542B"/>
    <w:rsid w:val="00232E18"/>
    <w:rsid w:val="00240749"/>
    <w:rsid w:val="002410CC"/>
    <w:rsid w:val="00241399"/>
    <w:rsid w:val="00243E0B"/>
    <w:rsid w:val="002446BB"/>
    <w:rsid w:val="0025183D"/>
    <w:rsid w:val="00252777"/>
    <w:rsid w:val="0025754F"/>
    <w:rsid w:val="00263820"/>
    <w:rsid w:val="00275197"/>
    <w:rsid w:val="0028590B"/>
    <w:rsid w:val="00293B89"/>
    <w:rsid w:val="002967E6"/>
    <w:rsid w:val="00297ECB"/>
    <w:rsid w:val="002B5A30"/>
    <w:rsid w:val="002B7AC8"/>
    <w:rsid w:val="002C0ADD"/>
    <w:rsid w:val="002C5F89"/>
    <w:rsid w:val="002D043A"/>
    <w:rsid w:val="002D19DB"/>
    <w:rsid w:val="002D392E"/>
    <w:rsid w:val="002D395A"/>
    <w:rsid w:val="00312DC7"/>
    <w:rsid w:val="003178C4"/>
    <w:rsid w:val="003415D3"/>
    <w:rsid w:val="00350417"/>
    <w:rsid w:val="003509BB"/>
    <w:rsid w:val="00351E7B"/>
    <w:rsid w:val="00352B0F"/>
    <w:rsid w:val="00353069"/>
    <w:rsid w:val="003536E2"/>
    <w:rsid w:val="00364EED"/>
    <w:rsid w:val="00366806"/>
    <w:rsid w:val="003755B7"/>
    <w:rsid w:val="00375C6C"/>
    <w:rsid w:val="00392A4E"/>
    <w:rsid w:val="0039657D"/>
    <w:rsid w:val="003A5AA5"/>
    <w:rsid w:val="003B2504"/>
    <w:rsid w:val="003C3687"/>
    <w:rsid w:val="003C5F2B"/>
    <w:rsid w:val="003D0BFE"/>
    <w:rsid w:val="003D5700"/>
    <w:rsid w:val="003F13EB"/>
    <w:rsid w:val="003F2093"/>
    <w:rsid w:val="003F3811"/>
    <w:rsid w:val="003F6D4D"/>
    <w:rsid w:val="00401E64"/>
    <w:rsid w:val="00405579"/>
    <w:rsid w:val="00410B8E"/>
    <w:rsid w:val="004116CD"/>
    <w:rsid w:val="004138BA"/>
    <w:rsid w:val="004146D1"/>
    <w:rsid w:val="00421FC1"/>
    <w:rsid w:val="004229C7"/>
    <w:rsid w:val="00424CA9"/>
    <w:rsid w:val="00427858"/>
    <w:rsid w:val="00433E97"/>
    <w:rsid w:val="00436785"/>
    <w:rsid w:val="00436BD5"/>
    <w:rsid w:val="00437E4B"/>
    <w:rsid w:val="0044291A"/>
    <w:rsid w:val="0044692A"/>
    <w:rsid w:val="00454D4C"/>
    <w:rsid w:val="00461560"/>
    <w:rsid w:val="00461BBD"/>
    <w:rsid w:val="00465B91"/>
    <w:rsid w:val="004773EF"/>
    <w:rsid w:val="0048196B"/>
    <w:rsid w:val="0048364F"/>
    <w:rsid w:val="00485A33"/>
    <w:rsid w:val="0049075C"/>
    <w:rsid w:val="004954B7"/>
    <w:rsid w:val="00495973"/>
    <w:rsid w:val="00495DD8"/>
    <w:rsid w:val="00496F97"/>
    <w:rsid w:val="004C0ED0"/>
    <w:rsid w:val="004C139D"/>
    <w:rsid w:val="004C20FB"/>
    <w:rsid w:val="004C7C8C"/>
    <w:rsid w:val="004D0D6F"/>
    <w:rsid w:val="004D3125"/>
    <w:rsid w:val="004E2A4A"/>
    <w:rsid w:val="004F0D23"/>
    <w:rsid w:val="004F1FAC"/>
    <w:rsid w:val="004F7539"/>
    <w:rsid w:val="00507107"/>
    <w:rsid w:val="00516B8D"/>
    <w:rsid w:val="00533294"/>
    <w:rsid w:val="00536FD3"/>
    <w:rsid w:val="00537FBC"/>
    <w:rsid w:val="00543469"/>
    <w:rsid w:val="0054373E"/>
    <w:rsid w:val="005464CB"/>
    <w:rsid w:val="00551B54"/>
    <w:rsid w:val="00572A20"/>
    <w:rsid w:val="0057425F"/>
    <w:rsid w:val="00574D8C"/>
    <w:rsid w:val="00581042"/>
    <w:rsid w:val="00584807"/>
    <w:rsid w:val="00584811"/>
    <w:rsid w:val="00593AA6"/>
    <w:rsid w:val="00594161"/>
    <w:rsid w:val="00594749"/>
    <w:rsid w:val="0059762B"/>
    <w:rsid w:val="005A0D92"/>
    <w:rsid w:val="005B4067"/>
    <w:rsid w:val="005C3F41"/>
    <w:rsid w:val="005E152A"/>
    <w:rsid w:val="005E7A38"/>
    <w:rsid w:val="005E7F42"/>
    <w:rsid w:val="005F747A"/>
    <w:rsid w:val="00600219"/>
    <w:rsid w:val="00623C79"/>
    <w:rsid w:val="00623EA4"/>
    <w:rsid w:val="00632F4E"/>
    <w:rsid w:val="00641DE5"/>
    <w:rsid w:val="00646928"/>
    <w:rsid w:val="00650031"/>
    <w:rsid w:val="0065239A"/>
    <w:rsid w:val="00656F0C"/>
    <w:rsid w:val="0066616C"/>
    <w:rsid w:val="00677CC2"/>
    <w:rsid w:val="00681F92"/>
    <w:rsid w:val="006842C2"/>
    <w:rsid w:val="00685F42"/>
    <w:rsid w:val="0069207B"/>
    <w:rsid w:val="006A36C2"/>
    <w:rsid w:val="006B2AFA"/>
    <w:rsid w:val="006C2874"/>
    <w:rsid w:val="006C7F8C"/>
    <w:rsid w:val="006D21D9"/>
    <w:rsid w:val="006D380D"/>
    <w:rsid w:val="006E0135"/>
    <w:rsid w:val="006E303A"/>
    <w:rsid w:val="006F3CA7"/>
    <w:rsid w:val="006F7E19"/>
    <w:rsid w:val="00700B2C"/>
    <w:rsid w:val="00701819"/>
    <w:rsid w:val="0070300B"/>
    <w:rsid w:val="00706829"/>
    <w:rsid w:val="00712CA3"/>
    <w:rsid w:val="00712D8D"/>
    <w:rsid w:val="00713084"/>
    <w:rsid w:val="00714B26"/>
    <w:rsid w:val="00717371"/>
    <w:rsid w:val="00722303"/>
    <w:rsid w:val="00731E00"/>
    <w:rsid w:val="0073208D"/>
    <w:rsid w:val="00733B39"/>
    <w:rsid w:val="00743877"/>
    <w:rsid w:val="007440B7"/>
    <w:rsid w:val="00746D87"/>
    <w:rsid w:val="007617A1"/>
    <w:rsid w:val="007618CA"/>
    <w:rsid w:val="007634AD"/>
    <w:rsid w:val="007675CA"/>
    <w:rsid w:val="007715C9"/>
    <w:rsid w:val="00774EDD"/>
    <w:rsid w:val="007757EC"/>
    <w:rsid w:val="0077717C"/>
    <w:rsid w:val="007773D9"/>
    <w:rsid w:val="007856DC"/>
    <w:rsid w:val="007914CC"/>
    <w:rsid w:val="00794059"/>
    <w:rsid w:val="007951AE"/>
    <w:rsid w:val="0079586E"/>
    <w:rsid w:val="00797421"/>
    <w:rsid w:val="007A4806"/>
    <w:rsid w:val="007B3F65"/>
    <w:rsid w:val="007B6418"/>
    <w:rsid w:val="007E1AD8"/>
    <w:rsid w:val="007E7D4A"/>
    <w:rsid w:val="008006CC"/>
    <w:rsid w:val="00804C55"/>
    <w:rsid w:val="0080643A"/>
    <w:rsid w:val="00807F18"/>
    <w:rsid w:val="00831E8D"/>
    <w:rsid w:val="00846629"/>
    <w:rsid w:val="00853065"/>
    <w:rsid w:val="00856A31"/>
    <w:rsid w:val="00856E69"/>
    <w:rsid w:val="00857C2F"/>
    <w:rsid w:val="00857D6B"/>
    <w:rsid w:val="00865397"/>
    <w:rsid w:val="00867B24"/>
    <w:rsid w:val="00874CEF"/>
    <w:rsid w:val="008754D0"/>
    <w:rsid w:val="00877D48"/>
    <w:rsid w:val="00883781"/>
    <w:rsid w:val="00885570"/>
    <w:rsid w:val="00887BF8"/>
    <w:rsid w:val="00893958"/>
    <w:rsid w:val="008A1EC6"/>
    <w:rsid w:val="008A2E77"/>
    <w:rsid w:val="008B1443"/>
    <w:rsid w:val="008C365C"/>
    <w:rsid w:val="008C6F6F"/>
    <w:rsid w:val="008D0EE0"/>
    <w:rsid w:val="008E3A98"/>
    <w:rsid w:val="008E7CC7"/>
    <w:rsid w:val="008F229F"/>
    <w:rsid w:val="008F4F1C"/>
    <w:rsid w:val="008F77C4"/>
    <w:rsid w:val="009103F3"/>
    <w:rsid w:val="00917418"/>
    <w:rsid w:val="009263DD"/>
    <w:rsid w:val="00927150"/>
    <w:rsid w:val="009275AB"/>
    <w:rsid w:val="00932377"/>
    <w:rsid w:val="009351DC"/>
    <w:rsid w:val="009423CE"/>
    <w:rsid w:val="00944C00"/>
    <w:rsid w:val="00952D89"/>
    <w:rsid w:val="00953682"/>
    <w:rsid w:val="009554F1"/>
    <w:rsid w:val="00955ABC"/>
    <w:rsid w:val="0096449D"/>
    <w:rsid w:val="00967042"/>
    <w:rsid w:val="009772C9"/>
    <w:rsid w:val="00980ADD"/>
    <w:rsid w:val="0098255A"/>
    <w:rsid w:val="009845BE"/>
    <w:rsid w:val="0098733D"/>
    <w:rsid w:val="00992B22"/>
    <w:rsid w:val="009969C9"/>
    <w:rsid w:val="009A0735"/>
    <w:rsid w:val="009C2054"/>
    <w:rsid w:val="009D3BB1"/>
    <w:rsid w:val="009E55E8"/>
    <w:rsid w:val="00A02A60"/>
    <w:rsid w:val="00A048FF"/>
    <w:rsid w:val="00A05B2B"/>
    <w:rsid w:val="00A10775"/>
    <w:rsid w:val="00A13B63"/>
    <w:rsid w:val="00A231E2"/>
    <w:rsid w:val="00A36C48"/>
    <w:rsid w:val="00A41780"/>
    <w:rsid w:val="00A41E0B"/>
    <w:rsid w:val="00A41FC5"/>
    <w:rsid w:val="00A46CCA"/>
    <w:rsid w:val="00A5076E"/>
    <w:rsid w:val="00A5231C"/>
    <w:rsid w:val="00A55631"/>
    <w:rsid w:val="00A55683"/>
    <w:rsid w:val="00A64912"/>
    <w:rsid w:val="00A66E99"/>
    <w:rsid w:val="00A67EED"/>
    <w:rsid w:val="00A70A74"/>
    <w:rsid w:val="00A85911"/>
    <w:rsid w:val="00A90BF3"/>
    <w:rsid w:val="00A92880"/>
    <w:rsid w:val="00AA3795"/>
    <w:rsid w:val="00AB0695"/>
    <w:rsid w:val="00AC1E75"/>
    <w:rsid w:val="00AC437F"/>
    <w:rsid w:val="00AC7FBC"/>
    <w:rsid w:val="00AD5641"/>
    <w:rsid w:val="00AE1088"/>
    <w:rsid w:val="00AE5804"/>
    <w:rsid w:val="00AE5E8D"/>
    <w:rsid w:val="00AF1BA4"/>
    <w:rsid w:val="00B032D8"/>
    <w:rsid w:val="00B17F89"/>
    <w:rsid w:val="00B214E5"/>
    <w:rsid w:val="00B22736"/>
    <w:rsid w:val="00B33B3C"/>
    <w:rsid w:val="00B33D81"/>
    <w:rsid w:val="00B3785B"/>
    <w:rsid w:val="00B55ACD"/>
    <w:rsid w:val="00B6382D"/>
    <w:rsid w:val="00B76534"/>
    <w:rsid w:val="00B81A89"/>
    <w:rsid w:val="00B8263C"/>
    <w:rsid w:val="00B84F34"/>
    <w:rsid w:val="00B85C58"/>
    <w:rsid w:val="00BA1D99"/>
    <w:rsid w:val="00BA21D5"/>
    <w:rsid w:val="00BA5026"/>
    <w:rsid w:val="00BB17ED"/>
    <w:rsid w:val="00BB40BF"/>
    <w:rsid w:val="00BC0CD1"/>
    <w:rsid w:val="00BC26B5"/>
    <w:rsid w:val="00BC7B9A"/>
    <w:rsid w:val="00BE0E7E"/>
    <w:rsid w:val="00BE719A"/>
    <w:rsid w:val="00BE720A"/>
    <w:rsid w:val="00BF0461"/>
    <w:rsid w:val="00BF3B9F"/>
    <w:rsid w:val="00BF4944"/>
    <w:rsid w:val="00BF56D4"/>
    <w:rsid w:val="00C04409"/>
    <w:rsid w:val="00C067E5"/>
    <w:rsid w:val="00C06F26"/>
    <w:rsid w:val="00C109D7"/>
    <w:rsid w:val="00C164CA"/>
    <w:rsid w:val="00C176CF"/>
    <w:rsid w:val="00C22057"/>
    <w:rsid w:val="00C34635"/>
    <w:rsid w:val="00C36E48"/>
    <w:rsid w:val="00C37AE7"/>
    <w:rsid w:val="00C41D00"/>
    <w:rsid w:val="00C42BF8"/>
    <w:rsid w:val="00C460AE"/>
    <w:rsid w:val="00C50043"/>
    <w:rsid w:val="00C5294F"/>
    <w:rsid w:val="00C54E84"/>
    <w:rsid w:val="00C57592"/>
    <w:rsid w:val="00C60DCF"/>
    <w:rsid w:val="00C6643E"/>
    <w:rsid w:val="00C7573B"/>
    <w:rsid w:val="00C76CF3"/>
    <w:rsid w:val="00C80BFB"/>
    <w:rsid w:val="00CD2B73"/>
    <w:rsid w:val="00CE1E31"/>
    <w:rsid w:val="00CF0BB2"/>
    <w:rsid w:val="00D00EAA"/>
    <w:rsid w:val="00D00F43"/>
    <w:rsid w:val="00D0205C"/>
    <w:rsid w:val="00D03542"/>
    <w:rsid w:val="00D13441"/>
    <w:rsid w:val="00D243A3"/>
    <w:rsid w:val="00D24AB2"/>
    <w:rsid w:val="00D25FA5"/>
    <w:rsid w:val="00D32826"/>
    <w:rsid w:val="00D34872"/>
    <w:rsid w:val="00D37932"/>
    <w:rsid w:val="00D4009B"/>
    <w:rsid w:val="00D4121D"/>
    <w:rsid w:val="00D45C43"/>
    <w:rsid w:val="00D477C3"/>
    <w:rsid w:val="00D5039D"/>
    <w:rsid w:val="00D52EFE"/>
    <w:rsid w:val="00D53154"/>
    <w:rsid w:val="00D54EE7"/>
    <w:rsid w:val="00D57560"/>
    <w:rsid w:val="00D63EF6"/>
    <w:rsid w:val="00D70DFB"/>
    <w:rsid w:val="00D73029"/>
    <w:rsid w:val="00D766DF"/>
    <w:rsid w:val="00D77388"/>
    <w:rsid w:val="00D84237"/>
    <w:rsid w:val="00D90C35"/>
    <w:rsid w:val="00D92455"/>
    <w:rsid w:val="00D973D5"/>
    <w:rsid w:val="00DB1657"/>
    <w:rsid w:val="00DB4FD8"/>
    <w:rsid w:val="00DB4FE5"/>
    <w:rsid w:val="00DC73D2"/>
    <w:rsid w:val="00DD5447"/>
    <w:rsid w:val="00DE0515"/>
    <w:rsid w:val="00DE2002"/>
    <w:rsid w:val="00DF59FC"/>
    <w:rsid w:val="00DF7904"/>
    <w:rsid w:val="00DF7AE9"/>
    <w:rsid w:val="00E05704"/>
    <w:rsid w:val="00E21B1A"/>
    <w:rsid w:val="00E235D7"/>
    <w:rsid w:val="00E24D66"/>
    <w:rsid w:val="00E4268C"/>
    <w:rsid w:val="00E42A3F"/>
    <w:rsid w:val="00E46E75"/>
    <w:rsid w:val="00E54292"/>
    <w:rsid w:val="00E571D1"/>
    <w:rsid w:val="00E7113B"/>
    <w:rsid w:val="00E74DC7"/>
    <w:rsid w:val="00E87699"/>
    <w:rsid w:val="00EA2E45"/>
    <w:rsid w:val="00EB04B0"/>
    <w:rsid w:val="00EB4B8A"/>
    <w:rsid w:val="00EB79C5"/>
    <w:rsid w:val="00EC5329"/>
    <w:rsid w:val="00EC7CA7"/>
    <w:rsid w:val="00ED492F"/>
    <w:rsid w:val="00ED5FB5"/>
    <w:rsid w:val="00EE104B"/>
    <w:rsid w:val="00EF2E3A"/>
    <w:rsid w:val="00F047E2"/>
    <w:rsid w:val="00F078DC"/>
    <w:rsid w:val="00F13E86"/>
    <w:rsid w:val="00F17B00"/>
    <w:rsid w:val="00F17C93"/>
    <w:rsid w:val="00F33DEA"/>
    <w:rsid w:val="00F42118"/>
    <w:rsid w:val="00F453BF"/>
    <w:rsid w:val="00F55820"/>
    <w:rsid w:val="00F576B2"/>
    <w:rsid w:val="00F66521"/>
    <w:rsid w:val="00F677A9"/>
    <w:rsid w:val="00F84CF5"/>
    <w:rsid w:val="00F92D35"/>
    <w:rsid w:val="00F931EB"/>
    <w:rsid w:val="00FA420B"/>
    <w:rsid w:val="00FB1107"/>
    <w:rsid w:val="00FC28DC"/>
    <w:rsid w:val="00FD0295"/>
    <w:rsid w:val="00FD1E13"/>
    <w:rsid w:val="00FD6947"/>
    <w:rsid w:val="00FD7EB1"/>
    <w:rsid w:val="00FE3104"/>
    <w:rsid w:val="00FE41C9"/>
    <w:rsid w:val="00FE76DC"/>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2A4E"/>
    <w:pPr>
      <w:spacing w:line="260" w:lineRule="atLeast"/>
    </w:pPr>
    <w:rPr>
      <w:sz w:val="22"/>
    </w:rPr>
  </w:style>
  <w:style w:type="paragraph" w:styleId="Heading1">
    <w:name w:val="heading 1"/>
    <w:basedOn w:val="Normal"/>
    <w:next w:val="Normal"/>
    <w:link w:val="Heading1Char"/>
    <w:uiPriority w:val="9"/>
    <w:qFormat/>
    <w:rsid w:val="007030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030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300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300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0300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0300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0300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0300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0300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92A4E"/>
  </w:style>
  <w:style w:type="paragraph" w:customStyle="1" w:styleId="OPCParaBase">
    <w:name w:val="OPCParaBase"/>
    <w:link w:val="OPCParaBaseChar"/>
    <w:qFormat/>
    <w:rsid w:val="00392A4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92A4E"/>
    <w:pPr>
      <w:spacing w:line="240" w:lineRule="auto"/>
    </w:pPr>
    <w:rPr>
      <w:b/>
      <w:sz w:val="40"/>
    </w:rPr>
  </w:style>
  <w:style w:type="paragraph" w:customStyle="1" w:styleId="ActHead1">
    <w:name w:val="ActHead 1"/>
    <w:aliases w:val="c"/>
    <w:basedOn w:val="OPCParaBase"/>
    <w:next w:val="Normal"/>
    <w:qFormat/>
    <w:rsid w:val="00392A4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92A4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92A4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92A4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92A4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92A4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92A4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92A4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92A4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92A4E"/>
  </w:style>
  <w:style w:type="paragraph" w:customStyle="1" w:styleId="Blocks">
    <w:name w:val="Blocks"/>
    <w:aliases w:val="bb"/>
    <w:basedOn w:val="OPCParaBase"/>
    <w:qFormat/>
    <w:rsid w:val="00392A4E"/>
    <w:pPr>
      <w:spacing w:line="240" w:lineRule="auto"/>
    </w:pPr>
    <w:rPr>
      <w:sz w:val="24"/>
    </w:rPr>
  </w:style>
  <w:style w:type="paragraph" w:customStyle="1" w:styleId="BoxText">
    <w:name w:val="BoxText"/>
    <w:aliases w:val="bt"/>
    <w:basedOn w:val="OPCParaBase"/>
    <w:qFormat/>
    <w:rsid w:val="00392A4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92A4E"/>
    <w:rPr>
      <w:b/>
    </w:rPr>
  </w:style>
  <w:style w:type="paragraph" w:customStyle="1" w:styleId="BoxHeadItalic">
    <w:name w:val="BoxHeadItalic"/>
    <w:aliases w:val="bhi"/>
    <w:basedOn w:val="BoxText"/>
    <w:next w:val="BoxStep"/>
    <w:qFormat/>
    <w:rsid w:val="00392A4E"/>
    <w:rPr>
      <w:i/>
    </w:rPr>
  </w:style>
  <w:style w:type="paragraph" w:customStyle="1" w:styleId="BoxList">
    <w:name w:val="BoxList"/>
    <w:aliases w:val="bl"/>
    <w:basedOn w:val="BoxText"/>
    <w:qFormat/>
    <w:rsid w:val="00392A4E"/>
    <w:pPr>
      <w:ind w:left="1559" w:hanging="425"/>
    </w:pPr>
  </w:style>
  <w:style w:type="paragraph" w:customStyle="1" w:styleId="BoxNote">
    <w:name w:val="BoxNote"/>
    <w:aliases w:val="bn"/>
    <w:basedOn w:val="BoxText"/>
    <w:qFormat/>
    <w:rsid w:val="00392A4E"/>
    <w:pPr>
      <w:tabs>
        <w:tab w:val="left" w:pos="1985"/>
      </w:tabs>
      <w:spacing w:before="122" w:line="198" w:lineRule="exact"/>
      <w:ind w:left="2948" w:hanging="1814"/>
    </w:pPr>
    <w:rPr>
      <w:sz w:val="18"/>
    </w:rPr>
  </w:style>
  <w:style w:type="paragraph" w:customStyle="1" w:styleId="BoxPara">
    <w:name w:val="BoxPara"/>
    <w:aliases w:val="bp"/>
    <w:basedOn w:val="BoxText"/>
    <w:qFormat/>
    <w:rsid w:val="00392A4E"/>
    <w:pPr>
      <w:tabs>
        <w:tab w:val="right" w:pos="2268"/>
      </w:tabs>
      <w:ind w:left="2552" w:hanging="1418"/>
    </w:pPr>
  </w:style>
  <w:style w:type="paragraph" w:customStyle="1" w:styleId="BoxStep">
    <w:name w:val="BoxStep"/>
    <w:aliases w:val="bs"/>
    <w:basedOn w:val="BoxText"/>
    <w:qFormat/>
    <w:rsid w:val="00392A4E"/>
    <w:pPr>
      <w:ind w:left="1985" w:hanging="851"/>
    </w:pPr>
  </w:style>
  <w:style w:type="character" w:customStyle="1" w:styleId="CharAmPartNo">
    <w:name w:val="CharAmPartNo"/>
    <w:basedOn w:val="OPCCharBase"/>
    <w:qFormat/>
    <w:rsid w:val="00392A4E"/>
  </w:style>
  <w:style w:type="character" w:customStyle="1" w:styleId="CharAmPartText">
    <w:name w:val="CharAmPartText"/>
    <w:basedOn w:val="OPCCharBase"/>
    <w:qFormat/>
    <w:rsid w:val="00392A4E"/>
  </w:style>
  <w:style w:type="character" w:customStyle="1" w:styleId="CharAmSchNo">
    <w:name w:val="CharAmSchNo"/>
    <w:basedOn w:val="OPCCharBase"/>
    <w:qFormat/>
    <w:rsid w:val="00392A4E"/>
  </w:style>
  <w:style w:type="character" w:customStyle="1" w:styleId="CharAmSchText">
    <w:name w:val="CharAmSchText"/>
    <w:basedOn w:val="OPCCharBase"/>
    <w:qFormat/>
    <w:rsid w:val="00392A4E"/>
  </w:style>
  <w:style w:type="character" w:customStyle="1" w:styleId="CharBoldItalic">
    <w:name w:val="CharBoldItalic"/>
    <w:basedOn w:val="OPCCharBase"/>
    <w:uiPriority w:val="1"/>
    <w:qFormat/>
    <w:rsid w:val="00392A4E"/>
    <w:rPr>
      <w:b/>
      <w:i/>
    </w:rPr>
  </w:style>
  <w:style w:type="character" w:customStyle="1" w:styleId="CharChapNo">
    <w:name w:val="CharChapNo"/>
    <w:basedOn w:val="OPCCharBase"/>
    <w:uiPriority w:val="1"/>
    <w:qFormat/>
    <w:rsid w:val="00392A4E"/>
  </w:style>
  <w:style w:type="character" w:customStyle="1" w:styleId="CharChapText">
    <w:name w:val="CharChapText"/>
    <w:basedOn w:val="OPCCharBase"/>
    <w:uiPriority w:val="1"/>
    <w:qFormat/>
    <w:rsid w:val="00392A4E"/>
  </w:style>
  <w:style w:type="character" w:customStyle="1" w:styleId="CharDivNo">
    <w:name w:val="CharDivNo"/>
    <w:basedOn w:val="OPCCharBase"/>
    <w:uiPriority w:val="1"/>
    <w:qFormat/>
    <w:rsid w:val="00392A4E"/>
  </w:style>
  <w:style w:type="character" w:customStyle="1" w:styleId="CharDivText">
    <w:name w:val="CharDivText"/>
    <w:basedOn w:val="OPCCharBase"/>
    <w:uiPriority w:val="1"/>
    <w:qFormat/>
    <w:rsid w:val="00392A4E"/>
  </w:style>
  <w:style w:type="character" w:customStyle="1" w:styleId="CharItalic">
    <w:name w:val="CharItalic"/>
    <w:basedOn w:val="OPCCharBase"/>
    <w:uiPriority w:val="1"/>
    <w:qFormat/>
    <w:rsid w:val="00392A4E"/>
    <w:rPr>
      <w:i/>
    </w:rPr>
  </w:style>
  <w:style w:type="character" w:customStyle="1" w:styleId="CharPartNo">
    <w:name w:val="CharPartNo"/>
    <w:basedOn w:val="OPCCharBase"/>
    <w:uiPriority w:val="1"/>
    <w:qFormat/>
    <w:rsid w:val="00392A4E"/>
  </w:style>
  <w:style w:type="character" w:customStyle="1" w:styleId="CharPartText">
    <w:name w:val="CharPartText"/>
    <w:basedOn w:val="OPCCharBase"/>
    <w:uiPriority w:val="1"/>
    <w:qFormat/>
    <w:rsid w:val="00392A4E"/>
  </w:style>
  <w:style w:type="character" w:customStyle="1" w:styleId="CharSectno">
    <w:name w:val="CharSectno"/>
    <w:basedOn w:val="OPCCharBase"/>
    <w:uiPriority w:val="1"/>
    <w:qFormat/>
    <w:rsid w:val="00392A4E"/>
  </w:style>
  <w:style w:type="character" w:customStyle="1" w:styleId="CharSubdNo">
    <w:name w:val="CharSubdNo"/>
    <w:basedOn w:val="OPCCharBase"/>
    <w:uiPriority w:val="1"/>
    <w:qFormat/>
    <w:rsid w:val="00392A4E"/>
  </w:style>
  <w:style w:type="character" w:customStyle="1" w:styleId="CharSubdText">
    <w:name w:val="CharSubdText"/>
    <w:basedOn w:val="OPCCharBase"/>
    <w:uiPriority w:val="1"/>
    <w:qFormat/>
    <w:rsid w:val="00392A4E"/>
  </w:style>
  <w:style w:type="paragraph" w:customStyle="1" w:styleId="CTA--">
    <w:name w:val="CTA --"/>
    <w:basedOn w:val="OPCParaBase"/>
    <w:next w:val="Normal"/>
    <w:rsid w:val="00392A4E"/>
    <w:pPr>
      <w:spacing w:before="60" w:line="240" w:lineRule="atLeast"/>
      <w:ind w:left="142" w:hanging="142"/>
    </w:pPr>
    <w:rPr>
      <w:sz w:val="20"/>
    </w:rPr>
  </w:style>
  <w:style w:type="paragraph" w:customStyle="1" w:styleId="CTA-">
    <w:name w:val="CTA -"/>
    <w:basedOn w:val="OPCParaBase"/>
    <w:rsid w:val="00392A4E"/>
    <w:pPr>
      <w:spacing w:before="60" w:line="240" w:lineRule="atLeast"/>
      <w:ind w:left="85" w:hanging="85"/>
    </w:pPr>
    <w:rPr>
      <w:sz w:val="20"/>
    </w:rPr>
  </w:style>
  <w:style w:type="paragraph" w:customStyle="1" w:styleId="CTA---">
    <w:name w:val="CTA ---"/>
    <w:basedOn w:val="OPCParaBase"/>
    <w:next w:val="Normal"/>
    <w:rsid w:val="00392A4E"/>
    <w:pPr>
      <w:spacing w:before="60" w:line="240" w:lineRule="atLeast"/>
      <w:ind w:left="198" w:hanging="198"/>
    </w:pPr>
    <w:rPr>
      <w:sz w:val="20"/>
    </w:rPr>
  </w:style>
  <w:style w:type="paragraph" w:customStyle="1" w:styleId="CTA----">
    <w:name w:val="CTA ----"/>
    <w:basedOn w:val="OPCParaBase"/>
    <w:next w:val="Normal"/>
    <w:rsid w:val="00392A4E"/>
    <w:pPr>
      <w:spacing w:before="60" w:line="240" w:lineRule="atLeast"/>
      <w:ind w:left="255" w:hanging="255"/>
    </w:pPr>
    <w:rPr>
      <w:sz w:val="20"/>
    </w:rPr>
  </w:style>
  <w:style w:type="paragraph" w:customStyle="1" w:styleId="CTA1a">
    <w:name w:val="CTA 1(a)"/>
    <w:basedOn w:val="OPCParaBase"/>
    <w:rsid w:val="00392A4E"/>
    <w:pPr>
      <w:tabs>
        <w:tab w:val="right" w:pos="414"/>
      </w:tabs>
      <w:spacing w:before="40" w:line="240" w:lineRule="atLeast"/>
      <w:ind w:left="675" w:hanging="675"/>
    </w:pPr>
    <w:rPr>
      <w:sz w:val="20"/>
    </w:rPr>
  </w:style>
  <w:style w:type="paragraph" w:customStyle="1" w:styleId="CTA1ai">
    <w:name w:val="CTA 1(a)(i)"/>
    <w:basedOn w:val="OPCParaBase"/>
    <w:rsid w:val="00392A4E"/>
    <w:pPr>
      <w:tabs>
        <w:tab w:val="right" w:pos="1004"/>
      </w:tabs>
      <w:spacing w:before="40" w:line="240" w:lineRule="atLeast"/>
      <w:ind w:left="1253" w:hanging="1253"/>
    </w:pPr>
    <w:rPr>
      <w:sz w:val="20"/>
    </w:rPr>
  </w:style>
  <w:style w:type="paragraph" w:customStyle="1" w:styleId="CTA2a">
    <w:name w:val="CTA 2(a)"/>
    <w:basedOn w:val="OPCParaBase"/>
    <w:rsid w:val="00392A4E"/>
    <w:pPr>
      <w:tabs>
        <w:tab w:val="right" w:pos="482"/>
      </w:tabs>
      <w:spacing w:before="40" w:line="240" w:lineRule="atLeast"/>
      <w:ind w:left="748" w:hanging="748"/>
    </w:pPr>
    <w:rPr>
      <w:sz w:val="20"/>
    </w:rPr>
  </w:style>
  <w:style w:type="paragraph" w:customStyle="1" w:styleId="CTA2ai">
    <w:name w:val="CTA 2(a)(i)"/>
    <w:basedOn w:val="OPCParaBase"/>
    <w:rsid w:val="00392A4E"/>
    <w:pPr>
      <w:tabs>
        <w:tab w:val="right" w:pos="1089"/>
      </w:tabs>
      <w:spacing w:before="40" w:line="240" w:lineRule="atLeast"/>
      <w:ind w:left="1327" w:hanging="1327"/>
    </w:pPr>
    <w:rPr>
      <w:sz w:val="20"/>
    </w:rPr>
  </w:style>
  <w:style w:type="paragraph" w:customStyle="1" w:styleId="CTA3a">
    <w:name w:val="CTA 3(a)"/>
    <w:basedOn w:val="OPCParaBase"/>
    <w:rsid w:val="00392A4E"/>
    <w:pPr>
      <w:tabs>
        <w:tab w:val="right" w:pos="556"/>
      </w:tabs>
      <w:spacing w:before="40" w:line="240" w:lineRule="atLeast"/>
      <w:ind w:left="805" w:hanging="805"/>
    </w:pPr>
    <w:rPr>
      <w:sz w:val="20"/>
    </w:rPr>
  </w:style>
  <w:style w:type="paragraph" w:customStyle="1" w:styleId="CTA3ai">
    <w:name w:val="CTA 3(a)(i)"/>
    <w:basedOn w:val="OPCParaBase"/>
    <w:rsid w:val="00392A4E"/>
    <w:pPr>
      <w:tabs>
        <w:tab w:val="right" w:pos="1140"/>
      </w:tabs>
      <w:spacing w:before="40" w:line="240" w:lineRule="atLeast"/>
      <w:ind w:left="1361" w:hanging="1361"/>
    </w:pPr>
    <w:rPr>
      <w:sz w:val="20"/>
    </w:rPr>
  </w:style>
  <w:style w:type="paragraph" w:customStyle="1" w:styleId="CTA4a">
    <w:name w:val="CTA 4(a)"/>
    <w:basedOn w:val="OPCParaBase"/>
    <w:rsid w:val="00392A4E"/>
    <w:pPr>
      <w:tabs>
        <w:tab w:val="right" w:pos="624"/>
      </w:tabs>
      <w:spacing w:before="40" w:line="240" w:lineRule="atLeast"/>
      <w:ind w:left="873" w:hanging="873"/>
    </w:pPr>
    <w:rPr>
      <w:sz w:val="20"/>
    </w:rPr>
  </w:style>
  <w:style w:type="paragraph" w:customStyle="1" w:styleId="CTA4ai">
    <w:name w:val="CTA 4(a)(i)"/>
    <w:basedOn w:val="OPCParaBase"/>
    <w:rsid w:val="00392A4E"/>
    <w:pPr>
      <w:tabs>
        <w:tab w:val="right" w:pos="1213"/>
      </w:tabs>
      <w:spacing w:before="40" w:line="240" w:lineRule="atLeast"/>
      <w:ind w:left="1452" w:hanging="1452"/>
    </w:pPr>
    <w:rPr>
      <w:sz w:val="20"/>
    </w:rPr>
  </w:style>
  <w:style w:type="paragraph" w:customStyle="1" w:styleId="CTACAPS">
    <w:name w:val="CTA CAPS"/>
    <w:basedOn w:val="OPCParaBase"/>
    <w:rsid w:val="00392A4E"/>
    <w:pPr>
      <w:spacing w:before="60" w:line="240" w:lineRule="atLeast"/>
    </w:pPr>
    <w:rPr>
      <w:sz w:val="20"/>
    </w:rPr>
  </w:style>
  <w:style w:type="paragraph" w:customStyle="1" w:styleId="CTAright">
    <w:name w:val="CTA right"/>
    <w:basedOn w:val="OPCParaBase"/>
    <w:rsid w:val="00392A4E"/>
    <w:pPr>
      <w:spacing w:before="60" w:line="240" w:lineRule="auto"/>
      <w:jc w:val="right"/>
    </w:pPr>
    <w:rPr>
      <w:sz w:val="20"/>
    </w:rPr>
  </w:style>
  <w:style w:type="paragraph" w:customStyle="1" w:styleId="subsection">
    <w:name w:val="subsection"/>
    <w:aliases w:val="ss"/>
    <w:basedOn w:val="OPCParaBase"/>
    <w:link w:val="subsectionChar"/>
    <w:rsid w:val="00392A4E"/>
    <w:pPr>
      <w:tabs>
        <w:tab w:val="right" w:pos="1021"/>
      </w:tabs>
      <w:spacing w:before="180" w:line="240" w:lineRule="auto"/>
      <w:ind w:left="1134" w:hanging="1134"/>
    </w:pPr>
  </w:style>
  <w:style w:type="paragraph" w:customStyle="1" w:styleId="Definition">
    <w:name w:val="Definition"/>
    <w:aliases w:val="dd"/>
    <w:basedOn w:val="OPCParaBase"/>
    <w:rsid w:val="00392A4E"/>
    <w:pPr>
      <w:spacing w:before="180" w:line="240" w:lineRule="auto"/>
      <w:ind w:left="1134"/>
    </w:pPr>
  </w:style>
  <w:style w:type="paragraph" w:customStyle="1" w:styleId="ETAsubitem">
    <w:name w:val="ETA(subitem)"/>
    <w:basedOn w:val="OPCParaBase"/>
    <w:rsid w:val="00392A4E"/>
    <w:pPr>
      <w:tabs>
        <w:tab w:val="right" w:pos="340"/>
      </w:tabs>
      <w:spacing w:before="60" w:line="240" w:lineRule="auto"/>
      <w:ind w:left="454" w:hanging="454"/>
    </w:pPr>
    <w:rPr>
      <w:sz w:val="20"/>
    </w:rPr>
  </w:style>
  <w:style w:type="paragraph" w:customStyle="1" w:styleId="ETApara">
    <w:name w:val="ETA(para)"/>
    <w:basedOn w:val="OPCParaBase"/>
    <w:rsid w:val="00392A4E"/>
    <w:pPr>
      <w:tabs>
        <w:tab w:val="right" w:pos="754"/>
      </w:tabs>
      <w:spacing w:before="60" w:line="240" w:lineRule="auto"/>
      <w:ind w:left="828" w:hanging="828"/>
    </w:pPr>
    <w:rPr>
      <w:sz w:val="20"/>
    </w:rPr>
  </w:style>
  <w:style w:type="paragraph" w:customStyle="1" w:styleId="ETAsubpara">
    <w:name w:val="ETA(subpara)"/>
    <w:basedOn w:val="OPCParaBase"/>
    <w:rsid w:val="00392A4E"/>
    <w:pPr>
      <w:tabs>
        <w:tab w:val="right" w:pos="1083"/>
      </w:tabs>
      <w:spacing w:before="60" w:line="240" w:lineRule="auto"/>
      <w:ind w:left="1191" w:hanging="1191"/>
    </w:pPr>
    <w:rPr>
      <w:sz w:val="20"/>
    </w:rPr>
  </w:style>
  <w:style w:type="paragraph" w:customStyle="1" w:styleId="ETAsub-subpara">
    <w:name w:val="ETA(sub-subpara)"/>
    <w:basedOn w:val="OPCParaBase"/>
    <w:rsid w:val="00392A4E"/>
    <w:pPr>
      <w:tabs>
        <w:tab w:val="right" w:pos="1412"/>
      </w:tabs>
      <w:spacing w:before="60" w:line="240" w:lineRule="auto"/>
      <w:ind w:left="1525" w:hanging="1525"/>
    </w:pPr>
    <w:rPr>
      <w:sz w:val="20"/>
    </w:rPr>
  </w:style>
  <w:style w:type="paragraph" w:customStyle="1" w:styleId="Formula">
    <w:name w:val="Formula"/>
    <w:basedOn w:val="OPCParaBase"/>
    <w:rsid w:val="00392A4E"/>
    <w:pPr>
      <w:spacing w:line="240" w:lineRule="auto"/>
      <w:ind w:left="1134"/>
    </w:pPr>
    <w:rPr>
      <w:sz w:val="20"/>
    </w:rPr>
  </w:style>
  <w:style w:type="paragraph" w:styleId="Header">
    <w:name w:val="header"/>
    <w:basedOn w:val="OPCParaBase"/>
    <w:link w:val="HeaderChar"/>
    <w:unhideWhenUsed/>
    <w:rsid w:val="00392A4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92A4E"/>
    <w:rPr>
      <w:rFonts w:eastAsia="Times New Roman" w:cs="Times New Roman"/>
      <w:sz w:val="16"/>
      <w:lang w:eastAsia="en-AU"/>
    </w:rPr>
  </w:style>
  <w:style w:type="paragraph" w:customStyle="1" w:styleId="House">
    <w:name w:val="House"/>
    <w:basedOn w:val="OPCParaBase"/>
    <w:rsid w:val="00392A4E"/>
    <w:pPr>
      <w:spacing w:line="240" w:lineRule="auto"/>
    </w:pPr>
    <w:rPr>
      <w:sz w:val="28"/>
    </w:rPr>
  </w:style>
  <w:style w:type="paragraph" w:customStyle="1" w:styleId="Item">
    <w:name w:val="Item"/>
    <w:aliases w:val="i"/>
    <w:basedOn w:val="OPCParaBase"/>
    <w:next w:val="ItemHead"/>
    <w:rsid w:val="00392A4E"/>
    <w:pPr>
      <w:keepLines/>
      <w:spacing w:before="80" w:line="240" w:lineRule="auto"/>
      <w:ind w:left="709"/>
    </w:pPr>
  </w:style>
  <w:style w:type="paragraph" w:customStyle="1" w:styleId="ItemHead">
    <w:name w:val="ItemHead"/>
    <w:aliases w:val="ih"/>
    <w:basedOn w:val="OPCParaBase"/>
    <w:next w:val="Item"/>
    <w:rsid w:val="00392A4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92A4E"/>
    <w:pPr>
      <w:spacing w:line="240" w:lineRule="auto"/>
    </w:pPr>
    <w:rPr>
      <w:b/>
      <w:sz w:val="32"/>
    </w:rPr>
  </w:style>
  <w:style w:type="paragraph" w:customStyle="1" w:styleId="notedraft">
    <w:name w:val="note(draft)"/>
    <w:aliases w:val="nd"/>
    <w:basedOn w:val="OPCParaBase"/>
    <w:rsid w:val="00392A4E"/>
    <w:pPr>
      <w:spacing w:before="240" w:line="240" w:lineRule="auto"/>
      <w:ind w:left="284" w:hanging="284"/>
    </w:pPr>
    <w:rPr>
      <w:i/>
      <w:sz w:val="24"/>
    </w:rPr>
  </w:style>
  <w:style w:type="paragraph" w:customStyle="1" w:styleId="notemargin">
    <w:name w:val="note(margin)"/>
    <w:aliases w:val="nm"/>
    <w:basedOn w:val="OPCParaBase"/>
    <w:rsid w:val="00392A4E"/>
    <w:pPr>
      <w:tabs>
        <w:tab w:val="left" w:pos="709"/>
      </w:tabs>
      <w:spacing w:before="122" w:line="198" w:lineRule="exact"/>
      <w:ind w:left="709" w:hanging="709"/>
    </w:pPr>
    <w:rPr>
      <w:sz w:val="18"/>
    </w:rPr>
  </w:style>
  <w:style w:type="paragraph" w:customStyle="1" w:styleId="noteToPara">
    <w:name w:val="noteToPara"/>
    <w:aliases w:val="ntp"/>
    <w:basedOn w:val="OPCParaBase"/>
    <w:rsid w:val="00392A4E"/>
    <w:pPr>
      <w:spacing w:before="122" w:line="198" w:lineRule="exact"/>
      <w:ind w:left="2353" w:hanging="709"/>
    </w:pPr>
    <w:rPr>
      <w:sz w:val="18"/>
    </w:rPr>
  </w:style>
  <w:style w:type="paragraph" w:customStyle="1" w:styleId="noteParlAmend">
    <w:name w:val="note(ParlAmend)"/>
    <w:aliases w:val="npp"/>
    <w:basedOn w:val="OPCParaBase"/>
    <w:next w:val="ParlAmend"/>
    <w:rsid w:val="00392A4E"/>
    <w:pPr>
      <w:spacing w:line="240" w:lineRule="auto"/>
      <w:jc w:val="right"/>
    </w:pPr>
    <w:rPr>
      <w:rFonts w:ascii="Arial" w:hAnsi="Arial"/>
      <w:b/>
      <w:i/>
    </w:rPr>
  </w:style>
  <w:style w:type="paragraph" w:customStyle="1" w:styleId="Page1">
    <w:name w:val="Page1"/>
    <w:basedOn w:val="OPCParaBase"/>
    <w:rsid w:val="00392A4E"/>
    <w:pPr>
      <w:spacing w:before="400" w:line="240" w:lineRule="auto"/>
    </w:pPr>
    <w:rPr>
      <w:b/>
      <w:sz w:val="32"/>
    </w:rPr>
  </w:style>
  <w:style w:type="paragraph" w:customStyle="1" w:styleId="PageBreak">
    <w:name w:val="PageBreak"/>
    <w:aliases w:val="pb"/>
    <w:basedOn w:val="OPCParaBase"/>
    <w:rsid w:val="00392A4E"/>
    <w:pPr>
      <w:spacing w:line="240" w:lineRule="auto"/>
    </w:pPr>
    <w:rPr>
      <w:sz w:val="20"/>
    </w:rPr>
  </w:style>
  <w:style w:type="paragraph" w:customStyle="1" w:styleId="paragraphsub">
    <w:name w:val="paragraph(sub)"/>
    <w:aliases w:val="aa"/>
    <w:basedOn w:val="OPCParaBase"/>
    <w:rsid w:val="00392A4E"/>
    <w:pPr>
      <w:tabs>
        <w:tab w:val="right" w:pos="1985"/>
      </w:tabs>
      <w:spacing w:before="40" w:line="240" w:lineRule="auto"/>
      <w:ind w:left="2098" w:hanging="2098"/>
    </w:pPr>
  </w:style>
  <w:style w:type="paragraph" w:customStyle="1" w:styleId="paragraphsub-sub">
    <w:name w:val="paragraph(sub-sub)"/>
    <w:aliases w:val="aaa"/>
    <w:basedOn w:val="OPCParaBase"/>
    <w:rsid w:val="00392A4E"/>
    <w:pPr>
      <w:tabs>
        <w:tab w:val="right" w:pos="2722"/>
      </w:tabs>
      <w:spacing w:before="40" w:line="240" w:lineRule="auto"/>
      <w:ind w:left="2835" w:hanging="2835"/>
    </w:pPr>
  </w:style>
  <w:style w:type="paragraph" w:customStyle="1" w:styleId="paragraph">
    <w:name w:val="paragraph"/>
    <w:aliases w:val="a"/>
    <w:basedOn w:val="OPCParaBase"/>
    <w:link w:val="paragraphChar"/>
    <w:rsid w:val="00392A4E"/>
    <w:pPr>
      <w:tabs>
        <w:tab w:val="right" w:pos="1531"/>
      </w:tabs>
      <w:spacing w:before="40" w:line="240" w:lineRule="auto"/>
      <w:ind w:left="1644" w:hanging="1644"/>
    </w:pPr>
  </w:style>
  <w:style w:type="paragraph" w:customStyle="1" w:styleId="ParlAmend">
    <w:name w:val="ParlAmend"/>
    <w:aliases w:val="pp"/>
    <w:basedOn w:val="OPCParaBase"/>
    <w:rsid w:val="00392A4E"/>
    <w:pPr>
      <w:spacing w:before="240" w:line="240" w:lineRule="atLeast"/>
      <w:ind w:hanging="567"/>
    </w:pPr>
    <w:rPr>
      <w:sz w:val="24"/>
    </w:rPr>
  </w:style>
  <w:style w:type="paragraph" w:customStyle="1" w:styleId="Penalty">
    <w:name w:val="Penalty"/>
    <w:basedOn w:val="OPCParaBase"/>
    <w:rsid w:val="00392A4E"/>
    <w:pPr>
      <w:tabs>
        <w:tab w:val="left" w:pos="2977"/>
      </w:tabs>
      <w:spacing w:before="180" w:line="240" w:lineRule="auto"/>
      <w:ind w:left="1985" w:hanging="851"/>
    </w:pPr>
  </w:style>
  <w:style w:type="paragraph" w:customStyle="1" w:styleId="Portfolio">
    <w:name w:val="Portfolio"/>
    <w:basedOn w:val="OPCParaBase"/>
    <w:rsid w:val="00392A4E"/>
    <w:pPr>
      <w:spacing w:line="240" w:lineRule="auto"/>
    </w:pPr>
    <w:rPr>
      <w:i/>
      <w:sz w:val="20"/>
    </w:rPr>
  </w:style>
  <w:style w:type="paragraph" w:customStyle="1" w:styleId="Preamble">
    <w:name w:val="Preamble"/>
    <w:basedOn w:val="OPCParaBase"/>
    <w:next w:val="Normal"/>
    <w:rsid w:val="00392A4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92A4E"/>
    <w:pPr>
      <w:spacing w:line="240" w:lineRule="auto"/>
    </w:pPr>
    <w:rPr>
      <w:i/>
      <w:sz w:val="20"/>
    </w:rPr>
  </w:style>
  <w:style w:type="paragraph" w:customStyle="1" w:styleId="Session">
    <w:name w:val="Session"/>
    <w:basedOn w:val="OPCParaBase"/>
    <w:rsid w:val="00392A4E"/>
    <w:pPr>
      <w:spacing w:line="240" w:lineRule="auto"/>
    </w:pPr>
    <w:rPr>
      <w:sz w:val="28"/>
    </w:rPr>
  </w:style>
  <w:style w:type="paragraph" w:customStyle="1" w:styleId="Sponsor">
    <w:name w:val="Sponsor"/>
    <w:basedOn w:val="OPCParaBase"/>
    <w:rsid w:val="00392A4E"/>
    <w:pPr>
      <w:spacing w:line="240" w:lineRule="auto"/>
    </w:pPr>
    <w:rPr>
      <w:i/>
    </w:rPr>
  </w:style>
  <w:style w:type="paragraph" w:customStyle="1" w:styleId="Subitem">
    <w:name w:val="Subitem"/>
    <w:aliases w:val="iss"/>
    <w:basedOn w:val="OPCParaBase"/>
    <w:rsid w:val="00392A4E"/>
    <w:pPr>
      <w:spacing w:before="180" w:line="240" w:lineRule="auto"/>
      <w:ind w:left="709" w:hanging="709"/>
    </w:pPr>
  </w:style>
  <w:style w:type="paragraph" w:customStyle="1" w:styleId="SubitemHead">
    <w:name w:val="SubitemHead"/>
    <w:aliases w:val="issh"/>
    <w:basedOn w:val="OPCParaBase"/>
    <w:rsid w:val="00392A4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92A4E"/>
    <w:pPr>
      <w:spacing w:before="40" w:line="240" w:lineRule="auto"/>
      <w:ind w:left="1134"/>
    </w:pPr>
  </w:style>
  <w:style w:type="paragraph" w:customStyle="1" w:styleId="SubsectionHead">
    <w:name w:val="SubsectionHead"/>
    <w:aliases w:val="ssh"/>
    <w:basedOn w:val="OPCParaBase"/>
    <w:next w:val="subsection"/>
    <w:rsid w:val="00392A4E"/>
    <w:pPr>
      <w:keepNext/>
      <w:keepLines/>
      <w:spacing w:before="240" w:line="240" w:lineRule="auto"/>
      <w:ind w:left="1134"/>
    </w:pPr>
    <w:rPr>
      <w:i/>
    </w:rPr>
  </w:style>
  <w:style w:type="paragraph" w:customStyle="1" w:styleId="Tablea">
    <w:name w:val="Table(a)"/>
    <w:aliases w:val="ta"/>
    <w:basedOn w:val="OPCParaBase"/>
    <w:rsid w:val="00392A4E"/>
    <w:pPr>
      <w:spacing w:before="60" w:line="240" w:lineRule="auto"/>
      <w:ind w:left="284" w:hanging="284"/>
    </w:pPr>
    <w:rPr>
      <w:sz w:val="20"/>
    </w:rPr>
  </w:style>
  <w:style w:type="paragraph" w:customStyle="1" w:styleId="TableAA">
    <w:name w:val="Table(AA)"/>
    <w:aliases w:val="taaa"/>
    <w:basedOn w:val="OPCParaBase"/>
    <w:rsid w:val="00392A4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92A4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92A4E"/>
    <w:pPr>
      <w:spacing w:before="60" w:line="240" w:lineRule="atLeast"/>
    </w:pPr>
    <w:rPr>
      <w:sz w:val="20"/>
    </w:rPr>
  </w:style>
  <w:style w:type="paragraph" w:customStyle="1" w:styleId="TLPBoxTextnote">
    <w:name w:val="TLPBoxText(note"/>
    <w:aliases w:val="right)"/>
    <w:basedOn w:val="OPCParaBase"/>
    <w:rsid w:val="00392A4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92A4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92A4E"/>
    <w:pPr>
      <w:spacing w:before="122" w:line="198" w:lineRule="exact"/>
      <w:ind w:left="1985" w:hanging="851"/>
      <w:jc w:val="right"/>
    </w:pPr>
    <w:rPr>
      <w:sz w:val="18"/>
    </w:rPr>
  </w:style>
  <w:style w:type="paragraph" w:customStyle="1" w:styleId="TLPTableBullet">
    <w:name w:val="TLPTableBullet"/>
    <w:aliases w:val="ttb"/>
    <w:basedOn w:val="OPCParaBase"/>
    <w:rsid w:val="00392A4E"/>
    <w:pPr>
      <w:spacing w:line="240" w:lineRule="exact"/>
      <w:ind w:left="284" w:hanging="284"/>
    </w:pPr>
    <w:rPr>
      <w:sz w:val="20"/>
    </w:rPr>
  </w:style>
  <w:style w:type="paragraph" w:styleId="TOC1">
    <w:name w:val="toc 1"/>
    <w:basedOn w:val="OPCParaBase"/>
    <w:next w:val="Normal"/>
    <w:uiPriority w:val="39"/>
    <w:semiHidden/>
    <w:unhideWhenUsed/>
    <w:rsid w:val="00392A4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92A4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92A4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92A4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92A4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92A4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92A4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92A4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92A4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92A4E"/>
    <w:pPr>
      <w:keepLines/>
      <w:spacing w:before="240" w:after="120" w:line="240" w:lineRule="auto"/>
      <w:ind w:left="794"/>
    </w:pPr>
    <w:rPr>
      <w:b/>
      <w:kern w:val="28"/>
      <w:sz w:val="20"/>
    </w:rPr>
  </w:style>
  <w:style w:type="paragraph" w:customStyle="1" w:styleId="TofSectsHeading">
    <w:name w:val="TofSects(Heading)"/>
    <w:basedOn w:val="OPCParaBase"/>
    <w:rsid w:val="00392A4E"/>
    <w:pPr>
      <w:spacing w:before="240" w:after="120" w:line="240" w:lineRule="auto"/>
    </w:pPr>
    <w:rPr>
      <w:b/>
      <w:sz w:val="24"/>
    </w:rPr>
  </w:style>
  <w:style w:type="paragraph" w:customStyle="1" w:styleId="TofSectsSection">
    <w:name w:val="TofSects(Section)"/>
    <w:basedOn w:val="OPCParaBase"/>
    <w:rsid w:val="00392A4E"/>
    <w:pPr>
      <w:keepLines/>
      <w:spacing w:before="40" w:line="240" w:lineRule="auto"/>
      <w:ind w:left="1588" w:hanging="794"/>
    </w:pPr>
    <w:rPr>
      <w:kern w:val="28"/>
      <w:sz w:val="18"/>
    </w:rPr>
  </w:style>
  <w:style w:type="paragraph" w:customStyle="1" w:styleId="TofSectsSubdiv">
    <w:name w:val="TofSects(Subdiv)"/>
    <w:basedOn w:val="OPCParaBase"/>
    <w:rsid w:val="00392A4E"/>
    <w:pPr>
      <w:keepLines/>
      <w:spacing w:before="80" w:line="240" w:lineRule="auto"/>
      <w:ind w:left="1588" w:hanging="794"/>
    </w:pPr>
    <w:rPr>
      <w:kern w:val="28"/>
    </w:rPr>
  </w:style>
  <w:style w:type="paragraph" w:customStyle="1" w:styleId="WRStyle">
    <w:name w:val="WR Style"/>
    <w:aliases w:val="WR"/>
    <w:basedOn w:val="OPCParaBase"/>
    <w:rsid w:val="00392A4E"/>
    <w:pPr>
      <w:spacing w:before="240" w:line="240" w:lineRule="auto"/>
      <w:ind w:left="284" w:hanging="284"/>
    </w:pPr>
    <w:rPr>
      <w:b/>
      <w:i/>
      <w:kern w:val="28"/>
      <w:sz w:val="24"/>
    </w:rPr>
  </w:style>
  <w:style w:type="paragraph" w:customStyle="1" w:styleId="notepara">
    <w:name w:val="note(para)"/>
    <w:aliases w:val="na"/>
    <w:basedOn w:val="OPCParaBase"/>
    <w:rsid w:val="00392A4E"/>
    <w:pPr>
      <w:spacing w:before="40" w:line="198" w:lineRule="exact"/>
      <w:ind w:left="2354" w:hanging="369"/>
    </w:pPr>
    <w:rPr>
      <w:sz w:val="18"/>
    </w:rPr>
  </w:style>
  <w:style w:type="paragraph" w:styleId="Footer">
    <w:name w:val="footer"/>
    <w:link w:val="FooterChar"/>
    <w:rsid w:val="00392A4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92A4E"/>
    <w:rPr>
      <w:rFonts w:eastAsia="Times New Roman" w:cs="Times New Roman"/>
      <w:sz w:val="22"/>
      <w:szCs w:val="24"/>
      <w:lang w:eastAsia="en-AU"/>
    </w:rPr>
  </w:style>
  <w:style w:type="character" w:styleId="LineNumber">
    <w:name w:val="line number"/>
    <w:basedOn w:val="OPCCharBase"/>
    <w:uiPriority w:val="99"/>
    <w:semiHidden/>
    <w:unhideWhenUsed/>
    <w:rsid w:val="00392A4E"/>
    <w:rPr>
      <w:sz w:val="16"/>
    </w:rPr>
  </w:style>
  <w:style w:type="table" w:customStyle="1" w:styleId="CFlag">
    <w:name w:val="CFlag"/>
    <w:basedOn w:val="TableNormal"/>
    <w:uiPriority w:val="99"/>
    <w:rsid w:val="00392A4E"/>
    <w:rPr>
      <w:rFonts w:eastAsia="Times New Roman" w:cs="Times New Roman"/>
      <w:lang w:eastAsia="en-AU"/>
    </w:rPr>
    <w:tblPr/>
  </w:style>
  <w:style w:type="paragraph" w:customStyle="1" w:styleId="NotesHeading1">
    <w:name w:val="NotesHeading 1"/>
    <w:basedOn w:val="OPCParaBase"/>
    <w:next w:val="Normal"/>
    <w:rsid w:val="00392A4E"/>
    <w:rPr>
      <w:b/>
      <w:sz w:val="28"/>
      <w:szCs w:val="28"/>
    </w:rPr>
  </w:style>
  <w:style w:type="paragraph" w:customStyle="1" w:styleId="NotesHeading2">
    <w:name w:val="NotesHeading 2"/>
    <w:basedOn w:val="OPCParaBase"/>
    <w:next w:val="Normal"/>
    <w:rsid w:val="00392A4E"/>
    <w:rPr>
      <w:b/>
      <w:sz w:val="28"/>
      <w:szCs w:val="28"/>
    </w:rPr>
  </w:style>
  <w:style w:type="paragraph" w:customStyle="1" w:styleId="SignCoverPageEnd">
    <w:name w:val="SignCoverPageEnd"/>
    <w:basedOn w:val="OPCParaBase"/>
    <w:next w:val="Normal"/>
    <w:rsid w:val="00392A4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92A4E"/>
    <w:pPr>
      <w:pBdr>
        <w:top w:val="single" w:sz="4" w:space="1" w:color="auto"/>
      </w:pBdr>
      <w:spacing w:before="360"/>
      <w:ind w:right="397"/>
      <w:jc w:val="both"/>
    </w:pPr>
  </w:style>
  <w:style w:type="paragraph" w:customStyle="1" w:styleId="Paragraphsub-sub-sub">
    <w:name w:val="Paragraph(sub-sub-sub)"/>
    <w:aliases w:val="aaaa"/>
    <w:basedOn w:val="OPCParaBase"/>
    <w:rsid w:val="00392A4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92A4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92A4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92A4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92A4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92A4E"/>
    <w:pPr>
      <w:spacing w:before="120"/>
    </w:pPr>
  </w:style>
  <w:style w:type="paragraph" w:customStyle="1" w:styleId="TableTextEndNotes">
    <w:name w:val="TableTextEndNotes"/>
    <w:aliases w:val="Tten"/>
    <w:basedOn w:val="Normal"/>
    <w:rsid w:val="00392A4E"/>
    <w:pPr>
      <w:spacing w:before="60" w:line="240" w:lineRule="auto"/>
    </w:pPr>
    <w:rPr>
      <w:rFonts w:cs="Arial"/>
      <w:sz w:val="20"/>
      <w:szCs w:val="22"/>
    </w:rPr>
  </w:style>
  <w:style w:type="paragraph" w:customStyle="1" w:styleId="TableHeading">
    <w:name w:val="TableHeading"/>
    <w:aliases w:val="th"/>
    <w:basedOn w:val="OPCParaBase"/>
    <w:next w:val="Tabletext"/>
    <w:rsid w:val="00392A4E"/>
    <w:pPr>
      <w:keepNext/>
      <w:spacing w:before="60" w:line="240" w:lineRule="atLeast"/>
    </w:pPr>
    <w:rPr>
      <w:b/>
      <w:sz w:val="20"/>
    </w:rPr>
  </w:style>
  <w:style w:type="paragraph" w:customStyle="1" w:styleId="NoteToSubpara">
    <w:name w:val="NoteToSubpara"/>
    <w:aliases w:val="nts"/>
    <w:basedOn w:val="OPCParaBase"/>
    <w:rsid w:val="00392A4E"/>
    <w:pPr>
      <w:spacing w:before="40" w:line="198" w:lineRule="exact"/>
      <w:ind w:left="2835" w:hanging="709"/>
    </w:pPr>
    <w:rPr>
      <w:sz w:val="18"/>
    </w:rPr>
  </w:style>
  <w:style w:type="paragraph" w:customStyle="1" w:styleId="ENoteTableHeading">
    <w:name w:val="ENoteTableHeading"/>
    <w:aliases w:val="enth"/>
    <w:basedOn w:val="OPCParaBase"/>
    <w:rsid w:val="00392A4E"/>
    <w:pPr>
      <w:keepNext/>
      <w:spacing w:before="60" w:line="240" w:lineRule="atLeast"/>
    </w:pPr>
    <w:rPr>
      <w:rFonts w:ascii="Arial" w:hAnsi="Arial"/>
      <w:b/>
      <w:sz w:val="16"/>
    </w:rPr>
  </w:style>
  <w:style w:type="paragraph" w:customStyle="1" w:styleId="ENoteTTi">
    <w:name w:val="ENoteTTi"/>
    <w:aliases w:val="entti"/>
    <w:basedOn w:val="OPCParaBase"/>
    <w:rsid w:val="00392A4E"/>
    <w:pPr>
      <w:keepNext/>
      <w:spacing w:before="60" w:line="240" w:lineRule="atLeast"/>
      <w:ind w:left="170"/>
    </w:pPr>
    <w:rPr>
      <w:sz w:val="16"/>
    </w:rPr>
  </w:style>
  <w:style w:type="paragraph" w:customStyle="1" w:styleId="ENotesHeading1">
    <w:name w:val="ENotesHeading 1"/>
    <w:aliases w:val="Enh1"/>
    <w:basedOn w:val="OPCParaBase"/>
    <w:next w:val="Normal"/>
    <w:rsid w:val="00392A4E"/>
    <w:pPr>
      <w:spacing w:before="120"/>
      <w:outlineLvl w:val="1"/>
    </w:pPr>
    <w:rPr>
      <w:b/>
      <w:sz w:val="28"/>
      <w:szCs w:val="28"/>
    </w:rPr>
  </w:style>
  <w:style w:type="paragraph" w:customStyle="1" w:styleId="ENotesHeading2">
    <w:name w:val="ENotesHeading 2"/>
    <w:aliases w:val="Enh2"/>
    <w:basedOn w:val="OPCParaBase"/>
    <w:next w:val="Normal"/>
    <w:rsid w:val="00392A4E"/>
    <w:pPr>
      <w:spacing w:before="120" w:after="120"/>
      <w:outlineLvl w:val="2"/>
    </w:pPr>
    <w:rPr>
      <w:b/>
      <w:sz w:val="24"/>
      <w:szCs w:val="28"/>
    </w:rPr>
  </w:style>
  <w:style w:type="paragraph" w:customStyle="1" w:styleId="ENoteTTIndentHeading">
    <w:name w:val="ENoteTTIndentHeading"/>
    <w:aliases w:val="enTTHi"/>
    <w:basedOn w:val="OPCParaBase"/>
    <w:rsid w:val="00392A4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92A4E"/>
    <w:pPr>
      <w:spacing w:before="60" w:line="240" w:lineRule="atLeast"/>
    </w:pPr>
    <w:rPr>
      <w:sz w:val="16"/>
    </w:rPr>
  </w:style>
  <w:style w:type="paragraph" w:customStyle="1" w:styleId="MadeunderText">
    <w:name w:val="MadeunderText"/>
    <w:basedOn w:val="OPCParaBase"/>
    <w:next w:val="Normal"/>
    <w:rsid w:val="00392A4E"/>
    <w:pPr>
      <w:spacing w:before="240"/>
    </w:pPr>
    <w:rPr>
      <w:sz w:val="24"/>
      <w:szCs w:val="24"/>
    </w:rPr>
  </w:style>
  <w:style w:type="paragraph" w:customStyle="1" w:styleId="ENotesHeading3">
    <w:name w:val="ENotesHeading 3"/>
    <w:aliases w:val="Enh3"/>
    <w:basedOn w:val="OPCParaBase"/>
    <w:next w:val="Normal"/>
    <w:rsid w:val="00392A4E"/>
    <w:pPr>
      <w:keepNext/>
      <w:spacing w:before="120" w:line="240" w:lineRule="auto"/>
      <w:outlineLvl w:val="4"/>
    </w:pPr>
    <w:rPr>
      <w:b/>
      <w:szCs w:val="24"/>
    </w:rPr>
  </w:style>
  <w:style w:type="paragraph" w:customStyle="1" w:styleId="SubPartCASA">
    <w:name w:val="SubPart(CASA)"/>
    <w:aliases w:val="csp"/>
    <w:basedOn w:val="OPCParaBase"/>
    <w:next w:val="ActHead3"/>
    <w:rsid w:val="00392A4E"/>
    <w:pPr>
      <w:keepNext/>
      <w:keepLines/>
      <w:spacing w:before="280"/>
      <w:outlineLvl w:val="1"/>
    </w:pPr>
    <w:rPr>
      <w:b/>
      <w:kern w:val="28"/>
      <w:sz w:val="32"/>
    </w:rPr>
  </w:style>
  <w:style w:type="character" w:customStyle="1" w:styleId="CharSubPartTextCASA">
    <w:name w:val="CharSubPartText(CASA)"/>
    <w:basedOn w:val="OPCCharBase"/>
    <w:uiPriority w:val="1"/>
    <w:rsid w:val="00392A4E"/>
  </w:style>
  <w:style w:type="character" w:customStyle="1" w:styleId="CharSubPartNoCASA">
    <w:name w:val="CharSubPartNo(CASA)"/>
    <w:basedOn w:val="OPCCharBase"/>
    <w:uiPriority w:val="1"/>
    <w:rsid w:val="00392A4E"/>
  </w:style>
  <w:style w:type="paragraph" w:customStyle="1" w:styleId="ENoteTTIndentHeadingSub">
    <w:name w:val="ENoteTTIndentHeadingSub"/>
    <w:aliases w:val="enTTHis"/>
    <w:basedOn w:val="OPCParaBase"/>
    <w:rsid w:val="00392A4E"/>
    <w:pPr>
      <w:keepNext/>
      <w:spacing w:before="60" w:line="240" w:lineRule="atLeast"/>
      <w:ind w:left="340"/>
    </w:pPr>
    <w:rPr>
      <w:b/>
      <w:sz w:val="16"/>
    </w:rPr>
  </w:style>
  <w:style w:type="paragraph" w:customStyle="1" w:styleId="ENoteTTiSub">
    <w:name w:val="ENoteTTiSub"/>
    <w:aliases w:val="enttis"/>
    <w:basedOn w:val="OPCParaBase"/>
    <w:rsid w:val="00392A4E"/>
    <w:pPr>
      <w:keepNext/>
      <w:spacing w:before="60" w:line="240" w:lineRule="atLeast"/>
      <w:ind w:left="340"/>
    </w:pPr>
    <w:rPr>
      <w:sz w:val="16"/>
    </w:rPr>
  </w:style>
  <w:style w:type="paragraph" w:customStyle="1" w:styleId="SubDivisionMigration">
    <w:name w:val="SubDivisionMigration"/>
    <w:aliases w:val="sdm"/>
    <w:basedOn w:val="OPCParaBase"/>
    <w:rsid w:val="00392A4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92A4E"/>
    <w:pPr>
      <w:keepNext/>
      <w:keepLines/>
      <w:spacing w:before="240" w:line="240" w:lineRule="auto"/>
      <w:ind w:left="1134" w:hanging="1134"/>
    </w:pPr>
    <w:rPr>
      <w:b/>
      <w:sz w:val="28"/>
    </w:rPr>
  </w:style>
  <w:style w:type="table" w:styleId="TableGrid">
    <w:name w:val="Table Grid"/>
    <w:basedOn w:val="TableNormal"/>
    <w:uiPriority w:val="59"/>
    <w:rsid w:val="00392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392A4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92A4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92A4E"/>
    <w:rPr>
      <w:sz w:val="22"/>
    </w:rPr>
  </w:style>
  <w:style w:type="paragraph" w:customStyle="1" w:styleId="SOTextNote">
    <w:name w:val="SO TextNote"/>
    <w:aliases w:val="sont"/>
    <w:basedOn w:val="SOText"/>
    <w:qFormat/>
    <w:rsid w:val="00392A4E"/>
    <w:pPr>
      <w:spacing w:before="122" w:line="198" w:lineRule="exact"/>
      <w:ind w:left="1843" w:hanging="709"/>
    </w:pPr>
    <w:rPr>
      <w:sz w:val="18"/>
    </w:rPr>
  </w:style>
  <w:style w:type="paragraph" w:customStyle="1" w:styleId="SOPara">
    <w:name w:val="SO Para"/>
    <w:aliases w:val="soa"/>
    <w:basedOn w:val="SOText"/>
    <w:link w:val="SOParaChar"/>
    <w:qFormat/>
    <w:rsid w:val="00392A4E"/>
    <w:pPr>
      <w:tabs>
        <w:tab w:val="right" w:pos="1786"/>
      </w:tabs>
      <w:spacing w:before="40"/>
      <w:ind w:left="2070" w:hanging="936"/>
    </w:pPr>
  </w:style>
  <w:style w:type="character" w:customStyle="1" w:styleId="SOParaChar">
    <w:name w:val="SO Para Char"/>
    <w:aliases w:val="soa Char"/>
    <w:basedOn w:val="DefaultParagraphFont"/>
    <w:link w:val="SOPara"/>
    <w:rsid w:val="00392A4E"/>
    <w:rPr>
      <w:sz w:val="22"/>
    </w:rPr>
  </w:style>
  <w:style w:type="paragraph" w:customStyle="1" w:styleId="FileName">
    <w:name w:val="FileName"/>
    <w:basedOn w:val="Normal"/>
    <w:rsid w:val="00392A4E"/>
  </w:style>
  <w:style w:type="paragraph" w:customStyle="1" w:styleId="SOHeadBold">
    <w:name w:val="SO HeadBold"/>
    <w:aliases w:val="sohb"/>
    <w:basedOn w:val="SOText"/>
    <w:next w:val="SOText"/>
    <w:link w:val="SOHeadBoldChar"/>
    <w:qFormat/>
    <w:rsid w:val="00392A4E"/>
    <w:rPr>
      <w:b/>
    </w:rPr>
  </w:style>
  <w:style w:type="character" w:customStyle="1" w:styleId="SOHeadBoldChar">
    <w:name w:val="SO HeadBold Char"/>
    <w:aliases w:val="sohb Char"/>
    <w:basedOn w:val="DefaultParagraphFont"/>
    <w:link w:val="SOHeadBold"/>
    <w:rsid w:val="00392A4E"/>
    <w:rPr>
      <w:b/>
      <w:sz w:val="22"/>
    </w:rPr>
  </w:style>
  <w:style w:type="paragraph" w:customStyle="1" w:styleId="SOHeadItalic">
    <w:name w:val="SO HeadItalic"/>
    <w:aliases w:val="sohi"/>
    <w:basedOn w:val="SOText"/>
    <w:next w:val="SOText"/>
    <w:link w:val="SOHeadItalicChar"/>
    <w:qFormat/>
    <w:rsid w:val="00392A4E"/>
    <w:rPr>
      <w:i/>
    </w:rPr>
  </w:style>
  <w:style w:type="character" w:customStyle="1" w:styleId="SOHeadItalicChar">
    <w:name w:val="SO HeadItalic Char"/>
    <w:aliases w:val="sohi Char"/>
    <w:basedOn w:val="DefaultParagraphFont"/>
    <w:link w:val="SOHeadItalic"/>
    <w:rsid w:val="00392A4E"/>
    <w:rPr>
      <w:i/>
      <w:sz w:val="22"/>
    </w:rPr>
  </w:style>
  <w:style w:type="paragraph" w:customStyle="1" w:styleId="SOBullet">
    <w:name w:val="SO Bullet"/>
    <w:aliases w:val="sotb"/>
    <w:basedOn w:val="SOText"/>
    <w:link w:val="SOBulletChar"/>
    <w:qFormat/>
    <w:rsid w:val="00392A4E"/>
    <w:pPr>
      <w:ind w:left="1559" w:hanging="425"/>
    </w:pPr>
  </w:style>
  <w:style w:type="character" w:customStyle="1" w:styleId="SOBulletChar">
    <w:name w:val="SO Bullet Char"/>
    <w:aliases w:val="sotb Char"/>
    <w:basedOn w:val="DefaultParagraphFont"/>
    <w:link w:val="SOBullet"/>
    <w:rsid w:val="00392A4E"/>
    <w:rPr>
      <w:sz w:val="22"/>
    </w:rPr>
  </w:style>
  <w:style w:type="paragraph" w:customStyle="1" w:styleId="SOBulletNote">
    <w:name w:val="SO BulletNote"/>
    <w:aliases w:val="sonb"/>
    <w:basedOn w:val="SOTextNote"/>
    <w:link w:val="SOBulletNoteChar"/>
    <w:qFormat/>
    <w:rsid w:val="00392A4E"/>
    <w:pPr>
      <w:tabs>
        <w:tab w:val="left" w:pos="1560"/>
      </w:tabs>
      <w:ind w:left="2268" w:hanging="1134"/>
    </w:pPr>
  </w:style>
  <w:style w:type="character" w:customStyle="1" w:styleId="SOBulletNoteChar">
    <w:name w:val="SO BulletNote Char"/>
    <w:aliases w:val="sonb Char"/>
    <w:basedOn w:val="DefaultParagraphFont"/>
    <w:link w:val="SOBulletNote"/>
    <w:rsid w:val="00392A4E"/>
    <w:rPr>
      <w:sz w:val="18"/>
    </w:rPr>
  </w:style>
  <w:style w:type="paragraph" w:customStyle="1" w:styleId="SOText2">
    <w:name w:val="SO Text2"/>
    <w:aliases w:val="sot2"/>
    <w:basedOn w:val="Normal"/>
    <w:next w:val="SOText"/>
    <w:link w:val="SOText2Char"/>
    <w:rsid w:val="00392A4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92A4E"/>
    <w:rPr>
      <w:sz w:val="22"/>
    </w:rPr>
  </w:style>
  <w:style w:type="character" w:customStyle="1" w:styleId="subsectionChar">
    <w:name w:val="subsection Char"/>
    <w:aliases w:val="ss Char"/>
    <w:link w:val="subsection"/>
    <w:rsid w:val="001D7A0B"/>
    <w:rPr>
      <w:rFonts w:eastAsia="Times New Roman" w:cs="Times New Roman"/>
      <w:sz w:val="22"/>
      <w:lang w:eastAsia="en-AU"/>
    </w:rPr>
  </w:style>
  <w:style w:type="character" w:customStyle="1" w:styleId="paragraphChar">
    <w:name w:val="paragraph Char"/>
    <w:aliases w:val="a Char"/>
    <w:link w:val="paragraph"/>
    <w:rsid w:val="00427858"/>
    <w:rPr>
      <w:rFonts w:eastAsia="Times New Roman" w:cs="Times New Roman"/>
      <w:sz w:val="22"/>
      <w:lang w:eastAsia="en-AU"/>
    </w:rPr>
  </w:style>
  <w:style w:type="character" w:customStyle="1" w:styleId="Heading1Char">
    <w:name w:val="Heading 1 Char"/>
    <w:basedOn w:val="DefaultParagraphFont"/>
    <w:link w:val="Heading1"/>
    <w:uiPriority w:val="9"/>
    <w:rsid w:val="007030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030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0300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0300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0300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0300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0300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0300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0300B"/>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6D21D9"/>
    <w:rPr>
      <w:rFonts w:eastAsia="Times New Roman" w:cs="Times New Roman"/>
      <w:b/>
      <w:kern w:val="28"/>
      <w:sz w:val="24"/>
      <w:lang w:eastAsia="en-AU"/>
    </w:rPr>
  </w:style>
  <w:style w:type="character" w:styleId="CommentReference">
    <w:name w:val="annotation reference"/>
    <w:basedOn w:val="DefaultParagraphFont"/>
    <w:uiPriority w:val="99"/>
    <w:semiHidden/>
    <w:unhideWhenUsed/>
    <w:rsid w:val="00A66E99"/>
    <w:rPr>
      <w:sz w:val="16"/>
      <w:szCs w:val="16"/>
    </w:rPr>
  </w:style>
  <w:style w:type="paragraph" w:styleId="CommentText">
    <w:name w:val="annotation text"/>
    <w:basedOn w:val="Normal"/>
    <w:link w:val="CommentTextChar"/>
    <w:uiPriority w:val="99"/>
    <w:semiHidden/>
    <w:unhideWhenUsed/>
    <w:rsid w:val="00A66E99"/>
    <w:pPr>
      <w:spacing w:after="200" w:line="240" w:lineRule="auto"/>
    </w:pPr>
    <w:rPr>
      <w:rFonts w:asciiTheme="minorHAnsi" w:hAnsiTheme="minorHAnsi"/>
      <w:sz w:val="20"/>
      <w:lang w:eastAsia="en-AU"/>
    </w:rPr>
  </w:style>
  <w:style w:type="character" w:customStyle="1" w:styleId="CommentTextChar">
    <w:name w:val="Comment Text Char"/>
    <w:basedOn w:val="DefaultParagraphFont"/>
    <w:link w:val="CommentText"/>
    <w:uiPriority w:val="99"/>
    <w:semiHidden/>
    <w:rsid w:val="00A66E99"/>
    <w:rPr>
      <w:rFonts w:asciiTheme="minorHAnsi" w:hAnsiTheme="minorHAnsi"/>
      <w:lang w:eastAsia="en-AU"/>
    </w:rPr>
  </w:style>
  <w:style w:type="paragraph" w:styleId="BalloonText">
    <w:name w:val="Balloon Text"/>
    <w:basedOn w:val="Normal"/>
    <w:link w:val="BalloonTextChar"/>
    <w:uiPriority w:val="99"/>
    <w:semiHidden/>
    <w:unhideWhenUsed/>
    <w:rsid w:val="00D54E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EE7"/>
    <w:rPr>
      <w:rFonts w:ascii="Tahoma" w:hAnsi="Tahoma" w:cs="Tahoma"/>
      <w:sz w:val="16"/>
      <w:szCs w:val="16"/>
    </w:rPr>
  </w:style>
  <w:style w:type="paragraph" w:customStyle="1" w:styleId="ShortTP1">
    <w:name w:val="ShortTP1"/>
    <w:basedOn w:val="ShortT"/>
    <w:link w:val="ShortTP1Char"/>
    <w:rsid w:val="007914CC"/>
    <w:pPr>
      <w:spacing w:before="800"/>
    </w:pPr>
  </w:style>
  <w:style w:type="character" w:customStyle="1" w:styleId="OPCParaBaseChar">
    <w:name w:val="OPCParaBase Char"/>
    <w:basedOn w:val="DefaultParagraphFont"/>
    <w:link w:val="OPCParaBase"/>
    <w:rsid w:val="007914CC"/>
    <w:rPr>
      <w:rFonts w:eastAsia="Times New Roman" w:cs="Times New Roman"/>
      <w:sz w:val="22"/>
      <w:lang w:eastAsia="en-AU"/>
    </w:rPr>
  </w:style>
  <w:style w:type="character" w:customStyle="1" w:styleId="ShortTChar">
    <w:name w:val="ShortT Char"/>
    <w:basedOn w:val="OPCParaBaseChar"/>
    <w:link w:val="ShortT"/>
    <w:rsid w:val="007914CC"/>
    <w:rPr>
      <w:rFonts w:eastAsia="Times New Roman" w:cs="Times New Roman"/>
      <w:b/>
      <w:sz w:val="40"/>
      <w:lang w:eastAsia="en-AU"/>
    </w:rPr>
  </w:style>
  <w:style w:type="character" w:customStyle="1" w:styleId="ShortTP1Char">
    <w:name w:val="ShortTP1 Char"/>
    <w:basedOn w:val="ShortTChar"/>
    <w:link w:val="ShortTP1"/>
    <w:rsid w:val="007914CC"/>
    <w:rPr>
      <w:rFonts w:eastAsia="Times New Roman" w:cs="Times New Roman"/>
      <w:b/>
      <w:sz w:val="40"/>
      <w:lang w:eastAsia="en-AU"/>
    </w:rPr>
  </w:style>
  <w:style w:type="paragraph" w:customStyle="1" w:styleId="ActNoP1">
    <w:name w:val="ActNoP1"/>
    <w:basedOn w:val="Actno"/>
    <w:link w:val="ActNoP1Char"/>
    <w:rsid w:val="007914CC"/>
    <w:pPr>
      <w:spacing w:before="800"/>
    </w:pPr>
    <w:rPr>
      <w:sz w:val="28"/>
    </w:rPr>
  </w:style>
  <w:style w:type="character" w:customStyle="1" w:styleId="ActnoChar">
    <w:name w:val="Actno Char"/>
    <w:basedOn w:val="ShortTChar"/>
    <w:link w:val="Actno"/>
    <w:rsid w:val="007914CC"/>
    <w:rPr>
      <w:rFonts w:eastAsia="Times New Roman" w:cs="Times New Roman"/>
      <w:b/>
      <w:sz w:val="40"/>
      <w:lang w:eastAsia="en-AU"/>
    </w:rPr>
  </w:style>
  <w:style w:type="character" w:customStyle="1" w:styleId="ActNoP1Char">
    <w:name w:val="ActNoP1 Char"/>
    <w:basedOn w:val="ActnoChar"/>
    <w:link w:val="ActNoP1"/>
    <w:rsid w:val="007914CC"/>
    <w:rPr>
      <w:rFonts w:eastAsia="Times New Roman" w:cs="Times New Roman"/>
      <w:b/>
      <w:sz w:val="28"/>
      <w:lang w:eastAsia="en-AU"/>
    </w:rPr>
  </w:style>
  <w:style w:type="paragraph" w:customStyle="1" w:styleId="ShortTCP">
    <w:name w:val="ShortTCP"/>
    <w:basedOn w:val="ShortT"/>
    <w:link w:val="ShortTCPChar"/>
    <w:rsid w:val="007914CC"/>
  </w:style>
  <w:style w:type="character" w:customStyle="1" w:styleId="ShortTCPChar">
    <w:name w:val="ShortTCP Char"/>
    <w:basedOn w:val="ShortTChar"/>
    <w:link w:val="ShortTCP"/>
    <w:rsid w:val="007914CC"/>
    <w:rPr>
      <w:rFonts w:eastAsia="Times New Roman" w:cs="Times New Roman"/>
      <w:b/>
      <w:sz w:val="40"/>
      <w:lang w:eastAsia="en-AU"/>
    </w:rPr>
  </w:style>
  <w:style w:type="paragraph" w:customStyle="1" w:styleId="ActNoCP">
    <w:name w:val="ActNoCP"/>
    <w:basedOn w:val="Actno"/>
    <w:link w:val="ActNoCPChar"/>
    <w:rsid w:val="007914CC"/>
    <w:pPr>
      <w:spacing w:before="400"/>
    </w:pPr>
  </w:style>
  <w:style w:type="character" w:customStyle="1" w:styleId="ActNoCPChar">
    <w:name w:val="ActNoCP Char"/>
    <w:basedOn w:val="ActnoChar"/>
    <w:link w:val="ActNoCP"/>
    <w:rsid w:val="007914CC"/>
    <w:rPr>
      <w:rFonts w:eastAsia="Times New Roman" w:cs="Times New Roman"/>
      <w:b/>
      <w:sz w:val="40"/>
      <w:lang w:eastAsia="en-AU"/>
    </w:rPr>
  </w:style>
  <w:style w:type="paragraph" w:customStyle="1" w:styleId="AssentBk">
    <w:name w:val="AssentBk"/>
    <w:basedOn w:val="Normal"/>
    <w:rsid w:val="007914CC"/>
    <w:pPr>
      <w:spacing w:line="240" w:lineRule="auto"/>
    </w:pPr>
    <w:rPr>
      <w:rFonts w:eastAsia="Times New Roman" w:cs="Times New Roman"/>
      <w:sz w:val="20"/>
      <w:lang w:eastAsia="en-AU"/>
    </w:rPr>
  </w:style>
  <w:style w:type="paragraph" w:customStyle="1" w:styleId="AssentDt">
    <w:name w:val="AssentDt"/>
    <w:basedOn w:val="Normal"/>
    <w:rsid w:val="00D25FA5"/>
    <w:pPr>
      <w:spacing w:line="240" w:lineRule="auto"/>
    </w:pPr>
    <w:rPr>
      <w:rFonts w:eastAsia="Times New Roman" w:cs="Times New Roman"/>
      <w:sz w:val="20"/>
      <w:lang w:eastAsia="en-AU"/>
    </w:rPr>
  </w:style>
  <w:style w:type="paragraph" w:customStyle="1" w:styleId="2ndRd">
    <w:name w:val="2ndRd"/>
    <w:basedOn w:val="Normal"/>
    <w:rsid w:val="00D25FA5"/>
    <w:pPr>
      <w:spacing w:line="240" w:lineRule="auto"/>
    </w:pPr>
    <w:rPr>
      <w:rFonts w:eastAsia="Times New Roman" w:cs="Times New Roman"/>
      <w:sz w:val="20"/>
      <w:lang w:eastAsia="en-AU"/>
    </w:rPr>
  </w:style>
  <w:style w:type="paragraph" w:customStyle="1" w:styleId="ScalePlusRef">
    <w:name w:val="ScalePlusRef"/>
    <w:basedOn w:val="Normal"/>
    <w:rsid w:val="00D25FA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2A4E"/>
    <w:pPr>
      <w:spacing w:line="260" w:lineRule="atLeast"/>
    </w:pPr>
    <w:rPr>
      <w:sz w:val="22"/>
    </w:rPr>
  </w:style>
  <w:style w:type="paragraph" w:styleId="Heading1">
    <w:name w:val="heading 1"/>
    <w:basedOn w:val="Normal"/>
    <w:next w:val="Normal"/>
    <w:link w:val="Heading1Char"/>
    <w:uiPriority w:val="9"/>
    <w:qFormat/>
    <w:rsid w:val="007030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030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300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300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0300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0300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0300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0300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0300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92A4E"/>
  </w:style>
  <w:style w:type="paragraph" w:customStyle="1" w:styleId="OPCParaBase">
    <w:name w:val="OPCParaBase"/>
    <w:link w:val="OPCParaBaseChar"/>
    <w:qFormat/>
    <w:rsid w:val="00392A4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92A4E"/>
    <w:pPr>
      <w:spacing w:line="240" w:lineRule="auto"/>
    </w:pPr>
    <w:rPr>
      <w:b/>
      <w:sz w:val="40"/>
    </w:rPr>
  </w:style>
  <w:style w:type="paragraph" w:customStyle="1" w:styleId="ActHead1">
    <w:name w:val="ActHead 1"/>
    <w:aliases w:val="c"/>
    <w:basedOn w:val="OPCParaBase"/>
    <w:next w:val="Normal"/>
    <w:qFormat/>
    <w:rsid w:val="00392A4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92A4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92A4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92A4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92A4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92A4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92A4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92A4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92A4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92A4E"/>
  </w:style>
  <w:style w:type="paragraph" w:customStyle="1" w:styleId="Blocks">
    <w:name w:val="Blocks"/>
    <w:aliases w:val="bb"/>
    <w:basedOn w:val="OPCParaBase"/>
    <w:qFormat/>
    <w:rsid w:val="00392A4E"/>
    <w:pPr>
      <w:spacing w:line="240" w:lineRule="auto"/>
    </w:pPr>
    <w:rPr>
      <w:sz w:val="24"/>
    </w:rPr>
  </w:style>
  <w:style w:type="paragraph" w:customStyle="1" w:styleId="BoxText">
    <w:name w:val="BoxText"/>
    <w:aliases w:val="bt"/>
    <w:basedOn w:val="OPCParaBase"/>
    <w:qFormat/>
    <w:rsid w:val="00392A4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92A4E"/>
    <w:rPr>
      <w:b/>
    </w:rPr>
  </w:style>
  <w:style w:type="paragraph" w:customStyle="1" w:styleId="BoxHeadItalic">
    <w:name w:val="BoxHeadItalic"/>
    <w:aliases w:val="bhi"/>
    <w:basedOn w:val="BoxText"/>
    <w:next w:val="BoxStep"/>
    <w:qFormat/>
    <w:rsid w:val="00392A4E"/>
    <w:rPr>
      <w:i/>
    </w:rPr>
  </w:style>
  <w:style w:type="paragraph" w:customStyle="1" w:styleId="BoxList">
    <w:name w:val="BoxList"/>
    <w:aliases w:val="bl"/>
    <w:basedOn w:val="BoxText"/>
    <w:qFormat/>
    <w:rsid w:val="00392A4E"/>
    <w:pPr>
      <w:ind w:left="1559" w:hanging="425"/>
    </w:pPr>
  </w:style>
  <w:style w:type="paragraph" w:customStyle="1" w:styleId="BoxNote">
    <w:name w:val="BoxNote"/>
    <w:aliases w:val="bn"/>
    <w:basedOn w:val="BoxText"/>
    <w:qFormat/>
    <w:rsid w:val="00392A4E"/>
    <w:pPr>
      <w:tabs>
        <w:tab w:val="left" w:pos="1985"/>
      </w:tabs>
      <w:spacing w:before="122" w:line="198" w:lineRule="exact"/>
      <w:ind w:left="2948" w:hanging="1814"/>
    </w:pPr>
    <w:rPr>
      <w:sz w:val="18"/>
    </w:rPr>
  </w:style>
  <w:style w:type="paragraph" w:customStyle="1" w:styleId="BoxPara">
    <w:name w:val="BoxPara"/>
    <w:aliases w:val="bp"/>
    <w:basedOn w:val="BoxText"/>
    <w:qFormat/>
    <w:rsid w:val="00392A4E"/>
    <w:pPr>
      <w:tabs>
        <w:tab w:val="right" w:pos="2268"/>
      </w:tabs>
      <w:ind w:left="2552" w:hanging="1418"/>
    </w:pPr>
  </w:style>
  <w:style w:type="paragraph" w:customStyle="1" w:styleId="BoxStep">
    <w:name w:val="BoxStep"/>
    <w:aliases w:val="bs"/>
    <w:basedOn w:val="BoxText"/>
    <w:qFormat/>
    <w:rsid w:val="00392A4E"/>
    <w:pPr>
      <w:ind w:left="1985" w:hanging="851"/>
    </w:pPr>
  </w:style>
  <w:style w:type="character" w:customStyle="1" w:styleId="CharAmPartNo">
    <w:name w:val="CharAmPartNo"/>
    <w:basedOn w:val="OPCCharBase"/>
    <w:qFormat/>
    <w:rsid w:val="00392A4E"/>
  </w:style>
  <w:style w:type="character" w:customStyle="1" w:styleId="CharAmPartText">
    <w:name w:val="CharAmPartText"/>
    <w:basedOn w:val="OPCCharBase"/>
    <w:qFormat/>
    <w:rsid w:val="00392A4E"/>
  </w:style>
  <w:style w:type="character" w:customStyle="1" w:styleId="CharAmSchNo">
    <w:name w:val="CharAmSchNo"/>
    <w:basedOn w:val="OPCCharBase"/>
    <w:qFormat/>
    <w:rsid w:val="00392A4E"/>
  </w:style>
  <w:style w:type="character" w:customStyle="1" w:styleId="CharAmSchText">
    <w:name w:val="CharAmSchText"/>
    <w:basedOn w:val="OPCCharBase"/>
    <w:qFormat/>
    <w:rsid w:val="00392A4E"/>
  </w:style>
  <w:style w:type="character" w:customStyle="1" w:styleId="CharBoldItalic">
    <w:name w:val="CharBoldItalic"/>
    <w:basedOn w:val="OPCCharBase"/>
    <w:uiPriority w:val="1"/>
    <w:qFormat/>
    <w:rsid w:val="00392A4E"/>
    <w:rPr>
      <w:b/>
      <w:i/>
    </w:rPr>
  </w:style>
  <w:style w:type="character" w:customStyle="1" w:styleId="CharChapNo">
    <w:name w:val="CharChapNo"/>
    <w:basedOn w:val="OPCCharBase"/>
    <w:uiPriority w:val="1"/>
    <w:qFormat/>
    <w:rsid w:val="00392A4E"/>
  </w:style>
  <w:style w:type="character" w:customStyle="1" w:styleId="CharChapText">
    <w:name w:val="CharChapText"/>
    <w:basedOn w:val="OPCCharBase"/>
    <w:uiPriority w:val="1"/>
    <w:qFormat/>
    <w:rsid w:val="00392A4E"/>
  </w:style>
  <w:style w:type="character" w:customStyle="1" w:styleId="CharDivNo">
    <w:name w:val="CharDivNo"/>
    <w:basedOn w:val="OPCCharBase"/>
    <w:uiPriority w:val="1"/>
    <w:qFormat/>
    <w:rsid w:val="00392A4E"/>
  </w:style>
  <w:style w:type="character" w:customStyle="1" w:styleId="CharDivText">
    <w:name w:val="CharDivText"/>
    <w:basedOn w:val="OPCCharBase"/>
    <w:uiPriority w:val="1"/>
    <w:qFormat/>
    <w:rsid w:val="00392A4E"/>
  </w:style>
  <w:style w:type="character" w:customStyle="1" w:styleId="CharItalic">
    <w:name w:val="CharItalic"/>
    <w:basedOn w:val="OPCCharBase"/>
    <w:uiPriority w:val="1"/>
    <w:qFormat/>
    <w:rsid w:val="00392A4E"/>
    <w:rPr>
      <w:i/>
    </w:rPr>
  </w:style>
  <w:style w:type="character" w:customStyle="1" w:styleId="CharPartNo">
    <w:name w:val="CharPartNo"/>
    <w:basedOn w:val="OPCCharBase"/>
    <w:uiPriority w:val="1"/>
    <w:qFormat/>
    <w:rsid w:val="00392A4E"/>
  </w:style>
  <w:style w:type="character" w:customStyle="1" w:styleId="CharPartText">
    <w:name w:val="CharPartText"/>
    <w:basedOn w:val="OPCCharBase"/>
    <w:uiPriority w:val="1"/>
    <w:qFormat/>
    <w:rsid w:val="00392A4E"/>
  </w:style>
  <w:style w:type="character" w:customStyle="1" w:styleId="CharSectno">
    <w:name w:val="CharSectno"/>
    <w:basedOn w:val="OPCCharBase"/>
    <w:uiPriority w:val="1"/>
    <w:qFormat/>
    <w:rsid w:val="00392A4E"/>
  </w:style>
  <w:style w:type="character" w:customStyle="1" w:styleId="CharSubdNo">
    <w:name w:val="CharSubdNo"/>
    <w:basedOn w:val="OPCCharBase"/>
    <w:uiPriority w:val="1"/>
    <w:qFormat/>
    <w:rsid w:val="00392A4E"/>
  </w:style>
  <w:style w:type="character" w:customStyle="1" w:styleId="CharSubdText">
    <w:name w:val="CharSubdText"/>
    <w:basedOn w:val="OPCCharBase"/>
    <w:uiPriority w:val="1"/>
    <w:qFormat/>
    <w:rsid w:val="00392A4E"/>
  </w:style>
  <w:style w:type="paragraph" w:customStyle="1" w:styleId="CTA--">
    <w:name w:val="CTA --"/>
    <w:basedOn w:val="OPCParaBase"/>
    <w:next w:val="Normal"/>
    <w:rsid w:val="00392A4E"/>
    <w:pPr>
      <w:spacing w:before="60" w:line="240" w:lineRule="atLeast"/>
      <w:ind w:left="142" w:hanging="142"/>
    </w:pPr>
    <w:rPr>
      <w:sz w:val="20"/>
    </w:rPr>
  </w:style>
  <w:style w:type="paragraph" w:customStyle="1" w:styleId="CTA-">
    <w:name w:val="CTA -"/>
    <w:basedOn w:val="OPCParaBase"/>
    <w:rsid w:val="00392A4E"/>
    <w:pPr>
      <w:spacing w:before="60" w:line="240" w:lineRule="atLeast"/>
      <w:ind w:left="85" w:hanging="85"/>
    </w:pPr>
    <w:rPr>
      <w:sz w:val="20"/>
    </w:rPr>
  </w:style>
  <w:style w:type="paragraph" w:customStyle="1" w:styleId="CTA---">
    <w:name w:val="CTA ---"/>
    <w:basedOn w:val="OPCParaBase"/>
    <w:next w:val="Normal"/>
    <w:rsid w:val="00392A4E"/>
    <w:pPr>
      <w:spacing w:before="60" w:line="240" w:lineRule="atLeast"/>
      <w:ind w:left="198" w:hanging="198"/>
    </w:pPr>
    <w:rPr>
      <w:sz w:val="20"/>
    </w:rPr>
  </w:style>
  <w:style w:type="paragraph" w:customStyle="1" w:styleId="CTA----">
    <w:name w:val="CTA ----"/>
    <w:basedOn w:val="OPCParaBase"/>
    <w:next w:val="Normal"/>
    <w:rsid w:val="00392A4E"/>
    <w:pPr>
      <w:spacing w:before="60" w:line="240" w:lineRule="atLeast"/>
      <w:ind w:left="255" w:hanging="255"/>
    </w:pPr>
    <w:rPr>
      <w:sz w:val="20"/>
    </w:rPr>
  </w:style>
  <w:style w:type="paragraph" w:customStyle="1" w:styleId="CTA1a">
    <w:name w:val="CTA 1(a)"/>
    <w:basedOn w:val="OPCParaBase"/>
    <w:rsid w:val="00392A4E"/>
    <w:pPr>
      <w:tabs>
        <w:tab w:val="right" w:pos="414"/>
      </w:tabs>
      <w:spacing w:before="40" w:line="240" w:lineRule="atLeast"/>
      <w:ind w:left="675" w:hanging="675"/>
    </w:pPr>
    <w:rPr>
      <w:sz w:val="20"/>
    </w:rPr>
  </w:style>
  <w:style w:type="paragraph" w:customStyle="1" w:styleId="CTA1ai">
    <w:name w:val="CTA 1(a)(i)"/>
    <w:basedOn w:val="OPCParaBase"/>
    <w:rsid w:val="00392A4E"/>
    <w:pPr>
      <w:tabs>
        <w:tab w:val="right" w:pos="1004"/>
      </w:tabs>
      <w:spacing w:before="40" w:line="240" w:lineRule="atLeast"/>
      <w:ind w:left="1253" w:hanging="1253"/>
    </w:pPr>
    <w:rPr>
      <w:sz w:val="20"/>
    </w:rPr>
  </w:style>
  <w:style w:type="paragraph" w:customStyle="1" w:styleId="CTA2a">
    <w:name w:val="CTA 2(a)"/>
    <w:basedOn w:val="OPCParaBase"/>
    <w:rsid w:val="00392A4E"/>
    <w:pPr>
      <w:tabs>
        <w:tab w:val="right" w:pos="482"/>
      </w:tabs>
      <w:spacing w:before="40" w:line="240" w:lineRule="atLeast"/>
      <w:ind w:left="748" w:hanging="748"/>
    </w:pPr>
    <w:rPr>
      <w:sz w:val="20"/>
    </w:rPr>
  </w:style>
  <w:style w:type="paragraph" w:customStyle="1" w:styleId="CTA2ai">
    <w:name w:val="CTA 2(a)(i)"/>
    <w:basedOn w:val="OPCParaBase"/>
    <w:rsid w:val="00392A4E"/>
    <w:pPr>
      <w:tabs>
        <w:tab w:val="right" w:pos="1089"/>
      </w:tabs>
      <w:spacing w:before="40" w:line="240" w:lineRule="atLeast"/>
      <w:ind w:left="1327" w:hanging="1327"/>
    </w:pPr>
    <w:rPr>
      <w:sz w:val="20"/>
    </w:rPr>
  </w:style>
  <w:style w:type="paragraph" w:customStyle="1" w:styleId="CTA3a">
    <w:name w:val="CTA 3(a)"/>
    <w:basedOn w:val="OPCParaBase"/>
    <w:rsid w:val="00392A4E"/>
    <w:pPr>
      <w:tabs>
        <w:tab w:val="right" w:pos="556"/>
      </w:tabs>
      <w:spacing w:before="40" w:line="240" w:lineRule="atLeast"/>
      <w:ind w:left="805" w:hanging="805"/>
    </w:pPr>
    <w:rPr>
      <w:sz w:val="20"/>
    </w:rPr>
  </w:style>
  <w:style w:type="paragraph" w:customStyle="1" w:styleId="CTA3ai">
    <w:name w:val="CTA 3(a)(i)"/>
    <w:basedOn w:val="OPCParaBase"/>
    <w:rsid w:val="00392A4E"/>
    <w:pPr>
      <w:tabs>
        <w:tab w:val="right" w:pos="1140"/>
      </w:tabs>
      <w:spacing w:before="40" w:line="240" w:lineRule="atLeast"/>
      <w:ind w:left="1361" w:hanging="1361"/>
    </w:pPr>
    <w:rPr>
      <w:sz w:val="20"/>
    </w:rPr>
  </w:style>
  <w:style w:type="paragraph" w:customStyle="1" w:styleId="CTA4a">
    <w:name w:val="CTA 4(a)"/>
    <w:basedOn w:val="OPCParaBase"/>
    <w:rsid w:val="00392A4E"/>
    <w:pPr>
      <w:tabs>
        <w:tab w:val="right" w:pos="624"/>
      </w:tabs>
      <w:spacing w:before="40" w:line="240" w:lineRule="atLeast"/>
      <w:ind w:left="873" w:hanging="873"/>
    </w:pPr>
    <w:rPr>
      <w:sz w:val="20"/>
    </w:rPr>
  </w:style>
  <w:style w:type="paragraph" w:customStyle="1" w:styleId="CTA4ai">
    <w:name w:val="CTA 4(a)(i)"/>
    <w:basedOn w:val="OPCParaBase"/>
    <w:rsid w:val="00392A4E"/>
    <w:pPr>
      <w:tabs>
        <w:tab w:val="right" w:pos="1213"/>
      </w:tabs>
      <w:spacing w:before="40" w:line="240" w:lineRule="atLeast"/>
      <w:ind w:left="1452" w:hanging="1452"/>
    </w:pPr>
    <w:rPr>
      <w:sz w:val="20"/>
    </w:rPr>
  </w:style>
  <w:style w:type="paragraph" w:customStyle="1" w:styleId="CTACAPS">
    <w:name w:val="CTA CAPS"/>
    <w:basedOn w:val="OPCParaBase"/>
    <w:rsid w:val="00392A4E"/>
    <w:pPr>
      <w:spacing w:before="60" w:line="240" w:lineRule="atLeast"/>
    </w:pPr>
    <w:rPr>
      <w:sz w:val="20"/>
    </w:rPr>
  </w:style>
  <w:style w:type="paragraph" w:customStyle="1" w:styleId="CTAright">
    <w:name w:val="CTA right"/>
    <w:basedOn w:val="OPCParaBase"/>
    <w:rsid w:val="00392A4E"/>
    <w:pPr>
      <w:spacing w:before="60" w:line="240" w:lineRule="auto"/>
      <w:jc w:val="right"/>
    </w:pPr>
    <w:rPr>
      <w:sz w:val="20"/>
    </w:rPr>
  </w:style>
  <w:style w:type="paragraph" w:customStyle="1" w:styleId="subsection">
    <w:name w:val="subsection"/>
    <w:aliases w:val="ss"/>
    <w:basedOn w:val="OPCParaBase"/>
    <w:link w:val="subsectionChar"/>
    <w:rsid w:val="00392A4E"/>
    <w:pPr>
      <w:tabs>
        <w:tab w:val="right" w:pos="1021"/>
      </w:tabs>
      <w:spacing w:before="180" w:line="240" w:lineRule="auto"/>
      <w:ind w:left="1134" w:hanging="1134"/>
    </w:pPr>
  </w:style>
  <w:style w:type="paragraph" w:customStyle="1" w:styleId="Definition">
    <w:name w:val="Definition"/>
    <w:aliases w:val="dd"/>
    <w:basedOn w:val="OPCParaBase"/>
    <w:rsid w:val="00392A4E"/>
    <w:pPr>
      <w:spacing w:before="180" w:line="240" w:lineRule="auto"/>
      <w:ind w:left="1134"/>
    </w:pPr>
  </w:style>
  <w:style w:type="paragraph" w:customStyle="1" w:styleId="ETAsubitem">
    <w:name w:val="ETA(subitem)"/>
    <w:basedOn w:val="OPCParaBase"/>
    <w:rsid w:val="00392A4E"/>
    <w:pPr>
      <w:tabs>
        <w:tab w:val="right" w:pos="340"/>
      </w:tabs>
      <w:spacing w:before="60" w:line="240" w:lineRule="auto"/>
      <w:ind w:left="454" w:hanging="454"/>
    </w:pPr>
    <w:rPr>
      <w:sz w:val="20"/>
    </w:rPr>
  </w:style>
  <w:style w:type="paragraph" w:customStyle="1" w:styleId="ETApara">
    <w:name w:val="ETA(para)"/>
    <w:basedOn w:val="OPCParaBase"/>
    <w:rsid w:val="00392A4E"/>
    <w:pPr>
      <w:tabs>
        <w:tab w:val="right" w:pos="754"/>
      </w:tabs>
      <w:spacing w:before="60" w:line="240" w:lineRule="auto"/>
      <w:ind w:left="828" w:hanging="828"/>
    </w:pPr>
    <w:rPr>
      <w:sz w:val="20"/>
    </w:rPr>
  </w:style>
  <w:style w:type="paragraph" w:customStyle="1" w:styleId="ETAsubpara">
    <w:name w:val="ETA(subpara)"/>
    <w:basedOn w:val="OPCParaBase"/>
    <w:rsid w:val="00392A4E"/>
    <w:pPr>
      <w:tabs>
        <w:tab w:val="right" w:pos="1083"/>
      </w:tabs>
      <w:spacing w:before="60" w:line="240" w:lineRule="auto"/>
      <w:ind w:left="1191" w:hanging="1191"/>
    </w:pPr>
    <w:rPr>
      <w:sz w:val="20"/>
    </w:rPr>
  </w:style>
  <w:style w:type="paragraph" w:customStyle="1" w:styleId="ETAsub-subpara">
    <w:name w:val="ETA(sub-subpara)"/>
    <w:basedOn w:val="OPCParaBase"/>
    <w:rsid w:val="00392A4E"/>
    <w:pPr>
      <w:tabs>
        <w:tab w:val="right" w:pos="1412"/>
      </w:tabs>
      <w:spacing w:before="60" w:line="240" w:lineRule="auto"/>
      <w:ind w:left="1525" w:hanging="1525"/>
    </w:pPr>
    <w:rPr>
      <w:sz w:val="20"/>
    </w:rPr>
  </w:style>
  <w:style w:type="paragraph" w:customStyle="1" w:styleId="Formula">
    <w:name w:val="Formula"/>
    <w:basedOn w:val="OPCParaBase"/>
    <w:rsid w:val="00392A4E"/>
    <w:pPr>
      <w:spacing w:line="240" w:lineRule="auto"/>
      <w:ind w:left="1134"/>
    </w:pPr>
    <w:rPr>
      <w:sz w:val="20"/>
    </w:rPr>
  </w:style>
  <w:style w:type="paragraph" w:styleId="Header">
    <w:name w:val="header"/>
    <w:basedOn w:val="OPCParaBase"/>
    <w:link w:val="HeaderChar"/>
    <w:unhideWhenUsed/>
    <w:rsid w:val="00392A4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92A4E"/>
    <w:rPr>
      <w:rFonts w:eastAsia="Times New Roman" w:cs="Times New Roman"/>
      <w:sz w:val="16"/>
      <w:lang w:eastAsia="en-AU"/>
    </w:rPr>
  </w:style>
  <w:style w:type="paragraph" w:customStyle="1" w:styleId="House">
    <w:name w:val="House"/>
    <w:basedOn w:val="OPCParaBase"/>
    <w:rsid w:val="00392A4E"/>
    <w:pPr>
      <w:spacing w:line="240" w:lineRule="auto"/>
    </w:pPr>
    <w:rPr>
      <w:sz w:val="28"/>
    </w:rPr>
  </w:style>
  <w:style w:type="paragraph" w:customStyle="1" w:styleId="Item">
    <w:name w:val="Item"/>
    <w:aliases w:val="i"/>
    <w:basedOn w:val="OPCParaBase"/>
    <w:next w:val="ItemHead"/>
    <w:rsid w:val="00392A4E"/>
    <w:pPr>
      <w:keepLines/>
      <w:spacing w:before="80" w:line="240" w:lineRule="auto"/>
      <w:ind w:left="709"/>
    </w:pPr>
  </w:style>
  <w:style w:type="paragraph" w:customStyle="1" w:styleId="ItemHead">
    <w:name w:val="ItemHead"/>
    <w:aliases w:val="ih"/>
    <w:basedOn w:val="OPCParaBase"/>
    <w:next w:val="Item"/>
    <w:rsid w:val="00392A4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92A4E"/>
    <w:pPr>
      <w:spacing w:line="240" w:lineRule="auto"/>
    </w:pPr>
    <w:rPr>
      <w:b/>
      <w:sz w:val="32"/>
    </w:rPr>
  </w:style>
  <w:style w:type="paragraph" w:customStyle="1" w:styleId="notedraft">
    <w:name w:val="note(draft)"/>
    <w:aliases w:val="nd"/>
    <w:basedOn w:val="OPCParaBase"/>
    <w:rsid w:val="00392A4E"/>
    <w:pPr>
      <w:spacing w:before="240" w:line="240" w:lineRule="auto"/>
      <w:ind w:left="284" w:hanging="284"/>
    </w:pPr>
    <w:rPr>
      <w:i/>
      <w:sz w:val="24"/>
    </w:rPr>
  </w:style>
  <w:style w:type="paragraph" w:customStyle="1" w:styleId="notemargin">
    <w:name w:val="note(margin)"/>
    <w:aliases w:val="nm"/>
    <w:basedOn w:val="OPCParaBase"/>
    <w:rsid w:val="00392A4E"/>
    <w:pPr>
      <w:tabs>
        <w:tab w:val="left" w:pos="709"/>
      </w:tabs>
      <w:spacing w:before="122" w:line="198" w:lineRule="exact"/>
      <w:ind w:left="709" w:hanging="709"/>
    </w:pPr>
    <w:rPr>
      <w:sz w:val="18"/>
    </w:rPr>
  </w:style>
  <w:style w:type="paragraph" w:customStyle="1" w:styleId="noteToPara">
    <w:name w:val="noteToPara"/>
    <w:aliases w:val="ntp"/>
    <w:basedOn w:val="OPCParaBase"/>
    <w:rsid w:val="00392A4E"/>
    <w:pPr>
      <w:spacing w:before="122" w:line="198" w:lineRule="exact"/>
      <w:ind w:left="2353" w:hanging="709"/>
    </w:pPr>
    <w:rPr>
      <w:sz w:val="18"/>
    </w:rPr>
  </w:style>
  <w:style w:type="paragraph" w:customStyle="1" w:styleId="noteParlAmend">
    <w:name w:val="note(ParlAmend)"/>
    <w:aliases w:val="npp"/>
    <w:basedOn w:val="OPCParaBase"/>
    <w:next w:val="ParlAmend"/>
    <w:rsid w:val="00392A4E"/>
    <w:pPr>
      <w:spacing w:line="240" w:lineRule="auto"/>
      <w:jc w:val="right"/>
    </w:pPr>
    <w:rPr>
      <w:rFonts w:ascii="Arial" w:hAnsi="Arial"/>
      <w:b/>
      <w:i/>
    </w:rPr>
  </w:style>
  <w:style w:type="paragraph" w:customStyle="1" w:styleId="Page1">
    <w:name w:val="Page1"/>
    <w:basedOn w:val="OPCParaBase"/>
    <w:rsid w:val="00392A4E"/>
    <w:pPr>
      <w:spacing w:before="400" w:line="240" w:lineRule="auto"/>
    </w:pPr>
    <w:rPr>
      <w:b/>
      <w:sz w:val="32"/>
    </w:rPr>
  </w:style>
  <w:style w:type="paragraph" w:customStyle="1" w:styleId="PageBreak">
    <w:name w:val="PageBreak"/>
    <w:aliases w:val="pb"/>
    <w:basedOn w:val="OPCParaBase"/>
    <w:rsid w:val="00392A4E"/>
    <w:pPr>
      <w:spacing w:line="240" w:lineRule="auto"/>
    </w:pPr>
    <w:rPr>
      <w:sz w:val="20"/>
    </w:rPr>
  </w:style>
  <w:style w:type="paragraph" w:customStyle="1" w:styleId="paragraphsub">
    <w:name w:val="paragraph(sub)"/>
    <w:aliases w:val="aa"/>
    <w:basedOn w:val="OPCParaBase"/>
    <w:rsid w:val="00392A4E"/>
    <w:pPr>
      <w:tabs>
        <w:tab w:val="right" w:pos="1985"/>
      </w:tabs>
      <w:spacing w:before="40" w:line="240" w:lineRule="auto"/>
      <w:ind w:left="2098" w:hanging="2098"/>
    </w:pPr>
  </w:style>
  <w:style w:type="paragraph" w:customStyle="1" w:styleId="paragraphsub-sub">
    <w:name w:val="paragraph(sub-sub)"/>
    <w:aliases w:val="aaa"/>
    <w:basedOn w:val="OPCParaBase"/>
    <w:rsid w:val="00392A4E"/>
    <w:pPr>
      <w:tabs>
        <w:tab w:val="right" w:pos="2722"/>
      </w:tabs>
      <w:spacing w:before="40" w:line="240" w:lineRule="auto"/>
      <w:ind w:left="2835" w:hanging="2835"/>
    </w:pPr>
  </w:style>
  <w:style w:type="paragraph" w:customStyle="1" w:styleId="paragraph">
    <w:name w:val="paragraph"/>
    <w:aliases w:val="a"/>
    <w:basedOn w:val="OPCParaBase"/>
    <w:link w:val="paragraphChar"/>
    <w:rsid w:val="00392A4E"/>
    <w:pPr>
      <w:tabs>
        <w:tab w:val="right" w:pos="1531"/>
      </w:tabs>
      <w:spacing w:before="40" w:line="240" w:lineRule="auto"/>
      <w:ind w:left="1644" w:hanging="1644"/>
    </w:pPr>
  </w:style>
  <w:style w:type="paragraph" w:customStyle="1" w:styleId="ParlAmend">
    <w:name w:val="ParlAmend"/>
    <w:aliases w:val="pp"/>
    <w:basedOn w:val="OPCParaBase"/>
    <w:rsid w:val="00392A4E"/>
    <w:pPr>
      <w:spacing w:before="240" w:line="240" w:lineRule="atLeast"/>
      <w:ind w:hanging="567"/>
    </w:pPr>
    <w:rPr>
      <w:sz w:val="24"/>
    </w:rPr>
  </w:style>
  <w:style w:type="paragraph" w:customStyle="1" w:styleId="Penalty">
    <w:name w:val="Penalty"/>
    <w:basedOn w:val="OPCParaBase"/>
    <w:rsid w:val="00392A4E"/>
    <w:pPr>
      <w:tabs>
        <w:tab w:val="left" w:pos="2977"/>
      </w:tabs>
      <w:spacing w:before="180" w:line="240" w:lineRule="auto"/>
      <w:ind w:left="1985" w:hanging="851"/>
    </w:pPr>
  </w:style>
  <w:style w:type="paragraph" w:customStyle="1" w:styleId="Portfolio">
    <w:name w:val="Portfolio"/>
    <w:basedOn w:val="OPCParaBase"/>
    <w:rsid w:val="00392A4E"/>
    <w:pPr>
      <w:spacing w:line="240" w:lineRule="auto"/>
    </w:pPr>
    <w:rPr>
      <w:i/>
      <w:sz w:val="20"/>
    </w:rPr>
  </w:style>
  <w:style w:type="paragraph" w:customStyle="1" w:styleId="Preamble">
    <w:name w:val="Preamble"/>
    <w:basedOn w:val="OPCParaBase"/>
    <w:next w:val="Normal"/>
    <w:rsid w:val="00392A4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92A4E"/>
    <w:pPr>
      <w:spacing w:line="240" w:lineRule="auto"/>
    </w:pPr>
    <w:rPr>
      <w:i/>
      <w:sz w:val="20"/>
    </w:rPr>
  </w:style>
  <w:style w:type="paragraph" w:customStyle="1" w:styleId="Session">
    <w:name w:val="Session"/>
    <w:basedOn w:val="OPCParaBase"/>
    <w:rsid w:val="00392A4E"/>
    <w:pPr>
      <w:spacing w:line="240" w:lineRule="auto"/>
    </w:pPr>
    <w:rPr>
      <w:sz w:val="28"/>
    </w:rPr>
  </w:style>
  <w:style w:type="paragraph" w:customStyle="1" w:styleId="Sponsor">
    <w:name w:val="Sponsor"/>
    <w:basedOn w:val="OPCParaBase"/>
    <w:rsid w:val="00392A4E"/>
    <w:pPr>
      <w:spacing w:line="240" w:lineRule="auto"/>
    </w:pPr>
    <w:rPr>
      <w:i/>
    </w:rPr>
  </w:style>
  <w:style w:type="paragraph" w:customStyle="1" w:styleId="Subitem">
    <w:name w:val="Subitem"/>
    <w:aliases w:val="iss"/>
    <w:basedOn w:val="OPCParaBase"/>
    <w:rsid w:val="00392A4E"/>
    <w:pPr>
      <w:spacing w:before="180" w:line="240" w:lineRule="auto"/>
      <w:ind w:left="709" w:hanging="709"/>
    </w:pPr>
  </w:style>
  <w:style w:type="paragraph" w:customStyle="1" w:styleId="SubitemHead">
    <w:name w:val="SubitemHead"/>
    <w:aliases w:val="issh"/>
    <w:basedOn w:val="OPCParaBase"/>
    <w:rsid w:val="00392A4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92A4E"/>
    <w:pPr>
      <w:spacing w:before="40" w:line="240" w:lineRule="auto"/>
      <w:ind w:left="1134"/>
    </w:pPr>
  </w:style>
  <w:style w:type="paragraph" w:customStyle="1" w:styleId="SubsectionHead">
    <w:name w:val="SubsectionHead"/>
    <w:aliases w:val="ssh"/>
    <w:basedOn w:val="OPCParaBase"/>
    <w:next w:val="subsection"/>
    <w:rsid w:val="00392A4E"/>
    <w:pPr>
      <w:keepNext/>
      <w:keepLines/>
      <w:spacing w:before="240" w:line="240" w:lineRule="auto"/>
      <w:ind w:left="1134"/>
    </w:pPr>
    <w:rPr>
      <w:i/>
    </w:rPr>
  </w:style>
  <w:style w:type="paragraph" w:customStyle="1" w:styleId="Tablea">
    <w:name w:val="Table(a)"/>
    <w:aliases w:val="ta"/>
    <w:basedOn w:val="OPCParaBase"/>
    <w:rsid w:val="00392A4E"/>
    <w:pPr>
      <w:spacing w:before="60" w:line="240" w:lineRule="auto"/>
      <w:ind w:left="284" w:hanging="284"/>
    </w:pPr>
    <w:rPr>
      <w:sz w:val="20"/>
    </w:rPr>
  </w:style>
  <w:style w:type="paragraph" w:customStyle="1" w:styleId="TableAA">
    <w:name w:val="Table(AA)"/>
    <w:aliases w:val="taaa"/>
    <w:basedOn w:val="OPCParaBase"/>
    <w:rsid w:val="00392A4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92A4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92A4E"/>
    <w:pPr>
      <w:spacing w:before="60" w:line="240" w:lineRule="atLeast"/>
    </w:pPr>
    <w:rPr>
      <w:sz w:val="20"/>
    </w:rPr>
  </w:style>
  <w:style w:type="paragraph" w:customStyle="1" w:styleId="TLPBoxTextnote">
    <w:name w:val="TLPBoxText(note"/>
    <w:aliases w:val="right)"/>
    <w:basedOn w:val="OPCParaBase"/>
    <w:rsid w:val="00392A4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92A4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92A4E"/>
    <w:pPr>
      <w:spacing w:before="122" w:line="198" w:lineRule="exact"/>
      <w:ind w:left="1985" w:hanging="851"/>
      <w:jc w:val="right"/>
    </w:pPr>
    <w:rPr>
      <w:sz w:val="18"/>
    </w:rPr>
  </w:style>
  <w:style w:type="paragraph" w:customStyle="1" w:styleId="TLPTableBullet">
    <w:name w:val="TLPTableBullet"/>
    <w:aliases w:val="ttb"/>
    <w:basedOn w:val="OPCParaBase"/>
    <w:rsid w:val="00392A4E"/>
    <w:pPr>
      <w:spacing w:line="240" w:lineRule="exact"/>
      <w:ind w:left="284" w:hanging="284"/>
    </w:pPr>
    <w:rPr>
      <w:sz w:val="20"/>
    </w:rPr>
  </w:style>
  <w:style w:type="paragraph" w:styleId="TOC1">
    <w:name w:val="toc 1"/>
    <w:basedOn w:val="OPCParaBase"/>
    <w:next w:val="Normal"/>
    <w:uiPriority w:val="39"/>
    <w:semiHidden/>
    <w:unhideWhenUsed/>
    <w:rsid w:val="00392A4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92A4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92A4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92A4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92A4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92A4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92A4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92A4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92A4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92A4E"/>
    <w:pPr>
      <w:keepLines/>
      <w:spacing w:before="240" w:after="120" w:line="240" w:lineRule="auto"/>
      <w:ind w:left="794"/>
    </w:pPr>
    <w:rPr>
      <w:b/>
      <w:kern w:val="28"/>
      <w:sz w:val="20"/>
    </w:rPr>
  </w:style>
  <w:style w:type="paragraph" w:customStyle="1" w:styleId="TofSectsHeading">
    <w:name w:val="TofSects(Heading)"/>
    <w:basedOn w:val="OPCParaBase"/>
    <w:rsid w:val="00392A4E"/>
    <w:pPr>
      <w:spacing w:before="240" w:after="120" w:line="240" w:lineRule="auto"/>
    </w:pPr>
    <w:rPr>
      <w:b/>
      <w:sz w:val="24"/>
    </w:rPr>
  </w:style>
  <w:style w:type="paragraph" w:customStyle="1" w:styleId="TofSectsSection">
    <w:name w:val="TofSects(Section)"/>
    <w:basedOn w:val="OPCParaBase"/>
    <w:rsid w:val="00392A4E"/>
    <w:pPr>
      <w:keepLines/>
      <w:spacing w:before="40" w:line="240" w:lineRule="auto"/>
      <w:ind w:left="1588" w:hanging="794"/>
    </w:pPr>
    <w:rPr>
      <w:kern w:val="28"/>
      <w:sz w:val="18"/>
    </w:rPr>
  </w:style>
  <w:style w:type="paragraph" w:customStyle="1" w:styleId="TofSectsSubdiv">
    <w:name w:val="TofSects(Subdiv)"/>
    <w:basedOn w:val="OPCParaBase"/>
    <w:rsid w:val="00392A4E"/>
    <w:pPr>
      <w:keepLines/>
      <w:spacing w:before="80" w:line="240" w:lineRule="auto"/>
      <w:ind w:left="1588" w:hanging="794"/>
    </w:pPr>
    <w:rPr>
      <w:kern w:val="28"/>
    </w:rPr>
  </w:style>
  <w:style w:type="paragraph" w:customStyle="1" w:styleId="WRStyle">
    <w:name w:val="WR Style"/>
    <w:aliases w:val="WR"/>
    <w:basedOn w:val="OPCParaBase"/>
    <w:rsid w:val="00392A4E"/>
    <w:pPr>
      <w:spacing w:before="240" w:line="240" w:lineRule="auto"/>
      <w:ind w:left="284" w:hanging="284"/>
    </w:pPr>
    <w:rPr>
      <w:b/>
      <w:i/>
      <w:kern w:val="28"/>
      <w:sz w:val="24"/>
    </w:rPr>
  </w:style>
  <w:style w:type="paragraph" w:customStyle="1" w:styleId="notepara">
    <w:name w:val="note(para)"/>
    <w:aliases w:val="na"/>
    <w:basedOn w:val="OPCParaBase"/>
    <w:rsid w:val="00392A4E"/>
    <w:pPr>
      <w:spacing w:before="40" w:line="198" w:lineRule="exact"/>
      <w:ind w:left="2354" w:hanging="369"/>
    </w:pPr>
    <w:rPr>
      <w:sz w:val="18"/>
    </w:rPr>
  </w:style>
  <w:style w:type="paragraph" w:styleId="Footer">
    <w:name w:val="footer"/>
    <w:link w:val="FooterChar"/>
    <w:rsid w:val="00392A4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92A4E"/>
    <w:rPr>
      <w:rFonts w:eastAsia="Times New Roman" w:cs="Times New Roman"/>
      <w:sz w:val="22"/>
      <w:szCs w:val="24"/>
      <w:lang w:eastAsia="en-AU"/>
    </w:rPr>
  </w:style>
  <w:style w:type="character" w:styleId="LineNumber">
    <w:name w:val="line number"/>
    <w:basedOn w:val="OPCCharBase"/>
    <w:uiPriority w:val="99"/>
    <w:semiHidden/>
    <w:unhideWhenUsed/>
    <w:rsid w:val="00392A4E"/>
    <w:rPr>
      <w:sz w:val="16"/>
    </w:rPr>
  </w:style>
  <w:style w:type="table" w:customStyle="1" w:styleId="CFlag">
    <w:name w:val="CFlag"/>
    <w:basedOn w:val="TableNormal"/>
    <w:uiPriority w:val="99"/>
    <w:rsid w:val="00392A4E"/>
    <w:rPr>
      <w:rFonts w:eastAsia="Times New Roman" w:cs="Times New Roman"/>
      <w:lang w:eastAsia="en-AU"/>
    </w:rPr>
    <w:tblPr/>
  </w:style>
  <w:style w:type="paragraph" w:customStyle="1" w:styleId="NotesHeading1">
    <w:name w:val="NotesHeading 1"/>
    <w:basedOn w:val="OPCParaBase"/>
    <w:next w:val="Normal"/>
    <w:rsid w:val="00392A4E"/>
    <w:rPr>
      <w:b/>
      <w:sz w:val="28"/>
      <w:szCs w:val="28"/>
    </w:rPr>
  </w:style>
  <w:style w:type="paragraph" w:customStyle="1" w:styleId="NotesHeading2">
    <w:name w:val="NotesHeading 2"/>
    <w:basedOn w:val="OPCParaBase"/>
    <w:next w:val="Normal"/>
    <w:rsid w:val="00392A4E"/>
    <w:rPr>
      <w:b/>
      <w:sz w:val="28"/>
      <w:szCs w:val="28"/>
    </w:rPr>
  </w:style>
  <w:style w:type="paragraph" w:customStyle="1" w:styleId="SignCoverPageEnd">
    <w:name w:val="SignCoverPageEnd"/>
    <w:basedOn w:val="OPCParaBase"/>
    <w:next w:val="Normal"/>
    <w:rsid w:val="00392A4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92A4E"/>
    <w:pPr>
      <w:pBdr>
        <w:top w:val="single" w:sz="4" w:space="1" w:color="auto"/>
      </w:pBdr>
      <w:spacing w:before="360"/>
      <w:ind w:right="397"/>
      <w:jc w:val="both"/>
    </w:pPr>
  </w:style>
  <w:style w:type="paragraph" w:customStyle="1" w:styleId="Paragraphsub-sub-sub">
    <w:name w:val="Paragraph(sub-sub-sub)"/>
    <w:aliases w:val="aaaa"/>
    <w:basedOn w:val="OPCParaBase"/>
    <w:rsid w:val="00392A4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92A4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92A4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92A4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92A4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92A4E"/>
    <w:pPr>
      <w:spacing w:before="120"/>
    </w:pPr>
  </w:style>
  <w:style w:type="paragraph" w:customStyle="1" w:styleId="TableTextEndNotes">
    <w:name w:val="TableTextEndNotes"/>
    <w:aliases w:val="Tten"/>
    <w:basedOn w:val="Normal"/>
    <w:rsid w:val="00392A4E"/>
    <w:pPr>
      <w:spacing w:before="60" w:line="240" w:lineRule="auto"/>
    </w:pPr>
    <w:rPr>
      <w:rFonts w:cs="Arial"/>
      <w:sz w:val="20"/>
      <w:szCs w:val="22"/>
    </w:rPr>
  </w:style>
  <w:style w:type="paragraph" w:customStyle="1" w:styleId="TableHeading">
    <w:name w:val="TableHeading"/>
    <w:aliases w:val="th"/>
    <w:basedOn w:val="OPCParaBase"/>
    <w:next w:val="Tabletext"/>
    <w:rsid w:val="00392A4E"/>
    <w:pPr>
      <w:keepNext/>
      <w:spacing w:before="60" w:line="240" w:lineRule="atLeast"/>
    </w:pPr>
    <w:rPr>
      <w:b/>
      <w:sz w:val="20"/>
    </w:rPr>
  </w:style>
  <w:style w:type="paragraph" w:customStyle="1" w:styleId="NoteToSubpara">
    <w:name w:val="NoteToSubpara"/>
    <w:aliases w:val="nts"/>
    <w:basedOn w:val="OPCParaBase"/>
    <w:rsid w:val="00392A4E"/>
    <w:pPr>
      <w:spacing w:before="40" w:line="198" w:lineRule="exact"/>
      <w:ind w:left="2835" w:hanging="709"/>
    </w:pPr>
    <w:rPr>
      <w:sz w:val="18"/>
    </w:rPr>
  </w:style>
  <w:style w:type="paragraph" w:customStyle="1" w:styleId="ENoteTableHeading">
    <w:name w:val="ENoteTableHeading"/>
    <w:aliases w:val="enth"/>
    <w:basedOn w:val="OPCParaBase"/>
    <w:rsid w:val="00392A4E"/>
    <w:pPr>
      <w:keepNext/>
      <w:spacing w:before="60" w:line="240" w:lineRule="atLeast"/>
    </w:pPr>
    <w:rPr>
      <w:rFonts w:ascii="Arial" w:hAnsi="Arial"/>
      <w:b/>
      <w:sz w:val="16"/>
    </w:rPr>
  </w:style>
  <w:style w:type="paragraph" w:customStyle="1" w:styleId="ENoteTTi">
    <w:name w:val="ENoteTTi"/>
    <w:aliases w:val="entti"/>
    <w:basedOn w:val="OPCParaBase"/>
    <w:rsid w:val="00392A4E"/>
    <w:pPr>
      <w:keepNext/>
      <w:spacing w:before="60" w:line="240" w:lineRule="atLeast"/>
      <w:ind w:left="170"/>
    </w:pPr>
    <w:rPr>
      <w:sz w:val="16"/>
    </w:rPr>
  </w:style>
  <w:style w:type="paragraph" w:customStyle="1" w:styleId="ENotesHeading1">
    <w:name w:val="ENotesHeading 1"/>
    <w:aliases w:val="Enh1"/>
    <w:basedOn w:val="OPCParaBase"/>
    <w:next w:val="Normal"/>
    <w:rsid w:val="00392A4E"/>
    <w:pPr>
      <w:spacing w:before="120"/>
      <w:outlineLvl w:val="1"/>
    </w:pPr>
    <w:rPr>
      <w:b/>
      <w:sz w:val="28"/>
      <w:szCs w:val="28"/>
    </w:rPr>
  </w:style>
  <w:style w:type="paragraph" w:customStyle="1" w:styleId="ENotesHeading2">
    <w:name w:val="ENotesHeading 2"/>
    <w:aliases w:val="Enh2"/>
    <w:basedOn w:val="OPCParaBase"/>
    <w:next w:val="Normal"/>
    <w:rsid w:val="00392A4E"/>
    <w:pPr>
      <w:spacing w:before="120" w:after="120"/>
      <w:outlineLvl w:val="2"/>
    </w:pPr>
    <w:rPr>
      <w:b/>
      <w:sz w:val="24"/>
      <w:szCs w:val="28"/>
    </w:rPr>
  </w:style>
  <w:style w:type="paragraph" w:customStyle="1" w:styleId="ENoteTTIndentHeading">
    <w:name w:val="ENoteTTIndentHeading"/>
    <w:aliases w:val="enTTHi"/>
    <w:basedOn w:val="OPCParaBase"/>
    <w:rsid w:val="00392A4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92A4E"/>
    <w:pPr>
      <w:spacing w:before="60" w:line="240" w:lineRule="atLeast"/>
    </w:pPr>
    <w:rPr>
      <w:sz w:val="16"/>
    </w:rPr>
  </w:style>
  <w:style w:type="paragraph" w:customStyle="1" w:styleId="MadeunderText">
    <w:name w:val="MadeunderText"/>
    <w:basedOn w:val="OPCParaBase"/>
    <w:next w:val="Normal"/>
    <w:rsid w:val="00392A4E"/>
    <w:pPr>
      <w:spacing w:before="240"/>
    </w:pPr>
    <w:rPr>
      <w:sz w:val="24"/>
      <w:szCs w:val="24"/>
    </w:rPr>
  </w:style>
  <w:style w:type="paragraph" w:customStyle="1" w:styleId="ENotesHeading3">
    <w:name w:val="ENotesHeading 3"/>
    <w:aliases w:val="Enh3"/>
    <w:basedOn w:val="OPCParaBase"/>
    <w:next w:val="Normal"/>
    <w:rsid w:val="00392A4E"/>
    <w:pPr>
      <w:keepNext/>
      <w:spacing w:before="120" w:line="240" w:lineRule="auto"/>
      <w:outlineLvl w:val="4"/>
    </w:pPr>
    <w:rPr>
      <w:b/>
      <w:szCs w:val="24"/>
    </w:rPr>
  </w:style>
  <w:style w:type="paragraph" w:customStyle="1" w:styleId="SubPartCASA">
    <w:name w:val="SubPart(CASA)"/>
    <w:aliases w:val="csp"/>
    <w:basedOn w:val="OPCParaBase"/>
    <w:next w:val="ActHead3"/>
    <w:rsid w:val="00392A4E"/>
    <w:pPr>
      <w:keepNext/>
      <w:keepLines/>
      <w:spacing w:before="280"/>
      <w:outlineLvl w:val="1"/>
    </w:pPr>
    <w:rPr>
      <w:b/>
      <w:kern w:val="28"/>
      <w:sz w:val="32"/>
    </w:rPr>
  </w:style>
  <w:style w:type="character" w:customStyle="1" w:styleId="CharSubPartTextCASA">
    <w:name w:val="CharSubPartText(CASA)"/>
    <w:basedOn w:val="OPCCharBase"/>
    <w:uiPriority w:val="1"/>
    <w:rsid w:val="00392A4E"/>
  </w:style>
  <w:style w:type="character" w:customStyle="1" w:styleId="CharSubPartNoCASA">
    <w:name w:val="CharSubPartNo(CASA)"/>
    <w:basedOn w:val="OPCCharBase"/>
    <w:uiPriority w:val="1"/>
    <w:rsid w:val="00392A4E"/>
  </w:style>
  <w:style w:type="paragraph" w:customStyle="1" w:styleId="ENoteTTIndentHeadingSub">
    <w:name w:val="ENoteTTIndentHeadingSub"/>
    <w:aliases w:val="enTTHis"/>
    <w:basedOn w:val="OPCParaBase"/>
    <w:rsid w:val="00392A4E"/>
    <w:pPr>
      <w:keepNext/>
      <w:spacing w:before="60" w:line="240" w:lineRule="atLeast"/>
      <w:ind w:left="340"/>
    </w:pPr>
    <w:rPr>
      <w:b/>
      <w:sz w:val="16"/>
    </w:rPr>
  </w:style>
  <w:style w:type="paragraph" w:customStyle="1" w:styleId="ENoteTTiSub">
    <w:name w:val="ENoteTTiSub"/>
    <w:aliases w:val="enttis"/>
    <w:basedOn w:val="OPCParaBase"/>
    <w:rsid w:val="00392A4E"/>
    <w:pPr>
      <w:keepNext/>
      <w:spacing w:before="60" w:line="240" w:lineRule="atLeast"/>
      <w:ind w:left="340"/>
    </w:pPr>
    <w:rPr>
      <w:sz w:val="16"/>
    </w:rPr>
  </w:style>
  <w:style w:type="paragraph" w:customStyle="1" w:styleId="SubDivisionMigration">
    <w:name w:val="SubDivisionMigration"/>
    <w:aliases w:val="sdm"/>
    <w:basedOn w:val="OPCParaBase"/>
    <w:rsid w:val="00392A4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92A4E"/>
    <w:pPr>
      <w:keepNext/>
      <w:keepLines/>
      <w:spacing w:before="240" w:line="240" w:lineRule="auto"/>
      <w:ind w:left="1134" w:hanging="1134"/>
    </w:pPr>
    <w:rPr>
      <w:b/>
      <w:sz w:val="28"/>
    </w:rPr>
  </w:style>
  <w:style w:type="table" w:styleId="TableGrid">
    <w:name w:val="Table Grid"/>
    <w:basedOn w:val="TableNormal"/>
    <w:uiPriority w:val="59"/>
    <w:rsid w:val="00392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392A4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92A4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92A4E"/>
    <w:rPr>
      <w:sz w:val="22"/>
    </w:rPr>
  </w:style>
  <w:style w:type="paragraph" w:customStyle="1" w:styleId="SOTextNote">
    <w:name w:val="SO TextNote"/>
    <w:aliases w:val="sont"/>
    <w:basedOn w:val="SOText"/>
    <w:qFormat/>
    <w:rsid w:val="00392A4E"/>
    <w:pPr>
      <w:spacing w:before="122" w:line="198" w:lineRule="exact"/>
      <w:ind w:left="1843" w:hanging="709"/>
    </w:pPr>
    <w:rPr>
      <w:sz w:val="18"/>
    </w:rPr>
  </w:style>
  <w:style w:type="paragraph" w:customStyle="1" w:styleId="SOPara">
    <w:name w:val="SO Para"/>
    <w:aliases w:val="soa"/>
    <w:basedOn w:val="SOText"/>
    <w:link w:val="SOParaChar"/>
    <w:qFormat/>
    <w:rsid w:val="00392A4E"/>
    <w:pPr>
      <w:tabs>
        <w:tab w:val="right" w:pos="1786"/>
      </w:tabs>
      <w:spacing w:before="40"/>
      <w:ind w:left="2070" w:hanging="936"/>
    </w:pPr>
  </w:style>
  <w:style w:type="character" w:customStyle="1" w:styleId="SOParaChar">
    <w:name w:val="SO Para Char"/>
    <w:aliases w:val="soa Char"/>
    <w:basedOn w:val="DefaultParagraphFont"/>
    <w:link w:val="SOPara"/>
    <w:rsid w:val="00392A4E"/>
    <w:rPr>
      <w:sz w:val="22"/>
    </w:rPr>
  </w:style>
  <w:style w:type="paragraph" w:customStyle="1" w:styleId="FileName">
    <w:name w:val="FileName"/>
    <w:basedOn w:val="Normal"/>
    <w:rsid w:val="00392A4E"/>
  </w:style>
  <w:style w:type="paragraph" w:customStyle="1" w:styleId="SOHeadBold">
    <w:name w:val="SO HeadBold"/>
    <w:aliases w:val="sohb"/>
    <w:basedOn w:val="SOText"/>
    <w:next w:val="SOText"/>
    <w:link w:val="SOHeadBoldChar"/>
    <w:qFormat/>
    <w:rsid w:val="00392A4E"/>
    <w:rPr>
      <w:b/>
    </w:rPr>
  </w:style>
  <w:style w:type="character" w:customStyle="1" w:styleId="SOHeadBoldChar">
    <w:name w:val="SO HeadBold Char"/>
    <w:aliases w:val="sohb Char"/>
    <w:basedOn w:val="DefaultParagraphFont"/>
    <w:link w:val="SOHeadBold"/>
    <w:rsid w:val="00392A4E"/>
    <w:rPr>
      <w:b/>
      <w:sz w:val="22"/>
    </w:rPr>
  </w:style>
  <w:style w:type="paragraph" w:customStyle="1" w:styleId="SOHeadItalic">
    <w:name w:val="SO HeadItalic"/>
    <w:aliases w:val="sohi"/>
    <w:basedOn w:val="SOText"/>
    <w:next w:val="SOText"/>
    <w:link w:val="SOHeadItalicChar"/>
    <w:qFormat/>
    <w:rsid w:val="00392A4E"/>
    <w:rPr>
      <w:i/>
    </w:rPr>
  </w:style>
  <w:style w:type="character" w:customStyle="1" w:styleId="SOHeadItalicChar">
    <w:name w:val="SO HeadItalic Char"/>
    <w:aliases w:val="sohi Char"/>
    <w:basedOn w:val="DefaultParagraphFont"/>
    <w:link w:val="SOHeadItalic"/>
    <w:rsid w:val="00392A4E"/>
    <w:rPr>
      <w:i/>
      <w:sz w:val="22"/>
    </w:rPr>
  </w:style>
  <w:style w:type="paragraph" w:customStyle="1" w:styleId="SOBullet">
    <w:name w:val="SO Bullet"/>
    <w:aliases w:val="sotb"/>
    <w:basedOn w:val="SOText"/>
    <w:link w:val="SOBulletChar"/>
    <w:qFormat/>
    <w:rsid w:val="00392A4E"/>
    <w:pPr>
      <w:ind w:left="1559" w:hanging="425"/>
    </w:pPr>
  </w:style>
  <w:style w:type="character" w:customStyle="1" w:styleId="SOBulletChar">
    <w:name w:val="SO Bullet Char"/>
    <w:aliases w:val="sotb Char"/>
    <w:basedOn w:val="DefaultParagraphFont"/>
    <w:link w:val="SOBullet"/>
    <w:rsid w:val="00392A4E"/>
    <w:rPr>
      <w:sz w:val="22"/>
    </w:rPr>
  </w:style>
  <w:style w:type="paragraph" w:customStyle="1" w:styleId="SOBulletNote">
    <w:name w:val="SO BulletNote"/>
    <w:aliases w:val="sonb"/>
    <w:basedOn w:val="SOTextNote"/>
    <w:link w:val="SOBulletNoteChar"/>
    <w:qFormat/>
    <w:rsid w:val="00392A4E"/>
    <w:pPr>
      <w:tabs>
        <w:tab w:val="left" w:pos="1560"/>
      </w:tabs>
      <w:ind w:left="2268" w:hanging="1134"/>
    </w:pPr>
  </w:style>
  <w:style w:type="character" w:customStyle="1" w:styleId="SOBulletNoteChar">
    <w:name w:val="SO BulletNote Char"/>
    <w:aliases w:val="sonb Char"/>
    <w:basedOn w:val="DefaultParagraphFont"/>
    <w:link w:val="SOBulletNote"/>
    <w:rsid w:val="00392A4E"/>
    <w:rPr>
      <w:sz w:val="18"/>
    </w:rPr>
  </w:style>
  <w:style w:type="paragraph" w:customStyle="1" w:styleId="SOText2">
    <w:name w:val="SO Text2"/>
    <w:aliases w:val="sot2"/>
    <w:basedOn w:val="Normal"/>
    <w:next w:val="SOText"/>
    <w:link w:val="SOText2Char"/>
    <w:rsid w:val="00392A4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92A4E"/>
    <w:rPr>
      <w:sz w:val="22"/>
    </w:rPr>
  </w:style>
  <w:style w:type="character" w:customStyle="1" w:styleId="subsectionChar">
    <w:name w:val="subsection Char"/>
    <w:aliases w:val="ss Char"/>
    <w:link w:val="subsection"/>
    <w:rsid w:val="001D7A0B"/>
    <w:rPr>
      <w:rFonts w:eastAsia="Times New Roman" w:cs="Times New Roman"/>
      <w:sz w:val="22"/>
      <w:lang w:eastAsia="en-AU"/>
    </w:rPr>
  </w:style>
  <w:style w:type="character" w:customStyle="1" w:styleId="paragraphChar">
    <w:name w:val="paragraph Char"/>
    <w:aliases w:val="a Char"/>
    <w:link w:val="paragraph"/>
    <w:rsid w:val="00427858"/>
    <w:rPr>
      <w:rFonts w:eastAsia="Times New Roman" w:cs="Times New Roman"/>
      <w:sz w:val="22"/>
      <w:lang w:eastAsia="en-AU"/>
    </w:rPr>
  </w:style>
  <w:style w:type="character" w:customStyle="1" w:styleId="Heading1Char">
    <w:name w:val="Heading 1 Char"/>
    <w:basedOn w:val="DefaultParagraphFont"/>
    <w:link w:val="Heading1"/>
    <w:uiPriority w:val="9"/>
    <w:rsid w:val="007030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030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0300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0300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70300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0300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0300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0300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0300B"/>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6D21D9"/>
    <w:rPr>
      <w:rFonts w:eastAsia="Times New Roman" w:cs="Times New Roman"/>
      <w:b/>
      <w:kern w:val="28"/>
      <w:sz w:val="24"/>
      <w:lang w:eastAsia="en-AU"/>
    </w:rPr>
  </w:style>
  <w:style w:type="character" w:styleId="CommentReference">
    <w:name w:val="annotation reference"/>
    <w:basedOn w:val="DefaultParagraphFont"/>
    <w:uiPriority w:val="99"/>
    <w:semiHidden/>
    <w:unhideWhenUsed/>
    <w:rsid w:val="00A66E99"/>
    <w:rPr>
      <w:sz w:val="16"/>
      <w:szCs w:val="16"/>
    </w:rPr>
  </w:style>
  <w:style w:type="paragraph" w:styleId="CommentText">
    <w:name w:val="annotation text"/>
    <w:basedOn w:val="Normal"/>
    <w:link w:val="CommentTextChar"/>
    <w:uiPriority w:val="99"/>
    <w:semiHidden/>
    <w:unhideWhenUsed/>
    <w:rsid w:val="00A66E99"/>
    <w:pPr>
      <w:spacing w:after="200" w:line="240" w:lineRule="auto"/>
    </w:pPr>
    <w:rPr>
      <w:rFonts w:asciiTheme="minorHAnsi" w:hAnsiTheme="minorHAnsi"/>
      <w:sz w:val="20"/>
      <w:lang w:eastAsia="en-AU"/>
    </w:rPr>
  </w:style>
  <w:style w:type="character" w:customStyle="1" w:styleId="CommentTextChar">
    <w:name w:val="Comment Text Char"/>
    <w:basedOn w:val="DefaultParagraphFont"/>
    <w:link w:val="CommentText"/>
    <w:uiPriority w:val="99"/>
    <w:semiHidden/>
    <w:rsid w:val="00A66E99"/>
    <w:rPr>
      <w:rFonts w:asciiTheme="minorHAnsi" w:hAnsiTheme="minorHAnsi"/>
      <w:lang w:eastAsia="en-AU"/>
    </w:rPr>
  </w:style>
  <w:style w:type="paragraph" w:styleId="BalloonText">
    <w:name w:val="Balloon Text"/>
    <w:basedOn w:val="Normal"/>
    <w:link w:val="BalloonTextChar"/>
    <w:uiPriority w:val="99"/>
    <w:semiHidden/>
    <w:unhideWhenUsed/>
    <w:rsid w:val="00D54E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EE7"/>
    <w:rPr>
      <w:rFonts w:ascii="Tahoma" w:hAnsi="Tahoma" w:cs="Tahoma"/>
      <w:sz w:val="16"/>
      <w:szCs w:val="16"/>
    </w:rPr>
  </w:style>
  <w:style w:type="paragraph" w:customStyle="1" w:styleId="ShortTP1">
    <w:name w:val="ShortTP1"/>
    <w:basedOn w:val="ShortT"/>
    <w:link w:val="ShortTP1Char"/>
    <w:rsid w:val="007914CC"/>
    <w:pPr>
      <w:spacing w:before="800"/>
    </w:pPr>
  </w:style>
  <w:style w:type="character" w:customStyle="1" w:styleId="OPCParaBaseChar">
    <w:name w:val="OPCParaBase Char"/>
    <w:basedOn w:val="DefaultParagraphFont"/>
    <w:link w:val="OPCParaBase"/>
    <w:rsid w:val="007914CC"/>
    <w:rPr>
      <w:rFonts w:eastAsia="Times New Roman" w:cs="Times New Roman"/>
      <w:sz w:val="22"/>
      <w:lang w:eastAsia="en-AU"/>
    </w:rPr>
  </w:style>
  <w:style w:type="character" w:customStyle="1" w:styleId="ShortTChar">
    <w:name w:val="ShortT Char"/>
    <w:basedOn w:val="OPCParaBaseChar"/>
    <w:link w:val="ShortT"/>
    <w:rsid w:val="007914CC"/>
    <w:rPr>
      <w:rFonts w:eastAsia="Times New Roman" w:cs="Times New Roman"/>
      <w:b/>
      <w:sz w:val="40"/>
      <w:lang w:eastAsia="en-AU"/>
    </w:rPr>
  </w:style>
  <w:style w:type="character" w:customStyle="1" w:styleId="ShortTP1Char">
    <w:name w:val="ShortTP1 Char"/>
    <w:basedOn w:val="ShortTChar"/>
    <w:link w:val="ShortTP1"/>
    <w:rsid w:val="007914CC"/>
    <w:rPr>
      <w:rFonts w:eastAsia="Times New Roman" w:cs="Times New Roman"/>
      <w:b/>
      <w:sz w:val="40"/>
      <w:lang w:eastAsia="en-AU"/>
    </w:rPr>
  </w:style>
  <w:style w:type="paragraph" w:customStyle="1" w:styleId="ActNoP1">
    <w:name w:val="ActNoP1"/>
    <w:basedOn w:val="Actno"/>
    <w:link w:val="ActNoP1Char"/>
    <w:rsid w:val="007914CC"/>
    <w:pPr>
      <w:spacing w:before="800"/>
    </w:pPr>
    <w:rPr>
      <w:sz w:val="28"/>
    </w:rPr>
  </w:style>
  <w:style w:type="character" w:customStyle="1" w:styleId="ActnoChar">
    <w:name w:val="Actno Char"/>
    <w:basedOn w:val="ShortTChar"/>
    <w:link w:val="Actno"/>
    <w:rsid w:val="007914CC"/>
    <w:rPr>
      <w:rFonts w:eastAsia="Times New Roman" w:cs="Times New Roman"/>
      <w:b/>
      <w:sz w:val="40"/>
      <w:lang w:eastAsia="en-AU"/>
    </w:rPr>
  </w:style>
  <w:style w:type="character" w:customStyle="1" w:styleId="ActNoP1Char">
    <w:name w:val="ActNoP1 Char"/>
    <w:basedOn w:val="ActnoChar"/>
    <w:link w:val="ActNoP1"/>
    <w:rsid w:val="007914CC"/>
    <w:rPr>
      <w:rFonts w:eastAsia="Times New Roman" w:cs="Times New Roman"/>
      <w:b/>
      <w:sz w:val="28"/>
      <w:lang w:eastAsia="en-AU"/>
    </w:rPr>
  </w:style>
  <w:style w:type="paragraph" w:customStyle="1" w:styleId="ShortTCP">
    <w:name w:val="ShortTCP"/>
    <w:basedOn w:val="ShortT"/>
    <w:link w:val="ShortTCPChar"/>
    <w:rsid w:val="007914CC"/>
  </w:style>
  <w:style w:type="character" w:customStyle="1" w:styleId="ShortTCPChar">
    <w:name w:val="ShortTCP Char"/>
    <w:basedOn w:val="ShortTChar"/>
    <w:link w:val="ShortTCP"/>
    <w:rsid w:val="007914CC"/>
    <w:rPr>
      <w:rFonts w:eastAsia="Times New Roman" w:cs="Times New Roman"/>
      <w:b/>
      <w:sz w:val="40"/>
      <w:lang w:eastAsia="en-AU"/>
    </w:rPr>
  </w:style>
  <w:style w:type="paragraph" w:customStyle="1" w:styleId="ActNoCP">
    <w:name w:val="ActNoCP"/>
    <w:basedOn w:val="Actno"/>
    <w:link w:val="ActNoCPChar"/>
    <w:rsid w:val="007914CC"/>
    <w:pPr>
      <w:spacing w:before="400"/>
    </w:pPr>
  </w:style>
  <w:style w:type="character" w:customStyle="1" w:styleId="ActNoCPChar">
    <w:name w:val="ActNoCP Char"/>
    <w:basedOn w:val="ActnoChar"/>
    <w:link w:val="ActNoCP"/>
    <w:rsid w:val="007914CC"/>
    <w:rPr>
      <w:rFonts w:eastAsia="Times New Roman" w:cs="Times New Roman"/>
      <w:b/>
      <w:sz w:val="40"/>
      <w:lang w:eastAsia="en-AU"/>
    </w:rPr>
  </w:style>
  <w:style w:type="paragraph" w:customStyle="1" w:styleId="AssentBk">
    <w:name w:val="AssentBk"/>
    <w:basedOn w:val="Normal"/>
    <w:rsid w:val="007914CC"/>
    <w:pPr>
      <w:spacing w:line="240" w:lineRule="auto"/>
    </w:pPr>
    <w:rPr>
      <w:rFonts w:eastAsia="Times New Roman" w:cs="Times New Roman"/>
      <w:sz w:val="20"/>
      <w:lang w:eastAsia="en-AU"/>
    </w:rPr>
  </w:style>
  <w:style w:type="paragraph" w:customStyle="1" w:styleId="AssentDt">
    <w:name w:val="AssentDt"/>
    <w:basedOn w:val="Normal"/>
    <w:rsid w:val="00D25FA5"/>
    <w:pPr>
      <w:spacing w:line="240" w:lineRule="auto"/>
    </w:pPr>
    <w:rPr>
      <w:rFonts w:eastAsia="Times New Roman" w:cs="Times New Roman"/>
      <w:sz w:val="20"/>
      <w:lang w:eastAsia="en-AU"/>
    </w:rPr>
  </w:style>
  <w:style w:type="paragraph" w:customStyle="1" w:styleId="2ndRd">
    <w:name w:val="2ndRd"/>
    <w:basedOn w:val="Normal"/>
    <w:rsid w:val="00D25FA5"/>
    <w:pPr>
      <w:spacing w:line="240" w:lineRule="auto"/>
    </w:pPr>
    <w:rPr>
      <w:rFonts w:eastAsia="Times New Roman" w:cs="Times New Roman"/>
      <w:sz w:val="20"/>
      <w:lang w:eastAsia="en-AU"/>
    </w:rPr>
  </w:style>
  <w:style w:type="paragraph" w:customStyle="1" w:styleId="ScalePlusRef">
    <w:name w:val="ScalePlusRef"/>
    <w:basedOn w:val="Normal"/>
    <w:rsid w:val="00D25FA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8.xml"/><Relationship Id="rId42"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header" Target="header7.xml"/><Relationship Id="rId38" Type="http://schemas.openxmlformats.org/officeDocument/2006/relationships/footer" Target="footer8.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wmf"/><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wmf"/><Relationship Id="rId44"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footer" Target="footer6.xml"/><Relationship Id="rId43"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43B85-7D5C-4F81-AD62-E1410C3A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8709</Words>
  <Characters>43458</Characters>
  <Application>Microsoft Office Word</Application>
  <DocSecurity>0</DocSecurity>
  <PresentationFormat/>
  <Lines>1086</Lines>
  <Paragraphs>1043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51124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2017-06-28T01:16:00Z</dcterms:created>
  <dcterms:modified xsi:type="dcterms:W3CDTF">2017-06-28T01:34:00Z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Education Amendment Act 2017</vt:lpwstr>
  </property>
  <property fmtid="{D5CDD505-2E9C-101B-9397-08002B2CF9AE}" pid="3" name="Actno">
    <vt:lpwstr>No. 78, 2017</vt:lpwstr>
  </property>
</Properties>
</file>