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8" w:rsidRDefault="00B35E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6E6F08" w:rsidRDefault="006E6F08"/>
    <w:p w:rsidR="006E6F08" w:rsidRDefault="006E6F08" w:rsidP="006E6F08">
      <w:pPr>
        <w:spacing w:line="240" w:lineRule="auto"/>
      </w:pPr>
    </w:p>
    <w:p w:rsidR="006E6F08" w:rsidRDefault="006E6F08" w:rsidP="006E6F08"/>
    <w:p w:rsidR="006E6F08" w:rsidRDefault="006E6F08" w:rsidP="006E6F08"/>
    <w:p w:rsidR="006E6F08" w:rsidRDefault="006E6F08" w:rsidP="006E6F08"/>
    <w:p w:rsidR="006E6F08" w:rsidRDefault="006E6F08" w:rsidP="006E6F08"/>
    <w:p w:rsidR="0048364F" w:rsidRPr="0065514F" w:rsidRDefault="00932C24" w:rsidP="0048364F">
      <w:pPr>
        <w:pStyle w:val="ShortT"/>
      </w:pPr>
      <w:r w:rsidRPr="0065514F">
        <w:t xml:space="preserve">Education Services for Overseas Students (TPS Levies) Amendment </w:t>
      </w:r>
      <w:r w:rsidR="006E6F08">
        <w:t>Act</w:t>
      </w:r>
      <w:r w:rsidR="00C164CA" w:rsidRPr="0065514F">
        <w:t xml:space="preserve"> 201</w:t>
      </w:r>
      <w:r w:rsidR="00A048FF" w:rsidRPr="0065514F">
        <w:t>7</w:t>
      </w:r>
    </w:p>
    <w:p w:rsidR="0048364F" w:rsidRPr="0065514F" w:rsidRDefault="0048364F" w:rsidP="0048364F"/>
    <w:p w:rsidR="0048364F" w:rsidRPr="0065514F" w:rsidRDefault="00C164CA" w:rsidP="006E6F08">
      <w:pPr>
        <w:pStyle w:val="Actno"/>
        <w:spacing w:before="400"/>
      </w:pPr>
      <w:r w:rsidRPr="0065514F">
        <w:t>No.</w:t>
      </w:r>
      <w:r w:rsidR="006747FC">
        <w:t xml:space="preserve"> 98</w:t>
      </w:r>
      <w:r w:rsidRPr="0065514F">
        <w:t>, 201</w:t>
      </w:r>
      <w:r w:rsidR="00A048FF" w:rsidRPr="0065514F">
        <w:t>7</w:t>
      </w:r>
    </w:p>
    <w:p w:rsidR="0048364F" w:rsidRPr="0065514F" w:rsidRDefault="0048364F" w:rsidP="0048364F"/>
    <w:p w:rsidR="006E6F08" w:rsidRDefault="006E6F08" w:rsidP="006E6F08"/>
    <w:p w:rsidR="006E6F08" w:rsidRDefault="006E6F08" w:rsidP="006E6F08"/>
    <w:p w:rsidR="006E6F08" w:rsidRDefault="006E6F08" w:rsidP="006E6F08"/>
    <w:p w:rsidR="006E6F08" w:rsidRDefault="006E6F08" w:rsidP="006E6F08"/>
    <w:p w:rsidR="0048364F" w:rsidRPr="0065514F" w:rsidRDefault="006E6F08" w:rsidP="0048364F">
      <w:pPr>
        <w:pStyle w:val="LongT"/>
      </w:pPr>
      <w:r>
        <w:t>An Act</w:t>
      </w:r>
      <w:r w:rsidR="0048364F" w:rsidRPr="0065514F">
        <w:t xml:space="preserve"> to </w:t>
      </w:r>
      <w:r w:rsidR="00B01DF0" w:rsidRPr="0065514F">
        <w:t xml:space="preserve">amend the </w:t>
      </w:r>
      <w:r w:rsidR="00B01DF0" w:rsidRPr="0065514F">
        <w:rPr>
          <w:i/>
        </w:rPr>
        <w:t>Education Services for Overseas Students (TPS Levies) Act 2012</w:t>
      </w:r>
      <w:r w:rsidR="0048364F" w:rsidRPr="0065514F">
        <w:t>, and for related purposes</w:t>
      </w:r>
    </w:p>
    <w:p w:rsidR="0048364F" w:rsidRPr="0065514F" w:rsidRDefault="0048364F" w:rsidP="0048364F">
      <w:pPr>
        <w:pStyle w:val="Header"/>
        <w:tabs>
          <w:tab w:val="clear" w:pos="4150"/>
          <w:tab w:val="clear" w:pos="8307"/>
        </w:tabs>
      </w:pPr>
      <w:r w:rsidRPr="0065514F">
        <w:rPr>
          <w:rStyle w:val="CharAmSchNo"/>
        </w:rPr>
        <w:t xml:space="preserve"> </w:t>
      </w:r>
      <w:r w:rsidRPr="0065514F">
        <w:rPr>
          <w:rStyle w:val="CharAmSchText"/>
        </w:rPr>
        <w:t xml:space="preserve"> </w:t>
      </w:r>
    </w:p>
    <w:p w:rsidR="0048364F" w:rsidRPr="0065514F" w:rsidRDefault="0048364F" w:rsidP="0048364F">
      <w:pPr>
        <w:pStyle w:val="Header"/>
        <w:tabs>
          <w:tab w:val="clear" w:pos="4150"/>
          <w:tab w:val="clear" w:pos="8307"/>
        </w:tabs>
      </w:pPr>
      <w:r w:rsidRPr="0065514F">
        <w:rPr>
          <w:rStyle w:val="CharAmPartNo"/>
        </w:rPr>
        <w:t xml:space="preserve"> </w:t>
      </w:r>
      <w:r w:rsidRPr="0065514F">
        <w:rPr>
          <w:rStyle w:val="CharAmPartText"/>
        </w:rPr>
        <w:t xml:space="preserve"> </w:t>
      </w:r>
    </w:p>
    <w:p w:rsidR="0048364F" w:rsidRPr="0065514F" w:rsidRDefault="0048364F" w:rsidP="0048364F">
      <w:pPr>
        <w:sectPr w:rsidR="0048364F" w:rsidRPr="0065514F" w:rsidSect="006E6F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5514F" w:rsidRDefault="0048364F" w:rsidP="00F31021">
      <w:pPr>
        <w:rPr>
          <w:sz w:val="36"/>
        </w:rPr>
      </w:pPr>
      <w:r w:rsidRPr="0065514F">
        <w:rPr>
          <w:sz w:val="36"/>
        </w:rPr>
        <w:lastRenderedPageBreak/>
        <w:t>Contents</w:t>
      </w:r>
    </w:p>
    <w:bookmarkStart w:id="0" w:name="BKCheck15B_1"/>
    <w:bookmarkEnd w:id="0"/>
    <w:p w:rsidR="006747FC" w:rsidRDefault="006747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747FC">
        <w:rPr>
          <w:noProof/>
        </w:rPr>
        <w:tab/>
      </w:r>
      <w:r w:rsidRPr="006747FC">
        <w:rPr>
          <w:noProof/>
        </w:rPr>
        <w:fldChar w:fldCharType="begin"/>
      </w:r>
      <w:r w:rsidRPr="006747FC">
        <w:rPr>
          <w:noProof/>
        </w:rPr>
        <w:instrText xml:space="preserve"> PAGEREF _Toc493250100 \h </w:instrText>
      </w:r>
      <w:r w:rsidRPr="006747FC">
        <w:rPr>
          <w:noProof/>
        </w:rPr>
      </w:r>
      <w:r w:rsidRPr="006747FC">
        <w:rPr>
          <w:noProof/>
        </w:rPr>
        <w:fldChar w:fldCharType="separate"/>
      </w:r>
      <w:r w:rsidR="00B35E60">
        <w:rPr>
          <w:noProof/>
        </w:rPr>
        <w:t>2</w:t>
      </w:r>
      <w:r w:rsidRPr="006747FC">
        <w:rPr>
          <w:noProof/>
        </w:rPr>
        <w:fldChar w:fldCharType="end"/>
      </w:r>
    </w:p>
    <w:p w:rsidR="006747FC" w:rsidRDefault="006747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</w:t>
      </w:r>
      <w:bookmarkStart w:id="1" w:name="_GoBack"/>
      <w:bookmarkEnd w:id="1"/>
      <w:r>
        <w:rPr>
          <w:noProof/>
        </w:rPr>
        <w:t>encement</w:t>
      </w:r>
      <w:r w:rsidRPr="006747FC">
        <w:rPr>
          <w:noProof/>
        </w:rPr>
        <w:tab/>
      </w:r>
      <w:r w:rsidRPr="006747FC">
        <w:rPr>
          <w:noProof/>
        </w:rPr>
        <w:fldChar w:fldCharType="begin"/>
      </w:r>
      <w:r w:rsidRPr="006747FC">
        <w:rPr>
          <w:noProof/>
        </w:rPr>
        <w:instrText xml:space="preserve"> PAGEREF _Toc493250101 \h </w:instrText>
      </w:r>
      <w:r w:rsidRPr="006747FC">
        <w:rPr>
          <w:noProof/>
        </w:rPr>
      </w:r>
      <w:r w:rsidRPr="006747FC">
        <w:rPr>
          <w:noProof/>
        </w:rPr>
        <w:fldChar w:fldCharType="separate"/>
      </w:r>
      <w:r w:rsidR="00B35E60">
        <w:rPr>
          <w:noProof/>
        </w:rPr>
        <w:t>2</w:t>
      </w:r>
      <w:r w:rsidRPr="006747FC">
        <w:rPr>
          <w:noProof/>
        </w:rPr>
        <w:fldChar w:fldCharType="end"/>
      </w:r>
    </w:p>
    <w:p w:rsidR="006747FC" w:rsidRDefault="006747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747FC">
        <w:rPr>
          <w:noProof/>
        </w:rPr>
        <w:tab/>
      </w:r>
      <w:r w:rsidRPr="006747FC">
        <w:rPr>
          <w:noProof/>
        </w:rPr>
        <w:fldChar w:fldCharType="begin"/>
      </w:r>
      <w:r w:rsidRPr="006747FC">
        <w:rPr>
          <w:noProof/>
        </w:rPr>
        <w:instrText xml:space="preserve"> PAGEREF _Toc493250102 \h </w:instrText>
      </w:r>
      <w:r w:rsidRPr="006747FC">
        <w:rPr>
          <w:noProof/>
        </w:rPr>
      </w:r>
      <w:r w:rsidRPr="006747FC">
        <w:rPr>
          <w:noProof/>
        </w:rPr>
        <w:fldChar w:fldCharType="separate"/>
      </w:r>
      <w:r w:rsidR="00B35E60">
        <w:rPr>
          <w:noProof/>
        </w:rPr>
        <w:t>2</w:t>
      </w:r>
      <w:r w:rsidRPr="006747FC">
        <w:rPr>
          <w:noProof/>
        </w:rPr>
        <w:fldChar w:fldCharType="end"/>
      </w:r>
    </w:p>
    <w:p w:rsidR="006747FC" w:rsidRDefault="006747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747FC">
        <w:rPr>
          <w:b w:val="0"/>
          <w:noProof/>
          <w:sz w:val="18"/>
        </w:rPr>
        <w:tab/>
      </w:r>
      <w:r w:rsidRPr="006747FC">
        <w:rPr>
          <w:b w:val="0"/>
          <w:noProof/>
          <w:sz w:val="18"/>
        </w:rPr>
        <w:fldChar w:fldCharType="begin"/>
      </w:r>
      <w:r w:rsidRPr="006747FC">
        <w:rPr>
          <w:b w:val="0"/>
          <w:noProof/>
          <w:sz w:val="18"/>
        </w:rPr>
        <w:instrText xml:space="preserve"> PAGEREF _Toc493250103 \h </w:instrText>
      </w:r>
      <w:r w:rsidRPr="006747FC">
        <w:rPr>
          <w:b w:val="0"/>
          <w:noProof/>
          <w:sz w:val="18"/>
        </w:rPr>
      </w:r>
      <w:r w:rsidRPr="006747FC">
        <w:rPr>
          <w:b w:val="0"/>
          <w:noProof/>
          <w:sz w:val="18"/>
        </w:rPr>
        <w:fldChar w:fldCharType="separate"/>
      </w:r>
      <w:r w:rsidR="00B35E60">
        <w:rPr>
          <w:b w:val="0"/>
          <w:noProof/>
          <w:sz w:val="18"/>
        </w:rPr>
        <w:t>3</w:t>
      </w:r>
      <w:r w:rsidRPr="006747FC">
        <w:rPr>
          <w:b w:val="0"/>
          <w:noProof/>
          <w:sz w:val="18"/>
        </w:rPr>
        <w:fldChar w:fldCharType="end"/>
      </w:r>
    </w:p>
    <w:p w:rsidR="006747FC" w:rsidRDefault="006747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(TPS Levies) Act 2012</w:t>
      </w:r>
      <w:r w:rsidRPr="006747FC">
        <w:rPr>
          <w:i w:val="0"/>
          <w:noProof/>
          <w:sz w:val="18"/>
        </w:rPr>
        <w:tab/>
      </w:r>
      <w:r w:rsidRPr="006747FC">
        <w:rPr>
          <w:i w:val="0"/>
          <w:noProof/>
          <w:sz w:val="18"/>
        </w:rPr>
        <w:fldChar w:fldCharType="begin"/>
      </w:r>
      <w:r w:rsidRPr="006747FC">
        <w:rPr>
          <w:i w:val="0"/>
          <w:noProof/>
          <w:sz w:val="18"/>
        </w:rPr>
        <w:instrText xml:space="preserve"> PAGEREF _Toc493250104 \h </w:instrText>
      </w:r>
      <w:r w:rsidRPr="006747FC">
        <w:rPr>
          <w:i w:val="0"/>
          <w:noProof/>
          <w:sz w:val="18"/>
        </w:rPr>
      </w:r>
      <w:r w:rsidRPr="006747FC">
        <w:rPr>
          <w:i w:val="0"/>
          <w:noProof/>
          <w:sz w:val="18"/>
        </w:rPr>
        <w:fldChar w:fldCharType="separate"/>
      </w:r>
      <w:r w:rsidR="00B35E60">
        <w:rPr>
          <w:i w:val="0"/>
          <w:noProof/>
          <w:sz w:val="18"/>
        </w:rPr>
        <w:t>3</w:t>
      </w:r>
      <w:r w:rsidRPr="006747FC">
        <w:rPr>
          <w:i w:val="0"/>
          <w:noProof/>
          <w:sz w:val="18"/>
        </w:rPr>
        <w:fldChar w:fldCharType="end"/>
      </w:r>
    </w:p>
    <w:p w:rsidR="00055B5C" w:rsidRPr="0065514F" w:rsidRDefault="006747FC" w:rsidP="0048364F">
      <w:r>
        <w:fldChar w:fldCharType="end"/>
      </w:r>
    </w:p>
    <w:p w:rsidR="00FE7F93" w:rsidRPr="0065514F" w:rsidRDefault="00FE7F93" w:rsidP="0048364F">
      <w:pPr>
        <w:sectPr w:rsidR="00FE7F93" w:rsidRPr="0065514F" w:rsidSect="006E6F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E6F08" w:rsidRDefault="00B35E60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6E6F08" w:rsidRDefault="006E6F08"/>
    <w:p w:rsidR="006E6F08" w:rsidRDefault="006E6F08" w:rsidP="006E6F08">
      <w:pPr>
        <w:spacing w:line="240" w:lineRule="auto"/>
      </w:pPr>
    </w:p>
    <w:p w:rsidR="006E6F08" w:rsidRDefault="006747FC" w:rsidP="006E6F08">
      <w:pPr>
        <w:pStyle w:val="ShortTP1"/>
      </w:pPr>
      <w:fldSimple w:instr=" STYLEREF ShortT ">
        <w:r w:rsidR="00B35E60">
          <w:rPr>
            <w:noProof/>
          </w:rPr>
          <w:t>Education Services for Overseas Students (TPS Levies) Amendment Act 2017</w:t>
        </w:r>
      </w:fldSimple>
    </w:p>
    <w:p w:rsidR="006E6F08" w:rsidRDefault="006747FC" w:rsidP="006E6F08">
      <w:pPr>
        <w:pStyle w:val="ActNoP1"/>
      </w:pPr>
      <w:fldSimple w:instr=" STYLEREF Actno ">
        <w:r w:rsidR="00B35E60">
          <w:rPr>
            <w:noProof/>
          </w:rPr>
          <w:t>No. 98, 2017</w:t>
        </w:r>
      </w:fldSimple>
    </w:p>
    <w:p w:rsidR="006E6F08" w:rsidRPr="009A0728" w:rsidRDefault="006E6F0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E6F08" w:rsidRPr="009A0728" w:rsidRDefault="006E6F08" w:rsidP="009A0728">
      <w:pPr>
        <w:spacing w:line="40" w:lineRule="exact"/>
        <w:rPr>
          <w:rFonts w:eastAsia="Calibri"/>
          <w:b/>
          <w:sz w:val="28"/>
        </w:rPr>
      </w:pPr>
    </w:p>
    <w:p w:rsidR="006E6F08" w:rsidRPr="009A0728" w:rsidRDefault="006E6F0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65514F" w:rsidRDefault="006E6F08" w:rsidP="0065514F">
      <w:pPr>
        <w:pStyle w:val="Page1"/>
      </w:pPr>
      <w:r>
        <w:t>An Act</w:t>
      </w:r>
      <w:r w:rsidR="0065514F" w:rsidRPr="0065514F">
        <w:t xml:space="preserve"> to amend the </w:t>
      </w:r>
      <w:r w:rsidR="0065514F" w:rsidRPr="0065514F">
        <w:rPr>
          <w:i/>
        </w:rPr>
        <w:t>Education Services for Overseas Students (TPS Levies) Act 2012</w:t>
      </w:r>
      <w:r w:rsidR="0065514F" w:rsidRPr="0065514F">
        <w:t>, and for related purposes</w:t>
      </w:r>
    </w:p>
    <w:p w:rsidR="006747FC" w:rsidRDefault="006747F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2017</w:t>
      </w:r>
      <w:r>
        <w:rPr>
          <w:sz w:val="24"/>
        </w:rPr>
        <w:t>]</w:t>
      </w:r>
    </w:p>
    <w:p w:rsidR="0048364F" w:rsidRPr="0065514F" w:rsidRDefault="0048364F" w:rsidP="0065514F">
      <w:pPr>
        <w:spacing w:before="240" w:line="240" w:lineRule="auto"/>
        <w:rPr>
          <w:sz w:val="32"/>
        </w:rPr>
      </w:pPr>
      <w:r w:rsidRPr="0065514F">
        <w:rPr>
          <w:sz w:val="32"/>
        </w:rPr>
        <w:t>The Parliament of Australia enacts:</w:t>
      </w:r>
    </w:p>
    <w:p w:rsidR="0048364F" w:rsidRPr="0065514F" w:rsidRDefault="0048364F" w:rsidP="0065514F">
      <w:pPr>
        <w:pStyle w:val="ActHead5"/>
      </w:pPr>
      <w:bookmarkStart w:id="2" w:name="_Toc493250100"/>
      <w:r w:rsidRPr="0065514F">
        <w:rPr>
          <w:rStyle w:val="CharSectno"/>
        </w:rPr>
        <w:lastRenderedPageBreak/>
        <w:t>1</w:t>
      </w:r>
      <w:r w:rsidRPr="0065514F">
        <w:t xml:space="preserve">  Short title</w:t>
      </w:r>
      <w:bookmarkEnd w:id="2"/>
    </w:p>
    <w:p w:rsidR="0048364F" w:rsidRPr="0065514F" w:rsidRDefault="0048364F" w:rsidP="0065514F">
      <w:pPr>
        <w:pStyle w:val="subsection"/>
      </w:pPr>
      <w:r w:rsidRPr="0065514F">
        <w:tab/>
      </w:r>
      <w:r w:rsidRPr="0065514F">
        <w:tab/>
        <w:t xml:space="preserve">This Act </w:t>
      </w:r>
      <w:r w:rsidR="00275197" w:rsidRPr="0065514F">
        <w:t xml:space="preserve">is </w:t>
      </w:r>
      <w:r w:rsidRPr="0065514F">
        <w:t xml:space="preserve">the </w:t>
      </w:r>
      <w:r w:rsidR="00F31021" w:rsidRPr="0065514F">
        <w:rPr>
          <w:i/>
        </w:rPr>
        <w:t>Education Services for Overseas Students (TPS Levies) Amendment Act 2017</w:t>
      </w:r>
      <w:r w:rsidRPr="0065514F">
        <w:t>.</w:t>
      </w:r>
    </w:p>
    <w:p w:rsidR="0048364F" w:rsidRPr="0065514F" w:rsidRDefault="0048364F" w:rsidP="0065514F">
      <w:pPr>
        <w:pStyle w:val="ActHead5"/>
      </w:pPr>
      <w:bookmarkStart w:id="3" w:name="_Toc493250101"/>
      <w:r w:rsidRPr="0065514F">
        <w:rPr>
          <w:rStyle w:val="CharSectno"/>
        </w:rPr>
        <w:t>2</w:t>
      </w:r>
      <w:r w:rsidRPr="0065514F">
        <w:t xml:space="preserve">  Commencement</w:t>
      </w:r>
      <w:bookmarkEnd w:id="3"/>
    </w:p>
    <w:p w:rsidR="00F31021" w:rsidRPr="0065514F" w:rsidRDefault="00F31021" w:rsidP="0065514F">
      <w:pPr>
        <w:pStyle w:val="subsection"/>
      </w:pPr>
      <w:r w:rsidRPr="0065514F">
        <w:tab/>
        <w:t>(1)</w:t>
      </w:r>
      <w:r w:rsidRPr="0065514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31021" w:rsidRPr="0065514F" w:rsidRDefault="00F31021" w:rsidP="0065514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31021" w:rsidRPr="0065514F" w:rsidTr="002629C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Heading"/>
            </w:pPr>
            <w:r w:rsidRPr="0065514F">
              <w:t>Commencement information</w:t>
            </w:r>
          </w:p>
        </w:tc>
      </w:tr>
      <w:tr w:rsidR="00F31021" w:rsidRPr="0065514F" w:rsidTr="002629C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Heading"/>
            </w:pPr>
            <w:r w:rsidRPr="0065514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Heading"/>
            </w:pPr>
            <w:r w:rsidRPr="0065514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Heading"/>
            </w:pPr>
            <w:r w:rsidRPr="0065514F">
              <w:t>Column 3</w:t>
            </w:r>
          </w:p>
        </w:tc>
      </w:tr>
      <w:tr w:rsidR="00F31021" w:rsidRPr="0065514F" w:rsidTr="002629C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Heading"/>
            </w:pPr>
            <w:r w:rsidRPr="0065514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Heading"/>
            </w:pPr>
            <w:r w:rsidRPr="0065514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Heading"/>
            </w:pPr>
            <w:r w:rsidRPr="0065514F">
              <w:t>Date/Details</w:t>
            </w:r>
          </w:p>
        </w:tc>
      </w:tr>
      <w:tr w:rsidR="00F31021" w:rsidRPr="0065514F" w:rsidTr="002629C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text"/>
            </w:pPr>
            <w:r w:rsidRPr="0065514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021" w:rsidRPr="0065514F" w:rsidRDefault="00F31021" w:rsidP="0065514F">
            <w:pPr>
              <w:pStyle w:val="Tabletext"/>
            </w:pPr>
            <w:r w:rsidRPr="0065514F">
              <w:t xml:space="preserve">The day </w:t>
            </w:r>
            <w:r w:rsidR="004E4D86" w:rsidRPr="0065514F">
              <w:t xml:space="preserve">after </w:t>
            </w:r>
            <w:r w:rsidRPr="0065514F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021" w:rsidRPr="0065514F" w:rsidRDefault="006747FC" w:rsidP="0065514F">
            <w:pPr>
              <w:pStyle w:val="Tabletext"/>
            </w:pPr>
            <w:r>
              <w:t>15 September 2017</w:t>
            </w:r>
          </w:p>
        </w:tc>
      </w:tr>
    </w:tbl>
    <w:p w:rsidR="00F31021" w:rsidRPr="0065514F" w:rsidRDefault="00F31021" w:rsidP="0065514F">
      <w:pPr>
        <w:pStyle w:val="notetext"/>
      </w:pPr>
      <w:r w:rsidRPr="0065514F">
        <w:rPr>
          <w:snapToGrid w:val="0"/>
          <w:lang w:eastAsia="en-US"/>
        </w:rPr>
        <w:t>Note:</w:t>
      </w:r>
      <w:r w:rsidRPr="0065514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F31021" w:rsidRPr="0065514F" w:rsidRDefault="00F31021" w:rsidP="0065514F">
      <w:pPr>
        <w:pStyle w:val="subsection"/>
      </w:pPr>
      <w:r w:rsidRPr="0065514F">
        <w:tab/>
        <w:t>(2)</w:t>
      </w:r>
      <w:r w:rsidRPr="0065514F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65514F" w:rsidRDefault="0048364F" w:rsidP="0065514F">
      <w:pPr>
        <w:pStyle w:val="ActHead5"/>
      </w:pPr>
      <w:bookmarkStart w:id="4" w:name="_Toc493250102"/>
      <w:r w:rsidRPr="0065514F">
        <w:rPr>
          <w:rStyle w:val="CharSectno"/>
        </w:rPr>
        <w:t>3</w:t>
      </w:r>
      <w:r w:rsidRPr="0065514F">
        <w:t xml:space="preserve">  Schedules</w:t>
      </w:r>
      <w:bookmarkEnd w:id="4"/>
    </w:p>
    <w:p w:rsidR="0048364F" w:rsidRPr="0065514F" w:rsidRDefault="0048364F" w:rsidP="0065514F">
      <w:pPr>
        <w:pStyle w:val="subsection"/>
      </w:pPr>
      <w:r w:rsidRPr="0065514F">
        <w:tab/>
      </w:r>
      <w:r w:rsidRPr="0065514F">
        <w:tab/>
      </w:r>
      <w:r w:rsidR="00202618" w:rsidRPr="0065514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65514F" w:rsidRDefault="0048364F" w:rsidP="0065514F">
      <w:pPr>
        <w:pStyle w:val="ActHead6"/>
        <w:pageBreakBefore/>
      </w:pPr>
      <w:bookmarkStart w:id="5" w:name="_Toc493250103"/>
      <w:bookmarkStart w:id="6" w:name="opcAmSched"/>
      <w:bookmarkStart w:id="7" w:name="opcCurrentFind"/>
      <w:r w:rsidRPr="0065514F">
        <w:rPr>
          <w:rStyle w:val="CharAmSchNo"/>
        </w:rPr>
        <w:lastRenderedPageBreak/>
        <w:t>Schedule</w:t>
      </w:r>
      <w:r w:rsidR="0065514F" w:rsidRPr="0065514F">
        <w:rPr>
          <w:rStyle w:val="CharAmSchNo"/>
        </w:rPr>
        <w:t> </w:t>
      </w:r>
      <w:r w:rsidRPr="0065514F">
        <w:rPr>
          <w:rStyle w:val="CharAmSchNo"/>
        </w:rPr>
        <w:t>1</w:t>
      </w:r>
      <w:r w:rsidRPr="0065514F">
        <w:t>—</w:t>
      </w:r>
      <w:r w:rsidR="00B01DF0" w:rsidRPr="0065514F">
        <w:rPr>
          <w:rStyle w:val="CharAmSchText"/>
        </w:rPr>
        <w:t>Amendments</w:t>
      </w:r>
      <w:bookmarkEnd w:id="5"/>
    </w:p>
    <w:bookmarkEnd w:id="6"/>
    <w:bookmarkEnd w:id="7"/>
    <w:p w:rsidR="0048364F" w:rsidRPr="0065514F" w:rsidRDefault="00B01DF0" w:rsidP="0065514F">
      <w:pPr>
        <w:pStyle w:val="Header"/>
      </w:pPr>
      <w:r w:rsidRPr="0065514F">
        <w:rPr>
          <w:rStyle w:val="CharAmPartNo"/>
        </w:rPr>
        <w:t xml:space="preserve"> </w:t>
      </w:r>
      <w:r w:rsidRPr="0065514F">
        <w:rPr>
          <w:rStyle w:val="CharAmPartText"/>
        </w:rPr>
        <w:t xml:space="preserve"> </w:t>
      </w:r>
    </w:p>
    <w:p w:rsidR="00B01DF0" w:rsidRPr="0065514F" w:rsidRDefault="00B01DF0" w:rsidP="0065514F">
      <w:pPr>
        <w:pStyle w:val="ActHead9"/>
        <w:rPr>
          <w:i w:val="0"/>
        </w:rPr>
      </w:pPr>
      <w:bookmarkStart w:id="8" w:name="_Toc493250104"/>
      <w:r w:rsidRPr="0065514F">
        <w:t>Education Services for Overseas Students (TPS Levies) Act 2012</w:t>
      </w:r>
      <w:bookmarkEnd w:id="8"/>
    </w:p>
    <w:p w:rsidR="00C50351" w:rsidRPr="0065514F" w:rsidRDefault="004E4D86" w:rsidP="0065514F">
      <w:pPr>
        <w:pStyle w:val="ItemHead"/>
      </w:pPr>
      <w:r w:rsidRPr="0065514F">
        <w:t>1</w:t>
      </w:r>
      <w:r w:rsidR="00C50351" w:rsidRPr="0065514F">
        <w:t xml:space="preserve">  Subsection</w:t>
      </w:r>
      <w:r w:rsidR="0065514F" w:rsidRPr="0065514F">
        <w:t> </w:t>
      </w:r>
      <w:r w:rsidR="00C50351" w:rsidRPr="0065514F">
        <w:t>4(1)</w:t>
      </w:r>
    </w:p>
    <w:p w:rsidR="00C50351" w:rsidRPr="0065514F" w:rsidRDefault="00C50351" w:rsidP="0065514F">
      <w:pPr>
        <w:pStyle w:val="Item"/>
      </w:pPr>
      <w:r w:rsidRPr="0065514F">
        <w:t>Insert:</w:t>
      </w:r>
    </w:p>
    <w:p w:rsidR="00C50351" w:rsidRPr="0065514F" w:rsidRDefault="00C50351" w:rsidP="0065514F">
      <w:pPr>
        <w:pStyle w:val="Definition"/>
        <w:rPr>
          <w:b/>
          <w:i/>
        </w:rPr>
      </w:pPr>
      <w:r w:rsidRPr="0065514F">
        <w:rPr>
          <w:b/>
          <w:i/>
        </w:rPr>
        <w:t>index number</w:t>
      </w:r>
      <w:r w:rsidRPr="0065514F">
        <w:t>, for a quarter, means the All Groups Consumer Price Index number that is the weighted average of the 8 capital cities and is published by the Australian Statistician in relation to that quarter.</w:t>
      </w:r>
    </w:p>
    <w:p w:rsidR="00C50351" w:rsidRPr="0065514F" w:rsidRDefault="00C50351" w:rsidP="0065514F">
      <w:pPr>
        <w:pStyle w:val="Definition"/>
      </w:pPr>
      <w:r w:rsidRPr="0065514F">
        <w:rPr>
          <w:b/>
          <w:i/>
        </w:rPr>
        <w:t>September quarter</w:t>
      </w:r>
      <w:r w:rsidRPr="0065514F">
        <w:t xml:space="preserve"> means a period of 3 months starting on 1</w:t>
      </w:r>
      <w:r w:rsidR="0065514F" w:rsidRPr="0065514F">
        <w:t> </w:t>
      </w:r>
      <w:r w:rsidRPr="0065514F">
        <w:t>July.</w:t>
      </w:r>
    </w:p>
    <w:p w:rsidR="00513863" w:rsidRPr="0065514F" w:rsidRDefault="004E4D86" w:rsidP="0065514F">
      <w:pPr>
        <w:pStyle w:val="ItemHead"/>
      </w:pPr>
      <w:r w:rsidRPr="0065514F">
        <w:t>2</w:t>
      </w:r>
      <w:r w:rsidR="00513863" w:rsidRPr="0065514F">
        <w:t xml:space="preserve">  Paragraphs 5(4)(a) and (b)</w:t>
      </w:r>
    </w:p>
    <w:p w:rsidR="00030AEA" w:rsidRPr="0065514F" w:rsidRDefault="00030AEA" w:rsidP="0065514F">
      <w:pPr>
        <w:pStyle w:val="Item"/>
      </w:pPr>
      <w:r w:rsidRPr="0065514F">
        <w:t>Omit “specified in”, substitute “under”.</w:t>
      </w:r>
    </w:p>
    <w:p w:rsidR="006C1483" w:rsidRPr="0065514F" w:rsidRDefault="004E4D86" w:rsidP="0065514F">
      <w:pPr>
        <w:pStyle w:val="ItemHead"/>
      </w:pPr>
      <w:r w:rsidRPr="0065514F">
        <w:t>3</w:t>
      </w:r>
      <w:r w:rsidR="006C1483" w:rsidRPr="0065514F">
        <w:t xml:space="preserve">  Subsection</w:t>
      </w:r>
      <w:r w:rsidR="0065514F" w:rsidRPr="0065514F">
        <w:t> </w:t>
      </w:r>
      <w:r w:rsidR="006C1483" w:rsidRPr="0065514F">
        <w:t>5(4) (note 1)</w:t>
      </w:r>
    </w:p>
    <w:p w:rsidR="006C1483" w:rsidRPr="0065514F" w:rsidRDefault="006C1483" w:rsidP="0065514F">
      <w:pPr>
        <w:pStyle w:val="Item"/>
      </w:pPr>
      <w:r w:rsidRPr="0065514F">
        <w:t>Omit “Note 1”, substitute “Note”.</w:t>
      </w:r>
    </w:p>
    <w:p w:rsidR="006C1483" w:rsidRPr="0065514F" w:rsidRDefault="004E4D86" w:rsidP="0065514F">
      <w:pPr>
        <w:pStyle w:val="ItemHead"/>
      </w:pPr>
      <w:r w:rsidRPr="0065514F">
        <w:t>4</w:t>
      </w:r>
      <w:r w:rsidR="006C1483" w:rsidRPr="0065514F">
        <w:t xml:space="preserve">  Subsection</w:t>
      </w:r>
      <w:r w:rsidR="0065514F" w:rsidRPr="0065514F">
        <w:t> </w:t>
      </w:r>
      <w:r w:rsidR="006C1483" w:rsidRPr="0065514F">
        <w:t>5(4) (note 2)</w:t>
      </w:r>
    </w:p>
    <w:p w:rsidR="006C1483" w:rsidRPr="0065514F" w:rsidRDefault="006C1483" w:rsidP="0065514F">
      <w:pPr>
        <w:pStyle w:val="Item"/>
      </w:pPr>
      <w:r w:rsidRPr="0065514F">
        <w:t>Repeal the note.</w:t>
      </w:r>
    </w:p>
    <w:p w:rsidR="00C344EC" w:rsidRPr="0065514F" w:rsidRDefault="004E4D86" w:rsidP="0065514F">
      <w:pPr>
        <w:pStyle w:val="ItemHead"/>
      </w:pPr>
      <w:r w:rsidRPr="0065514F">
        <w:t>5</w:t>
      </w:r>
      <w:r w:rsidR="00C344EC" w:rsidRPr="0065514F">
        <w:t xml:space="preserve">  Sections</w:t>
      </w:r>
      <w:r w:rsidR="0065514F" w:rsidRPr="0065514F">
        <w:t> </w:t>
      </w:r>
      <w:r w:rsidR="00C344EC" w:rsidRPr="0065514F">
        <w:t>6 and 7</w:t>
      </w:r>
    </w:p>
    <w:p w:rsidR="00C344EC" w:rsidRPr="0065514F" w:rsidRDefault="00C344EC" w:rsidP="0065514F">
      <w:pPr>
        <w:pStyle w:val="Item"/>
      </w:pPr>
      <w:r w:rsidRPr="0065514F">
        <w:t>Repeal the sections, substitute:</w:t>
      </w:r>
    </w:p>
    <w:p w:rsidR="00C344EC" w:rsidRPr="0065514F" w:rsidRDefault="00C344EC" w:rsidP="0065514F">
      <w:pPr>
        <w:pStyle w:val="ActHead5"/>
      </w:pPr>
      <w:bookmarkStart w:id="9" w:name="_Toc493250105"/>
      <w:r w:rsidRPr="0065514F">
        <w:rPr>
          <w:rStyle w:val="CharSectno"/>
        </w:rPr>
        <w:t>6</w:t>
      </w:r>
      <w:r w:rsidRPr="0065514F">
        <w:t xml:space="preserve">  Administrative fee component</w:t>
      </w:r>
      <w:bookmarkEnd w:id="9"/>
    </w:p>
    <w:p w:rsidR="00C344EC" w:rsidRPr="0065514F" w:rsidRDefault="00C344EC" w:rsidP="0065514F">
      <w:pPr>
        <w:pStyle w:val="subsection"/>
      </w:pPr>
      <w:r w:rsidRPr="0065514F">
        <w:tab/>
      </w:r>
      <w:r w:rsidRPr="0065514F">
        <w:tab/>
      </w:r>
      <w:r w:rsidR="00030AEA" w:rsidRPr="0065514F">
        <w:t>Subject to section</w:t>
      </w:r>
      <w:r w:rsidR="0065514F" w:rsidRPr="0065514F">
        <w:t> </w:t>
      </w:r>
      <w:r w:rsidR="00030AEA" w:rsidRPr="0065514F">
        <w:t>8, a</w:t>
      </w:r>
      <w:r w:rsidRPr="0065514F">
        <w:t xml:space="preserve"> registered provider’s </w:t>
      </w:r>
      <w:r w:rsidRPr="0065514F">
        <w:rPr>
          <w:b/>
          <w:i/>
        </w:rPr>
        <w:t>administrative fee component</w:t>
      </w:r>
      <w:r w:rsidRPr="0065514F">
        <w:t xml:space="preserve"> for a year is the sum of:</w:t>
      </w:r>
    </w:p>
    <w:p w:rsidR="00C344EC" w:rsidRPr="0065514F" w:rsidRDefault="00C344EC" w:rsidP="0065514F">
      <w:pPr>
        <w:pStyle w:val="paragraph"/>
      </w:pPr>
      <w:r w:rsidRPr="0065514F">
        <w:tab/>
        <w:t>(a)</w:t>
      </w:r>
      <w:r w:rsidRPr="0065514F">
        <w:tab/>
        <w:t>the amount</w:t>
      </w:r>
      <w:r w:rsidR="00CD5984" w:rsidRPr="0065514F">
        <w:t xml:space="preserve"> </w:t>
      </w:r>
      <w:r w:rsidR="001B6FC4" w:rsidRPr="0065514F">
        <w:t>(</w:t>
      </w:r>
      <w:r w:rsidR="00030AEA" w:rsidRPr="0065514F">
        <w:t>a</w:t>
      </w:r>
      <w:r w:rsidR="001B6FC4" w:rsidRPr="0065514F">
        <w:t xml:space="preserve"> </w:t>
      </w:r>
      <w:r w:rsidR="001B6FC4" w:rsidRPr="0065514F">
        <w:rPr>
          <w:b/>
          <w:i/>
        </w:rPr>
        <w:t>dollar amount</w:t>
      </w:r>
      <w:r w:rsidR="001B6FC4" w:rsidRPr="0065514F">
        <w:t xml:space="preserve">) </w:t>
      </w:r>
      <w:r w:rsidR="00CD5984" w:rsidRPr="0065514F">
        <w:t>determined in an instrument under s</w:t>
      </w:r>
      <w:r w:rsidR="00030AEA" w:rsidRPr="0065514F">
        <w:t>ection</w:t>
      </w:r>
      <w:r w:rsidR="0065514F" w:rsidRPr="0065514F">
        <w:t> </w:t>
      </w:r>
      <w:r w:rsidR="00030AEA" w:rsidRPr="0065514F">
        <w:t>7A</w:t>
      </w:r>
      <w:r w:rsidR="001B6FC4" w:rsidRPr="0065514F">
        <w:t xml:space="preserve"> </w:t>
      </w:r>
      <w:r w:rsidR="00555E1C" w:rsidRPr="0065514F">
        <w:t xml:space="preserve">for the purposes of this paragraph </w:t>
      </w:r>
      <w:r w:rsidR="00B260C4" w:rsidRPr="0065514F">
        <w:t>for that year</w:t>
      </w:r>
      <w:r w:rsidR="00CD5984" w:rsidRPr="0065514F">
        <w:t xml:space="preserve">; </w:t>
      </w:r>
      <w:r w:rsidR="00BB26E7" w:rsidRPr="0065514F">
        <w:t>and</w:t>
      </w:r>
    </w:p>
    <w:p w:rsidR="00C344EC" w:rsidRPr="0065514F" w:rsidRDefault="00C344EC" w:rsidP="0065514F">
      <w:pPr>
        <w:pStyle w:val="paragraph"/>
      </w:pPr>
      <w:r w:rsidRPr="0065514F">
        <w:tab/>
        <w:t>(b)</w:t>
      </w:r>
      <w:r w:rsidRPr="0065514F">
        <w:tab/>
      </w:r>
      <w:r w:rsidR="00CD5984" w:rsidRPr="0065514F">
        <w:t xml:space="preserve">the amount </w:t>
      </w:r>
      <w:r w:rsidR="001B6FC4" w:rsidRPr="0065514F">
        <w:t>(</w:t>
      </w:r>
      <w:r w:rsidR="00030AEA" w:rsidRPr="0065514F">
        <w:t>a</w:t>
      </w:r>
      <w:r w:rsidR="001B6FC4" w:rsidRPr="0065514F">
        <w:t xml:space="preserve"> </w:t>
      </w:r>
      <w:r w:rsidR="001B6FC4" w:rsidRPr="0065514F">
        <w:rPr>
          <w:b/>
          <w:i/>
        </w:rPr>
        <w:t>dollar amount</w:t>
      </w:r>
      <w:r w:rsidR="001B6FC4" w:rsidRPr="0065514F">
        <w:t xml:space="preserve">) </w:t>
      </w:r>
      <w:r w:rsidR="00CD5984" w:rsidRPr="0065514F">
        <w:t xml:space="preserve">determined in an instrument under </w:t>
      </w:r>
      <w:r w:rsidR="00030AEA" w:rsidRPr="0065514F">
        <w:t>section</w:t>
      </w:r>
      <w:r w:rsidR="0065514F" w:rsidRPr="0065514F">
        <w:t> </w:t>
      </w:r>
      <w:r w:rsidR="00030AEA" w:rsidRPr="0065514F">
        <w:t xml:space="preserve">7A </w:t>
      </w:r>
      <w:r w:rsidR="00555E1C" w:rsidRPr="0065514F">
        <w:t xml:space="preserve">for the purposes of this paragraph </w:t>
      </w:r>
      <w:r w:rsidR="00030AEA" w:rsidRPr="0065514F">
        <w:t>for that year</w:t>
      </w:r>
      <w:r w:rsidR="00CD5984" w:rsidRPr="0065514F">
        <w:t xml:space="preserve">, </w:t>
      </w:r>
      <w:r w:rsidRPr="0065514F">
        <w:t>multiplied by the total enrolments for the provider for the previous year</w:t>
      </w:r>
      <w:r w:rsidR="00CD5984" w:rsidRPr="0065514F">
        <w:t>.</w:t>
      </w:r>
    </w:p>
    <w:p w:rsidR="00C344EC" w:rsidRPr="0065514F" w:rsidRDefault="00C344EC" w:rsidP="0065514F">
      <w:pPr>
        <w:pStyle w:val="notetext"/>
      </w:pPr>
      <w:r w:rsidRPr="0065514F">
        <w:lastRenderedPageBreak/>
        <w:t>Note 1:</w:t>
      </w:r>
      <w:r w:rsidRPr="0065514F">
        <w:tab/>
        <w:t xml:space="preserve">For </w:t>
      </w:r>
      <w:r w:rsidRPr="0065514F">
        <w:rPr>
          <w:b/>
          <w:i/>
        </w:rPr>
        <w:t>total enrolments</w:t>
      </w:r>
      <w:r w:rsidRPr="0065514F">
        <w:t>, see section</w:t>
      </w:r>
      <w:r w:rsidR="0065514F" w:rsidRPr="0065514F">
        <w:t> </w:t>
      </w:r>
      <w:r w:rsidRPr="0065514F">
        <w:t>4.</w:t>
      </w:r>
    </w:p>
    <w:p w:rsidR="00C344EC" w:rsidRPr="0065514F" w:rsidRDefault="00C344EC" w:rsidP="0065514F">
      <w:pPr>
        <w:pStyle w:val="notetext"/>
      </w:pPr>
      <w:r w:rsidRPr="0065514F">
        <w:t>Note 2:</w:t>
      </w:r>
      <w:r w:rsidRPr="0065514F">
        <w:tab/>
        <w:t>The dollar amounts are</w:t>
      </w:r>
      <w:r w:rsidRPr="0065514F">
        <w:rPr>
          <w:i/>
        </w:rPr>
        <w:t xml:space="preserve"> </w:t>
      </w:r>
      <w:r w:rsidRPr="0065514F">
        <w:t>indexed under section</w:t>
      </w:r>
      <w:r w:rsidR="0065514F" w:rsidRPr="0065514F">
        <w:t> </w:t>
      </w:r>
      <w:r w:rsidRPr="0065514F">
        <w:t>8.</w:t>
      </w:r>
    </w:p>
    <w:p w:rsidR="00F527FC" w:rsidRPr="0065514F" w:rsidRDefault="00F527FC" w:rsidP="0065514F">
      <w:pPr>
        <w:pStyle w:val="ActHead5"/>
      </w:pPr>
      <w:bookmarkStart w:id="10" w:name="_Toc493250106"/>
      <w:r w:rsidRPr="0065514F">
        <w:rPr>
          <w:rStyle w:val="CharSectno"/>
        </w:rPr>
        <w:t>7</w:t>
      </w:r>
      <w:r w:rsidRPr="0065514F">
        <w:t xml:space="preserve">  Base fee component</w:t>
      </w:r>
      <w:bookmarkEnd w:id="10"/>
    </w:p>
    <w:p w:rsidR="00F527FC" w:rsidRPr="0065514F" w:rsidRDefault="00F527FC" w:rsidP="0065514F">
      <w:pPr>
        <w:pStyle w:val="subsection"/>
      </w:pPr>
      <w:r w:rsidRPr="0065514F">
        <w:tab/>
      </w:r>
      <w:r w:rsidRPr="0065514F">
        <w:tab/>
      </w:r>
      <w:r w:rsidR="00030AEA" w:rsidRPr="0065514F">
        <w:t>Subject to section</w:t>
      </w:r>
      <w:r w:rsidR="0065514F" w:rsidRPr="0065514F">
        <w:t> </w:t>
      </w:r>
      <w:r w:rsidR="00030AEA" w:rsidRPr="0065514F">
        <w:t>8, a</w:t>
      </w:r>
      <w:r w:rsidRPr="0065514F">
        <w:t xml:space="preserve"> registered provider’s </w:t>
      </w:r>
      <w:r w:rsidRPr="0065514F">
        <w:rPr>
          <w:b/>
          <w:i/>
        </w:rPr>
        <w:t>base fee component</w:t>
      </w:r>
      <w:r w:rsidRPr="0065514F">
        <w:t xml:space="preserve"> for a year is the sum of:</w:t>
      </w:r>
    </w:p>
    <w:p w:rsidR="00030AEA" w:rsidRPr="0065514F" w:rsidRDefault="00030AEA" w:rsidP="0065514F">
      <w:pPr>
        <w:pStyle w:val="paragraph"/>
      </w:pPr>
      <w:r w:rsidRPr="0065514F">
        <w:tab/>
        <w:t>(a)</w:t>
      </w:r>
      <w:r w:rsidRPr="0065514F">
        <w:tab/>
        <w:t xml:space="preserve">the amount (a </w:t>
      </w:r>
      <w:r w:rsidRPr="0065514F">
        <w:rPr>
          <w:b/>
          <w:i/>
        </w:rPr>
        <w:t>dollar amount</w:t>
      </w:r>
      <w:r w:rsidRPr="0065514F">
        <w:t>) determined in an instrument under section</w:t>
      </w:r>
      <w:r w:rsidR="0065514F" w:rsidRPr="0065514F">
        <w:t> </w:t>
      </w:r>
      <w:r w:rsidRPr="0065514F">
        <w:t xml:space="preserve">7A </w:t>
      </w:r>
      <w:r w:rsidR="00555E1C" w:rsidRPr="0065514F">
        <w:t xml:space="preserve">for the purposes of this paragraph </w:t>
      </w:r>
      <w:r w:rsidRPr="0065514F">
        <w:t>for that year; and</w:t>
      </w:r>
    </w:p>
    <w:p w:rsidR="00030AEA" w:rsidRPr="0065514F" w:rsidRDefault="00030AEA" w:rsidP="0065514F">
      <w:pPr>
        <w:pStyle w:val="paragraph"/>
      </w:pPr>
      <w:r w:rsidRPr="0065514F">
        <w:tab/>
        <w:t>(b)</w:t>
      </w:r>
      <w:r w:rsidRPr="0065514F">
        <w:tab/>
        <w:t xml:space="preserve">the amount (a </w:t>
      </w:r>
      <w:r w:rsidRPr="0065514F">
        <w:rPr>
          <w:b/>
          <w:i/>
        </w:rPr>
        <w:t>dollar amount</w:t>
      </w:r>
      <w:r w:rsidRPr="0065514F">
        <w:t>) determined in an instrument under section</w:t>
      </w:r>
      <w:r w:rsidR="0065514F" w:rsidRPr="0065514F">
        <w:t> </w:t>
      </w:r>
      <w:r w:rsidRPr="0065514F">
        <w:t xml:space="preserve">7A </w:t>
      </w:r>
      <w:r w:rsidR="00555E1C" w:rsidRPr="0065514F">
        <w:t xml:space="preserve">for the purposes of this paragraph </w:t>
      </w:r>
      <w:r w:rsidRPr="0065514F">
        <w:t>for that year, multiplied by the total enrolments for the provider for the previous year.</w:t>
      </w:r>
    </w:p>
    <w:p w:rsidR="00F527FC" w:rsidRPr="0065514F" w:rsidRDefault="00F527FC" w:rsidP="0065514F">
      <w:pPr>
        <w:pStyle w:val="notetext"/>
      </w:pPr>
      <w:r w:rsidRPr="0065514F">
        <w:t>Note 1:</w:t>
      </w:r>
      <w:r w:rsidRPr="0065514F">
        <w:tab/>
        <w:t xml:space="preserve">For </w:t>
      </w:r>
      <w:r w:rsidRPr="0065514F">
        <w:rPr>
          <w:b/>
          <w:i/>
        </w:rPr>
        <w:t>total enrolments</w:t>
      </w:r>
      <w:r w:rsidRPr="0065514F">
        <w:t>, see section</w:t>
      </w:r>
      <w:r w:rsidR="0065514F" w:rsidRPr="0065514F">
        <w:t> </w:t>
      </w:r>
      <w:r w:rsidRPr="0065514F">
        <w:t>4.</w:t>
      </w:r>
    </w:p>
    <w:p w:rsidR="00F527FC" w:rsidRPr="0065514F" w:rsidRDefault="00F527FC" w:rsidP="0065514F">
      <w:pPr>
        <w:pStyle w:val="notetext"/>
      </w:pPr>
      <w:r w:rsidRPr="0065514F">
        <w:t>Note 2:</w:t>
      </w:r>
      <w:r w:rsidRPr="0065514F">
        <w:tab/>
        <w:t>The dollar amounts are</w:t>
      </w:r>
      <w:r w:rsidRPr="0065514F">
        <w:rPr>
          <w:i/>
        </w:rPr>
        <w:t xml:space="preserve"> </w:t>
      </w:r>
      <w:r w:rsidRPr="0065514F">
        <w:t>indexed under section</w:t>
      </w:r>
      <w:r w:rsidR="0065514F" w:rsidRPr="0065514F">
        <w:t> </w:t>
      </w:r>
      <w:r w:rsidRPr="0065514F">
        <w:t>8.</w:t>
      </w:r>
    </w:p>
    <w:p w:rsidR="000675DD" w:rsidRPr="0065514F" w:rsidRDefault="000675DD" w:rsidP="0065514F">
      <w:pPr>
        <w:pStyle w:val="ActHead5"/>
      </w:pPr>
      <w:bookmarkStart w:id="11" w:name="_Toc493250107"/>
      <w:r w:rsidRPr="0065514F">
        <w:rPr>
          <w:rStyle w:val="CharSectno"/>
        </w:rPr>
        <w:t>7A</w:t>
      </w:r>
      <w:r w:rsidRPr="0065514F">
        <w:t xml:space="preserve">  Legislative instrument for purposes of section</w:t>
      </w:r>
      <w:r w:rsidR="0065514F" w:rsidRPr="0065514F">
        <w:t> </w:t>
      </w:r>
      <w:r w:rsidRPr="0065514F">
        <w:t>6 or 7</w:t>
      </w:r>
      <w:bookmarkEnd w:id="11"/>
    </w:p>
    <w:p w:rsidR="000675DD" w:rsidRPr="0065514F" w:rsidRDefault="000675DD" w:rsidP="0065514F">
      <w:pPr>
        <w:pStyle w:val="SubsectionHead"/>
      </w:pPr>
      <w:r w:rsidRPr="0065514F">
        <w:t>Calendar year beginning on 1</w:t>
      </w:r>
      <w:r w:rsidR="0065514F" w:rsidRPr="0065514F">
        <w:t> </w:t>
      </w:r>
      <w:r w:rsidRPr="0065514F">
        <w:t>January 2018</w:t>
      </w:r>
    </w:p>
    <w:p w:rsidR="000675DD" w:rsidRPr="0065514F" w:rsidRDefault="000675DD" w:rsidP="0065514F">
      <w:pPr>
        <w:pStyle w:val="subsection"/>
      </w:pPr>
      <w:r w:rsidRPr="0065514F">
        <w:tab/>
        <w:t>(1)</w:t>
      </w:r>
      <w:r w:rsidRPr="0065514F">
        <w:tab/>
        <w:t>Before the calendar year beginning on 1</w:t>
      </w:r>
      <w:r w:rsidR="0065514F" w:rsidRPr="0065514F">
        <w:t> </w:t>
      </w:r>
      <w:r w:rsidRPr="0065514F">
        <w:t>January 2018, the Minister must, by legislative instrument, do all of the following:</w:t>
      </w:r>
    </w:p>
    <w:p w:rsidR="000675DD" w:rsidRPr="0065514F" w:rsidRDefault="000675DD" w:rsidP="0065514F">
      <w:pPr>
        <w:pStyle w:val="paragraph"/>
      </w:pPr>
      <w:r w:rsidRPr="0065514F">
        <w:tab/>
        <w:t>(a)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6(a)</w:t>
      </w:r>
      <w:r w:rsidR="00714094" w:rsidRPr="0065514F">
        <w:t xml:space="preserve"> for that year;</w:t>
      </w:r>
    </w:p>
    <w:p w:rsidR="000675DD" w:rsidRPr="0065514F" w:rsidRDefault="000675DD" w:rsidP="0065514F">
      <w:pPr>
        <w:pStyle w:val="paragraph"/>
      </w:pPr>
      <w:r w:rsidRPr="0065514F">
        <w:tab/>
        <w:t>(b)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6(b)</w:t>
      </w:r>
      <w:r w:rsidR="00714094" w:rsidRPr="0065514F">
        <w:t xml:space="preserve"> for that year</w:t>
      </w:r>
      <w:r w:rsidRPr="0065514F">
        <w:t>;</w:t>
      </w:r>
    </w:p>
    <w:p w:rsidR="000675DD" w:rsidRPr="0065514F" w:rsidRDefault="000675DD" w:rsidP="0065514F">
      <w:pPr>
        <w:pStyle w:val="paragraph"/>
      </w:pPr>
      <w:r w:rsidRPr="0065514F">
        <w:tab/>
        <w:t>(c)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7(a)</w:t>
      </w:r>
      <w:r w:rsidR="00714094" w:rsidRPr="0065514F">
        <w:t xml:space="preserve"> for that year</w:t>
      </w:r>
      <w:r w:rsidRPr="0065514F">
        <w:t>;</w:t>
      </w:r>
    </w:p>
    <w:p w:rsidR="000675DD" w:rsidRPr="0065514F" w:rsidRDefault="000675DD" w:rsidP="0065514F">
      <w:pPr>
        <w:pStyle w:val="paragraph"/>
      </w:pPr>
      <w:r w:rsidRPr="0065514F">
        <w:tab/>
        <w:t>(d)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7(b)</w:t>
      </w:r>
      <w:r w:rsidR="00714094" w:rsidRPr="0065514F">
        <w:t xml:space="preserve"> for that year</w:t>
      </w:r>
      <w:r w:rsidRPr="0065514F">
        <w:t>.</w:t>
      </w:r>
    </w:p>
    <w:p w:rsidR="000675DD" w:rsidRPr="0065514F" w:rsidRDefault="000675DD" w:rsidP="0065514F">
      <w:pPr>
        <w:pStyle w:val="SubsectionHead"/>
      </w:pPr>
      <w:r w:rsidRPr="0065514F">
        <w:t>Later calendar years</w:t>
      </w:r>
    </w:p>
    <w:p w:rsidR="000675DD" w:rsidRPr="0065514F" w:rsidRDefault="000675DD" w:rsidP="0065514F">
      <w:pPr>
        <w:pStyle w:val="subsection"/>
      </w:pPr>
      <w:r w:rsidRPr="0065514F">
        <w:tab/>
        <w:t>(2)</w:t>
      </w:r>
      <w:r w:rsidRPr="0065514F">
        <w:tab/>
        <w:t>Before the calendar year beginning on 1</w:t>
      </w:r>
      <w:r w:rsidR="0065514F" w:rsidRPr="0065514F">
        <w:t> </w:t>
      </w:r>
      <w:r w:rsidRPr="0065514F">
        <w:t>January 2019 or a later calendar year, the Minister may, by legislative instrument, do one or more of the following:</w:t>
      </w:r>
    </w:p>
    <w:p w:rsidR="000840CE" w:rsidRPr="0065514F" w:rsidRDefault="000840CE" w:rsidP="0065514F">
      <w:pPr>
        <w:pStyle w:val="paragraph"/>
      </w:pPr>
      <w:r w:rsidRPr="0065514F">
        <w:tab/>
        <w:t>(a)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6(a) for that year;</w:t>
      </w:r>
    </w:p>
    <w:p w:rsidR="000840CE" w:rsidRPr="0065514F" w:rsidRDefault="000840CE" w:rsidP="0065514F">
      <w:pPr>
        <w:pStyle w:val="paragraph"/>
      </w:pPr>
      <w:r w:rsidRPr="0065514F">
        <w:lastRenderedPageBreak/>
        <w:tab/>
        <w:t>(b)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6(b) for that year;</w:t>
      </w:r>
    </w:p>
    <w:p w:rsidR="000840CE" w:rsidRPr="0065514F" w:rsidRDefault="000840CE" w:rsidP="0065514F">
      <w:pPr>
        <w:pStyle w:val="paragraph"/>
      </w:pPr>
      <w:r w:rsidRPr="0065514F">
        <w:tab/>
        <w:t>(c)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7(a) for that year;</w:t>
      </w:r>
    </w:p>
    <w:p w:rsidR="000840CE" w:rsidRPr="0065514F" w:rsidRDefault="000840CE" w:rsidP="0065514F">
      <w:pPr>
        <w:pStyle w:val="paragraph"/>
      </w:pPr>
      <w:r w:rsidRPr="0065514F">
        <w:tab/>
        <w:t>(d)</w:t>
      </w:r>
      <w:r w:rsidRPr="0065514F">
        <w:tab/>
        <w:t>determine an amount for the purposes of paragraph</w:t>
      </w:r>
      <w:r w:rsidR="0065514F" w:rsidRPr="0065514F">
        <w:t> </w:t>
      </w:r>
      <w:r w:rsidRPr="0065514F">
        <w:t>7(b) for that year.</w:t>
      </w:r>
    </w:p>
    <w:p w:rsidR="001B7BCD" w:rsidRPr="0065514F" w:rsidRDefault="00FE4110" w:rsidP="0065514F">
      <w:pPr>
        <w:pStyle w:val="SubsectionHead"/>
      </w:pPr>
      <w:r w:rsidRPr="0065514F">
        <w:t>Upper limit</w:t>
      </w:r>
    </w:p>
    <w:p w:rsidR="001B7BCD" w:rsidRPr="0065514F" w:rsidRDefault="001B7BCD" w:rsidP="0065514F">
      <w:pPr>
        <w:pStyle w:val="subsection"/>
      </w:pPr>
      <w:r w:rsidRPr="0065514F">
        <w:tab/>
        <w:t>(3)</w:t>
      </w:r>
      <w:r w:rsidRPr="0065514F">
        <w:tab/>
        <w:t>The Minister must not determine an amount in an instrument under this section for the purposes of paragraph</w:t>
      </w:r>
      <w:r w:rsidR="0065514F" w:rsidRPr="0065514F">
        <w:t> </w:t>
      </w:r>
      <w:r w:rsidRPr="0065514F">
        <w:t>6(a) or (b) or 7(a) or (b) for a year that exceeds</w:t>
      </w:r>
      <w:r w:rsidR="0098297F" w:rsidRPr="0065514F">
        <w:t xml:space="preserve"> the following</w:t>
      </w:r>
      <w:r w:rsidRPr="0065514F">
        <w:t>:</w:t>
      </w:r>
    </w:p>
    <w:p w:rsidR="001B7BCD" w:rsidRPr="0065514F" w:rsidRDefault="00073F9D" w:rsidP="0065514F">
      <w:pPr>
        <w:pStyle w:val="paragraph"/>
      </w:pPr>
      <w:r w:rsidRPr="0065514F">
        <w:tab/>
        <w:t>(a)</w:t>
      </w:r>
      <w:r w:rsidRPr="0065514F">
        <w:tab/>
      </w:r>
      <w:r w:rsidR="001B7BCD" w:rsidRPr="0065514F">
        <w:t>for paragraph</w:t>
      </w:r>
      <w:r w:rsidR="0065514F" w:rsidRPr="0065514F">
        <w:t> </w:t>
      </w:r>
      <w:r w:rsidR="001B7BCD" w:rsidRPr="0065514F">
        <w:t>6(a)—$107;</w:t>
      </w:r>
    </w:p>
    <w:p w:rsidR="001B7BCD" w:rsidRPr="0065514F" w:rsidRDefault="00073F9D" w:rsidP="0065514F">
      <w:pPr>
        <w:pStyle w:val="paragraph"/>
      </w:pPr>
      <w:r w:rsidRPr="0065514F">
        <w:tab/>
        <w:t>(b)</w:t>
      </w:r>
      <w:r w:rsidRPr="0065514F">
        <w:tab/>
      </w:r>
      <w:r w:rsidR="001B7BCD" w:rsidRPr="0065514F">
        <w:t>for paragraph</w:t>
      </w:r>
      <w:r w:rsidR="0065514F" w:rsidRPr="0065514F">
        <w:t> </w:t>
      </w:r>
      <w:r w:rsidR="001B7BCD" w:rsidRPr="0065514F">
        <w:t>6</w:t>
      </w:r>
      <w:r w:rsidRPr="0065514F">
        <w:t>(b</w:t>
      </w:r>
      <w:r w:rsidR="001B7BCD" w:rsidRPr="0065514F">
        <w:t>)—$</w:t>
      </w:r>
      <w:r w:rsidRPr="0065514F">
        <w:t>2.15</w:t>
      </w:r>
      <w:r w:rsidR="001B7BCD" w:rsidRPr="0065514F">
        <w:t>;</w:t>
      </w:r>
    </w:p>
    <w:p w:rsidR="00073F9D" w:rsidRPr="0065514F" w:rsidRDefault="00073F9D" w:rsidP="0065514F">
      <w:pPr>
        <w:pStyle w:val="paragraph"/>
      </w:pPr>
      <w:r w:rsidRPr="0065514F">
        <w:tab/>
        <w:t>(c)</w:t>
      </w:r>
      <w:r w:rsidRPr="0065514F">
        <w:tab/>
        <w:t>for paragraph</w:t>
      </w:r>
      <w:r w:rsidR="0065514F" w:rsidRPr="0065514F">
        <w:t> </w:t>
      </w:r>
      <w:r w:rsidRPr="0065514F">
        <w:t>7(a)—$215;</w:t>
      </w:r>
    </w:p>
    <w:p w:rsidR="00073F9D" w:rsidRPr="0065514F" w:rsidRDefault="00073F9D" w:rsidP="0065514F">
      <w:pPr>
        <w:pStyle w:val="paragraph"/>
      </w:pPr>
      <w:r w:rsidRPr="0065514F">
        <w:tab/>
        <w:t>(d)</w:t>
      </w:r>
      <w:r w:rsidRPr="0065514F">
        <w:tab/>
        <w:t>for paragraph</w:t>
      </w:r>
      <w:r w:rsidR="0065514F" w:rsidRPr="0065514F">
        <w:t> </w:t>
      </w:r>
      <w:r w:rsidR="00AB2EF0" w:rsidRPr="0065514F">
        <w:t>7(b</w:t>
      </w:r>
      <w:r w:rsidRPr="0065514F">
        <w:t>)—$5.38.</w:t>
      </w:r>
    </w:p>
    <w:p w:rsidR="00FE4110" w:rsidRPr="0065514F" w:rsidRDefault="00FE4110" w:rsidP="0065514F">
      <w:pPr>
        <w:pStyle w:val="notetext"/>
      </w:pPr>
      <w:r w:rsidRPr="0065514F">
        <w:t>Note:</w:t>
      </w:r>
      <w:r w:rsidRPr="0065514F">
        <w:tab/>
        <w:t>Indexation under section</w:t>
      </w:r>
      <w:r w:rsidR="0065514F" w:rsidRPr="0065514F">
        <w:t> </w:t>
      </w:r>
      <w:r w:rsidRPr="0065514F">
        <w:t>8 of the dollar amount under paragraph</w:t>
      </w:r>
      <w:r w:rsidR="0065514F" w:rsidRPr="0065514F">
        <w:t> </w:t>
      </w:r>
      <w:r w:rsidRPr="0065514F">
        <w:t xml:space="preserve">6(a) or (b) or 7(a) or (b) may result in that amount exceeding the </w:t>
      </w:r>
      <w:r w:rsidR="00116F59" w:rsidRPr="0065514F">
        <w:t>upper limit in this subsection that applies to the Minister’s determination</w:t>
      </w:r>
      <w:r w:rsidR="00230051">
        <w:noBreakHyphen/>
      </w:r>
      <w:r w:rsidR="00116F59" w:rsidRPr="0065514F">
        <w:t>making power.</w:t>
      </w:r>
    </w:p>
    <w:p w:rsidR="004E4D86" w:rsidRPr="0065514F" w:rsidRDefault="004E4D86" w:rsidP="0065514F">
      <w:pPr>
        <w:pStyle w:val="SubsectionHead"/>
      </w:pPr>
      <w:r w:rsidRPr="0065514F">
        <w:t>Having regard to matters</w:t>
      </w:r>
    </w:p>
    <w:p w:rsidR="004E4D86" w:rsidRPr="0065514F" w:rsidRDefault="004E4D86" w:rsidP="0065514F">
      <w:pPr>
        <w:pStyle w:val="subsection"/>
      </w:pPr>
      <w:r w:rsidRPr="0065514F">
        <w:tab/>
        <w:t>(4)</w:t>
      </w:r>
      <w:r w:rsidRPr="0065514F">
        <w:tab/>
        <w:t>In making a legislative instrument under this section, the Minister must have regard to the sustainability of the OSTF.</w:t>
      </w:r>
    </w:p>
    <w:p w:rsidR="004E4D86" w:rsidRPr="0065514F" w:rsidRDefault="004E4D86" w:rsidP="0065514F">
      <w:pPr>
        <w:pStyle w:val="subsection"/>
      </w:pPr>
      <w:r w:rsidRPr="0065514F">
        <w:tab/>
        <w:t>(</w:t>
      </w:r>
      <w:r w:rsidR="00555E1C" w:rsidRPr="0065514F">
        <w:t>5</w:t>
      </w:r>
      <w:r w:rsidRPr="0065514F">
        <w:t>)</w:t>
      </w:r>
      <w:r w:rsidRPr="0065514F">
        <w:tab/>
        <w:t>The Minister may also have regard to any other matter he or she considers appropriate.</w:t>
      </w:r>
    </w:p>
    <w:p w:rsidR="00F527FC" w:rsidRPr="0065514F" w:rsidRDefault="004E4D86" w:rsidP="0065514F">
      <w:pPr>
        <w:pStyle w:val="ItemHead"/>
      </w:pPr>
      <w:r w:rsidRPr="0065514F">
        <w:t>6</w:t>
      </w:r>
      <w:r w:rsidR="00F527FC" w:rsidRPr="0065514F">
        <w:t xml:space="preserve">  Subsection</w:t>
      </w:r>
      <w:r w:rsidR="00273120" w:rsidRPr="0065514F">
        <w:t>s</w:t>
      </w:r>
      <w:r w:rsidR="0065514F" w:rsidRPr="0065514F">
        <w:t> </w:t>
      </w:r>
      <w:r w:rsidR="00F527FC" w:rsidRPr="0065514F">
        <w:t>8(1)</w:t>
      </w:r>
      <w:r w:rsidR="00273120" w:rsidRPr="0065514F">
        <w:t xml:space="preserve"> and (2)</w:t>
      </w:r>
    </w:p>
    <w:p w:rsidR="00F527FC" w:rsidRPr="0065514F" w:rsidRDefault="00F527FC" w:rsidP="0065514F">
      <w:pPr>
        <w:pStyle w:val="Item"/>
      </w:pPr>
      <w:r w:rsidRPr="0065514F">
        <w:t>Repeal the subsection</w:t>
      </w:r>
      <w:r w:rsidR="00273120" w:rsidRPr="0065514F">
        <w:t>s</w:t>
      </w:r>
      <w:r w:rsidRPr="0065514F">
        <w:t>, substitute:</w:t>
      </w:r>
    </w:p>
    <w:p w:rsidR="00714094" w:rsidRPr="0065514F" w:rsidRDefault="00714094" w:rsidP="0065514F">
      <w:pPr>
        <w:pStyle w:val="subsection"/>
      </w:pPr>
      <w:r w:rsidRPr="0065514F">
        <w:tab/>
        <w:t>(1)</w:t>
      </w:r>
      <w:r w:rsidRPr="0065514F">
        <w:tab/>
        <w:t>This section applies for the purpose of working out a dollar amount under paragraph</w:t>
      </w:r>
      <w:r w:rsidR="0065514F" w:rsidRPr="0065514F">
        <w:t> </w:t>
      </w:r>
      <w:r w:rsidRPr="0065514F">
        <w:t xml:space="preserve">6(a) or (b) or 7(a) or (b) for the calendar year (the </w:t>
      </w:r>
      <w:r w:rsidRPr="0065514F">
        <w:rPr>
          <w:b/>
          <w:i/>
        </w:rPr>
        <w:t>current year</w:t>
      </w:r>
      <w:r w:rsidRPr="0065514F">
        <w:t>) beginning on 1</w:t>
      </w:r>
      <w:r w:rsidR="0065514F" w:rsidRPr="0065514F">
        <w:t> </w:t>
      </w:r>
      <w:r w:rsidRPr="0065514F">
        <w:t xml:space="preserve">January 2019 or a later calendar year (the </w:t>
      </w:r>
      <w:r w:rsidRPr="0065514F">
        <w:rPr>
          <w:b/>
          <w:i/>
        </w:rPr>
        <w:t>current year</w:t>
      </w:r>
      <w:r w:rsidRPr="0065514F">
        <w:t>) if in the pr</w:t>
      </w:r>
      <w:r w:rsidR="004F260E" w:rsidRPr="0065514F">
        <w:t>evious year the Minister did not make an instrument under section</w:t>
      </w:r>
      <w:r w:rsidR="0065514F" w:rsidRPr="0065514F">
        <w:t> </w:t>
      </w:r>
      <w:r w:rsidR="004F260E" w:rsidRPr="0065514F">
        <w:t>7A for the purposes of that paragraph for the current year</w:t>
      </w:r>
      <w:r w:rsidRPr="0065514F">
        <w:t>.</w:t>
      </w:r>
    </w:p>
    <w:p w:rsidR="007D481C" w:rsidRPr="0065514F" w:rsidRDefault="00273120" w:rsidP="0065514F">
      <w:pPr>
        <w:pStyle w:val="subsection"/>
      </w:pPr>
      <w:r w:rsidRPr="0065514F">
        <w:tab/>
        <w:t>(2)</w:t>
      </w:r>
      <w:r w:rsidRPr="0065514F">
        <w:tab/>
        <w:t xml:space="preserve">The </w:t>
      </w:r>
      <w:r w:rsidR="00CD5E0D" w:rsidRPr="0065514F">
        <w:t xml:space="preserve">dollar </w:t>
      </w:r>
      <w:r w:rsidRPr="0065514F">
        <w:t xml:space="preserve">amount under </w:t>
      </w:r>
      <w:r w:rsidR="000840CE" w:rsidRPr="0065514F">
        <w:t xml:space="preserve">that </w:t>
      </w:r>
      <w:r w:rsidRPr="0065514F">
        <w:t>paragraph</w:t>
      </w:r>
      <w:r w:rsidR="004E4D86" w:rsidRPr="0065514F">
        <w:t xml:space="preserve"> </w:t>
      </w:r>
      <w:r w:rsidRPr="0065514F">
        <w:t>is on 1</w:t>
      </w:r>
      <w:r w:rsidR="0065514F" w:rsidRPr="0065514F">
        <w:t> </w:t>
      </w:r>
      <w:r w:rsidRPr="0065514F">
        <w:t xml:space="preserve">January of the current year replaced by the amount </w:t>
      </w:r>
      <w:r w:rsidR="007D481C" w:rsidRPr="0065514F">
        <w:t xml:space="preserve">worked out using the </w:t>
      </w:r>
      <w:bookmarkStart w:id="12" w:name="BKCheck15B_8"/>
      <w:bookmarkStart w:id="13" w:name="BKCheck15B_4"/>
      <w:bookmarkEnd w:id="12"/>
      <w:bookmarkEnd w:id="13"/>
      <w:r w:rsidR="007D481C" w:rsidRPr="0065514F">
        <w:t>formula:</w:t>
      </w:r>
    </w:p>
    <w:p w:rsidR="007D481C" w:rsidRPr="0065514F" w:rsidRDefault="00B35E60" w:rsidP="0065514F">
      <w:pPr>
        <w:pStyle w:val="subsection2"/>
      </w:pPr>
      <w:bookmarkStart w:id="14" w:name="BKCheck15B_2"/>
      <w:bookmarkEnd w:id="14"/>
      <w:r>
        <w:rPr>
          <w:position w:val="-20"/>
        </w:rPr>
        <w:lastRenderedPageBreak/>
        <w:pict>
          <v:shape id="_x0000_i1027" type="#_x0000_t75" style="width:233.25pt;height:32.25pt">
            <v:imagedata r:id="rId20" o:title=""/>
          </v:shape>
        </w:pict>
      </w:r>
    </w:p>
    <w:p w:rsidR="007D481C" w:rsidRPr="0065514F" w:rsidRDefault="007D481C" w:rsidP="0065514F">
      <w:pPr>
        <w:pStyle w:val="SubsectionHead"/>
      </w:pPr>
      <w:r w:rsidRPr="0065514F">
        <w:t>Indexation factor</w:t>
      </w:r>
    </w:p>
    <w:p w:rsidR="007D481C" w:rsidRPr="0065514F" w:rsidRDefault="007D481C" w:rsidP="0065514F">
      <w:pPr>
        <w:pStyle w:val="subsection"/>
      </w:pPr>
      <w:r w:rsidRPr="0065514F">
        <w:tab/>
        <w:t>(</w:t>
      </w:r>
      <w:r w:rsidR="00A24B5D" w:rsidRPr="0065514F">
        <w:t>2A</w:t>
      </w:r>
      <w:r w:rsidRPr="0065514F">
        <w:t>)</w:t>
      </w:r>
      <w:r w:rsidRPr="0065514F">
        <w:tab/>
        <w:t xml:space="preserve">The </w:t>
      </w:r>
      <w:r w:rsidRPr="0065514F">
        <w:rPr>
          <w:b/>
          <w:i/>
        </w:rPr>
        <w:t xml:space="preserve">indexation factor </w:t>
      </w:r>
      <w:r w:rsidRPr="0065514F">
        <w:t>for a 1</w:t>
      </w:r>
      <w:r w:rsidR="0065514F" w:rsidRPr="0065514F">
        <w:t> </w:t>
      </w:r>
      <w:r w:rsidRPr="0065514F">
        <w:t>January is the number worked out using the formula:</w:t>
      </w:r>
    </w:p>
    <w:p w:rsidR="007D481C" w:rsidRPr="0065514F" w:rsidRDefault="00B35E60" w:rsidP="0065514F">
      <w:pPr>
        <w:pStyle w:val="subsection2"/>
      </w:pPr>
      <w:bookmarkStart w:id="15" w:name="BKCheck15B_5"/>
      <w:bookmarkStart w:id="16" w:name="BKCheck15B_3"/>
      <w:bookmarkEnd w:id="15"/>
      <w:bookmarkEnd w:id="16"/>
      <w:r>
        <w:rPr>
          <w:position w:val="-36"/>
        </w:rPr>
        <w:pict>
          <v:shape id="_x0000_i1028" type="#_x0000_t75" style="width:206.25pt;height:39.75pt">
            <v:imagedata r:id="rId21" o:title=""/>
          </v:shape>
        </w:pict>
      </w:r>
    </w:p>
    <w:p w:rsidR="007D481C" w:rsidRPr="0065514F" w:rsidRDefault="007D481C" w:rsidP="0065514F">
      <w:pPr>
        <w:pStyle w:val="subsection2"/>
        <w:spacing w:before="180"/>
      </w:pPr>
      <w:r w:rsidRPr="0065514F">
        <w:t>where:</w:t>
      </w:r>
    </w:p>
    <w:p w:rsidR="007D481C" w:rsidRPr="0065514F" w:rsidRDefault="007D481C" w:rsidP="0065514F">
      <w:pPr>
        <w:pStyle w:val="Definition"/>
      </w:pPr>
      <w:r w:rsidRPr="0065514F">
        <w:rPr>
          <w:b/>
          <w:i/>
        </w:rPr>
        <w:t xml:space="preserve">base September quarter </w:t>
      </w:r>
      <w:r w:rsidRPr="0065514F">
        <w:t xml:space="preserve">means the last September quarter before the reference </w:t>
      </w:r>
      <w:r w:rsidR="00AB2EF0" w:rsidRPr="0065514F">
        <w:t>September</w:t>
      </w:r>
      <w:r w:rsidRPr="0065514F">
        <w:t xml:space="preserve"> quarter.</w:t>
      </w:r>
    </w:p>
    <w:p w:rsidR="007D481C" w:rsidRPr="0065514F" w:rsidRDefault="007D481C" w:rsidP="0065514F">
      <w:pPr>
        <w:pStyle w:val="Definition"/>
      </w:pPr>
      <w:r w:rsidRPr="0065514F">
        <w:rPr>
          <w:b/>
          <w:i/>
        </w:rPr>
        <w:t>reference September quarter</w:t>
      </w:r>
      <w:r w:rsidRPr="0065514F">
        <w:t xml:space="preserve"> means the September quarter </w:t>
      </w:r>
      <w:r w:rsidR="00C50351" w:rsidRPr="0065514F">
        <w:t>in the year before the current year</w:t>
      </w:r>
      <w:r w:rsidRPr="0065514F">
        <w:t>.</w:t>
      </w:r>
    </w:p>
    <w:p w:rsidR="00A24B5D" w:rsidRPr="0065514F" w:rsidRDefault="004E4D86" w:rsidP="0065514F">
      <w:pPr>
        <w:pStyle w:val="ItemHead"/>
      </w:pPr>
      <w:r w:rsidRPr="0065514F">
        <w:t>7</w:t>
      </w:r>
      <w:r w:rsidR="00A24B5D" w:rsidRPr="0065514F">
        <w:t xml:space="preserve">  Subsection</w:t>
      </w:r>
      <w:r w:rsidR="0065514F" w:rsidRPr="0065514F">
        <w:t> </w:t>
      </w:r>
      <w:r w:rsidR="00A24B5D" w:rsidRPr="0065514F">
        <w:t>8(3)</w:t>
      </w:r>
    </w:p>
    <w:p w:rsidR="00A24B5D" w:rsidRPr="0065514F" w:rsidRDefault="00A24B5D" w:rsidP="0065514F">
      <w:pPr>
        <w:pStyle w:val="Item"/>
      </w:pPr>
      <w:r w:rsidRPr="0065514F">
        <w:t>Omit “</w:t>
      </w:r>
      <w:r w:rsidR="0065514F" w:rsidRPr="0065514F">
        <w:t>subsection (</w:t>
      </w:r>
      <w:r w:rsidRPr="0065514F">
        <w:t>2)”, substitute “</w:t>
      </w:r>
      <w:r w:rsidR="0065514F" w:rsidRPr="0065514F">
        <w:t>subsection (</w:t>
      </w:r>
      <w:r w:rsidR="00030AEA" w:rsidRPr="0065514F">
        <w:t>2A)</w:t>
      </w:r>
      <w:r w:rsidRPr="0065514F">
        <w:t>”.</w:t>
      </w:r>
    </w:p>
    <w:p w:rsidR="0022604C" w:rsidRPr="0065514F" w:rsidRDefault="004E4D86" w:rsidP="0065514F">
      <w:pPr>
        <w:pStyle w:val="ItemHead"/>
      </w:pPr>
      <w:r w:rsidRPr="0065514F">
        <w:t>8</w:t>
      </w:r>
      <w:r w:rsidR="0022604C" w:rsidRPr="0065514F">
        <w:t xml:space="preserve">  At the end of section</w:t>
      </w:r>
      <w:r w:rsidR="0065514F" w:rsidRPr="0065514F">
        <w:t> </w:t>
      </w:r>
      <w:r w:rsidR="0022604C" w:rsidRPr="0065514F">
        <w:t>8</w:t>
      </w:r>
    </w:p>
    <w:p w:rsidR="0022604C" w:rsidRPr="0065514F" w:rsidRDefault="0022604C" w:rsidP="0065514F">
      <w:pPr>
        <w:pStyle w:val="Item"/>
      </w:pPr>
      <w:r w:rsidRPr="0065514F">
        <w:t>Add:</w:t>
      </w:r>
    </w:p>
    <w:p w:rsidR="0022604C" w:rsidRPr="0065514F" w:rsidRDefault="0022604C" w:rsidP="0065514F">
      <w:pPr>
        <w:pStyle w:val="SubsectionHead"/>
      </w:pPr>
      <w:r w:rsidRPr="0065514F">
        <w:t>Publication</w:t>
      </w:r>
    </w:p>
    <w:p w:rsidR="0022604C" w:rsidRPr="0065514F" w:rsidRDefault="0022604C" w:rsidP="0065514F">
      <w:pPr>
        <w:pStyle w:val="subsection"/>
      </w:pPr>
      <w:r w:rsidRPr="0065514F">
        <w:tab/>
        <w:t>(7)</w:t>
      </w:r>
      <w:r w:rsidRPr="0065514F">
        <w:tab/>
        <w:t xml:space="preserve">The Minister must cause each amount worked out under </w:t>
      </w:r>
      <w:r w:rsidR="0065514F" w:rsidRPr="0065514F">
        <w:t>subsection (</w:t>
      </w:r>
      <w:r w:rsidRPr="0065514F">
        <w:t>2) to be made publicly available in any manner he or she considers appropriate.</w:t>
      </w:r>
    </w:p>
    <w:p w:rsidR="00DB382D" w:rsidRPr="0065514F" w:rsidRDefault="004E4D86" w:rsidP="0065514F">
      <w:pPr>
        <w:pStyle w:val="ItemHead"/>
      </w:pPr>
      <w:r w:rsidRPr="0065514F">
        <w:t>9</w:t>
      </w:r>
      <w:r w:rsidR="00DB382D" w:rsidRPr="0065514F">
        <w:t xml:space="preserve">  Part</w:t>
      </w:r>
      <w:r w:rsidR="0065514F" w:rsidRPr="0065514F">
        <w:t> </w:t>
      </w:r>
      <w:r w:rsidR="00DB382D" w:rsidRPr="0065514F">
        <w:t>3 (heading)</w:t>
      </w:r>
    </w:p>
    <w:p w:rsidR="00DB382D" w:rsidRPr="0065514F" w:rsidRDefault="00DB382D" w:rsidP="0065514F">
      <w:pPr>
        <w:pStyle w:val="Item"/>
      </w:pPr>
      <w:r w:rsidRPr="0065514F">
        <w:t>Repeal the heading.</w:t>
      </w:r>
    </w:p>
    <w:p w:rsidR="00DB382D" w:rsidRPr="0065514F" w:rsidRDefault="004E4D86" w:rsidP="0065514F">
      <w:pPr>
        <w:pStyle w:val="ItemHead"/>
      </w:pPr>
      <w:r w:rsidRPr="0065514F">
        <w:t>10</w:t>
      </w:r>
      <w:r w:rsidR="00DB382D" w:rsidRPr="0065514F">
        <w:t xml:space="preserve">  Section</w:t>
      </w:r>
      <w:r w:rsidR="0065514F" w:rsidRPr="0065514F">
        <w:t> </w:t>
      </w:r>
      <w:r w:rsidR="00DB382D" w:rsidRPr="0065514F">
        <w:t>11 (heading)</w:t>
      </w:r>
    </w:p>
    <w:p w:rsidR="00DB382D" w:rsidRPr="0065514F" w:rsidRDefault="00DB382D" w:rsidP="0065514F">
      <w:pPr>
        <w:pStyle w:val="Item"/>
      </w:pPr>
      <w:r w:rsidRPr="0065514F">
        <w:t>Repeal the heading, substitute:</w:t>
      </w:r>
    </w:p>
    <w:p w:rsidR="00DB382D" w:rsidRPr="0065514F" w:rsidRDefault="00DB382D" w:rsidP="0065514F">
      <w:pPr>
        <w:pStyle w:val="ActHead5"/>
      </w:pPr>
      <w:bookmarkStart w:id="17" w:name="_Toc493250108"/>
      <w:r w:rsidRPr="0065514F">
        <w:rPr>
          <w:rStyle w:val="CharSectno"/>
        </w:rPr>
        <w:lastRenderedPageBreak/>
        <w:t>11</w:t>
      </w:r>
      <w:r w:rsidRPr="0065514F">
        <w:t xml:space="preserve">  Rules for making </w:t>
      </w:r>
      <w:r w:rsidR="00954CC9" w:rsidRPr="0065514F">
        <w:t xml:space="preserve">legislative </w:t>
      </w:r>
      <w:r w:rsidRPr="0065514F">
        <w:t>instrument under section</w:t>
      </w:r>
      <w:r w:rsidR="0065514F" w:rsidRPr="0065514F">
        <w:t> </w:t>
      </w:r>
      <w:r w:rsidRPr="0065514F">
        <w:t>9 or 10</w:t>
      </w:r>
      <w:bookmarkEnd w:id="17"/>
    </w:p>
    <w:p w:rsidR="00D1787D" w:rsidRPr="0065514F" w:rsidRDefault="004E4D86" w:rsidP="0065514F">
      <w:pPr>
        <w:pStyle w:val="ItemHead"/>
      </w:pPr>
      <w:r w:rsidRPr="0065514F">
        <w:t>11</w:t>
      </w:r>
      <w:r w:rsidR="00D1787D" w:rsidRPr="0065514F">
        <w:t xml:space="preserve">  Before section</w:t>
      </w:r>
      <w:r w:rsidR="0065514F" w:rsidRPr="0065514F">
        <w:t> </w:t>
      </w:r>
      <w:r w:rsidR="00D1787D" w:rsidRPr="0065514F">
        <w:t>12</w:t>
      </w:r>
    </w:p>
    <w:p w:rsidR="00D1787D" w:rsidRPr="0065514F" w:rsidRDefault="00D1787D" w:rsidP="0065514F">
      <w:pPr>
        <w:pStyle w:val="Item"/>
      </w:pPr>
      <w:r w:rsidRPr="0065514F">
        <w:t>Insert:</w:t>
      </w:r>
    </w:p>
    <w:p w:rsidR="00D1787D" w:rsidRPr="0065514F" w:rsidRDefault="00D1787D" w:rsidP="0065514F">
      <w:pPr>
        <w:pStyle w:val="ActHead2"/>
      </w:pPr>
      <w:bookmarkStart w:id="18" w:name="_Toc493250109"/>
      <w:r w:rsidRPr="0065514F">
        <w:rPr>
          <w:rStyle w:val="CharPartNo"/>
        </w:rPr>
        <w:t>Part</w:t>
      </w:r>
      <w:r w:rsidR="0065514F" w:rsidRPr="0065514F">
        <w:rPr>
          <w:rStyle w:val="CharPartNo"/>
        </w:rPr>
        <w:t> </w:t>
      </w:r>
      <w:r w:rsidRPr="0065514F">
        <w:rPr>
          <w:rStyle w:val="CharPartNo"/>
        </w:rPr>
        <w:t>3</w:t>
      </w:r>
      <w:r w:rsidRPr="0065514F">
        <w:t>—</w:t>
      </w:r>
      <w:r w:rsidRPr="0065514F">
        <w:rPr>
          <w:rStyle w:val="CharPartText"/>
        </w:rPr>
        <w:t>Other matters</w:t>
      </w:r>
      <w:bookmarkEnd w:id="18"/>
    </w:p>
    <w:p w:rsidR="00D1787D" w:rsidRPr="0065514F" w:rsidRDefault="00D1787D" w:rsidP="0065514F">
      <w:pPr>
        <w:pStyle w:val="Header"/>
      </w:pPr>
      <w:r w:rsidRPr="0065514F">
        <w:rPr>
          <w:rStyle w:val="CharDivNo"/>
        </w:rPr>
        <w:t xml:space="preserve"> </w:t>
      </w:r>
      <w:r w:rsidRPr="0065514F">
        <w:rPr>
          <w:rStyle w:val="CharDivText"/>
        </w:rPr>
        <w:t xml:space="preserve"> </w:t>
      </w:r>
    </w:p>
    <w:p w:rsidR="003229F2" w:rsidRPr="0065514F" w:rsidRDefault="004E4D86" w:rsidP="0065514F">
      <w:pPr>
        <w:pStyle w:val="ItemHead"/>
      </w:pPr>
      <w:r w:rsidRPr="0065514F">
        <w:t>12</w:t>
      </w:r>
      <w:r w:rsidR="003229F2" w:rsidRPr="0065514F">
        <w:t xml:space="preserve">  Section</w:t>
      </w:r>
      <w:r w:rsidR="0065514F" w:rsidRPr="0065514F">
        <w:t> </w:t>
      </w:r>
      <w:r w:rsidR="003229F2" w:rsidRPr="0065514F">
        <w:t>13</w:t>
      </w:r>
    </w:p>
    <w:p w:rsidR="003229F2" w:rsidRPr="0065514F" w:rsidRDefault="003229F2" w:rsidP="0065514F">
      <w:pPr>
        <w:pStyle w:val="Item"/>
      </w:pPr>
      <w:r w:rsidRPr="0065514F">
        <w:t>Repeal the section.</w:t>
      </w:r>
    </w:p>
    <w:p w:rsidR="00AC6A12" w:rsidRPr="0065514F" w:rsidRDefault="004E4D86" w:rsidP="0065514F">
      <w:pPr>
        <w:pStyle w:val="ItemHead"/>
      </w:pPr>
      <w:r w:rsidRPr="0065514F">
        <w:t>13</w:t>
      </w:r>
      <w:r w:rsidR="00AC6A12" w:rsidRPr="0065514F">
        <w:t xml:space="preserve">  Application </w:t>
      </w:r>
      <w:r w:rsidR="0013351F" w:rsidRPr="0065514F">
        <w:t xml:space="preserve">and saving </w:t>
      </w:r>
      <w:r w:rsidR="00AC6A12" w:rsidRPr="0065514F">
        <w:t>provision</w:t>
      </w:r>
      <w:r w:rsidR="0013351F" w:rsidRPr="0065514F">
        <w:t>s</w:t>
      </w:r>
    </w:p>
    <w:p w:rsidR="006116EC" w:rsidRPr="0065514F" w:rsidRDefault="0013351F" w:rsidP="0065514F">
      <w:pPr>
        <w:pStyle w:val="Subitem"/>
      </w:pPr>
      <w:r w:rsidRPr="0065514F">
        <w:t>(1)</w:t>
      </w:r>
      <w:r w:rsidRPr="0065514F">
        <w:tab/>
      </w:r>
      <w:r w:rsidR="00AC6A12" w:rsidRPr="0065514F">
        <w:t>The amendments made by this Schedule apply in relation to</w:t>
      </w:r>
      <w:r w:rsidR="007300D0" w:rsidRPr="0065514F">
        <w:t xml:space="preserve"> working out the amount of TPS levy under subsection</w:t>
      </w:r>
      <w:r w:rsidR="0065514F" w:rsidRPr="0065514F">
        <w:t> </w:t>
      </w:r>
      <w:r w:rsidR="007300D0" w:rsidRPr="0065514F">
        <w:t xml:space="preserve">5(2) or (4) of the </w:t>
      </w:r>
      <w:r w:rsidR="007300D0" w:rsidRPr="0065514F">
        <w:rPr>
          <w:i/>
        </w:rPr>
        <w:t xml:space="preserve">Education Services for Overseas Students (TPS Levies) Act 2012 </w:t>
      </w:r>
      <w:r w:rsidR="007300D0" w:rsidRPr="0065514F">
        <w:t xml:space="preserve">for </w:t>
      </w:r>
      <w:r w:rsidR="004E4D86" w:rsidRPr="0065514F">
        <w:t>the calendar year beginning on 1</w:t>
      </w:r>
      <w:r w:rsidR="0065514F" w:rsidRPr="0065514F">
        <w:t> </w:t>
      </w:r>
      <w:r w:rsidR="004E4D86" w:rsidRPr="0065514F">
        <w:t>January 2018 and each later calendar year</w:t>
      </w:r>
      <w:r w:rsidR="007300D0" w:rsidRPr="0065514F">
        <w:t>.</w:t>
      </w:r>
    </w:p>
    <w:p w:rsidR="00230051" w:rsidRDefault="0013351F" w:rsidP="0065514F">
      <w:pPr>
        <w:pStyle w:val="Subitem"/>
      </w:pPr>
      <w:r w:rsidRPr="0065514F">
        <w:t>(2)</w:t>
      </w:r>
      <w:r w:rsidRPr="0065514F">
        <w:tab/>
        <w:t>The amendments made by this Schedule do not affect the continuity of any instrument in force under section</w:t>
      </w:r>
      <w:r w:rsidR="0065514F" w:rsidRPr="0065514F">
        <w:t> </w:t>
      </w:r>
      <w:r w:rsidRPr="0065514F">
        <w:t xml:space="preserve">12 of the </w:t>
      </w:r>
      <w:r w:rsidRPr="0065514F">
        <w:rPr>
          <w:i/>
        </w:rPr>
        <w:t>Education Services for Overseas Students (TPS Levies) Act 2012</w:t>
      </w:r>
      <w:r w:rsidRPr="0065514F">
        <w:t xml:space="preserve"> immediately before the commencement of this item.</w:t>
      </w:r>
    </w:p>
    <w:p w:rsidR="006E6F08" w:rsidRDefault="006E6F08" w:rsidP="006747FC"/>
    <w:p w:rsidR="006E6F08" w:rsidRDefault="006E6F08" w:rsidP="00027C40">
      <w:pPr>
        <w:pStyle w:val="AssentBk"/>
        <w:keepNext/>
      </w:pPr>
    </w:p>
    <w:p w:rsidR="006E6F08" w:rsidRDefault="006E6F08" w:rsidP="00027C40">
      <w:pPr>
        <w:pStyle w:val="AssentBk"/>
        <w:keepNext/>
      </w:pPr>
    </w:p>
    <w:p w:rsidR="006747FC" w:rsidRDefault="006747FC" w:rsidP="000C5962">
      <w:pPr>
        <w:pStyle w:val="2ndRd"/>
        <w:keepNext/>
        <w:pBdr>
          <w:top w:val="single" w:sz="2" w:space="1" w:color="auto"/>
        </w:pBdr>
      </w:pPr>
    </w:p>
    <w:p w:rsidR="006747FC" w:rsidRDefault="006747F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747FC" w:rsidRDefault="006747F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August 2017</w:t>
      </w:r>
    </w:p>
    <w:p w:rsidR="006747FC" w:rsidRDefault="006747F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September 2017</w:t>
      </w:r>
      <w:r>
        <w:t>]</w:t>
      </w:r>
    </w:p>
    <w:p w:rsidR="006747FC" w:rsidRDefault="006747FC" w:rsidP="000C5962"/>
    <w:p w:rsidR="006E6F08" w:rsidRPr="006747FC" w:rsidRDefault="006747FC" w:rsidP="006747FC">
      <w:pPr>
        <w:framePr w:hSpace="180" w:wrap="around" w:vAnchor="text" w:hAnchor="page" w:x="2391" w:y="2573"/>
      </w:pPr>
      <w:r>
        <w:t>(157/17)</w:t>
      </w:r>
    </w:p>
    <w:p w:rsidR="006747FC" w:rsidRDefault="006747FC"/>
    <w:sectPr w:rsidR="006747FC" w:rsidSect="006E6F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CB" w:rsidRDefault="002629CB" w:rsidP="0048364F">
      <w:pPr>
        <w:spacing w:line="240" w:lineRule="auto"/>
      </w:pPr>
      <w:r>
        <w:separator/>
      </w:r>
    </w:p>
  </w:endnote>
  <w:endnote w:type="continuationSeparator" w:id="0">
    <w:p w:rsidR="002629CB" w:rsidRDefault="002629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5F1388" w:rsidRDefault="002629CB" w:rsidP="006551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FC" w:rsidRDefault="006747FC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747FC" w:rsidRDefault="006747FC" w:rsidP="007517B8"/>
  <w:p w:rsidR="006747FC" w:rsidRDefault="006747FC" w:rsidP="007517B8"/>
  <w:p w:rsidR="002629CB" w:rsidRDefault="002629CB" w:rsidP="0065514F">
    <w:pPr>
      <w:pStyle w:val="Footer"/>
      <w:spacing w:before="120"/>
    </w:pPr>
  </w:p>
  <w:p w:rsidR="002629CB" w:rsidRPr="005F1388" w:rsidRDefault="002629C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ED79B6" w:rsidRDefault="002629CB" w:rsidP="006551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Default="002629CB" w:rsidP="006551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629CB" w:rsidTr="002629CB">
      <w:tc>
        <w:tcPr>
          <w:tcW w:w="646" w:type="dxa"/>
        </w:tcPr>
        <w:p w:rsidR="002629CB" w:rsidRDefault="002629CB" w:rsidP="002629C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E6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629CB" w:rsidRDefault="001A039C" w:rsidP="002629CB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(TPS Levies) Amendment Act 2017</w:t>
          </w:r>
        </w:p>
      </w:tc>
      <w:tc>
        <w:tcPr>
          <w:tcW w:w="1270" w:type="dxa"/>
        </w:tcPr>
        <w:p w:rsidR="002629CB" w:rsidRDefault="001A039C" w:rsidP="002629C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2629CB" w:rsidRDefault="002629C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Default="002629CB" w:rsidP="006551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29CB" w:rsidTr="002629CB">
      <w:tc>
        <w:tcPr>
          <w:tcW w:w="1247" w:type="dxa"/>
        </w:tcPr>
        <w:p w:rsidR="002629CB" w:rsidRDefault="001A039C" w:rsidP="006747FC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6747FC">
            <w:rPr>
              <w:i/>
              <w:sz w:val="18"/>
            </w:rPr>
            <w:t>98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2629CB" w:rsidRDefault="001A039C" w:rsidP="002629C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Education Services for Overseas Students (TPS Levies) Amendment Act 2017</w:t>
          </w:r>
        </w:p>
      </w:tc>
      <w:tc>
        <w:tcPr>
          <w:tcW w:w="669" w:type="dxa"/>
        </w:tcPr>
        <w:p w:rsidR="002629CB" w:rsidRDefault="002629CB" w:rsidP="002629C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E6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629CB" w:rsidRPr="00ED79B6" w:rsidRDefault="002629C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A961C4" w:rsidRDefault="002629CB" w:rsidP="0065514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629CB" w:rsidTr="0065514F">
      <w:tc>
        <w:tcPr>
          <w:tcW w:w="646" w:type="dxa"/>
        </w:tcPr>
        <w:p w:rsidR="002629CB" w:rsidRDefault="002629CB" w:rsidP="002629C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35E60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629CB" w:rsidRDefault="001A039C" w:rsidP="002629CB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(TPS Levies) Amendment Act 2017</w:t>
          </w:r>
        </w:p>
      </w:tc>
      <w:tc>
        <w:tcPr>
          <w:tcW w:w="1270" w:type="dxa"/>
        </w:tcPr>
        <w:p w:rsidR="002629CB" w:rsidRDefault="006747FC" w:rsidP="002629C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98, 2017</w:t>
          </w:r>
        </w:p>
      </w:tc>
    </w:tr>
  </w:tbl>
  <w:p w:rsidR="002629CB" w:rsidRPr="00A961C4" w:rsidRDefault="002629C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A961C4" w:rsidRDefault="002629CB" w:rsidP="006551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29CB" w:rsidTr="0065514F">
      <w:tc>
        <w:tcPr>
          <w:tcW w:w="1247" w:type="dxa"/>
        </w:tcPr>
        <w:p w:rsidR="002629CB" w:rsidRDefault="006747FC" w:rsidP="002629CB">
          <w:pPr>
            <w:rPr>
              <w:sz w:val="18"/>
            </w:rPr>
          </w:pPr>
          <w:r>
            <w:rPr>
              <w:i/>
              <w:sz w:val="18"/>
            </w:rPr>
            <w:t>No. 98, 2017</w:t>
          </w:r>
        </w:p>
      </w:tc>
      <w:tc>
        <w:tcPr>
          <w:tcW w:w="5387" w:type="dxa"/>
        </w:tcPr>
        <w:p w:rsidR="002629CB" w:rsidRDefault="001A039C" w:rsidP="002629CB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(TPS Levies) Amendment Act 2017</w:t>
          </w:r>
        </w:p>
      </w:tc>
      <w:tc>
        <w:tcPr>
          <w:tcW w:w="669" w:type="dxa"/>
        </w:tcPr>
        <w:p w:rsidR="002629CB" w:rsidRDefault="002629CB" w:rsidP="002629C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35E60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629CB" w:rsidRPr="00055B5C" w:rsidRDefault="002629CB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A961C4" w:rsidRDefault="002629CB" w:rsidP="006551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29CB" w:rsidTr="0065514F">
      <w:tc>
        <w:tcPr>
          <w:tcW w:w="1247" w:type="dxa"/>
        </w:tcPr>
        <w:p w:rsidR="002629CB" w:rsidRDefault="006747FC" w:rsidP="002629CB">
          <w:pPr>
            <w:rPr>
              <w:sz w:val="18"/>
            </w:rPr>
          </w:pPr>
          <w:r>
            <w:rPr>
              <w:i/>
              <w:sz w:val="18"/>
            </w:rPr>
            <w:t>No. 98, 2017</w:t>
          </w:r>
        </w:p>
      </w:tc>
      <w:tc>
        <w:tcPr>
          <w:tcW w:w="5387" w:type="dxa"/>
        </w:tcPr>
        <w:p w:rsidR="002629CB" w:rsidRDefault="001A039C" w:rsidP="002629CB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(TPS Levies) Amendment Act 2017</w:t>
          </w:r>
        </w:p>
      </w:tc>
      <w:tc>
        <w:tcPr>
          <w:tcW w:w="669" w:type="dxa"/>
        </w:tcPr>
        <w:p w:rsidR="002629CB" w:rsidRDefault="002629CB" w:rsidP="002629C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35E6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629CB" w:rsidRPr="00A961C4" w:rsidRDefault="002629CB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CB" w:rsidRDefault="002629CB" w:rsidP="0048364F">
      <w:pPr>
        <w:spacing w:line="240" w:lineRule="auto"/>
      </w:pPr>
      <w:r>
        <w:separator/>
      </w:r>
    </w:p>
  </w:footnote>
  <w:footnote w:type="continuationSeparator" w:id="0">
    <w:p w:rsidR="002629CB" w:rsidRDefault="002629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5F1388" w:rsidRDefault="002629C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5F1388" w:rsidRDefault="002629C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5F1388" w:rsidRDefault="002629C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ED79B6" w:rsidRDefault="002629C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ED79B6" w:rsidRDefault="002629C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ED79B6" w:rsidRDefault="002629C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A961C4" w:rsidRDefault="002629C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5E60">
      <w:rPr>
        <w:b/>
        <w:sz w:val="20"/>
      </w:rPr>
      <w:fldChar w:fldCharType="separate"/>
    </w:r>
    <w:r w:rsidR="00B35E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35E60">
      <w:rPr>
        <w:sz w:val="20"/>
      </w:rPr>
      <w:fldChar w:fldCharType="separate"/>
    </w:r>
    <w:r w:rsidR="00B35E60">
      <w:rPr>
        <w:noProof/>
        <w:sz w:val="20"/>
      </w:rPr>
      <w:t>Amendments</w:t>
    </w:r>
    <w:r>
      <w:rPr>
        <w:sz w:val="20"/>
      </w:rPr>
      <w:fldChar w:fldCharType="end"/>
    </w:r>
  </w:p>
  <w:p w:rsidR="002629CB" w:rsidRPr="00A961C4" w:rsidRDefault="002629C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629CB" w:rsidRPr="00A961C4" w:rsidRDefault="002629CB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A961C4" w:rsidRDefault="002629C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35E60">
      <w:rPr>
        <w:sz w:val="20"/>
      </w:rPr>
      <w:fldChar w:fldCharType="separate"/>
    </w:r>
    <w:r w:rsidR="00B35E6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5E60">
      <w:rPr>
        <w:b/>
        <w:sz w:val="20"/>
      </w:rPr>
      <w:fldChar w:fldCharType="separate"/>
    </w:r>
    <w:r w:rsidR="00B35E6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629CB" w:rsidRPr="00A961C4" w:rsidRDefault="002629C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629CB" w:rsidRPr="00A961C4" w:rsidRDefault="002629CB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CB" w:rsidRPr="00A961C4" w:rsidRDefault="002629C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24"/>
    <w:rsid w:val="000113BC"/>
    <w:rsid w:val="000136AF"/>
    <w:rsid w:val="00030AEA"/>
    <w:rsid w:val="000417C9"/>
    <w:rsid w:val="00055B5C"/>
    <w:rsid w:val="00056391"/>
    <w:rsid w:val="00060FF9"/>
    <w:rsid w:val="000614BF"/>
    <w:rsid w:val="0006449B"/>
    <w:rsid w:val="000675DD"/>
    <w:rsid w:val="000728E7"/>
    <w:rsid w:val="00073F9D"/>
    <w:rsid w:val="000740DA"/>
    <w:rsid w:val="00082100"/>
    <w:rsid w:val="000840CE"/>
    <w:rsid w:val="000A3522"/>
    <w:rsid w:val="000B1FD2"/>
    <w:rsid w:val="000D05EF"/>
    <w:rsid w:val="000F21C1"/>
    <w:rsid w:val="00101D90"/>
    <w:rsid w:val="0010745C"/>
    <w:rsid w:val="00110625"/>
    <w:rsid w:val="00113BD1"/>
    <w:rsid w:val="00116F59"/>
    <w:rsid w:val="00122206"/>
    <w:rsid w:val="00124EE4"/>
    <w:rsid w:val="0013351F"/>
    <w:rsid w:val="00154A6B"/>
    <w:rsid w:val="0015646E"/>
    <w:rsid w:val="001643C9"/>
    <w:rsid w:val="00164559"/>
    <w:rsid w:val="00165568"/>
    <w:rsid w:val="00166C2F"/>
    <w:rsid w:val="001716C9"/>
    <w:rsid w:val="00173363"/>
    <w:rsid w:val="00173B94"/>
    <w:rsid w:val="001854B4"/>
    <w:rsid w:val="00193701"/>
    <w:rsid w:val="001939E1"/>
    <w:rsid w:val="00195382"/>
    <w:rsid w:val="001A039C"/>
    <w:rsid w:val="001A3658"/>
    <w:rsid w:val="001A759A"/>
    <w:rsid w:val="001B6FC4"/>
    <w:rsid w:val="001B7A5D"/>
    <w:rsid w:val="001B7BCD"/>
    <w:rsid w:val="001C2418"/>
    <w:rsid w:val="001C69C4"/>
    <w:rsid w:val="001D1756"/>
    <w:rsid w:val="001E3590"/>
    <w:rsid w:val="001E7407"/>
    <w:rsid w:val="001F1FA2"/>
    <w:rsid w:val="001F4A97"/>
    <w:rsid w:val="00201D27"/>
    <w:rsid w:val="00202618"/>
    <w:rsid w:val="00205FD6"/>
    <w:rsid w:val="0022604C"/>
    <w:rsid w:val="00230051"/>
    <w:rsid w:val="00236C25"/>
    <w:rsid w:val="00240749"/>
    <w:rsid w:val="00254827"/>
    <w:rsid w:val="002629CB"/>
    <w:rsid w:val="00263820"/>
    <w:rsid w:val="00271FF4"/>
    <w:rsid w:val="00273120"/>
    <w:rsid w:val="00275197"/>
    <w:rsid w:val="0028623D"/>
    <w:rsid w:val="00293B89"/>
    <w:rsid w:val="00297ECB"/>
    <w:rsid w:val="002B5A30"/>
    <w:rsid w:val="002D043A"/>
    <w:rsid w:val="002D395A"/>
    <w:rsid w:val="003229F2"/>
    <w:rsid w:val="003415D3"/>
    <w:rsid w:val="00344DFB"/>
    <w:rsid w:val="00350417"/>
    <w:rsid w:val="00351E98"/>
    <w:rsid w:val="00352B0F"/>
    <w:rsid w:val="0035338E"/>
    <w:rsid w:val="00375C6C"/>
    <w:rsid w:val="00391578"/>
    <w:rsid w:val="003C5F2B"/>
    <w:rsid w:val="003D0BFE"/>
    <w:rsid w:val="003D5700"/>
    <w:rsid w:val="00405579"/>
    <w:rsid w:val="00410B8E"/>
    <w:rsid w:val="004116CD"/>
    <w:rsid w:val="00421C81"/>
    <w:rsid w:val="00421FC1"/>
    <w:rsid w:val="004229C7"/>
    <w:rsid w:val="00424CA9"/>
    <w:rsid w:val="00436785"/>
    <w:rsid w:val="00436BD5"/>
    <w:rsid w:val="00437E4B"/>
    <w:rsid w:val="0044291A"/>
    <w:rsid w:val="004629ED"/>
    <w:rsid w:val="0048196B"/>
    <w:rsid w:val="0048364F"/>
    <w:rsid w:val="00496F97"/>
    <w:rsid w:val="004A70E3"/>
    <w:rsid w:val="004C7C8C"/>
    <w:rsid w:val="004E2A4A"/>
    <w:rsid w:val="004E4D86"/>
    <w:rsid w:val="004F0D23"/>
    <w:rsid w:val="004F1FAC"/>
    <w:rsid w:val="004F260E"/>
    <w:rsid w:val="004F5E92"/>
    <w:rsid w:val="005077C5"/>
    <w:rsid w:val="00513863"/>
    <w:rsid w:val="00516B8D"/>
    <w:rsid w:val="00537FBC"/>
    <w:rsid w:val="00543469"/>
    <w:rsid w:val="00551B54"/>
    <w:rsid w:val="00552856"/>
    <w:rsid w:val="00552F58"/>
    <w:rsid w:val="00554EBF"/>
    <w:rsid w:val="00555E1C"/>
    <w:rsid w:val="00573F3E"/>
    <w:rsid w:val="005768EF"/>
    <w:rsid w:val="00584811"/>
    <w:rsid w:val="00593AA6"/>
    <w:rsid w:val="00594161"/>
    <w:rsid w:val="00594749"/>
    <w:rsid w:val="005A0D92"/>
    <w:rsid w:val="005A1A73"/>
    <w:rsid w:val="005B4067"/>
    <w:rsid w:val="005C3F41"/>
    <w:rsid w:val="005D57E0"/>
    <w:rsid w:val="005E0BC8"/>
    <w:rsid w:val="005E152A"/>
    <w:rsid w:val="005F23A0"/>
    <w:rsid w:val="00600219"/>
    <w:rsid w:val="006062EA"/>
    <w:rsid w:val="006116EC"/>
    <w:rsid w:val="006205F9"/>
    <w:rsid w:val="00624FE8"/>
    <w:rsid w:val="006272FC"/>
    <w:rsid w:val="00641DE5"/>
    <w:rsid w:val="0065514F"/>
    <w:rsid w:val="00656F0C"/>
    <w:rsid w:val="00664D50"/>
    <w:rsid w:val="006677AE"/>
    <w:rsid w:val="00671E88"/>
    <w:rsid w:val="006747FC"/>
    <w:rsid w:val="00677CC2"/>
    <w:rsid w:val="00681F92"/>
    <w:rsid w:val="006842C2"/>
    <w:rsid w:val="00685F42"/>
    <w:rsid w:val="0069207B"/>
    <w:rsid w:val="006A030F"/>
    <w:rsid w:val="006C1483"/>
    <w:rsid w:val="006C2874"/>
    <w:rsid w:val="006C7F8C"/>
    <w:rsid w:val="006D380D"/>
    <w:rsid w:val="006E0135"/>
    <w:rsid w:val="006E303A"/>
    <w:rsid w:val="006E6F08"/>
    <w:rsid w:val="006F4EEF"/>
    <w:rsid w:val="006F7E19"/>
    <w:rsid w:val="00700B2C"/>
    <w:rsid w:val="00704DC0"/>
    <w:rsid w:val="00712D8D"/>
    <w:rsid w:val="00713084"/>
    <w:rsid w:val="00714094"/>
    <w:rsid w:val="00714B26"/>
    <w:rsid w:val="007300D0"/>
    <w:rsid w:val="00731E00"/>
    <w:rsid w:val="007440B7"/>
    <w:rsid w:val="007634AD"/>
    <w:rsid w:val="007715C9"/>
    <w:rsid w:val="00774EDD"/>
    <w:rsid w:val="007757EC"/>
    <w:rsid w:val="007B5BB8"/>
    <w:rsid w:val="007D481C"/>
    <w:rsid w:val="007E26B5"/>
    <w:rsid w:val="007E7D4A"/>
    <w:rsid w:val="008006CC"/>
    <w:rsid w:val="00804359"/>
    <w:rsid w:val="008075AE"/>
    <w:rsid w:val="00807F18"/>
    <w:rsid w:val="00831E8D"/>
    <w:rsid w:val="00852492"/>
    <w:rsid w:val="0085376B"/>
    <w:rsid w:val="00854D12"/>
    <w:rsid w:val="00856A31"/>
    <w:rsid w:val="00857D6B"/>
    <w:rsid w:val="008754D0"/>
    <w:rsid w:val="00877D48"/>
    <w:rsid w:val="008809A2"/>
    <w:rsid w:val="00883781"/>
    <w:rsid w:val="00885570"/>
    <w:rsid w:val="00893958"/>
    <w:rsid w:val="008A2E77"/>
    <w:rsid w:val="008A384C"/>
    <w:rsid w:val="008C6F6F"/>
    <w:rsid w:val="008D0EE0"/>
    <w:rsid w:val="008F4F1C"/>
    <w:rsid w:val="008F77C4"/>
    <w:rsid w:val="009103F3"/>
    <w:rsid w:val="00932377"/>
    <w:rsid w:val="00932C24"/>
    <w:rsid w:val="0095110B"/>
    <w:rsid w:val="00954CC9"/>
    <w:rsid w:val="00963B61"/>
    <w:rsid w:val="00967042"/>
    <w:rsid w:val="0098255A"/>
    <w:rsid w:val="0098297F"/>
    <w:rsid w:val="009845BE"/>
    <w:rsid w:val="009969C9"/>
    <w:rsid w:val="009C0C8E"/>
    <w:rsid w:val="009D72E7"/>
    <w:rsid w:val="009E03C9"/>
    <w:rsid w:val="009F1C36"/>
    <w:rsid w:val="00A01332"/>
    <w:rsid w:val="00A048FF"/>
    <w:rsid w:val="00A10775"/>
    <w:rsid w:val="00A231E2"/>
    <w:rsid w:val="00A24B5D"/>
    <w:rsid w:val="00A36C48"/>
    <w:rsid w:val="00A41E0B"/>
    <w:rsid w:val="00A55631"/>
    <w:rsid w:val="00A64912"/>
    <w:rsid w:val="00A6726C"/>
    <w:rsid w:val="00A70A74"/>
    <w:rsid w:val="00A713FB"/>
    <w:rsid w:val="00AA3795"/>
    <w:rsid w:val="00AB2EF0"/>
    <w:rsid w:val="00AB4F53"/>
    <w:rsid w:val="00AC1E75"/>
    <w:rsid w:val="00AC6A12"/>
    <w:rsid w:val="00AD5641"/>
    <w:rsid w:val="00AE1088"/>
    <w:rsid w:val="00AF1BA4"/>
    <w:rsid w:val="00B01DF0"/>
    <w:rsid w:val="00B028C6"/>
    <w:rsid w:val="00B032D8"/>
    <w:rsid w:val="00B15C00"/>
    <w:rsid w:val="00B260C4"/>
    <w:rsid w:val="00B33B3C"/>
    <w:rsid w:val="00B35E60"/>
    <w:rsid w:val="00B51C21"/>
    <w:rsid w:val="00B6382D"/>
    <w:rsid w:val="00B72666"/>
    <w:rsid w:val="00BA5026"/>
    <w:rsid w:val="00BB26E7"/>
    <w:rsid w:val="00BB40BF"/>
    <w:rsid w:val="00BC0CD1"/>
    <w:rsid w:val="00BE719A"/>
    <w:rsid w:val="00BE720A"/>
    <w:rsid w:val="00BF0461"/>
    <w:rsid w:val="00BF4944"/>
    <w:rsid w:val="00BF5625"/>
    <w:rsid w:val="00BF56D4"/>
    <w:rsid w:val="00C04409"/>
    <w:rsid w:val="00C067E5"/>
    <w:rsid w:val="00C164CA"/>
    <w:rsid w:val="00C176CF"/>
    <w:rsid w:val="00C22188"/>
    <w:rsid w:val="00C344EC"/>
    <w:rsid w:val="00C352FD"/>
    <w:rsid w:val="00C42BF8"/>
    <w:rsid w:val="00C460AE"/>
    <w:rsid w:val="00C46EE2"/>
    <w:rsid w:val="00C50043"/>
    <w:rsid w:val="00C50351"/>
    <w:rsid w:val="00C54E84"/>
    <w:rsid w:val="00C6321E"/>
    <w:rsid w:val="00C7573B"/>
    <w:rsid w:val="00C76CF3"/>
    <w:rsid w:val="00C968EB"/>
    <w:rsid w:val="00CA6A60"/>
    <w:rsid w:val="00CC2D22"/>
    <w:rsid w:val="00CD5984"/>
    <w:rsid w:val="00CD5E0D"/>
    <w:rsid w:val="00CE0FEA"/>
    <w:rsid w:val="00CE1E31"/>
    <w:rsid w:val="00CF0BB2"/>
    <w:rsid w:val="00CF576B"/>
    <w:rsid w:val="00D00EAA"/>
    <w:rsid w:val="00D13441"/>
    <w:rsid w:val="00D1787D"/>
    <w:rsid w:val="00D243A3"/>
    <w:rsid w:val="00D46715"/>
    <w:rsid w:val="00D477C3"/>
    <w:rsid w:val="00D507D1"/>
    <w:rsid w:val="00D52EFE"/>
    <w:rsid w:val="00D63EF6"/>
    <w:rsid w:val="00D70DFB"/>
    <w:rsid w:val="00D73029"/>
    <w:rsid w:val="00D766DF"/>
    <w:rsid w:val="00DA4853"/>
    <w:rsid w:val="00DB382D"/>
    <w:rsid w:val="00DC1D41"/>
    <w:rsid w:val="00DE2002"/>
    <w:rsid w:val="00DF7AE9"/>
    <w:rsid w:val="00E05704"/>
    <w:rsid w:val="00E10A21"/>
    <w:rsid w:val="00E24D66"/>
    <w:rsid w:val="00E35E1C"/>
    <w:rsid w:val="00E54292"/>
    <w:rsid w:val="00E74DC7"/>
    <w:rsid w:val="00E80B23"/>
    <w:rsid w:val="00E85C50"/>
    <w:rsid w:val="00E87699"/>
    <w:rsid w:val="00EB30A7"/>
    <w:rsid w:val="00ED492F"/>
    <w:rsid w:val="00ED5F56"/>
    <w:rsid w:val="00EF2E3A"/>
    <w:rsid w:val="00F047E2"/>
    <w:rsid w:val="00F078DC"/>
    <w:rsid w:val="00F13E86"/>
    <w:rsid w:val="00F17B00"/>
    <w:rsid w:val="00F31021"/>
    <w:rsid w:val="00F527FC"/>
    <w:rsid w:val="00F677A9"/>
    <w:rsid w:val="00F84CF5"/>
    <w:rsid w:val="00F86E87"/>
    <w:rsid w:val="00F92D35"/>
    <w:rsid w:val="00FA420B"/>
    <w:rsid w:val="00FB60E2"/>
    <w:rsid w:val="00FD1E13"/>
    <w:rsid w:val="00FD7EB1"/>
    <w:rsid w:val="00FE4110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51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0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0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0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0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0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0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514F"/>
  </w:style>
  <w:style w:type="paragraph" w:customStyle="1" w:styleId="OPCParaBase">
    <w:name w:val="OPCParaBase"/>
    <w:link w:val="OPCParaBaseChar"/>
    <w:qFormat/>
    <w:rsid w:val="006551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551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51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51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51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51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51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51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51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51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51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5514F"/>
  </w:style>
  <w:style w:type="paragraph" w:customStyle="1" w:styleId="Blocks">
    <w:name w:val="Blocks"/>
    <w:aliases w:val="bb"/>
    <w:basedOn w:val="OPCParaBase"/>
    <w:qFormat/>
    <w:rsid w:val="006551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51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514F"/>
    <w:rPr>
      <w:i/>
    </w:rPr>
  </w:style>
  <w:style w:type="paragraph" w:customStyle="1" w:styleId="BoxList">
    <w:name w:val="BoxList"/>
    <w:aliases w:val="bl"/>
    <w:basedOn w:val="BoxText"/>
    <w:qFormat/>
    <w:rsid w:val="006551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51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51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514F"/>
    <w:pPr>
      <w:ind w:left="1985" w:hanging="851"/>
    </w:pPr>
  </w:style>
  <w:style w:type="character" w:customStyle="1" w:styleId="CharAmPartNo">
    <w:name w:val="CharAmPartNo"/>
    <w:basedOn w:val="OPCCharBase"/>
    <w:qFormat/>
    <w:rsid w:val="0065514F"/>
  </w:style>
  <w:style w:type="character" w:customStyle="1" w:styleId="CharAmPartText">
    <w:name w:val="CharAmPartText"/>
    <w:basedOn w:val="OPCCharBase"/>
    <w:qFormat/>
    <w:rsid w:val="0065514F"/>
  </w:style>
  <w:style w:type="character" w:customStyle="1" w:styleId="CharAmSchNo">
    <w:name w:val="CharAmSchNo"/>
    <w:basedOn w:val="OPCCharBase"/>
    <w:qFormat/>
    <w:rsid w:val="0065514F"/>
  </w:style>
  <w:style w:type="character" w:customStyle="1" w:styleId="CharAmSchText">
    <w:name w:val="CharAmSchText"/>
    <w:basedOn w:val="OPCCharBase"/>
    <w:qFormat/>
    <w:rsid w:val="0065514F"/>
  </w:style>
  <w:style w:type="character" w:customStyle="1" w:styleId="CharBoldItalic">
    <w:name w:val="CharBoldItalic"/>
    <w:basedOn w:val="OPCCharBase"/>
    <w:uiPriority w:val="1"/>
    <w:qFormat/>
    <w:rsid w:val="006551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514F"/>
  </w:style>
  <w:style w:type="character" w:customStyle="1" w:styleId="CharChapText">
    <w:name w:val="CharChapText"/>
    <w:basedOn w:val="OPCCharBase"/>
    <w:uiPriority w:val="1"/>
    <w:qFormat/>
    <w:rsid w:val="0065514F"/>
  </w:style>
  <w:style w:type="character" w:customStyle="1" w:styleId="CharDivNo">
    <w:name w:val="CharDivNo"/>
    <w:basedOn w:val="OPCCharBase"/>
    <w:uiPriority w:val="1"/>
    <w:qFormat/>
    <w:rsid w:val="0065514F"/>
  </w:style>
  <w:style w:type="character" w:customStyle="1" w:styleId="CharDivText">
    <w:name w:val="CharDivText"/>
    <w:basedOn w:val="OPCCharBase"/>
    <w:uiPriority w:val="1"/>
    <w:qFormat/>
    <w:rsid w:val="0065514F"/>
  </w:style>
  <w:style w:type="character" w:customStyle="1" w:styleId="CharItalic">
    <w:name w:val="CharItalic"/>
    <w:basedOn w:val="OPCCharBase"/>
    <w:uiPriority w:val="1"/>
    <w:qFormat/>
    <w:rsid w:val="0065514F"/>
    <w:rPr>
      <w:i/>
    </w:rPr>
  </w:style>
  <w:style w:type="character" w:customStyle="1" w:styleId="CharPartNo">
    <w:name w:val="CharPartNo"/>
    <w:basedOn w:val="OPCCharBase"/>
    <w:uiPriority w:val="1"/>
    <w:qFormat/>
    <w:rsid w:val="0065514F"/>
  </w:style>
  <w:style w:type="character" w:customStyle="1" w:styleId="CharPartText">
    <w:name w:val="CharPartText"/>
    <w:basedOn w:val="OPCCharBase"/>
    <w:uiPriority w:val="1"/>
    <w:qFormat/>
    <w:rsid w:val="0065514F"/>
  </w:style>
  <w:style w:type="character" w:customStyle="1" w:styleId="CharSectno">
    <w:name w:val="CharSectno"/>
    <w:basedOn w:val="OPCCharBase"/>
    <w:qFormat/>
    <w:rsid w:val="0065514F"/>
  </w:style>
  <w:style w:type="character" w:customStyle="1" w:styleId="CharSubdNo">
    <w:name w:val="CharSubdNo"/>
    <w:basedOn w:val="OPCCharBase"/>
    <w:uiPriority w:val="1"/>
    <w:qFormat/>
    <w:rsid w:val="0065514F"/>
  </w:style>
  <w:style w:type="character" w:customStyle="1" w:styleId="CharSubdText">
    <w:name w:val="CharSubdText"/>
    <w:basedOn w:val="OPCCharBase"/>
    <w:uiPriority w:val="1"/>
    <w:qFormat/>
    <w:rsid w:val="0065514F"/>
  </w:style>
  <w:style w:type="paragraph" w:customStyle="1" w:styleId="CTA--">
    <w:name w:val="CTA --"/>
    <w:basedOn w:val="OPCParaBase"/>
    <w:next w:val="Normal"/>
    <w:rsid w:val="006551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51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51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51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51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51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51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51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51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51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51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51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51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51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551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551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51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51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51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51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51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51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51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51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51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51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51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51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51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51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51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51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51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51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51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51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51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51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51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51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51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51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51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51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51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6551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51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51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51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51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51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51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51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51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5514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5514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5514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5514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51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51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51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51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51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51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51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51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51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51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51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51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51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514F"/>
    <w:rPr>
      <w:sz w:val="16"/>
    </w:rPr>
  </w:style>
  <w:style w:type="table" w:customStyle="1" w:styleId="CFlag">
    <w:name w:val="CFlag"/>
    <w:basedOn w:val="TableNormal"/>
    <w:uiPriority w:val="99"/>
    <w:rsid w:val="0065514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551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51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551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51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551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51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51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51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51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551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6551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551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551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51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51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51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51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51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51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51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51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551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5514F"/>
  </w:style>
  <w:style w:type="character" w:customStyle="1" w:styleId="CharSubPartNoCASA">
    <w:name w:val="CharSubPartNo(CASA)"/>
    <w:basedOn w:val="OPCCharBase"/>
    <w:uiPriority w:val="1"/>
    <w:rsid w:val="0065514F"/>
  </w:style>
  <w:style w:type="paragraph" w:customStyle="1" w:styleId="ENoteTTIndentHeadingSub">
    <w:name w:val="ENoteTTIndentHeadingSub"/>
    <w:aliases w:val="enTTHis"/>
    <w:basedOn w:val="OPCParaBase"/>
    <w:rsid w:val="006551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51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51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51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5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551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514F"/>
    <w:rPr>
      <w:sz w:val="22"/>
    </w:rPr>
  </w:style>
  <w:style w:type="paragraph" w:customStyle="1" w:styleId="SOTextNote">
    <w:name w:val="SO TextNote"/>
    <w:aliases w:val="sont"/>
    <w:basedOn w:val="SOText"/>
    <w:qFormat/>
    <w:rsid w:val="006551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51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514F"/>
    <w:rPr>
      <w:sz w:val="22"/>
    </w:rPr>
  </w:style>
  <w:style w:type="paragraph" w:customStyle="1" w:styleId="FileName">
    <w:name w:val="FileName"/>
    <w:basedOn w:val="Normal"/>
    <w:rsid w:val="006551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51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51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51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51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51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51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51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51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514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0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0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0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0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0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0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0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0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2Char">
    <w:name w:val="subsection2 Char"/>
    <w:aliases w:val="ss2 Char"/>
    <w:link w:val="subsection2"/>
    <w:rsid w:val="007D481C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7D481C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6E6F0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E6F0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E6F0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E6F0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E6F0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E6F0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E6F0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E6F08"/>
  </w:style>
  <w:style w:type="character" w:customStyle="1" w:styleId="ShortTCPChar">
    <w:name w:val="ShortTCP Char"/>
    <w:basedOn w:val="ShortTChar"/>
    <w:link w:val="ShortTCP"/>
    <w:rsid w:val="006E6F0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E6F08"/>
    <w:pPr>
      <w:spacing w:before="400"/>
    </w:pPr>
  </w:style>
  <w:style w:type="character" w:customStyle="1" w:styleId="ActNoCPChar">
    <w:name w:val="ActNoCP Char"/>
    <w:basedOn w:val="ActnoChar"/>
    <w:link w:val="ActNoCP"/>
    <w:rsid w:val="006E6F0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E6F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747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747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747F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51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0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0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0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0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0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0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514F"/>
  </w:style>
  <w:style w:type="paragraph" w:customStyle="1" w:styleId="OPCParaBase">
    <w:name w:val="OPCParaBase"/>
    <w:link w:val="OPCParaBaseChar"/>
    <w:qFormat/>
    <w:rsid w:val="006551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551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51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51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51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51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51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51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51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51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51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5514F"/>
  </w:style>
  <w:style w:type="paragraph" w:customStyle="1" w:styleId="Blocks">
    <w:name w:val="Blocks"/>
    <w:aliases w:val="bb"/>
    <w:basedOn w:val="OPCParaBase"/>
    <w:qFormat/>
    <w:rsid w:val="006551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51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514F"/>
    <w:rPr>
      <w:i/>
    </w:rPr>
  </w:style>
  <w:style w:type="paragraph" w:customStyle="1" w:styleId="BoxList">
    <w:name w:val="BoxList"/>
    <w:aliases w:val="bl"/>
    <w:basedOn w:val="BoxText"/>
    <w:qFormat/>
    <w:rsid w:val="006551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51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51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514F"/>
    <w:pPr>
      <w:ind w:left="1985" w:hanging="851"/>
    </w:pPr>
  </w:style>
  <w:style w:type="character" w:customStyle="1" w:styleId="CharAmPartNo">
    <w:name w:val="CharAmPartNo"/>
    <w:basedOn w:val="OPCCharBase"/>
    <w:qFormat/>
    <w:rsid w:val="0065514F"/>
  </w:style>
  <w:style w:type="character" w:customStyle="1" w:styleId="CharAmPartText">
    <w:name w:val="CharAmPartText"/>
    <w:basedOn w:val="OPCCharBase"/>
    <w:qFormat/>
    <w:rsid w:val="0065514F"/>
  </w:style>
  <w:style w:type="character" w:customStyle="1" w:styleId="CharAmSchNo">
    <w:name w:val="CharAmSchNo"/>
    <w:basedOn w:val="OPCCharBase"/>
    <w:qFormat/>
    <w:rsid w:val="0065514F"/>
  </w:style>
  <w:style w:type="character" w:customStyle="1" w:styleId="CharAmSchText">
    <w:name w:val="CharAmSchText"/>
    <w:basedOn w:val="OPCCharBase"/>
    <w:qFormat/>
    <w:rsid w:val="0065514F"/>
  </w:style>
  <w:style w:type="character" w:customStyle="1" w:styleId="CharBoldItalic">
    <w:name w:val="CharBoldItalic"/>
    <w:basedOn w:val="OPCCharBase"/>
    <w:uiPriority w:val="1"/>
    <w:qFormat/>
    <w:rsid w:val="006551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514F"/>
  </w:style>
  <w:style w:type="character" w:customStyle="1" w:styleId="CharChapText">
    <w:name w:val="CharChapText"/>
    <w:basedOn w:val="OPCCharBase"/>
    <w:uiPriority w:val="1"/>
    <w:qFormat/>
    <w:rsid w:val="0065514F"/>
  </w:style>
  <w:style w:type="character" w:customStyle="1" w:styleId="CharDivNo">
    <w:name w:val="CharDivNo"/>
    <w:basedOn w:val="OPCCharBase"/>
    <w:uiPriority w:val="1"/>
    <w:qFormat/>
    <w:rsid w:val="0065514F"/>
  </w:style>
  <w:style w:type="character" w:customStyle="1" w:styleId="CharDivText">
    <w:name w:val="CharDivText"/>
    <w:basedOn w:val="OPCCharBase"/>
    <w:uiPriority w:val="1"/>
    <w:qFormat/>
    <w:rsid w:val="0065514F"/>
  </w:style>
  <w:style w:type="character" w:customStyle="1" w:styleId="CharItalic">
    <w:name w:val="CharItalic"/>
    <w:basedOn w:val="OPCCharBase"/>
    <w:uiPriority w:val="1"/>
    <w:qFormat/>
    <w:rsid w:val="0065514F"/>
    <w:rPr>
      <w:i/>
    </w:rPr>
  </w:style>
  <w:style w:type="character" w:customStyle="1" w:styleId="CharPartNo">
    <w:name w:val="CharPartNo"/>
    <w:basedOn w:val="OPCCharBase"/>
    <w:uiPriority w:val="1"/>
    <w:qFormat/>
    <w:rsid w:val="0065514F"/>
  </w:style>
  <w:style w:type="character" w:customStyle="1" w:styleId="CharPartText">
    <w:name w:val="CharPartText"/>
    <w:basedOn w:val="OPCCharBase"/>
    <w:uiPriority w:val="1"/>
    <w:qFormat/>
    <w:rsid w:val="0065514F"/>
  </w:style>
  <w:style w:type="character" w:customStyle="1" w:styleId="CharSectno">
    <w:name w:val="CharSectno"/>
    <w:basedOn w:val="OPCCharBase"/>
    <w:qFormat/>
    <w:rsid w:val="0065514F"/>
  </w:style>
  <w:style w:type="character" w:customStyle="1" w:styleId="CharSubdNo">
    <w:name w:val="CharSubdNo"/>
    <w:basedOn w:val="OPCCharBase"/>
    <w:uiPriority w:val="1"/>
    <w:qFormat/>
    <w:rsid w:val="0065514F"/>
  </w:style>
  <w:style w:type="character" w:customStyle="1" w:styleId="CharSubdText">
    <w:name w:val="CharSubdText"/>
    <w:basedOn w:val="OPCCharBase"/>
    <w:uiPriority w:val="1"/>
    <w:qFormat/>
    <w:rsid w:val="0065514F"/>
  </w:style>
  <w:style w:type="paragraph" w:customStyle="1" w:styleId="CTA--">
    <w:name w:val="CTA --"/>
    <w:basedOn w:val="OPCParaBase"/>
    <w:next w:val="Normal"/>
    <w:rsid w:val="006551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51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51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51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51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51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51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51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51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51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51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51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51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51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551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551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51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51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51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51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51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51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51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51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51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51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51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51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51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51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51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51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51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51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51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51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51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51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51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51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51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51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51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51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51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6551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51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51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51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51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51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51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51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51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5514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5514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5514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5514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51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51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51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51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51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51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51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51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51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51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51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51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51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514F"/>
    <w:rPr>
      <w:sz w:val="16"/>
    </w:rPr>
  </w:style>
  <w:style w:type="table" w:customStyle="1" w:styleId="CFlag">
    <w:name w:val="CFlag"/>
    <w:basedOn w:val="TableNormal"/>
    <w:uiPriority w:val="99"/>
    <w:rsid w:val="0065514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551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51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551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51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551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51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51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51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51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551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6551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551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551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51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51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51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51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51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51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51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51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551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5514F"/>
  </w:style>
  <w:style w:type="character" w:customStyle="1" w:styleId="CharSubPartNoCASA">
    <w:name w:val="CharSubPartNo(CASA)"/>
    <w:basedOn w:val="OPCCharBase"/>
    <w:uiPriority w:val="1"/>
    <w:rsid w:val="0065514F"/>
  </w:style>
  <w:style w:type="paragraph" w:customStyle="1" w:styleId="ENoteTTIndentHeadingSub">
    <w:name w:val="ENoteTTIndentHeadingSub"/>
    <w:aliases w:val="enTTHis"/>
    <w:basedOn w:val="OPCParaBase"/>
    <w:rsid w:val="006551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51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51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51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5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551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514F"/>
    <w:rPr>
      <w:sz w:val="22"/>
    </w:rPr>
  </w:style>
  <w:style w:type="paragraph" w:customStyle="1" w:styleId="SOTextNote">
    <w:name w:val="SO TextNote"/>
    <w:aliases w:val="sont"/>
    <w:basedOn w:val="SOText"/>
    <w:qFormat/>
    <w:rsid w:val="006551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51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514F"/>
    <w:rPr>
      <w:sz w:val="22"/>
    </w:rPr>
  </w:style>
  <w:style w:type="paragraph" w:customStyle="1" w:styleId="FileName">
    <w:name w:val="FileName"/>
    <w:basedOn w:val="Normal"/>
    <w:rsid w:val="006551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51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51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51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51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51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51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51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51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51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514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0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0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0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0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0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0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0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0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2Char">
    <w:name w:val="subsection2 Char"/>
    <w:aliases w:val="ss2 Char"/>
    <w:link w:val="subsection2"/>
    <w:rsid w:val="007D481C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7D481C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6E6F0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E6F0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E6F0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E6F0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E6F0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E6F0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E6F0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E6F08"/>
  </w:style>
  <w:style w:type="character" w:customStyle="1" w:styleId="ShortTCPChar">
    <w:name w:val="ShortTCP Char"/>
    <w:basedOn w:val="ShortTChar"/>
    <w:link w:val="ShortTCP"/>
    <w:rsid w:val="006E6F0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E6F08"/>
    <w:pPr>
      <w:spacing w:before="400"/>
    </w:pPr>
  </w:style>
  <w:style w:type="character" w:customStyle="1" w:styleId="ActNoCPChar">
    <w:name w:val="ActNoCP Char"/>
    <w:basedOn w:val="ActnoChar"/>
    <w:link w:val="ActNoCP"/>
    <w:rsid w:val="006E6F0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E6F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747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747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747F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1560</Words>
  <Characters>5991</Characters>
  <Application>Microsoft Office Word</Application>
  <DocSecurity>0</DocSecurity>
  <PresentationFormat/>
  <Lines>544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2017-09-15T04:42:00Z</dcterms:created>
  <dcterms:modified xsi:type="dcterms:W3CDTF">2017-09-15T04:50:00Z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Education Services for Overseas Students (TPS Levies) Amendment Act 2017</vt:lpwstr>
  </property>
  <property fmtid="{D5CDD505-2E9C-101B-9397-08002B2CF9AE}" pid="3" name="Actno">
    <vt:lpwstr>No. 98, 2017</vt:lpwstr>
  </property>
</Properties>
</file>