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9B" w:rsidRDefault="007F169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0.25pt" o:ole="" fillcolor="window">
            <v:imagedata r:id="rId8" o:title=""/>
          </v:shape>
          <o:OLEObject Type="Embed" ProgID="Word.Picture.8" ShapeID="_x0000_i1026" DrawAspect="Content" ObjectID="_1567341633" r:id="rId9"/>
        </w:object>
      </w:r>
    </w:p>
    <w:p w:rsidR="007F169B" w:rsidRDefault="007F169B"/>
    <w:p w:rsidR="007F169B" w:rsidRDefault="007F169B" w:rsidP="007F169B">
      <w:pPr>
        <w:spacing w:line="240" w:lineRule="auto"/>
      </w:pPr>
    </w:p>
    <w:p w:rsidR="007F169B" w:rsidRDefault="007F169B" w:rsidP="007F169B"/>
    <w:p w:rsidR="007F169B" w:rsidRDefault="007F169B" w:rsidP="007F169B"/>
    <w:p w:rsidR="007F169B" w:rsidRDefault="007F169B" w:rsidP="007F169B"/>
    <w:p w:rsidR="007F169B" w:rsidRDefault="007F169B" w:rsidP="007F169B"/>
    <w:p w:rsidR="0048364F" w:rsidRPr="00BB54D3" w:rsidRDefault="00D30930" w:rsidP="0048364F">
      <w:pPr>
        <w:pStyle w:val="ShortT"/>
      </w:pPr>
      <w:r w:rsidRPr="00BB54D3">
        <w:t xml:space="preserve">Telecommunications </w:t>
      </w:r>
      <w:r w:rsidR="00743C61" w:rsidRPr="00BB54D3">
        <w:t xml:space="preserve">and Other Legislation </w:t>
      </w:r>
      <w:r w:rsidRPr="00BB54D3">
        <w:t xml:space="preserve">Amendment </w:t>
      </w:r>
      <w:r w:rsidR="007F169B">
        <w:t>Act</w:t>
      </w:r>
      <w:r w:rsidR="00743C61" w:rsidRPr="00BB54D3">
        <w:t xml:space="preserve"> </w:t>
      </w:r>
      <w:r w:rsidR="00C164CA" w:rsidRPr="00BB54D3">
        <w:t>201</w:t>
      </w:r>
      <w:r w:rsidR="00E04DFE" w:rsidRPr="00BB54D3">
        <w:t>7</w:t>
      </w:r>
      <w:bookmarkStart w:id="0" w:name="_GoBack"/>
      <w:bookmarkEnd w:id="0"/>
    </w:p>
    <w:p w:rsidR="0048364F" w:rsidRPr="00BB54D3" w:rsidRDefault="0048364F" w:rsidP="0048364F"/>
    <w:p w:rsidR="0048364F" w:rsidRPr="00BB54D3" w:rsidRDefault="00C164CA" w:rsidP="007F169B">
      <w:pPr>
        <w:pStyle w:val="Actno"/>
        <w:spacing w:before="400"/>
      </w:pPr>
      <w:r w:rsidRPr="00BB54D3">
        <w:t>No.</w:t>
      </w:r>
      <w:r w:rsidR="00805365">
        <w:t xml:space="preserve"> 111</w:t>
      </w:r>
      <w:r w:rsidRPr="00BB54D3">
        <w:t>, 201</w:t>
      </w:r>
      <w:r w:rsidR="00E04DFE" w:rsidRPr="00BB54D3">
        <w:t>7</w:t>
      </w:r>
    </w:p>
    <w:p w:rsidR="0048364F" w:rsidRPr="00BB54D3" w:rsidRDefault="0048364F" w:rsidP="0048364F"/>
    <w:p w:rsidR="007F169B" w:rsidRDefault="007F169B" w:rsidP="007F169B"/>
    <w:p w:rsidR="007F169B" w:rsidRDefault="007F169B" w:rsidP="007F169B"/>
    <w:p w:rsidR="007F169B" w:rsidRDefault="007F169B" w:rsidP="007F169B"/>
    <w:p w:rsidR="007F169B" w:rsidRDefault="007F169B" w:rsidP="007F169B"/>
    <w:p w:rsidR="0048364F" w:rsidRPr="00BB54D3" w:rsidRDefault="007F169B" w:rsidP="0048364F">
      <w:pPr>
        <w:pStyle w:val="LongT"/>
      </w:pPr>
      <w:r>
        <w:t>An Act</w:t>
      </w:r>
      <w:r w:rsidR="00CF5925" w:rsidRPr="00BB54D3">
        <w:t xml:space="preserve"> to amend the law relating to telecommunications, and for related purposes</w:t>
      </w:r>
    </w:p>
    <w:p w:rsidR="00C26D7F" w:rsidRPr="00BB54D3" w:rsidRDefault="00C26D7F" w:rsidP="00C26D7F">
      <w:pPr>
        <w:pStyle w:val="Header"/>
        <w:tabs>
          <w:tab w:val="clear" w:pos="4150"/>
          <w:tab w:val="clear" w:pos="8307"/>
        </w:tabs>
      </w:pPr>
      <w:r w:rsidRPr="00BB54D3">
        <w:rPr>
          <w:rStyle w:val="CharAmSchNo"/>
        </w:rPr>
        <w:t xml:space="preserve"> </w:t>
      </w:r>
      <w:r w:rsidRPr="00BB54D3">
        <w:rPr>
          <w:rStyle w:val="CharAmSchText"/>
        </w:rPr>
        <w:t xml:space="preserve"> </w:t>
      </w:r>
    </w:p>
    <w:p w:rsidR="00C26D7F" w:rsidRPr="00BB54D3" w:rsidRDefault="00C26D7F" w:rsidP="00C26D7F">
      <w:pPr>
        <w:pStyle w:val="Header"/>
        <w:tabs>
          <w:tab w:val="clear" w:pos="4150"/>
          <w:tab w:val="clear" w:pos="8307"/>
        </w:tabs>
      </w:pPr>
      <w:r w:rsidRPr="00BB54D3">
        <w:rPr>
          <w:rStyle w:val="CharAmPartNo"/>
        </w:rPr>
        <w:t xml:space="preserve"> </w:t>
      </w:r>
      <w:r w:rsidRPr="00BB54D3">
        <w:rPr>
          <w:rStyle w:val="CharAmPartText"/>
        </w:rPr>
        <w:t xml:space="preserve"> </w:t>
      </w:r>
    </w:p>
    <w:p w:rsidR="0048364F" w:rsidRPr="00BB54D3" w:rsidRDefault="0048364F" w:rsidP="0048364F">
      <w:pPr>
        <w:sectPr w:rsidR="0048364F" w:rsidRPr="00BB54D3" w:rsidSect="007F169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B54D3" w:rsidRDefault="0048364F" w:rsidP="007C3E33">
      <w:pPr>
        <w:rPr>
          <w:sz w:val="36"/>
        </w:rPr>
      </w:pPr>
      <w:r w:rsidRPr="00BB54D3">
        <w:rPr>
          <w:sz w:val="36"/>
        </w:rPr>
        <w:lastRenderedPageBreak/>
        <w:t>Contents</w:t>
      </w:r>
    </w:p>
    <w:bookmarkStart w:id="1" w:name="BKCheck15B_1"/>
    <w:bookmarkEnd w:id="1"/>
    <w:p w:rsidR="00183B18" w:rsidRDefault="00183B1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83B18">
        <w:rPr>
          <w:noProof/>
        </w:rPr>
        <w:tab/>
      </w:r>
      <w:r w:rsidRPr="00183B18">
        <w:rPr>
          <w:noProof/>
        </w:rPr>
        <w:fldChar w:fldCharType="begin"/>
      </w:r>
      <w:r w:rsidRPr="00183B18">
        <w:rPr>
          <w:noProof/>
        </w:rPr>
        <w:instrText xml:space="preserve"> PAGEREF _Toc493599461 \h </w:instrText>
      </w:r>
      <w:r w:rsidRPr="00183B18">
        <w:rPr>
          <w:noProof/>
        </w:rPr>
      </w:r>
      <w:r w:rsidRPr="00183B18">
        <w:rPr>
          <w:noProof/>
        </w:rPr>
        <w:fldChar w:fldCharType="separate"/>
      </w:r>
      <w:r w:rsidR="001E7D71">
        <w:rPr>
          <w:noProof/>
        </w:rPr>
        <w:t>1</w:t>
      </w:r>
      <w:r w:rsidRPr="00183B18">
        <w:rPr>
          <w:noProof/>
        </w:rPr>
        <w:fldChar w:fldCharType="end"/>
      </w:r>
    </w:p>
    <w:p w:rsidR="00183B18" w:rsidRDefault="00183B18">
      <w:pPr>
        <w:pStyle w:val="TOC5"/>
        <w:rPr>
          <w:rFonts w:asciiTheme="minorHAnsi" w:eastAsiaTheme="minorEastAsia" w:hAnsiTheme="minorHAnsi" w:cstheme="minorBidi"/>
          <w:noProof/>
          <w:kern w:val="0"/>
          <w:sz w:val="22"/>
          <w:szCs w:val="22"/>
        </w:rPr>
      </w:pPr>
      <w:r>
        <w:rPr>
          <w:noProof/>
        </w:rPr>
        <w:t>2</w:t>
      </w:r>
      <w:r>
        <w:rPr>
          <w:noProof/>
        </w:rPr>
        <w:tab/>
        <w:t>Commencement</w:t>
      </w:r>
      <w:r w:rsidRPr="00183B18">
        <w:rPr>
          <w:noProof/>
        </w:rPr>
        <w:tab/>
      </w:r>
      <w:r w:rsidRPr="00183B18">
        <w:rPr>
          <w:noProof/>
        </w:rPr>
        <w:fldChar w:fldCharType="begin"/>
      </w:r>
      <w:r w:rsidRPr="00183B18">
        <w:rPr>
          <w:noProof/>
        </w:rPr>
        <w:instrText xml:space="preserve"> PAGEREF _Toc493599462 \h </w:instrText>
      </w:r>
      <w:r w:rsidRPr="00183B18">
        <w:rPr>
          <w:noProof/>
        </w:rPr>
      </w:r>
      <w:r w:rsidRPr="00183B18">
        <w:rPr>
          <w:noProof/>
        </w:rPr>
        <w:fldChar w:fldCharType="separate"/>
      </w:r>
      <w:r w:rsidR="001E7D71">
        <w:rPr>
          <w:noProof/>
        </w:rPr>
        <w:t>2</w:t>
      </w:r>
      <w:r w:rsidRPr="00183B18">
        <w:rPr>
          <w:noProof/>
        </w:rPr>
        <w:fldChar w:fldCharType="end"/>
      </w:r>
    </w:p>
    <w:p w:rsidR="00183B18" w:rsidRDefault="00183B18">
      <w:pPr>
        <w:pStyle w:val="TOC5"/>
        <w:rPr>
          <w:rFonts w:asciiTheme="minorHAnsi" w:eastAsiaTheme="minorEastAsia" w:hAnsiTheme="minorHAnsi" w:cstheme="minorBidi"/>
          <w:noProof/>
          <w:kern w:val="0"/>
          <w:sz w:val="22"/>
          <w:szCs w:val="22"/>
        </w:rPr>
      </w:pPr>
      <w:r>
        <w:rPr>
          <w:noProof/>
        </w:rPr>
        <w:t>3</w:t>
      </w:r>
      <w:r>
        <w:rPr>
          <w:noProof/>
        </w:rPr>
        <w:tab/>
        <w:t>Schedules</w:t>
      </w:r>
      <w:r w:rsidRPr="00183B18">
        <w:rPr>
          <w:noProof/>
        </w:rPr>
        <w:tab/>
      </w:r>
      <w:r w:rsidRPr="00183B18">
        <w:rPr>
          <w:noProof/>
        </w:rPr>
        <w:fldChar w:fldCharType="begin"/>
      </w:r>
      <w:r w:rsidRPr="00183B18">
        <w:rPr>
          <w:noProof/>
        </w:rPr>
        <w:instrText xml:space="preserve"> PAGEREF _Toc493599463 \h </w:instrText>
      </w:r>
      <w:r w:rsidRPr="00183B18">
        <w:rPr>
          <w:noProof/>
        </w:rPr>
      </w:r>
      <w:r w:rsidRPr="00183B18">
        <w:rPr>
          <w:noProof/>
        </w:rPr>
        <w:fldChar w:fldCharType="separate"/>
      </w:r>
      <w:r w:rsidR="001E7D71">
        <w:rPr>
          <w:noProof/>
        </w:rPr>
        <w:t>2</w:t>
      </w:r>
      <w:r w:rsidRPr="00183B18">
        <w:rPr>
          <w:noProof/>
        </w:rPr>
        <w:fldChar w:fldCharType="end"/>
      </w:r>
    </w:p>
    <w:p w:rsidR="00183B18" w:rsidRDefault="00183B18">
      <w:pPr>
        <w:pStyle w:val="TOC6"/>
        <w:rPr>
          <w:rFonts w:asciiTheme="minorHAnsi" w:eastAsiaTheme="minorEastAsia" w:hAnsiTheme="minorHAnsi" w:cstheme="minorBidi"/>
          <w:b w:val="0"/>
          <w:noProof/>
          <w:kern w:val="0"/>
          <w:sz w:val="22"/>
          <w:szCs w:val="22"/>
        </w:rPr>
      </w:pPr>
      <w:r>
        <w:rPr>
          <w:noProof/>
        </w:rPr>
        <w:t>Schedule 1—Amendments</w:t>
      </w:r>
      <w:r w:rsidRPr="00183B18">
        <w:rPr>
          <w:b w:val="0"/>
          <w:noProof/>
          <w:sz w:val="18"/>
        </w:rPr>
        <w:tab/>
      </w:r>
      <w:r w:rsidRPr="00183B18">
        <w:rPr>
          <w:b w:val="0"/>
          <w:noProof/>
          <w:sz w:val="18"/>
        </w:rPr>
        <w:fldChar w:fldCharType="begin"/>
      </w:r>
      <w:r w:rsidRPr="00183B18">
        <w:rPr>
          <w:b w:val="0"/>
          <w:noProof/>
          <w:sz w:val="18"/>
        </w:rPr>
        <w:instrText xml:space="preserve"> PAGEREF _Toc493599464 \h </w:instrText>
      </w:r>
      <w:r w:rsidRPr="00183B18">
        <w:rPr>
          <w:b w:val="0"/>
          <w:noProof/>
          <w:sz w:val="18"/>
        </w:rPr>
      </w:r>
      <w:r w:rsidRPr="00183B18">
        <w:rPr>
          <w:b w:val="0"/>
          <w:noProof/>
          <w:sz w:val="18"/>
        </w:rPr>
        <w:fldChar w:fldCharType="separate"/>
      </w:r>
      <w:r w:rsidR="001E7D71">
        <w:rPr>
          <w:b w:val="0"/>
          <w:noProof/>
          <w:sz w:val="18"/>
        </w:rPr>
        <w:t>3</w:t>
      </w:r>
      <w:r w:rsidRPr="00183B18">
        <w:rPr>
          <w:b w:val="0"/>
          <w:noProof/>
          <w:sz w:val="18"/>
        </w:rPr>
        <w:fldChar w:fldCharType="end"/>
      </w:r>
    </w:p>
    <w:p w:rsidR="00183B18" w:rsidRDefault="00183B18">
      <w:pPr>
        <w:pStyle w:val="TOC7"/>
        <w:rPr>
          <w:rFonts w:asciiTheme="minorHAnsi" w:eastAsiaTheme="minorEastAsia" w:hAnsiTheme="minorHAnsi" w:cstheme="minorBidi"/>
          <w:noProof/>
          <w:kern w:val="0"/>
          <w:sz w:val="22"/>
          <w:szCs w:val="22"/>
        </w:rPr>
      </w:pPr>
      <w:r>
        <w:rPr>
          <w:noProof/>
        </w:rPr>
        <w:t>Part 1—Main amendments</w:t>
      </w:r>
      <w:r w:rsidRPr="00183B18">
        <w:rPr>
          <w:noProof/>
          <w:sz w:val="18"/>
        </w:rPr>
        <w:tab/>
      </w:r>
      <w:r w:rsidRPr="00183B18">
        <w:rPr>
          <w:noProof/>
          <w:sz w:val="18"/>
        </w:rPr>
        <w:fldChar w:fldCharType="begin"/>
      </w:r>
      <w:r w:rsidRPr="00183B18">
        <w:rPr>
          <w:noProof/>
          <w:sz w:val="18"/>
        </w:rPr>
        <w:instrText xml:space="preserve"> PAGEREF _Toc493599465 \h </w:instrText>
      </w:r>
      <w:r w:rsidRPr="00183B18">
        <w:rPr>
          <w:noProof/>
          <w:sz w:val="18"/>
        </w:rPr>
      </w:r>
      <w:r w:rsidRPr="00183B18">
        <w:rPr>
          <w:noProof/>
          <w:sz w:val="18"/>
        </w:rPr>
        <w:fldChar w:fldCharType="separate"/>
      </w:r>
      <w:r w:rsidR="001E7D71">
        <w:rPr>
          <w:noProof/>
          <w:sz w:val="18"/>
        </w:rPr>
        <w:t>3</w:t>
      </w:r>
      <w:r w:rsidRPr="00183B18">
        <w:rPr>
          <w:noProof/>
          <w:sz w:val="18"/>
        </w:rPr>
        <w:fldChar w:fldCharType="end"/>
      </w:r>
    </w:p>
    <w:p w:rsidR="00183B18" w:rsidRDefault="00183B18">
      <w:pPr>
        <w:pStyle w:val="TOC9"/>
        <w:rPr>
          <w:rFonts w:asciiTheme="minorHAnsi" w:eastAsiaTheme="minorEastAsia" w:hAnsiTheme="minorHAnsi" w:cstheme="minorBidi"/>
          <w:i w:val="0"/>
          <w:noProof/>
          <w:kern w:val="0"/>
          <w:sz w:val="22"/>
          <w:szCs w:val="22"/>
        </w:rPr>
      </w:pPr>
      <w:r>
        <w:rPr>
          <w:noProof/>
        </w:rPr>
        <w:t>Telecommunications Act 1997</w:t>
      </w:r>
      <w:r w:rsidRPr="00183B18">
        <w:rPr>
          <w:i w:val="0"/>
          <w:noProof/>
          <w:sz w:val="18"/>
        </w:rPr>
        <w:tab/>
      </w:r>
      <w:r w:rsidRPr="00183B18">
        <w:rPr>
          <w:i w:val="0"/>
          <w:noProof/>
          <w:sz w:val="18"/>
        </w:rPr>
        <w:fldChar w:fldCharType="begin"/>
      </w:r>
      <w:r w:rsidRPr="00183B18">
        <w:rPr>
          <w:i w:val="0"/>
          <w:noProof/>
          <w:sz w:val="18"/>
        </w:rPr>
        <w:instrText xml:space="preserve"> PAGEREF _Toc493599466 \h </w:instrText>
      </w:r>
      <w:r w:rsidRPr="00183B18">
        <w:rPr>
          <w:i w:val="0"/>
          <w:noProof/>
          <w:sz w:val="18"/>
        </w:rPr>
      </w:r>
      <w:r w:rsidRPr="00183B18">
        <w:rPr>
          <w:i w:val="0"/>
          <w:noProof/>
          <w:sz w:val="18"/>
        </w:rPr>
        <w:fldChar w:fldCharType="separate"/>
      </w:r>
      <w:r w:rsidR="001E7D71">
        <w:rPr>
          <w:i w:val="0"/>
          <w:noProof/>
          <w:sz w:val="18"/>
        </w:rPr>
        <w:t>3</w:t>
      </w:r>
      <w:r w:rsidRPr="00183B18">
        <w:rPr>
          <w:i w:val="0"/>
          <w:noProof/>
          <w:sz w:val="18"/>
        </w:rPr>
        <w:fldChar w:fldCharType="end"/>
      </w:r>
    </w:p>
    <w:p w:rsidR="00183B18" w:rsidRDefault="00183B18">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183B18">
        <w:rPr>
          <w:i w:val="0"/>
          <w:noProof/>
          <w:sz w:val="18"/>
        </w:rPr>
        <w:tab/>
      </w:r>
      <w:r w:rsidRPr="00183B18">
        <w:rPr>
          <w:i w:val="0"/>
          <w:noProof/>
          <w:sz w:val="18"/>
        </w:rPr>
        <w:fldChar w:fldCharType="begin"/>
      </w:r>
      <w:r w:rsidRPr="00183B18">
        <w:rPr>
          <w:i w:val="0"/>
          <w:noProof/>
          <w:sz w:val="18"/>
        </w:rPr>
        <w:instrText xml:space="preserve"> PAGEREF _Toc493599494 \h </w:instrText>
      </w:r>
      <w:r w:rsidRPr="00183B18">
        <w:rPr>
          <w:i w:val="0"/>
          <w:noProof/>
          <w:sz w:val="18"/>
        </w:rPr>
      </w:r>
      <w:r w:rsidRPr="00183B18">
        <w:rPr>
          <w:i w:val="0"/>
          <w:noProof/>
          <w:sz w:val="18"/>
        </w:rPr>
        <w:fldChar w:fldCharType="separate"/>
      </w:r>
      <w:r w:rsidR="001E7D71">
        <w:rPr>
          <w:i w:val="0"/>
          <w:noProof/>
          <w:sz w:val="18"/>
        </w:rPr>
        <w:t>28</w:t>
      </w:r>
      <w:r w:rsidRPr="00183B18">
        <w:rPr>
          <w:i w:val="0"/>
          <w:noProof/>
          <w:sz w:val="18"/>
        </w:rPr>
        <w:fldChar w:fldCharType="end"/>
      </w:r>
    </w:p>
    <w:p w:rsidR="00183B18" w:rsidRDefault="00183B18">
      <w:pPr>
        <w:pStyle w:val="TOC7"/>
        <w:rPr>
          <w:rFonts w:asciiTheme="minorHAnsi" w:eastAsiaTheme="minorEastAsia" w:hAnsiTheme="minorHAnsi" w:cstheme="minorBidi"/>
          <w:noProof/>
          <w:kern w:val="0"/>
          <w:sz w:val="22"/>
          <w:szCs w:val="22"/>
        </w:rPr>
      </w:pPr>
      <w:r>
        <w:rPr>
          <w:noProof/>
        </w:rPr>
        <w:t>Part 2—Other amendments</w:t>
      </w:r>
      <w:r w:rsidRPr="00183B18">
        <w:rPr>
          <w:noProof/>
          <w:sz w:val="18"/>
        </w:rPr>
        <w:tab/>
      </w:r>
      <w:r w:rsidRPr="00183B18">
        <w:rPr>
          <w:noProof/>
          <w:sz w:val="18"/>
        </w:rPr>
        <w:fldChar w:fldCharType="begin"/>
      </w:r>
      <w:r w:rsidRPr="00183B18">
        <w:rPr>
          <w:noProof/>
          <w:sz w:val="18"/>
        </w:rPr>
        <w:instrText xml:space="preserve"> PAGEREF _Toc493599495 \h </w:instrText>
      </w:r>
      <w:r w:rsidRPr="00183B18">
        <w:rPr>
          <w:noProof/>
          <w:sz w:val="18"/>
        </w:rPr>
      </w:r>
      <w:r w:rsidRPr="00183B18">
        <w:rPr>
          <w:noProof/>
          <w:sz w:val="18"/>
        </w:rPr>
        <w:fldChar w:fldCharType="separate"/>
      </w:r>
      <w:r w:rsidR="001E7D71">
        <w:rPr>
          <w:noProof/>
          <w:sz w:val="18"/>
        </w:rPr>
        <w:t>29</w:t>
      </w:r>
      <w:r w:rsidRPr="00183B18">
        <w:rPr>
          <w:noProof/>
          <w:sz w:val="18"/>
        </w:rPr>
        <w:fldChar w:fldCharType="end"/>
      </w:r>
    </w:p>
    <w:p w:rsidR="00183B18" w:rsidRDefault="00183B18">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183B18">
        <w:rPr>
          <w:i w:val="0"/>
          <w:noProof/>
          <w:sz w:val="18"/>
        </w:rPr>
        <w:tab/>
      </w:r>
      <w:r w:rsidRPr="00183B18">
        <w:rPr>
          <w:i w:val="0"/>
          <w:noProof/>
          <w:sz w:val="18"/>
        </w:rPr>
        <w:fldChar w:fldCharType="begin"/>
      </w:r>
      <w:r w:rsidRPr="00183B18">
        <w:rPr>
          <w:i w:val="0"/>
          <w:noProof/>
          <w:sz w:val="18"/>
        </w:rPr>
        <w:instrText xml:space="preserve"> PAGEREF _Toc493599496 \h </w:instrText>
      </w:r>
      <w:r w:rsidRPr="00183B18">
        <w:rPr>
          <w:i w:val="0"/>
          <w:noProof/>
          <w:sz w:val="18"/>
        </w:rPr>
      </w:r>
      <w:r w:rsidRPr="00183B18">
        <w:rPr>
          <w:i w:val="0"/>
          <w:noProof/>
          <w:sz w:val="18"/>
        </w:rPr>
        <w:fldChar w:fldCharType="separate"/>
      </w:r>
      <w:r w:rsidR="001E7D71">
        <w:rPr>
          <w:i w:val="0"/>
          <w:noProof/>
          <w:sz w:val="18"/>
        </w:rPr>
        <w:t>29</w:t>
      </w:r>
      <w:r w:rsidRPr="00183B18">
        <w:rPr>
          <w:i w:val="0"/>
          <w:noProof/>
          <w:sz w:val="18"/>
        </w:rPr>
        <w:fldChar w:fldCharType="end"/>
      </w:r>
    </w:p>
    <w:p w:rsidR="00183B18" w:rsidRDefault="00183B18">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183B18">
        <w:rPr>
          <w:i w:val="0"/>
          <w:noProof/>
          <w:sz w:val="18"/>
        </w:rPr>
        <w:tab/>
      </w:r>
      <w:r w:rsidRPr="00183B18">
        <w:rPr>
          <w:i w:val="0"/>
          <w:noProof/>
          <w:sz w:val="18"/>
        </w:rPr>
        <w:fldChar w:fldCharType="begin"/>
      </w:r>
      <w:r w:rsidRPr="00183B18">
        <w:rPr>
          <w:i w:val="0"/>
          <w:noProof/>
          <w:sz w:val="18"/>
        </w:rPr>
        <w:instrText xml:space="preserve"> PAGEREF _Toc493599497 \h </w:instrText>
      </w:r>
      <w:r w:rsidRPr="00183B18">
        <w:rPr>
          <w:i w:val="0"/>
          <w:noProof/>
          <w:sz w:val="18"/>
        </w:rPr>
      </w:r>
      <w:r w:rsidRPr="00183B18">
        <w:rPr>
          <w:i w:val="0"/>
          <w:noProof/>
          <w:sz w:val="18"/>
        </w:rPr>
        <w:fldChar w:fldCharType="separate"/>
      </w:r>
      <w:r w:rsidR="001E7D71">
        <w:rPr>
          <w:i w:val="0"/>
          <w:noProof/>
          <w:sz w:val="18"/>
        </w:rPr>
        <w:t>29</w:t>
      </w:r>
      <w:r w:rsidRPr="00183B18">
        <w:rPr>
          <w:i w:val="0"/>
          <w:noProof/>
          <w:sz w:val="18"/>
        </w:rPr>
        <w:fldChar w:fldCharType="end"/>
      </w:r>
    </w:p>
    <w:p w:rsidR="00183B18" w:rsidRDefault="00183B18">
      <w:pPr>
        <w:pStyle w:val="TOC7"/>
        <w:rPr>
          <w:rFonts w:asciiTheme="minorHAnsi" w:eastAsiaTheme="minorEastAsia" w:hAnsiTheme="minorHAnsi" w:cstheme="minorBidi"/>
          <w:noProof/>
          <w:kern w:val="0"/>
          <w:sz w:val="22"/>
          <w:szCs w:val="22"/>
        </w:rPr>
      </w:pPr>
      <w:r>
        <w:rPr>
          <w:noProof/>
        </w:rPr>
        <w:t>Part 3—Transitional and saving provisions</w:t>
      </w:r>
      <w:r w:rsidRPr="00183B18">
        <w:rPr>
          <w:noProof/>
          <w:sz w:val="18"/>
        </w:rPr>
        <w:tab/>
      </w:r>
      <w:r w:rsidRPr="00183B18">
        <w:rPr>
          <w:noProof/>
          <w:sz w:val="18"/>
        </w:rPr>
        <w:fldChar w:fldCharType="begin"/>
      </w:r>
      <w:r w:rsidRPr="00183B18">
        <w:rPr>
          <w:noProof/>
          <w:sz w:val="18"/>
        </w:rPr>
        <w:instrText xml:space="preserve"> PAGEREF _Toc493599498 \h </w:instrText>
      </w:r>
      <w:r w:rsidRPr="00183B18">
        <w:rPr>
          <w:noProof/>
          <w:sz w:val="18"/>
        </w:rPr>
      </w:r>
      <w:r w:rsidRPr="00183B18">
        <w:rPr>
          <w:noProof/>
          <w:sz w:val="18"/>
        </w:rPr>
        <w:fldChar w:fldCharType="separate"/>
      </w:r>
      <w:r w:rsidR="001E7D71">
        <w:rPr>
          <w:noProof/>
          <w:sz w:val="18"/>
        </w:rPr>
        <w:t>30</w:t>
      </w:r>
      <w:r w:rsidRPr="00183B18">
        <w:rPr>
          <w:noProof/>
          <w:sz w:val="18"/>
        </w:rPr>
        <w:fldChar w:fldCharType="end"/>
      </w:r>
    </w:p>
    <w:p w:rsidR="0048364F" w:rsidRPr="00BB54D3" w:rsidRDefault="00183B18" w:rsidP="0048364F">
      <w:r>
        <w:fldChar w:fldCharType="end"/>
      </w:r>
    </w:p>
    <w:p w:rsidR="0048364F" w:rsidRPr="00BB54D3" w:rsidRDefault="0048364F" w:rsidP="0048364F">
      <w:pPr>
        <w:sectPr w:rsidR="0048364F" w:rsidRPr="00BB54D3" w:rsidSect="007F169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F169B" w:rsidRDefault="007F169B">
      <w:r>
        <w:object w:dxaOrig="2146" w:dyaOrig="1561">
          <v:shape id="_x0000_i1027" type="#_x0000_t75" style="width:110.25pt;height:80.25pt" o:ole="" fillcolor="window">
            <v:imagedata r:id="rId8" o:title=""/>
          </v:shape>
          <o:OLEObject Type="Embed" ProgID="Word.Picture.8" ShapeID="_x0000_i1027" DrawAspect="Content" ObjectID="_1567341634" r:id="rId21"/>
        </w:object>
      </w:r>
    </w:p>
    <w:p w:rsidR="007F169B" w:rsidRDefault="007F169B"/>
    <w:p w:rsidR="007F169B" w:rsidRDefault="007F169B" w:rsidP="007F169B">
      <w:pPr>
        <w:spacing w:line="240" w:lineRule="auto"/>
      </w:pPr>
    </w:p>
    <w:p w:rsidR="007F169B" w:rsidRDefault="001E7D71" w:rsidP="007F169B">
      <w:pPr>
        <w:pStyle w:val="ShortTP1"/>
      </w:pPr>
      <w:r>
        <w:fldChar w:fldCharType="begin"/>
      </w:r>
      <w:r>
        <w:instrText xml:space="preserve"> STYLEREF ShortT </w:instrText>
      </w:r>
      <w:r>
        <w:fldChar w:fldCharType="separate"/>
      </w:r>
      <w:r>
        <w:rPr>
          <w:noProof/>
        </w:rPr>
        <w:t>Telecommunications and Other Legislation Amendment Act 2017</w:t>
      </w:r>
      <w:r>
        <w:rPr>
          <w:noProof/>
        </w:rPr>
        <w:fldChar w:fldCharType="end"/>
      </w:r>
    </w:p>
    <w:p w:rsidR="007F169B" w:rsidRDefault="001E7D71" w:rsidP="007F169B">
      <w:pPr>
        <w:pStyle w:val="ActNoP1"/>
      </w:pPr>
      <w:r>
        <w:fldChar w:fldCharType="begin"/>
      </w:r>
      <w:r>
        <w:instrText xml:space="preserve"> STYLEREF Actno </w:instrText>
      </w:r>
      <w:r>
        <w:fldChar w:fldCharType="separate"/>
      </w:r>
      <w:r>
        <w:rPr>
          <w:noProof/>
        </w:rPr>
        <w:t>No. 111, 2017</w:t>
      </w:r>
      <w:r>
        <w:rPr>
          <w:noProof/>
        </w:rPr>
        <w:fldChar w:fldCharType="end"/>
      </w:r>
    </w:p>
    <w:p w:rsidR="007F169B" w:rsidRPr="009A0728" w:rsidRDefault="007F169B" w:rsidP="009A0728">
      <w:pPr>
        <w:pBdr>
          <w:bottom w:val="single" w:sz="6" w:space="0" w:color="auto"/>
        </w:pBdr>
        <w:spacing w:before="400" w:line="240" w:lineRule="auto"/>
        <w:rPr>
          <w:rFonts w:eastAsia="Times New Roman"/>
          <w:b/>
          <w:sz w:val="28"/>
        </w:rPr>
      </w:pPr>
    </w:p>
    <w:p w:rsidR="007F169B" w:rsidRPr="009A0728" w:rsidRDefault="007F169B" w:rsidP="009A0728">
      <w:pPr>
        <w:spacing w:line="40" w:lineRule="exact"/>
        <w:rPr>
          <w:rFonts w:eastAsia="Calibri"/>
          <w:b/>
          <w:sz w:val="28"/>
        </w:rPr>
      </w:pPr>
    </w:p>
    <w:p w:rsidR="007F169B" w:rsidRPr="009A0728" w:rsidRDefault="007F169B" w:rsidP="009A0728">
      <w:pPr>
        <w:pBdr>
          <w:top w:val="single" w:sz="12" w:space="0" w:color="auto"/>
        </w:pBdr>
        <w:spacing w:line="240" w:lineRule="auto"/>
        <w:rPr>
          <w:rFonts w:eastAsia="Times New Roman"/>
          <w:b/>
          <w:sz w:val="28"/>
        </w:rPr>
      </w:pPr>
    </w:p>
    <w:p w:rsidR="0048364F" w:rsidRPr="00BB54D3" w:rsidRDefault="007F169B" w:rsidP="0008012F">
      <w:pPr>
        <w:pStyle w:val="Page1"/>
      </w:pPr>
      <w:r>
        <w:t>An Act</w:t>
      </w:r>
      <w:r w:rsidR="000F7E56" w:rsidRPr="00BB54D3">
        <w:t xml:space="preserve"> to amend the law relating to telecommunications, and for related purposes</w:t>
      </w:r>
    </w:p>
    <w:p w:rsidR="00805365" w:rsidRDefault="00805365" w:rsidP="000C5962">
      <w:pPr>
        <w:pStyle w:val="AssentDt"/>
        <w:spacing w:before="240"/>
        <w:rPr>
          <w:sz w:val="24"/>
        </w:rPr>
      </w:pPr>
      <w:r>
        <w:rPr>
          <w:sz w:val="24"/>
        </w:rPr>
        <w:t>[</w:t>
      </w:r>
      <w:r>
        <w:rPr>
          <w:i/>
          <w:sz w:val="24"/>
        </w:rPr>
        <w:t>Assented to 18 September 2017</w:t>
      </w:r>
      <w:r>
        <w:rPr>
          <w:sz w:val="24"/>
        </w:rPr>
        <w:t>]</w:t>
      </w:r>
    </w:p>
    <w:p w:rsidR="0048364F" w:rsidRPr="00BB54D3" w:rsidRDefault="0048364F" w:rsidP="00BB54D3">
      <w:pPr>
        <w:spacing w:before="240" w:line="240" w:lineRule="auto"/>
        <w:rPr>
          <w:sz w:val="32"/>
        </w:rPr>
      </w:pPr>
      <w:r w:rsidRPr="00BB54D3">
        <w:rPr>
          <w:sz w:val="32"/>
        </w:rPr>
        <w:t>The Parliament of Australia enacts:</w:t>
      </w:r>
    </w:p>
    <w:p w:rsidR="0048364F" w:rsidRPr="00BB54D3" w:rsidRDefault="0048364F" w:rsidP="00BB54D3">
      <w:pPr>
        <w:pStyle w:val="ActHead5"/>
      </w:pPr>
      <w:bookmarkStart w:id="2" w:name="_Toc493599461"/>
      <w:r w:rsidRPr="00BB54D3">
        <w:rPr>
          <w:rStyle w:val="CharSectno"/>
        </w:rPr>
        <w:t>1</w:t>
      </w:r>
      <w:r w:rsidRPr="00BB54D3">
        <w:t xml:space="preserve">  Short title</w:t>
      </w:r>
      <w:bookmarkEnd w:id="2"/>
    </w:p>
    <w:p w:rsidR="0048364F" w:rsidRPr="00BB54D3" w:rsidRDefault="0048364F" w:rsidP="00BB54D3">
      <w:pPr>
        <w:pStyle w:val="subsection"/>
      </w:pPr>
      <w:r w:rsidRPr="00BB54D3">
        <w:tab/>
      </w:r>
      <w:r w:rsidRPr="00BB54D3">
        <w:tab/>
      </w:r>
      <w:r w:rsidR="00361156" w:rsidRPr="00BB54D3">
        <w:t>This Act is the</w:t>
      </w:r>
      <w:r w:rsidRPr="00BB54D3">
        <w:t xml:space="preserve"> </w:t>
      </w:r>
      <w:r w:rsidR="0087549E" w:rsidRPr="00BB54D3">
        <w:rPr>
          <w:i/>
        </w:rPr>
        <w:t>Telecommunications and Other Legislation Amendment Act 201</w:t>
      </w:r>
      <w:r w:rsidR="00E04DFE" w:rsidRPr="00BB54D3">
        <w:rPr>
          <w:i/>
        </w:rPr>
        <w:t>7</w:t>
      </w:r>
      <w:r w:rsidRPr="00BB54D3">
        <w:t>.</w:t>
      </w:r>
    </w:p>
    <w:p w:rsidR="0048364F" w:rsidRPr="00BB54D3" w:rsidRDefault="0048364F" w:rsidP="00BB54D3">
      <w:pPr>
        <w:pStyle w:val="ActHead5"/>
      </w:pPr>
      <w:bookmarkStart w:id="3" w:name="_Toc493599462"/>
      <w:r w:rsidRPr="00BB54D3">
        <w:rPr>
          <w:rStyle w:val="CharSectno"/>
        </w:rPr>
        <w:t>2</w:t>
      </w:r>
      <w:r w:rsidRPr="00BB54D3">
        <w:t xml:space="preserve">  Commencement</w:t>
      </w:r>
      <w:bookmarkEnd w:id="3"/>
    </w:p>
    <w:p w:rsidR="0048364F" w:rsidRPr="00BB54D3" w:rsidRDefault="0048364F" w:rsidP="00BB54D3">
      <w:pPr>
        <w:pStyle w:val="subsection"/>
      </w:pPr>
      <w:r w:rsidRPr="00BB54D3">
        <w:tab/>
        <w:t>(1)</w:t>
      </w:r>
      <w:r w:rsidRPr="00BB54D3">
        <w:tab/>
        <w:t>Each provision of this Act specified in column 1 of the table commences, or is taken to have commenced, in accordance with column 2 of the table. Any other statement in column 2 has effect according to its terms.</w:t>
      </w:r>
    </w:p>
    <w:p w:rsidR="0048364F" w:rsidRPr="00BB54D3" w:rsidRDefault="0048364F" w:rsidP="00BB54D3">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BB54D3" w:rsidTr="0092695C">
        <w:trPr>
          <w:cantSplit/>
          <w:tblHeader/>
        </w:trPr>
        <w:tc>
          <w:tcPr>
            <w:tcW w:w="7111" w:type="dxa"/>
            <w:gridSpan w:val="3"/>
            <w:tcBorders>
              <w:top w:val="single" w:sz="12" w:space="0" w:color="auto"/>
            </w:tcBorders>
            <w:shd w:val="clear" w:color="auto" w:fill="auto"/>
          </w:tcPr>
          <w:p w:rsidR="0048364F" w:rsidRPr="00BB54D3" w:rsidRDefault="0048364F" w:rsidP="00BB54D3">
            <w:pPr>
              <w:pStyle w:val="TableHeading"/>
            </w:pPr>
            <w:r w:rsidRPr="00BB54D3">
              <w:t>Commencement information</w:t>
            </w:r>
          </w:p>
        </w:tc>
      </w:tr>
      <w:tr w:rsidR="0048364F" w:rsidRPr="00BB54D3" w:rsidTr="0092695C">
        <w:trPr>
          <w:cantSplit/>
          <w:tblHeader/>
        </w:trPr>
        <w:tc>
          <w:tcPr>
            <w:tcW w:w="1701" w:type="dxa"/>
            <w:tcBorders>
              <w:top w:val="single" w:sz="6" w:space="0" w:color="auto"/>
              <w:bottom w:val="single" w:sz="4" w:space="0" w:color="auto"/>
            </w:tcBorders>
            <w:shd w:val="clear" w:color="auto" w:fill="auto"/>
          </w:tcPr>
          <w:p w:rsidR="0048364F" w:rsidRPr="00BB54D3" w:rsidRDefault="0048364F" w:rsidP="00BB54D3">
            <w:pPr>
              <w:pStyle w:val="TableHeading"/>
            </w:pPr>
            <w:r w:rsidRPr="00BB54D3">
              <w:t>Column 1</w:t>
            </w:r>
          </w:p>
        </w:tc>
        <w:tc>
          <w:tcPr>
            <w:tcW w:w="3828" w:type="dxa"/>
            <w:tcBorders>
              <w:top w:val="single" w:sz="6" w:space="0" w:color="auto"/>
              <w:bottom w:val="single" w:sz="4" w:space="0" w:color="auto"/>
            </w:tcBorders>
            <w:shd w:val="clear" w:color="auto" w:fill="auto"/>
          </w:tcPr>
          <w:p w:rsidR="0048364F" w:rsidRPr="00BB54D3" w:rsidRDefault="0048364F" w:rsidP="00BB54D3">
            <w:pPr>
              <w:pStyle w:val="TableHeading"/>
            </w:pPr>
            <w:r w:rsidRPr="00BB54D3">
              <w:t>Column 2</w:t>
            </w:r>
          </w:p>
        </w:tc>
        <w:tc>
          <w:tcPr>
            <w:tcW w:w="1582" w:type="dxa"/>
            <w:tcBorders>
              <w:top w:val="single" w:sz="6" w:space="0" w:color="auto"/>
              <w:bottom w:val="single" w:sz="4" w:space="0" w:color="auto"/>
            </w:tcBorders>
            <w:shd w:val="clear" w:color="auto" w:fill="auto"/>
          </w:tcPr>
          <w:p w:rsidR="0048364F" w:rsidRPr="00BB54D3" w:rsidRDefault="0048364F" w:rsidP="00BB54D3">
            <w:pPr>
              <w:pStyle w:val="TableHeading"/>
            </w:pPr>
            <w:r w:rsidRPr="00BB54D3">
              <w:t>Column 3</w:t>
            </w:r>
          </w:p>
        </w:tc>
      </w:tr>
      <w:tr w:rsidR="0048364F" w:rsidRPr="00BB54D3" w:rsidTr="0092695C">
        <w:trPr>
          <w:cantSplit/>
          <w:tblHeader/>
        </w:trPr>
        <w:tc>
          <w:tcPr>
            <w:tcW w:w="1701" w:type="dxa"/>
            <w:tcBorders>
              <w:top w:val="single" w:sz="4" w:space="0" w:color="auto"/>
              <w:bottom w:val="single" w:sz="12" w:space="0" w:color="auto"/>
            </w:tcBorders>
            <w:shd w:val="clear" w:color="auto" w:fill="auto"/>
          </w:tcPr>
          <w:p w:rsidR="0048364F" w:rsidRPr="00BB54D3" w:rsidRDefault="0048364F" w:rsidP="00BB54D3">
            <w:pPr>
              <w:pStyle w:val="TableHeading"/>
            </w:pPr>
            <w:r w:rsidRPr="00BB54D3">
              <w:t>Provisions</w:t>
            </w:r>
          </w:p>
        </w:tc>
        <w:tc>
          <w:tcPr>
            <w:tcW w:w="3828" w:type="dxa"/>
            <w:tcBorders>
              <w:top w:val="single" w:sz="4" w:space="0" w:color="auto"/>
              <w:bottom w:val="single" w:sz="12" w:space="0" w:color="auto"/>
            </w:tcBorders>
            <w:shd w:val="clear" w:color="auto" w:fill="auto"/>
          </w:tcPr>
          <w:p w:rsidR="0048364F" w:rsidRPr="00BB54D3" w:rsidRDefault="0048364F" w:rsidP="00BB54D3">
            <w:pPr>
              <w:pStyle w:val="TableHeading"/>
            </w:pPr>
            <w:r w:rsidRPr="00BB54D3">
              <w:t>Commencement</w:t>
            </w:r>
          </w:p>
        </w:tc>
        <w:tc>
          <w:tcPr>
            <w:tcW w:w="1582" w:type="dxa"/>
            <w:tcBorders>
              <w:top w:val="single" w:sz="4" w:space="0" w:color="auto"/>
              <w:bottom w:val="single" w:sz="12" w:space="0" w:color="auto"/>
            </w:tcBorders>
            <w:shd w:val="clear" w:color="auto" w:fill="auto"/>
          </w:tcPr>
          <w:p w:rsidR="0048364F" w:rsidRPr="00BB54D3" w:rsidRDefault="0048364F" w:rsidP="00BB54D3">
            <w:pPr>
              <w:pStyle w:val="TableHeading"/>
            </w:pPr>
            <w:r w:rsidRPr="00BB54D3">
              <w:t>Date/Details</w:t>
            </w:r>
          </w:p>
        </w:tc>
      </w:tr>
      <w:tr w:rsidR="0048364F" w:rsidRPr="00BB54D3" w:rsidTr="0092695C">
        <w:trPr>
          <w:cantSplit/>
        </w:trPr>
        <w:tc>
          <w:tcPr>
            <w:tcW w:w="1701" w:type="dxa"/>
            <w:tcBorders>
              <w:top w:val="single" w:sz="12" w:space="0" w:color="auto"/>
              <w:bottom w:val="single" w:sz="2" w:space="0" w:color="auto"/>
            </w:tcBorders>
            <w:shd w:val="clear" w:color="auto" w:fill="auto"/>
          </w:tcPr>
          <w:p w:rsidR="0048364F" w:rsidRPr="00BB54D3" w:rsidRDefault="0048364F" w:rsidP="00BB54D3">
            <w:pPr>
              <w:pStyle w:val="Tabletext"/>
            </w:pPr>
            <w:r w:rsidRPr="00BB54D3">
              <w:t>1.  Sections</w:t>
            </w:r>
            <w:r w:rsidR="00BB54D3" w:rsidRPr="00BB54D3">
              <w:t> </w:t>
            </w:r>
            <w:r w:rsidRPr="00BB54D3">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BB54D3" w:rsidRDefault="0048364F" w:rsidP="00BB54D3">
            <w:pPr>
              <w:pStyle w:val="Tabletext"/>
            </w:pPr>
            <w:r w:rsidRPr="00BB54D3">
              <w:t>The day this Act receives the Royal Assent.</w:t>
            </w:r>
          </w:p>
        </w:tc>
        <w:tc>
          <w:tcPr>
            <w:tcW w:w="1582" w:type="dxa"/>
            <w:tcBorders>
              <w:top w:val="single" w:sz="12" w:space="0" w:color="auto"/>
              <w:bottom w:val="single" w:sz="2" w:space="0" w:color="auto"/>
            </w:tcBorders>
            <w:shd w:val="clear" w:color="auto" w:fill="auto"/>
          </w:tcPr>
          <w:p w:rsidR="0048364F" w:rsidRPr="00BB54D3" w:rsidRDefault="00AB409D" w:rsidP="00BB54D3">
            <w:pPr>
              <w:pStyle w:val="Tabletext"/>
            </w:pPr>
            <w:r>
              <w:t>18 September 2017</w:t>
            </w:r>
          </w:p>
        </w:tc>
      </w:tr>
      <w:tr w:rsidR="0092157E" w:rsidRPr="00BB54D3" w:rsidTr="0092695C">
        <w:trPr>
          <w:cantSplit/>
        </w:trPr>
        <w:tc>
          <w:tcPr>
            <w:tcW w:w="1701" w:type="dxa"/>
            <w:tcBorders>
              <w:top w:val="single" w:sz="2" w:space="0" w:color="auto"/>
              <w:bottom w:val="single" w:sz="12" w:space="0" w:color="auto"/>
            </w:tcBorders>
            <w:shd w:val="clear" w:color="auto" w:fill="auto"/>
          </w:tcPr>
          <w:p w:rsidR="0092157E" w:rsidRPr="00BB54D3" w:rsidRDefault="0092157E" w:rsidP="00BB54D3">
            <w:pPr>
              <w:pStyle w:val="Tabletext"/>
            </w:pPr>
            <w:r w:rsidRPr="00BB54D3">
              <w:t>2.  Schedule</w:t>
            </w:r>
            <w:r w:rsidR="00BB54D3" w:rsidRPr="00BB54D3">
              <w:t> </w:t>
            </w:r>
            <w:r w:rsidRPr="00BB54D3">
              <w:t>1</w:t>
            </w:r>
          </w:p>
        </w:tc>
        <w:tc>
          <w:tcPr>
            <w:tcW w:w="3828" w:type="dxa"/>
            <w:tcBorders>
              <w:top w:val="single" w:sz="2" w:space="0" w:color="auto"/>
              <w:bottom w:val="single" w:sz="12" w:space="0" w:color="auto"/>
            </w:tcBorders>
            <w:shd w:val="clear" w:color="auto" w:fill="auto"/>
          </w:tcPr>
          <w:p w:rsidR="0092157E" w:rsidRPr="00BB54D3" w:rsidRDefault="00543BAA" w:rsidP="00BB54D3">
            <w:pPr>
              <w:pStyle w:val="Tabletext"/>
            </w:pPr>
            <w:r w:rsidRPr="00BB54D3">
              <w:t>The day after the end of the period of 12 months beginning on the day this Act receives the Royal Assent.</w:t>
            </w:r>
          </w:p>
        </w:tc>
        <w:tc>
          <w:tcPr>
            <w:tcW w:w="1582" w:type="dxa"/>
            <w:tcBorders>
              <w:top w:val="single" w:sz="2" w:space="0" w:color="auto"/>
              <w:bottom w:val="single" w:sz="12" w:space="0" w:color="auto"/>
            </w:tcBorders>
            <w:shd w:val="clear" w:color="auto" w:fill="auto"/>
          </w:tcPr>
          <w:p w:rsidR="0092157E" w:rsidRPr="00BB54D3" w:rsidRDefault="00AB409D" w:rsidP="00BB54D3">
            <w:pPr>
              <w:pStyle w:val="Tabletext"/>
            </w:pPr>
            <w:r>
              <w:t>18 September 2018</w:t>
            </w:r>
          </w:p>
        </w:tc>
      </w:tr>
    </w:tbl>
    <w:p w:rsidR="0048364F" w:rsidRPr="00BB54D3" w:rsidRDefault="00201D27" w:rsidP="00BB54D3">
      <w:pPr>
        <w:pStyle w:val="notetext"/>
      </w:pPr>
      <w:r w:rsidRPr="00BB54D3">
        <w:rPr>
          <w:snapToGrid w:val="0"/>
          <w:lang w:eastAsia="en-US"/>
        </w:rPr>
        <w:t>Note:</w:t>
      </w:r>
      <w:r w:rsidRPr="00BB54D3">
        <w:rPr>
          <w:snapToGrid w:val="0"/>
          <w:lang w:eastAsia="en-US"/>
        </w:rPr>
        <w:tab/>
        <w:t>This table relates only to the provisions of this Act as originally enacted. It will not be amended to deal with any later amendments of this Act.</w:t>
      </w:r>
    </w:p>
    <w:p w:rsidR="0048364F" w:rsidRPr="00BB54D3" w:rsidRDefault="0048364F" w:rsidP="00BB54D3">
      <w:pPr>
        <w:pStyle w:val="subsection"/>
      </w:pPr>
      <w:r w:rsidRPr="00BB54D3">
        <w:tab/>
        <w:t>(2)</w:t>
      </w:r>
      <w:r w:rsidRPr="00BB54D3">
        <w:tab/>
      </w:r>
      <w:r w:rsidR="00201D27" w:rsidRPr="00BB54D3">
        <w:t xml:space="preserve">Any information in </w:t>
      </w:r>
      <w:r w:rsidR="00877D48" w:rsidRPr="00BB54D3">
        <w:t>c</w:t>
      </w:r>
      <w:r w:rsidR="00201D27" w:rsidRPr="00BB54D3">
        <w:t>olumn 3 of the table is not part of this Act. Information may be inserted in this column, or information in it may be edited, in any published version of this Act.</w:t>
      </w:r>
    </w:p>
    <w:p w:rsidR="0048364F" w:rsidRPr="00BB54D3" w:rsidRDefault="0048364F" w:rsidP="00BB54D3">
      <w:pPr>
        <w:pStyle w:val="ActHead5"/>
      </w:pPr>
      <w:bookmarkStart w:id="4" w:name="_Toc493599463"/>
      <w:r w:rsidRPr="00BB54D3">
        <w:rPr>
          <w:rStyle w:val="CharSectno"/>
        </w:rPr>
        <w:t>3</w:t>
      </w:r>
      <w:r w:rsidRPr="00BB54D3">
        <w:t xml:space="preserve">  Schedules</w:t>
      </w:r>
      <w:bookmarkEnd w:id="4"/>
    </w:p>
    <w:p w:rsidR="0048364F" w:rsidRPr="00BB54D3" w:rsidRDefault="0048364F" w:rsidP="00BB54D3">
      <w:pPr>
        <w:pStyle w:val="subsection"/>
      </w:pPr>
      <w:r w:rsidRPr="00BB54D3">
        <w:tab/>
      </w:r>
      <w:r w:rsidRPr="00BB54D3">
        <w:tab/>
      </w:r>
      <w:r w:rsidR="00D52966" w:rsidRPr="00BB54D3">
        <w:rPr>
          <w:rFonts w:eastAsiaTheme="minorHAnsi"/>
          <w:szCs w:val="22"/>
          <w:lang w:eastAsia="en-US"/>
        </w:rPr>
        <w:t>Legislation that is specified in a Schedule to this Act is amended or repealed as set out in the applicable items in the Schedule concerned, and any other item in a Schedule to this Act has effect according to its terms.</w:t>
      </w:r>
    </w:p>
    <w:p w:rsidR="0048364F" w:rsidRPr="00BB54D3" w:rsidRDefault="0048364F" w:rsidP="00BB54D3">
      <w:pPr>
        <w:pStyle w:val="ActHead6"/>
        <w:pageBreakBefore/>
      </w:pPr>
      <w:bookmarkStart w:id="5" w:name="opcAmSched"/>
      <w:bookmarkStart w:id="6" w:name="opcCurrentFind"/>
      <w:bookmarkStart w:id="7" w:name="_Toc493599464"/>
      <w:r w:rsidRPr="00BB54D3">
        <w:rPr>
          <w:rStyle w:val="CharAmSchNo"/>
        </w:rPr>
        <w:t>Schedule</w:t>
      </w:r>
      <w:r w:rsidR="00BB54D3" w:rsidRPr="00BB54D3">
        <w:rPr>
          <w:rStyle w:val="CharAmSchNo"/>
        </w:rPr>
        <w:t> </w:t>
      </w:r>
      <w:r w:rsidRPr="00BB54D3">
        <w:rPr>
          <w:rStyle w:val="CharAmSchNo"/>
        </w:rPr>
        <w:t>1</w:t>
      </w:r>
      <w:r w:rsidRPr="00BB54D3">
        <w:t>—</w:t>
      </w:r>
      <w:r w:rsidR="000649E7" w:rsidRPr="00BB54D3">
        <w:rPr>
          <w:rStyle w:val="CharAmSchText"/>
        </w:rPr>
        <w:t>Amendments</w:t>
      </w:r>
      <w:bookmarkEnd w:id="7"/>
    </w:p>
    <w:p w:rsidR="007C3E33" w:rsidRPr="00BB54D3" w:rsidRDefault="007C3E33" w:rsidP="00BB54D3">
      <w:pPr>
        <w:pStyle w:val="ActHead7"/>
      </w:pPr>
      <w:bookmarkStart w:id="8" w:name="_Toc493599465"/>
      <w:bookmarkEnd w:id="5"/>
      <w:bookmarkEnd w:id="6"/>
      <w:r w:rsidRPr="00BB54D3">
        <w:rPr>
          <w:rStyle w:val="CharAmPartNo"/>
        </w:rPr>
        <w:t>Part</w:t>
      </w:r>
      <w:r w:rsidR="00BB54D3" w:rsidRPr="00BB54D3">
        <w:rPr>
          <w:rStyle w:val="CharAmPartNo"/>
        </w:rPr>
        <w:t> </w:t>
      </w:r>
      <w:r w:rsidRPr="00BB54D3">
        <w:rPr>
          <w:rStyle w:val="CharAmPartNo"/>
        </w:rPr>
        <w:t>1</w:t>
      </w:r>
      <w:r w:rsidRPr="00BB54D3">
        <w:t>—</w:t>
      </w:r>
      <w:r w:rsidRPr="00BB54D3">
        <w:rPr>
          <w:rStyle w:val="CharAmPartText"/>
        </w:rPr>
        <w:t>Main amendments</w:t>
      </w:r>
      <w:bookmarkEnd w:id="8"/>
    </w:p>
    <w:p w:rsidR="000649E7" w:rsidRPr="00BB54D3" w:rsidRDefault="000649E7" w:rsidP="00BB54D3">
      <w:pPr>
        <w:pStyle w:val="ActHead9"/>
        <w:rPr>
          <w:i w:val="0"/>
        </w:rPr>
      </w:pPr>
      <w:bookmarkStart w:id="9" w:name="_Toc493599466"/>
      <w:r w:rsidRPr="00BB54D3">
        <w:t>Telecommunications Act 1997</w:t>
      </w:r>
      <w:bookmarkEnd w:id="9"/>
    </w:p>
    <w:p w:rsidR="00096431" w:rsidRPr="00BB54D3" w:rsidRDefault="0074196E" w:rsidP="00BB54D3">
      <w:pPr>
        <w:pStyle w:val="ItemHead"/>
      </w:pPr>
      <w:r w:rsidRPr="00BB54D3">
        <w:t>1</w:t>
      </w:r>
      <w:r w:rsidR="00096431" w:rsidRPr="00BB54D3">
        <w:t xml:space="preserve">  Section</w:t>
      </w:r>
      <w:r w:rsidR="00BB54D3" w:rsidRPr="00BB54D3">
        <w:t> </w:t>
      </w:r>
      <w:r w:rsidR="00096431" w:rsidRPr="00BB54D3">
        <w:t>5</w:t>
      </w:r>
    </w:p>
    <w:p w:rsidR="00096431" w:rsidRPr="00BB54D3" w:rsidRDefault="00096431" w:rsidP="00BB54D3">
      <w:pPr>
        <w:pStyle w:val="Item"/>
      </w:pPr>
      <w:r w:rsidRPr="00BB54D3">
        <w:t>After:</w:t>
      </w:r>
    </w:p>
    <w:p w:rsidR="00096431" w:rsidRPr="00BB54D3" w:rsidRDefault="00096431" w:rsidP="00BB54D3">
      <w:pPr>
        <w:pStyle w:val="SOBullet"/>
      </w:pPr>
      <w:r w:rsidRPr="00BB54D3">
        <w:t>•</w:t>
      </w:r>
      <w:r w:rsidRPr="00BB54D3">
        <w:tab/>
        <w:t>The ACMA, carriers and carriage service providers must do their best to prevent telecommunications networks and facilities from being used to commit offences.</w:t>
      </w:r>
    </w:p>
    <w:p w:rsidR="00096431" w:rsidRPr="00BB54D3" w:rsidRDefault="00096431" w:rsidP="00BB54D3">
      <w:pPr>
        <w:pStyle w:val="Item"/>
      </w:pPr>
      <w:r w:rsidRPr="00BB54D3">
        <w:t>insert:</w:t>
      </w:r>
    </w:p>
    <w:p w:rsidR="00096431" w:rsidRPr="00BB54D3" w:rsidRDefault="00096431" w:rsidP="00BB54D3">
      <w:pPr>
        <w:pStyle w:val="SOBullet"/>
      </w:pPr>
      <w:r w:rsidRPr="00BB54D3">
        <w:t>•</w:t>
      </w:r>
      <w:r w:rsidRPr="00BB54D3">
        <w:tab/>
        <w:t>Carriers and carriage service providers must do their best to protect telecommunications networks and facilities from unauthorised interference or unauthorised access.</w:t>
      </w:r>
    </w:p>
    <w:p w:rsidR="0035468F" w:rsidRPr="00BB54D3" w:rsidRDefault="0074196E" w:rsidP="00BB54D3">
      <w:pPr>
        <w:pStyle w:val="ItemHead"/>
      </w:pPr>
      <w:r w:rsidRPr="00BB54D3">
        <w:t>2</w:t>
      </w:r>
      <w:r w:rsidR="0035468F" w:rsidRPr="00BB54D3">
        <w:t xml:space="preserve">  Section</w:t>
      </w:r>
      <w:r w:rsidR="00BB54D3" w:rsidRPr="00BB54D3">
        <w:t> </w:t>
      </w:r>
      <w:r w:rsidR="0035468F" w:rsidRPr="00BB54D3">
        <w:t>7</w:t>
      </w:r>
    </w:p>
    <w:p w:rsidR="0035468F" w:rsidRPr="00BB54D3" w:rsidRDefault="0035468F" w:rsidP="00BB54D3">
      <w:pPr>
        <w:pStyle w:val="Item"/>
      </w:pPr>
      <w:r w:rsidRPr="00BB54D3">
        <w:t>Insert:</w:t>
      </w:r>
    </w:p>
    <w:p w:rsidR="00774046" w:rsidRPr="00BB54D3" w:rsidRDefault="00774046" w:rsidP="00BB54D3">
      <w:pPr>
        <w:pStyle w:val="Definition"/>
        <w:rPr>
          <w:b/>
          <w:i/>
        </w:rPr>
      </w:pPr>
      <w:r w:rsidRPr="00BB54D3">
        <w:rPr>
          <w:b/>
          <w:i/>
        </w:rPr>
        <w:t xml:space="preserve">adverse security assessment </w:t>
      </w:r>
      <w:r w:rsidRPr="00BB54D3">
        <w:t>has the meaning given by section</w:t>
      </w:r>
      <w:r w:rsidR="00BB54D3" w:rsidRPr="00BB54D3">
        <w:t> </w:t>
      </w:r>
      <w:r w:rsidRPr="00BB54D3">
        <w:t xml:space="preserve">35 of the </w:t>
      </w:r>
      <w:r w:rsidRPr="00BB54D3">
        <w:rPr>
          <w:i/>
        </w:rPr>
        <w:t>Australian Security Intelligence Organisation Act 1979</w:t>
      </w:r>
      <w:r w:rsidRPr="00BB54D3">
        <w:t>.</w:t>
      </w:r>
    </w:p>
    <w:p w:rsidR="0035468F" w:rsidRPr="00BB54D3" w:rsidRDefault="0035468F" w:rsidP="00BB54D3">
      <w:pPr>
        <w:pStyle w:val="Definition"/>
      </w:pPr>
      <w:r w:rsidRPr="00BB54D3">
        <w:rPr>
          <w:b/>
          <w:i/>
        </w:rPr>
        <w:t>Attorney</w:t>
      </w:r>
      <w:r w:rsidR="00772E5E">
        <w:rPr>
          <w:b/>
          <w:i/>
        </w:rPr>
        <w:noBreakHyphen/>
      </w:r>
      <w:r w:rsidRPr="00BB54D3">
        <w:rPr>
          <w:b/>
          <w:i/>
        </w:rPr>
        <w:t>General’s Department</w:t>
      </w:r>
      <w:r w:rsidRPr="00BB54D3">
        <w:t xml:space="preserve"> means the Department administered by the Minister administering the </w:t>
      </w:r>
      <w:r w:rsidRPr="00BB54D3">
        <w:rPr>
          <w:i/>
        </w:rPr>
        <w:t>Australian Security Intelligence Organisation Act 1979</w:t>
      </w:r>
      <w:r w:rsidRPr="00BB54D3">
        <w:t>.</w:t>
      </w:r>
    </w:p>
    <w:p w:rsidR="002F0A2D" w:rsidRPr="00BB54D3" w:rsidRDefault="00446121" w:rsidP="00BB54D3">
      <w:pPr>
        <w:pStyle w:val="Definition"/>
      </w:pPr>
      <w:r w:rsidRPr="00BB54D3">
        <w:rPr>
          <w:b/>
          <w:i/>
        </w:rPr>
        <w:t>Attorney</w:t>
      </w:r>
      <w:r w:rsidR="00772E5E">
        <w:rPr>
          <w:b/>
          <w:i/>
        </w:rPr>
        <w:noBreakHyphen/>
      </w:r>
      <w:r w:rsidRPr="00BB54D3">
        <w:rPr>
          <w:b/>
          <w:i/>
        </w:rPr>
        <w:t>General’s Secretary</w:t>
      </w:r>
      <w:r w:rsidRPr="00BB54D3">
        <w:t xml:space="preserve"> means the Secretary of the Attorney</w:t>
      </w:r>
      <w:r w:rsidR="00772E5E">
        <w:noBreakHyphen/>
      </w:r>
      <w:r w:rsidRPr="00BB54D3">
        <w:t>General’s Department.</w:t>
      </w:r>
    </w:p>
    <w:p w:rsidR="00057265" w:rsidRPr="00BB54D3" w:rsidRDefault="00057265" w:rsidP="00BB54D3">
      <w:pPr>
        <w:pStyle w:val="Definition"/>
      </w:pPr>
      <w:r w:rsidRPr="00BB54D3">
        <w:rPr>
          <w:b/>
          <w:i/>
        </w:rPr>
        <w:t>Director</w:t>
      </w:r>
      <w:r w:rsidR="00772E5E">
        <w:rPr>
          <w:b/>
          <w:i/>
        </w:rPr>
        <w:noBreakHyphen/>
      </w:r>
      <w:r w:rsidRPr="00BB54D3">
        <w:rPr>
          <w:b/>
          <w:i/>
        </w:rPr>
        <w:t>General of Security</w:t>
      </w:r>
      <w:r w:rsidRPr="00BB54D3">
        <w:t xml:space="preserve"> means the Director</w:t>
      </w:r>
      <w:r w:rsidR="00772E5E">
        <w:noBreakHyphen/>
      </w:r>
      <w:r w:rsidRPr="00BB54D3">
        <w:t xml:space="preserve">General of Security holding office under the </w:t>
      </w:r>
      <w:r w:rsidRPr="00BB54D3">
        <w:rPr>
          <w:i/>
        </w:rPr>
        <w:t>Australian Security Intelligence Organisation Act 1979</w:t>
      </w:r>
      <w:r w:rsidRPr="00BB54D3">
        <w:t>.</w:t>
      </w:r>
    </w:p>
    <w:p w:rsidR="00B90E1F" w:rsidRPr="00BB54D3" w:rsidRDefault="00B90E1F" w:rsidP="00BB54D3">
      <w:pPr>
        <w:pStyle w:val="Definition"/>
        <w:rPr>
          <w:b/>
        </w:rPr>
      </w:pPr>
      <w:r w:rsidRPr="00BB54D3">
        <w:rPr>
          <w:b/>
          <w:i/>
        </w:rPr>
        <w:t>nominated carriage service provider</w:t>
      </w:r>
      <w:r w:rsidRPr="00BB54D3">
        <w:t xml:space="preserve"> means a carriage service provider covered by a declaration in force under subsection</w:t>
      </w:r>
      <w:r w:rsidR="00BB54D3" w:rsidRPr="00BB54D3">
        <w:t> </w:t>
      </w:r>
      <w:r w:rsidRPr="00BB54D3">
        <w:t xml:space="preserve">197(4) of the </w:t>
      </w:r>
      <w:r w:rsidRPr="00BB54D3">
        <w:rPr>
          <w:i/>
        </w:rPr>
        <w:t>Telecommunications (Interception and Access) Act 1979</w:t>
      </w:r>
      <w:r w:rsidRPr="00BB54D3">
        <w:t>.</w:t>
      </w:r>
    </w:p>
    <w:p w:rsidR="00B90E1F" w:rsidRPr="00BB54D3" w:rsidRDefault="00B90E1F" w:rsidP="00BB54D3">
      <w:pPr>
        <w:pStyle w:val="Definition"/>
        <w:rPr>
          <w:b/>
          <w:i/>
        </w:rPr>
      </w:pPr>
      <w:r w:rsidRPr="00BB54D3">
        <w:rPr>
          <w:b/>
          <w:i/>
        </w:rPr>
        <w:t>notifiable equipment</w:t>
      </w:r>
      <w:r w:rsidRPr="00BB54D3">
        <w:t xml:space="preserve"> has the same meaning as in the </w:t>
      </w:r>
      <w:r w:rsidRPr="00BB54D3">
        <w:rPr>
          <w:i/>
        </w:rPr>
        <w:t>Telecommunications (Interception and Access) Act 1979</w:t>
      </w:r>
      <w:r w:rsidRPr="00BB54D3">
        <w:t>.</w:t>
      </w:r>
    </w:p>
    <w:p w:rsidR="00B90E1F" w:rsidRPr="00BB54D3" w:rsidRDefault="00B90E1F" w:rsidP="00BB54D3">
      <w:pPr>
        <w:pStyle w:val="Definition"/>
      </w:pPr>
      <w:r w:rsidRPr="00BB54D3">
        <w:rPr>
          <w:b/>
          <w:i/>
        </w:rPr>
        <w:t>telecommunications service</w:t>
      </w:r>
      <w:r w:rsidRPr="00BB54D3">
        <w:t xml:space="preserve"> has the same meaning as in the </w:t>
      </w:r>
      <w:r w:rsidRPr="00BB54D3">
        <w:rPr>
          <w:i/>
        </w:rPr>
        <w:t>Telecommunications (Interception and Access) Act 1979</w:t>
      </w:r>
      <w:r w:rsidRPr="00BB54D3">
        <w:t>.</w:t>
      </w:r>
    </w:p>
    <w:p w:rsidR="00B90E1F" w:rsidRPr="00BB54D3" w:rsidRDefault="00B90E1F" w:rsidP="00BB54D3">
      <w:pPr>
        <w:pStyle w:val="Definition"/>
      </w:pPr>
      <w:r w:rsidRPr="00BB54D3">
        <w:rPr>
          <w:b/>
          <w:i/>
        </w:rPr>
        <w:t>telecommunications system</w:t>
      </w:r>
      <w:r w:rsidRPr="00BB54D3">
        <w:t xml:space="preserve"> has the same meaning as in the </w:t>
      </w:r>
      <w:r w:rsidRPr="00BB54D3">
        <w:rPr>
          <w:i/>
        </w:rPr>
        <w:t>Telecommunications (Interception and Access) Act 1979</w:t>
      </w:r>
      <w:r w:rsidRPr="00BB54D3">
        <w:t>.</w:t>
      </w:r>
    </w:p>
    <w:p w:rsidR="008C7FA7" w:rsidRPr="00BB54D3" w:rsidRDefault="0074196E" w:rsidP="00BB54D3">
      <w:pPr>
        <w:pStyle w:val="ItemHead"/>
      </w:pPr>
      <w:r w:rsidRPr="00BB54D3">
        <w:t>3</w:t>
      </w:r>
      <w:r w:rsidR="008C7FA7" w:rsidRPr="00BB54D3">
        <w:t xml:space="preserve">  After subsection</w:t>
      </w:r>
      <w:r w:rsidR="00BB54D3" w:rsidRPr="00BB54D3">
        <w:t> </w:t>
      </w:r>
      <w:r w:rsidR="008C7FA7" w:rsidRPr="00BB54D3">
        <w:t>105(5A)</w:t>
      </w:r>
    </w:p>
    <w:p w:rsidR="008C7FA7" w:rsidRPr="00BB54D3" w:rsidRDefault="008C7FA7" w:rsidP="00BB54D3">
      <w:pPr>
        <w:pStyle w:val="Item"/>
      </w:pPr>
      <w:r w:rsidRPr="00BB54D3">
        <w:t>Insert:</w:t>
      </w:r>
    </w:p>
    <w:p w:rsidR="008C7FA7" w:rsidRPr="00BB54D3" w:rsidRDefault="008C7FA7" w:rsidP="00BB54D3">
      <w:pPr>
        <w:pStyle w:val="subsection"/>
      </w:pPr>
      <w:r w:rsidRPr="00BB54D3">
        <w:tab/>
        <w:t>(5B)</w:t>
      </w:r>
      <w:r w:rsidRPr="00BB54D3">
        <w:tab/>
      </w:r>
      <w:r w:rsidR="00BB54D3" w:rsidRPr="00BB54D3">
        <w:t>Paragraph (</w:t>
      </w:r>
      <w:r w:rsidRPr="00BB54D3">
        <w:t>5A)(a) does not apply in relation to Part</w:t>
      </w:r>
      <w:r w:rsidR="00BB54D3" w:rsidRPr="00BB54D3">
        <w:t> </w:t>
      </w:r>
      <w:r w:rsidR="00195A0F" w:rsidRPr="00BB54D3">
        <w:t>1</w:t>
      </w:r>
      <w:r w:rsidRPr="00BB54D3">
        <w:t>4 to the extent that Part</w:t>
      </w:r>
      <w:r w:rsidR="00BB54D3" w:rsidRPr="00BB54D3">
        <w:t> </w:t>
      </w:r>
      <w:r w:rsidR="00195A0F" w:rsidRPr="00BB54D3">
        <w:t xml:space="preserve">14 was amended by the </w:t>
      </w:r>
      <w:r w:rsidR="00195A0F" w:rsidRPr="00BB54D3">
        <w:rPr>
          <w:i/>
        </w:rPr>
        <w:t>Telecommunications and Other Legislation Amendment Act 201</w:t>
      </w:r>
      <w:r w:rsidR="00045F62">
        <w:rPr>
          <w:i/>
        </w:rPr>
        <w:t>7</w:t>
      </w:r>
      <w:r w:rsidR="00195A0F" w:rsidRPr="00BB54D3">
        <w:t>.</w:t>
      </w:r>
    </w:p>
    <w:p w:rsidR="001D1671" w:rsidRPr="00BB54D3" w:rsidRDefault="0074196E" w:rsidP="00BB54D3">
      <w:pPr>
        <w:pStyle w:val="ItemHead"/>
      </w:pPr>
      <w:r w:rsidRPr="00BB54D3">
        <w:t>4</w:t>
      </w:r>
      <w:r w:rsidR="001D1671" w:rsidRPr="00BB54D3">
        <w:t xml:space="preserve">  Before section</w:t>
      </w:r>
      <w:r w:rsidR="00BB54D3" w:rsidRPr="00BB54D3">
        <w:t> </w:t>
      </w:r>
      <w:r w:rsidR="001D1671" w:rsidRPr="00BB54D3">
        <w:t>311</w:t>
      </w:r>
    </w:p>
    <w:p w:rsidR="001D1671" w:rsidRPr="00BB54D3" w:rsidRDefault="001D1671" w:rsidP="00BB54D3">
      <w:pPr>
        <w:pStyle w:val="Item"/>
      </w:pPr>
      <w:r w:rsidRPr="00BB54D3">
        <w:t>Insert:</w:t>
      </w:r>
    </w:p>
    <w:p w:rsidR="001D1671" w:rsidRPr="00BB54D3" w:rsidRDefault="001D1671" w:rsidP="00BB54D3">
      <w:pPr>
        <w:pStyle w:val="ActHead3"/>
      </w:pPr>
      <w:bookmarkStart w:id="10" w:name="_Toc493599467"/>
      <w:r w:rsidRPr="00BB54D3">
        <w:rPr>
          <w:rStyle w:val="CharDivNo"/>
        </w:rPr>
        <w:t>Division</w:t>
      </w:r>
      <w:r w:rsidR="00BB54D3" w:rsidRPr="00BB54D3">
        <w:rPr>
          <w:rStyle w:val="CharDivNo"/>
        </w:rPr>
        <w:t> </w:t>
      </w:r>
      <w:r w:rsidRPr="00BB54D3">
        <w:rPr>
          <w:rStyle w:val="CharDivNo"/>
        </w:rPr>
        <w:t>1</w:t>
      </w:r>
      <w:r w:rsidRPr="00BB54D3">
        <w:t>—</w:t>
      </w:r>
      <w:r w:rsidRPr="00BB54D3">
        <w:rPr>
          <w:rStyle w:val="CharDivText"/>
        </w:rPr>
        <w:t>Simplified outline</w:t>
      </w:r>
      <w:bookmarkEnd w:id="10"/>
    </w:p>
    <w:p w:rsidR="001D1671" w:rsidRPr="00BB54D3" w:rsidRDefault="0074196E" w:rsidP="00BB54D3">
      <w:pPr>
        <w:pStyle w:val="ItemHead"/>
      </w:pPr>
      <w:r w:rsidRPr="00BB54D3">
        <w:t>5</w:t>
      </w:r>
      <w:r w:rsidR="001D1671" w:rsidRPr="00BB54D3">
        <w:t xml:space="preserve">  Section</w:t>
      </w:r>
      <w:r w:rsidR="00BB54D3" w:rsidRPr="00BB54D3">
        <w:t> </w:t>
      </w:r>
      <w:r w:rsidR="001D1671" w:rsidRPr="00BB54D3">
        <w:t>311</w:t>
      </w:r>
    </w:p>
    <w:p w:rsidR="001D1671" w:rsidRPr="00BB54D3" w:rsidRDefault="001D1671" w:rsidP="00BB54D3">
      <w:pPr>
        <w:pStyle w:val="Item"/>
      </w:pPr>
      <w:r w:rsidRPr="00BB54D3">
        <w:t>After:</w:t>
      </w:r>
    </w:p>
    <w:p w:rsidR="001D1671" w:rsidRPr="00BB54D3" w:rsidRDefault="001D1671" w:rsidP="00BB54D3">
      <w:pPr>
        <w:pStyle w:val="SOBullet"/>
      </w:pPr>
      <w:r w:rsidRPr="00BB54D3">
        <w:t>•</w:t>
      </w:r>
      <w:r w:rsidRPr="00BB54D3">
        <w:tab/>
        <w:t>The ACMA, carriers and carriage service providers must do their best to prevent telecommunications networks and facilities from being used to commit offences.</w:t>
      </w:r>
    </w:p>
    <w:p w:rsidR="001D1671" w:rsidRPr="00BB54D3" w:rsidRDefault="001D1671" w:rsidP="00BB54D3">
      <w:pPr>
        <w:pStyle w:val="Item"/>
      </w:pPr>
      <w:r w:rsidRPr="00BB54D3">
        <w:t>insert:</w:t>
      </w:r>
    </w:p>
    <w:p w:rsidR="001D1671" w:rsidRPr="00BB54D3" w:rsidRDefault="001D1671" w:rsidP="00BB54D3">
      <w:pPr>
        <w:pStyle w:val="SOBullet"/>
      </w:pPr>
      <w:r w:rsidRPr="00BB54D3">
        <w:t>•</w:t>
      </w:r>
      <w:r w:rsidRPr="00BB54D3">
        <w:tab/>
        <w:t xml:space="preserve">Carriers and carriage service providers </w:t>
      </w:r>
      <w:r w:rsidR="002D6DC7" w:rsidRPr="00BB54D3">
        <w:t>have a duty to</w:t>
      </w:r>
      <w:r w:rsidRPr="00BB54D3">
        <w:t xml:space="preserve"> do their best to protect telecommunications networks and facilities from unauthorised interference</w:t>
      </w:r>
      <w:r w:rsidR="00F03006" w:rsidRPr="00BB54D3">
        <w:t>,</w:t>
      </w:r>
      <w:r w:rsidRPr="00BB54D3">
        <w:t xml:space="preserve"> or unauthorised access</w:t>
      </w:r>
      <w:r w:rsidR="00F03006" w:rsidRPr="00BB54D3">
        <w:t>, for the purposes of security</w:t>
      </w:r>
      <w:r w:rsidRPr="00BB54D3">
        <w:t>.</w:t>
      </w:r>
      <w:r w:rsidR="002D6DC7" w:rsidRPr="00BB54D3">
        <w:t xml:space="preserve"> Carriers and certain carriage service providers must notify changes to telecommunications services or telecommunications systems that are likely to have a material adverse effect on their capacity to comply with this duty.</w:t>
      </w:r>
    </w:p>
    <w:p w:rsidR="001D1671" w:rsidRPr="00BB54D3" w:rsidRDefault="0074196E" w:rsidP="00BB54D3">
      <w:pPr>
        <w:pStyle w:val="ItemHead"/>
      </w:pPr>
      <w:r w:rsidRPr="00BB54D3">
        <w:t>6</w:t>
      </w:r>
      <w:r w:rsidR="001D1671" w:rsidRPr="00BB54D3">
        <w:t xml:space="preserve">  At the end of section</w:t>
      </w:r>
      <w:r w:rsidR="00BB54D3" w:rsidRPr="00BB54D3">
        <w:t> </w:t>
      </w:r>
      <w:r w:rsidR="001D1671" w:rsidRPr="00BB54D3">
        <w:t>311</w:t>
      </w:r>
    </w:p>
    <w:p w:rsidR="001D1671" w:rsidRPr="00BB54D3" w:rsidRDefault="001D1671" w:rsidP="00BB54D3">
      <w:pPr>
        <w:pStyle w:val="Item"/>
      </w:pPr>
      <w:r w:rsidRPr="00BB54D3">
        <w:t>Add:</w:t>
      </w:r>
    </w:p>
    <w:p w:rsidR="001D1671" w:rsidRPr="00BB54D3" w:rsidRDefault="001D1671" w:rsidP="00BB54D3">
      <w:pPr>
        <w:pStyle w:val="SOBullet"/>
      </w:pPr>
      <w:r w:rsidRPr="00BB54D3">
        <w:t>•</w:t>
      </w:r>
      <w:r w:rsidRPr="00BB54D3">
        <w:tab/>
        <w:t>The Attorney</w:t>
      </w:r>
      <w:r w:rsidR="00772E5E">
        <w:noBreakHyphen/>
      </w:r>
      <w:r w:rsidRPr="00BB54D3">
        <w:t xml:space="preserve">General may give directions to a carrier or a carriage service provider in </w:t>
      </w:r>
      <w:r w:rsidR="00F03006" w:rsidRPr="00BB54D3">
        <w:t xml:space="preserve">certain </w:t>
      </w:r>
      <w:r w:rsidRPr="00BB54D3">
        <w:t xml:space="preserve">circumstances </w:t>
      </w:r>
      <w:r w:rsidR="00E70972" w:rsidRPr="00BB54D3">
        <w:t xml:space="preserve">where certain activities </w:t>
      </w:r>
      <w:r w:rsidR="00F03006" w:rsidRPr="00BB54D3">
        <w:t>may be prejudicial</w:t>
      </w:r>
      <w:r w:rsidRPr="00BB54D3">
        <w:t xml:space="preserve"> to security.</w:t>
      </w:r>
    </w:p>
    <w:p w:rsidR="001D1671" w:rsidRPr="00BB54D3" w:rsidRDefault="001D1671" w:rsidP="00BB54D3">
      <w:pPr>
        <w:pStyle w:val="SOBullet"/>
      </w:pPr>
      <w:r w:rsidRPr="00BB54D3">
        <w:t>•</w:t>
      </w:r>
      <w:r w:rsidRPr="00BB54D3">
        <w:tab/>
        <w:t>The Attorney</w:t>
      </w:r>
      <w:r w:rsidR="00772E5E">
        <w:noBreakHyphen/>
      </w:r>
      <w:r w:rsidRPr="00BB54D3">
        <w:t xml:space="preserve">General’s Secretary may obtain information from carriers, carriage service providers and carriage service intermediaries if the information is relevant to </w:t>
      </w:r>
      <w:r w:rsidR="00543BAA" w:rsidRPr="00BB54D3">
        <w:t>assessing compliance with the duty</w:t>
      </w:r>
      <w:r w:rsidRPr="00BB54D3">
        <w:t xml:space="preserve"> of those persons to protect telecommunications networks and facilities from unauthorised interference or unauthorised access.</w:t>
      </w:r>
    </w:p>
    <w:p w:rsidR="001D1671" w:rsidRPr="00BB54D3" w:rsidRDefault="0074196E" w:rsidP="00BB54D3">
      <w:pPr>
        <w:pStyle w:val="ItemHead"/>
      </w:pPr>
      <w:r w:rsidRPr="00BB54D3">
        <w:t>7</w:t>
      </w:r>
      <w:r w:rsidR="001D1671" w:rsidRPr="00BB54D3">
        <w:t xml:space="preserve">  Before section</w:t>
      </w:r>
      <w:r w:rsidR="00BB54D3" w:rsidRPr="00BB54D3">
        <w:t> </w:t>
      </w:r>
      <w:r w:rsidR="001D1671" w:rsidRPr="00BB54D3">
        <w:t>312</w:t>
      </w:r>
    </w:p>
    <w:p w:rsidR="001D1671" w:rsidRPr="00BB54D3" w:rsidRDefault="001D1671" w:rsidP="00BB54D3">
      <w:pPr>
        <w:pStyle w:val="Item"/>
      </w:pPr>
      <w:r w:rsidRPr="00BB54D3">
        <w:t>Insert:</w:t>
      </w:r>
    </w:p>
    <w:p w:rsidR="001D1671" w:rsidRPr="00BB54D3" w:rsidRDefault="001D1671" w:rsidP="00BB54D3">
      <w:pPr>
        <w:pStyle w:val="ActHead3"/>
      </w:pPr>
      <w:bookmarkStart w:id="11" w:name="_Toc493599468"/>
      <w:r w:rsidRPr="00BB54D3">
        <w:rPr>
          <w:rStyle w:val="CharDivNo"/>
        </w:rPr>
        <w:t>Division</w:t>
      </w:r>
      <w:r w:rsidR="00BB54D3" w:rsidRPr="00BB54D3">
        <w:rPr>
          <w:rStyle w:val="CharDivNo"/>
        </w:rPr>
        <w:t> </w:t>
      </w:r>
      <w:r w:rsidRPr="00BB54D3">
        <w:rPr>
          <w:rStyle w:val="CharDivNo"/>
        </w:rPr>
        <w:t>2</w:t>
      </w:r>
      <w:r w:rsidRPr="00BB54D3">
        <w:t>—</w:t>
      </w:r>
      <w:r w:rsidRPr="00BB54D3">
        <w:rPr>
          <w:rStyle w:val="CharDivText"/>
        </w:rPr>
        <w:t>Obligations of ACMA and carriers and carriage service providers</w:t>
      </w:r>
      <w:bookmarkEnd w:id="11"/>
    </w:p>
    <w:p w:rsidR="001D1671" w:rsidRPr="00BB54D3" w:rsidRDefault="0074196E" w:rsidP="00BB54D3">
      <w:pPr>
        <w:pStyle w:val="ItemHead"/>
      </w:pPr>
      <w:r w:rsidRPr="00BB54D3">
        <w:t>8</w:t>
      </w:r>
      <w:r w:rsidR="001D1671" w:rsidRPr="00BB54D3">
        <w:t xml:space="preserve">  After subsection</w:t>
      </w:r>
      <w:r w:rsidR="00BB54D3" w:rsidRPr="00BB54D3">
        <w:t> </w:t>
      </w:r>
      <w:r w:rsidR="001D1671" w:rsidRPr="00BB54D3">
        <w:t>313(1)</w:t>
      </w:r>
    </w:p>
    <w:p w:rsidR="001D1671" w:rsidRPr="00BB54D3" w:rsidRDefault="001D1671" w:rsidP="00BB54D3">
      <w:pPr>
        <w:pStyle w:val="Item"/>
      </w:pPr>
      <w:r w:rsidRPr="00BB54D3">
        <w:t>Insert:</w:t>
      </w:r>
    </w:p>
    <w:p w:rsidR="001D1671" w:rsidRPr="00BB54D3" w:rsidRDefault="001D1671" w:rsidP="00BB54D3">
      <w:pPr>
        <w:pStyle w:val="subsection"/>
      </w:pPr>
      <w:r w:rsidRPr="00BB54D3">
        <w:tab/>
        <w:t>(1A)</w:t>
      </w:r>
      <w:r w:rsidRPr="00BB54D3">
        <w:tab/>
      </w:r>
      <w:r w:rsidR="00B43ABA" w:rsidRPr="00BB54D3">
        <w:t>For the purposes of security</w:t>
      </w:r>
      <w:r w:rsidR="00A4193C" w:rsidRPr="00BB54D3">
        <w:t xml:space="preserve"> (within the meaning of the </w:t>
      </w:r>
      <w:r w:rsidR="00A4193C" w:rsidRPr="00BB54D3">
        <w:rPr>
          <w:i/>
        </w:rPr>
        <w:t>Australian Security Intelligence Organisation Act 1979</w:t>
      </w:r>
      <w:r w:rsidR="00A4193C" w:rsidRPr="00BB54D3">
        <w:t>)</w:t>
      </w:r>
      <w:r w:rsidR="00B43ABA" w:rsidRPr="00BB54D3">
        <w:t>, a</w:t>
      </w:r>
      <w:r w:rsidRPr="00BB54D3">
        <w:t xml:space="preserve"> carrier or carriage service provider must, in connection with:</w:t>
      </w:r>
    </w:p>
    <w:p w:rsidR="001D1671" w:rsidRPr="00BB54D3" w:rsidRDefault="001D1671" w:rsidP="00BB54D3">
      <w:pPr>
        <w:pStyle w:val="paragraph"/>
      </w:pPr>
      <w:r w:rsidRPr="00BB54D3">
        <w:tab/>
        <w:t>(a)</w:t>
      </w:r>
      <w:r w:rsidRPr="00BB54D3">
        <w:tab/>
        <w:t>the operation by the carrier or provider of telecommunications networks or facilities; or</w:t>
      </w:r>
    </w:p>
    <w:p w:rsidR="001D1671" w:rsidRPr="00BB54D3" w:rsidRDefault="001D1671" w:rsidP="00BB54D3">
      <w:pPr>
        <w:pStyle w:val="paragraph"/>
      </w:pPr>
      <w:r w:rsidRPr="00BB54D3">
        <w:tab/>
        <w:t>(b)</w:t>
      </w:r>
      <w:r w:rsidRPr="00BB54D3">
        <w:tab/>
        <w:t>the supply by the carrier or provider of carriage services;</w:t>
      </w:r>
    </w:p>
    <w:p w:rsidR="00E543EB" w:rsidRPr="00BB54D3" w:rsidRDefault="001D1671" w:rsidP="00BB54D3">
      <w:pPr>
        <w:pStyle w:val="subsection2"/>
      </w:pPr>
      <w:r w:rsidRPr="00BB54D3">
        <w:t>do the carrier’s best or the provider’s best to protect telecommunications networks and facilities</w:t>
      </w:r>
      <w:r w:rsidR="00797262" w:rsidRPr="00BB54D3">
        <w:t xml:space="preserve"> owned, operated or used by the carrier or provider</w:t>
      </w:r>
      <w:r w:rsidRPr="00BB54D3">
        <w:t xml:space="preserve"> from unauthorised interference or unauthorised access to ensure</w:t>
      </w:r>
      <w:r w:rsidR="00E543EB" w:rsidRPr="00BB54D3">
        <w:t>:</w:t>
      </w:r>
    </w:p>
    <w:p w:rsidR="00E543EB" w:rsidRPr="00BB54D3" w:rsidRDefault="00E543EB" w:rsidP="00BB54D3">
      <w:pPr>
        <w:pStyle w:val="paragraph"/>
      </w:pPr>
      <w:r w:rsidRPr="00BB54D3">
        <w:tab/>
        <w:t>(c)</w:t>
      </w:r>
      <w:r w:rsidRPr="00BB54D3">
        <w:tab/>
        <w:t>the confidentiality of communications carried on, and of information contained on, telecommunications networks</w:t>
      </w:r>
      <w:r w:rsidR="003E7ABE" w:rsidRPr="00BB54D3">
        <w:t xml:space="preserve"> or facilities</w:t>
      </w:r>
      <w:r w:rsidRPr="00BB54D3">
        <w:t>; and</w:t>
      </w:r>
    </w:p>
    <w:p w:rsidR="004D5772" w:rsidRPr="00BB54D3" w:rsidRDefault="00E543EB" w:rsidP="00BB54D3">
      <w:pPr>
        <w:pStyle w:val="paragraph"/>
      </w:pPr>
      <w:r w:rsidRPr="00BB54D3">
        <w:tab/>
        <w:t>(d)</w:t>
      </w:r>
      <w:r w:rsidRPr="00BB54D3">
        <w:tab/>
        <w:t>the availability and integrity of telecommunications networks and facilities</w:t>
      </w:r>
      <w:r w:rsidR="00B43ABA" w:rsidRPr="00BB54D3">
        <w:t>.</w:t>
      </w:r>
    </w:p>
    <w:p w:rsidR="004D5772" w:rsidRPr="00BB54D3" w:rsidRDefault="00B04B93" w:rsidP="00BB54D3">
      <w:pPr>
        <w:pStyle w:val="notetext"/>
      </w:pPr>
      <w:r w:rsidRPr="00BB54D3">
        <w:t>Note 1</w:t>
      </w:r>
      <w:r w:rsidR="004D5772" w:rsidRPr="00BB54D3">
        <w:t>:</w:t>
      </w:r>
      <w:r w:rsidR="004D5772" w:rsidRPr="00BB54D3">
        <w:tab/>
      </w:r>
      <w:r w:rsidR="004D5772" w:rsidRPr="00BB54D3">
        <w:rPr>
          <w:b/>
          <w:i/>
        </w:rPr>
        <w:t>Security</w:t>
      </w:r>
      <w:r w:rsidR="004D5772" w:rsidRPr="00BB54D3">
        <w:t>, among other things, covers the protection of, and of the people of, the Commonwealth and the States and Territories from espionage, sabotage, attacks on Australia’s defence system and acts of foreign interference.</w:t>
      </w:r>
    </w:p>
    <w:p w:rsidR="00B04B93" w:rsidRPr="00BB54D3" w:rsidRDefault="00B04B93" w:rsidP="00BB54D3">
      <w:pPr>
        <w:pStyle w:val="notetext"/>
      </w:pPr>
      <w:r w:rsidRPr="00BB54D3">
        <w:t>Note 2:</w:t>
      </w:r>
      <w:r w:rsidRPr="00BB54D3">
        <w:tab/>
        <w:t>A person who uses a carriage service to supply various kinds of broadcasting services is not a carriage service provider merely because of that use (and therefore not subject to the duty imposed by this subsection): see subsections</w:t>
      </w:r>
      <w:r w:rsidR="00BB54D3" w:rsidRPr="00BB54D3">
        <w:t> </w:t>
      </w:r>
      <w:r w:rsidRPr="00BB54D3">
        <w:t>87(1) and (2) and 93(1) and (2).</w:t>
      </w:r>
    </w:p>
    <w:p w:rsidR="005763E5" w:rsidRPr="00BB54D3" w:rsidRDefault="005763E5" w:rsidP="00BB54D3">
      <w:pPr>
        <w:pStyle w:val="subsection"/>
      </w:pPr>
      <w:r w:rsidRPr="00BB54D3">
        <w:tab/>
        <w:t>(1B)</w:t>
      </w:r>
      <w:r w:rsidRPr="00BB54D3">
        <w:tab/>
        <w:t xml:space="preserve">Without limiting </w:t>
      </w:r>
      <w:r w:rsidR="00BB54D3" w:rsidRPr="00BB54D3">
        <w:t>subsection (</w:t>
      </w:r>
      <w:r w:rsidRPr="00BB54D3">
        <w:t>1A), the duty imposed by that subsection includes the requirement for the carrier or carriage service provider to maintain competent supervision of, and effective control over, telecommun</w:t>
      </w:r>
      <w:r w:rsidR="00F92617" w:rsidRPr="00BB54D3">
        <w:t xml:space="preserve">ications networks and facilities </w:t>
      </w:r>
      <w:r w:rsidR="00775A6F" w:rsidRPr="00BB54D3">
        <w:t>owned or operated by the carrier or provider</w:t>
      </w:r>
      <w:r w:rsidRPr="00BB54D3">
        <w:t>.</w:t>
      </w:r>
    </w:p>
    <w:p w:rsidR="001D1671" w:rsidRPr="00BB54D3" w:rsidRDefault="0074196E" w:rsidP="00BB54D3">
      <w:pPr>
        <w:pStyle w:val="ItemHead"/>
      </w:pPr>
      <w:r w:rsidRPr="00BB54D3">
        <w:t>9</w:t>
      </w:r>
      <w:r w:rsidR="001D1671" w:rsidRPr="00BB54D3">
        <w:t xml:space="preserve">  After subsection</w:t>
      </w:r>
      <w:r w:rsidR="00BB54D3" w:rsidRPr="00BB54D3">
        <w:t> </w:t>
      </w:r>
      <w:r w:rsidR="001D1671" w:rsidRPr="00BB54D3">
        <w:t>313(2)</w:t>
      </w:r>
    </w:p>
    <w:p w:rsidR="001D1671" w:rsidRPr="00BB54D3" w:rsidRDefault="001D1671" w:rsidP="00BB54D3">
      <w:pPr>
        <w:pStyle w:val="Item"/>
      </w:pPr>
      <w:r w:rsidRPr="00BB54D3">
        <w:t>Insert:</w:t>
      </w:r>
    </w:p>
    <w:p w:rsidR="001D1671" w:rsidRPr="00BB54D3" w:rsidRDefault="001D1671" w:rsidP="00BB54D3">
      <w:pPr>
        <w:pStyle w:val="subsection"/>
      </w:pPr>
      <w:r w:rsidRPr="00BB54D3">
        <w:tab/>
        <w:t>(2A)</w:t>
      </w:r>
      <w:r w:rsidRPr="00BB54D3">
        <w:tab/>
      </w:r>
      <w:r w:rsidR="00A4193C" w:rsidRPr="00BB54D3">
        <w:t xml:space="preserve">For the purposes of security (within the meaning of the </w:t>
      </w:r>
      <w:r w:rsidR="00A4193C" w:rsidRPr="00BB54D3">
        <w:rPr>
          <w:i/>
        </w:rPr>
        <w:t>Australian Security Intelligence Organisation Act 1979</w:t>
      </w:r>
      <w:r w:rsidR="00A4193C" w:rsidRPr="00BB54D3">
        <w:t>),</w:t>
      </w:r>
      <w:r w:rsidR="00277582" w:rsidRPr="00BB54D3">
        <w:t xml:space="preserve"> a</w:t>
      </w:r>
      <w:r w:rsidRPr="00BB54D3">
        <w:t xml:space="preserve"> carriage service intermediary must do the intermediary’s best to protect telecommunications networks and facilities </w:t>
      </w:r>
      <w:r w:rsidR="00B6784D" w:rsidRPr="00BB54D3">
        <w:t>used</w:t>
      </w:r>
      <w:r w:rsidR="00797262" w:rsidRPr="00BB54D3">
        <w:t xml:space="preserve"> to supply the carriage service referred to in subsection</w:t>
      </w:r>
      <w:r w:rsidR="00BB54D3" w:rsidRPr="00BB54D3">
        <w:t> </w:t>
      </w:r>
      <w:r w:rsidR="00797262" w:rsidRPr="00BB54D3">
        <w:t xml:space="preserve">87(5) </w:t>
      </w:r>
      <w:r w:rsidRPr="00BB54D3">
        <w:t>from unauthorised interference or unauthorised access to ensure:</w:t>
      </w:r>
    </w:p>
    <w:p w:rsidR="00E543EB" w:rsidRPr="00BB54D3" w:rsidRDefault="00E543EB" w:rsidP="00BB54D3">
      <w:pPr>
        <w:pStyle w:val="paragraph"/>
      </w:pPr>
      <w:r w:rsidRPr="00BB54D3">
        <w:tab/>
        <w:t>(a)</w:t>
      </w:r>
      <w:r w:rsidRPr="00BB54D3">
        <w:tab/>
        <w:t>the confidentiality of communications carried on, and of information contained on, telecommunications networks</w:t>
      </w:r>
      <w:r w:rsidR="003E7ABE" w:rsidRPr="00BB54D3">
        <w:t xml:space="preserve"> or facilities</w:t>
      </w:r>
      <w:r w:rsidRPr="00BB54D3">
        <w:t>; and</w:t>
      </w:r>
    </w:p>
    <w:p w:rsidR="00E543EB" w:rsidRPr="00BB54D3" w:rsidRDefault="00E543EB" w:rsidP="00BB54D3">
      <w:pPr>
        <w:pStyle w:val="paragraph"/>
      </w:pPr>
      <w:r w:rsidRPr="00BB54D3">
        <w:tab/>
        <w:t>(b)</w:t>
      </w:r>
      <w:r w:rsidRPr="00BB54D3">
        <w:tab/>
        <w:t>the availability and integrity of telecommunications networks and facilities.</w:t>
      </w:r>
    </w:p>
    <w:p w:rsidR="004D5772" w:rsidRPr="00BB54D3" w:rsidRDefault="004D5772" w:rsidP="00BB54D3">
      <w:pPr>
        <w:pStyle w:val="notetext"/>
      </w:pPr>
      <w:r w:rsidRPr="00BB54D3">
        <w:t>Note:</w:t>
      </w:r>
      <w:r w:rsidRPr="00BB54D3">
        <w:tab/>
      </w:r>
      <w:r w:rsidRPr="00BB54D3">
        <w:rPr>
          <w:b/>
          <w:i/>
        </w:rPr>
        <w:t>Security</w:t>
      </w:r>
      <w:r w:rsidRPr="00BB54D3">
        <w:t>, among other things, covers the protection of, and of the people of, the Commonwealth and the States and Territories from espionage, sabotage, attacks on Australia’s defence system and acts of foreign interference.</w:t>
      </w:r>
    </w:p>
    <w:p w:rsidR="001D1671" w:rsidRPr="00BB54D3" w:rsidRDefault="0074196E" w:rsidP="00BB54D3">
      <w:pPr>
        <w:pStyle w:val="ItemHead"/>
      </w:pPr>
      <w:r w:rsidRPr="00BB54D3">
        <w:t>10</w:t>
      </w:r>
      <w:r w:rsidR="001D1671" w:rsidRPr="00BB54D3">
        <w:t xml:space="preserve">  Paragraph 313(5)(a)</w:t>
      </w:r>
    </w:p>
    <w:p w:rsidR="001D1671" w:rsidRPr="00BB54D3" w:rsidRDefault="001D1671" w:rsidP="00BB54D3">
      <w:pPr>
        <w:pStyle w:val="Item"/>
      </w:pPr>
      <w:r w:rsidRPr="00BB54D3">
        <w:t>Omit “</w:t>
      </w:r>
      <w:r w:rsidR="00BB54D3" w:rsidRPr="00BB54D3">
        <w:t>subsection (</w:t>
      </w:r>
      <w:r w:rsidRPr="00BB54D3">
        <w:t>1), (2),”, substitute “</w:t>
      </w:r>
      <w:r w:rsidR="00BB54D3" w:rsidRPr="00BB54D3">
        <w:t>subsection (</w:t>
      </w:r>
      <w:r w:rsidRPr="00BB54D3">
        <w:t>1), (1A), (2), (2A),”.</w:t>
      </w:r>
    </w:p>
    <w:p w:rsidR="001D1671" w:rsidRPr="00BB54D3" w:rsidRDefault="0074196E" w:rsidP="00BB54D3">
      <w:pPr>
        <w:pStyle w:val="ItemHead"/>
      </w:pPr>
      <w:r w:rsidRPr="00BB54D3">
        <w:t>11</w:t>
      </w:r>
      <w:r w:rsidR="001D1671" w:rsidRPr="00BB54D3">
        <w:t xml:space="preserve">  At the end of subsection</w:t>
      </w:r>
      <w:r w:rsidR="00BB54D3" w:rsidRPr="00BB54D3">
        <w:t> </w:t>
      </w:r>
      <w:r w:rsidR="001D1671" w:rsidRPr="00BB54D3">
        <w:t>313(5)</w:t>
      </w:r>
    </w:p>
    <w:p w:rsidR="001D1671" w:rsidRPr="00BB54D3" w:rsidRDefault="001D1671" w:rsidP="00BB54D3">
      <w:pPr>
        <w:pStyle w:val="Item"/>
      </w:pPr>
      <w:r w:rsidRPr="00BB54D3">
        <w:t>Add:</w:t>
      </w:r>
    </w:p>
    <w:p w:rsidR="007C62C8" w:rsidRPr="00BB54D3" w:rsidRDefault="007C62C8" w:rsidP="00BB54D3">
      <w:pPr>
        <w:pStyle w:val="paragraph"/>
      </w:pPr>
      <w:r w:rsidRPr="00BB54D3">
        <w:tab/>
        <w:t>; or (c)</w:t>
      </w:r>
      <w:r w:rsidRPr="00BB54D3">
        <w:tab/>
        <w:t>in compliance with a direction given under subsection</w:t>
      </w:r>
      <w:r w:rsidR="00BB54D3" w:rsidRPr="00BB54D3">
        <w:t> </w:t>
      </w:r>
      <w:r w:rsidRPr="00BB54D3">
        <w:t>315A(1) or 315B(2).</w:t>
      </w:r>
    </w:p>
    <w:p w:rsidR="002D6DC7" w:rsidRPr="00BB54D3" w:rsidRDefault="0074196E" w:rsidP="00BB54D3">
      <w:pPr>
        <w:pStyle w:val="ItemHead"/>
      </w:pPr>
      <w:r w:rsidRPr="00BB54D3">
        <w:t>12</w:t>
      </w:r>
      <w:r w:rsidR="002D6DC7" w:rsidRPr="00BB54D3">
        <w:t xml:space="preserve">  After section</w:t>
      </w:r>
      <w:r w:rsidR="00BB54D3" w:rsidRPr="00BB54D3">
        <w:t> </w:t>
      </w:r>
      <w:r w:rsidR="002D6DC7" w:rsidRPr="00BB54D3">
        <w:t>314</w:t>
      </w:r>
    </w:p>
    <w:p w:rsidR="002D6DC7" w:rsidRPr="00BB54D3" w:rsidRDefault="002D6DC7" w:rsidP="00BB54D3">
      <w:pPr>
        <w:pStyle w:val="Item"/>
      </w:pPr>
      <w:r w:rsidRPr="00BB54D3">
        <w:t>Insert:</w:t>
      </w:r>
    </w:p>
    <w:p w:rsidR="002D6DC7" w:rsidRPr="00BB54D3" w:rsidRDefault="002D6DC7" w:rsidP="00BB54D3">
      <w:pPr>
        <w:pStyle w:val="ActHead3"/>
      </w:pPr>
      <w:bookmarkStart w:id="12" w:name="_Toc493599469"/>
      <w:r w:rsidRPr="00BB54D3">
        <w:rPr>
          <w:rStyle w:val="CharDivNo"/>
        </w:rPr>
        <w:t>Division</w:t>
      </w:r>
      <w:r w:rsidR="00BB54D3" w:rsidRPr="00BB54D3">
        <w:rPr>
          <w:rStyle w:val="CharDivNo"/>
        </w:rPr>
        <w:t> </w:t>
      </w:r>
      <w:r w:rsidRPr="00BB54D3">
        <w:rPr>
          <w:rStyle w:val="CharDivNo"/>
        </w:rPr>
        <w:t>3</w:t>
      </w:r>
      <w:r w:rsidRPr="00BB54D3">
        <w:t>—</w:t>
      </w:r>
      <w:r w:rsidR="008A3C2B" w:rsidRPr="00BB54D3">
        <w:rPr>
          <w:rStyle w:val="CharDivText"/>
        </w:rPr>
        <w:t>Notification of changes to telecommunications services or telecommunications systems</w:t>
      </w:r>
      <w:r w:rsidR="00D1415A" w:rsidRPr="00BB54D3">
        <w:rPr>
          <w:rStyle w:val="CharDivText"/>
        </w:rPr>
        <w:t xml:space="preserve"> relating to obligation under subsection</w:t>
      </w:r>
      <w:r w:rsidR="00BB54D3" w:rsidRPr="00BB54D3">
        <w:rPr>
          <w:rStyle w:val="CharDivText"/>
        </w:rPr>
        <w:t> </w:t>
      </w:r>
      <w:r w:rsidR="00D1415A" w:rsidRPr="00BB54D3">
        <w:rPr>
          <w:rStyle w:val="CharDivText"/>
        </w:rPr>
        <w:t>313(1A) or (2A)</w:t>
      </w:r>
      <w:bookmarkEnd w:id="12"/>
    </w:p>
    <w:p w:rsidR="008A3C2B" w:rsidRPr="00BB54D3" w:rsidRDefault="008A3C2B" w:rsidP="00BB54D3">
      <w:pPr>
        <w:pStyle w:val="ActHead4"/>
      </w:pPr>
      <w:bookmarkStart w:id="13" w:name="_Toc493599470"/>
      <w:r w:rsidRPr="00BB54D3">
        <w:rPr>
          <w:rStyle w:val="CharSubdNo"/>
        </w:rPr>
        <w:t>Subdivision A</w:t>
      </w:r>
      <w:r w:rsidRPr="00BB54D3">
        <w:t>—</w:t>
      </w:r>
      <w:r w:rsidRPr="00BB54D3">
        <w:rPr>
          <w:rStyle w:val="CharSubdText"/>
        </w:rPr>
        <w:t>Individual notifications</w:t>
      </w:r>
      <w:bookmarkEnd w:id="13"/>
    </w:p>
    <w:p w:rsidR="00D1415A" w:rsidRPr="00BB54D3" w:rsidRDefault="00D1415A" w:rsidP="00BB54D3">
      <w:pPr>
        <w:pStyle w:val="ActHead5"/>
      </w:pPr>
      <w:bookmarkStart w:id="14" w:name="_Toc493599471"/>
      <w:r w:rsidRPr="00BB54D3">
        <w:rPr>
          <w:rStyle w:val="CharSectno"/>
        </w:rPr>
        <w:t>314A</w:t>
      </w:r>
      <w:r w:rsidRPr="00BB54D3">
        <w:t xml:space="preserve">  Individual notifications</w:t>
      </w:r>
      <w:bookmarkEnd w:id="14"/>
    </w:p>
    <w:p w:rsidR="009B44AA" w:rsidRPr="00BB54D3" w:rsidRDefault="009B44AA" w:rsidP="00BB54D3">
      <w:pPr>
        <w:pStyle w:val="subsection"/>
      </w:pPr>
      <w:r w:rsidRPr="00BB54D3">
        <w:tab/>
        <w:t>(1)</w:t>
      </w:r>
      <w:r w:rsidRPr="00BB54D3">
        <w:tab/>
        <w:t>This section applies if, at any time, a carrier or a nominated carriage service provider becomes aware that the implementation by the carrier or provider of a change</w:t>
      </w:r>
      <w:r w:rsidRPr="00BB54D3">
        <w:rPr>
          <w:i/>
        </w:rPr>
        <w:t xml:space="preserve"> </w:t>
      </w:r>
      <w:r w:rsidRPr="00BB54D3">
        <w:t>that is proposed to a telecommunications service or a telecommunications system</w:t>
      </w:r>
      <w:r w:rsidRPr="00BB54D3">
        <w:rPr>
          <w:i/>
        </w:rPr>
        <w:t xml:space="preserve"> </w:t>
      </w:r>
      <w:r w:rsidRPr="00BB54D3">
        <w:t>is likely to have a material adverse effect on the capacity of the carrier or provider to comply with its obligations under subsection</w:t>
      </w:r>
      <w:r w:rsidR="00BB54D3" w:rsidRPr="00BB54D3">
        <w:t> </w:t>
      </w:r>
      <w:r w:rsidRPr="00BB54D3">
        <w:t>313(1A) or (2A).</w:t>
      </w:r>
    </w:p>
    <w:p w:rsidR="007E238B" w:rsidRPr="00BB54D3" w:rsidRDefault="007E238B" w:rsidP="00BB54D3">
      <w:pPr>
        <w:pStyle w:val="SubsectionHead"/>
      </w:pPr>
      <w:r w:rsidRPr="00BB54D3">
        <w:t>Kinds of changes</w:t>
      </w:r>
    </w:p>
    <w:p w:rsidR="009B44AA" w:rsidRPr="00BB54D3" w:rsidRDefault="009B44AA" w:rsidP="00BB54D3">
      <w:pPr>
        <w:pStyle w:val="subsection"/>
      </w:pPr>
      <w:r w:rsidRPr="00BB54D3">
        <w:tab/>
        <w:t>(2)</w:t>
      </w:r>
      <w:r w:rsidRPr="00BB54D3">
        <w:tab/>
        <w:t>A change to a telecommunications service or a telecommunications system includes (but is not limited to) the following:</w:t>
      </w:r>
    </w:p>
    <w:p w:rsidR="009B44AA" w:rsidRPr="00BB54D3" w:rsidRDefault="009B44AA" w:rsidP="00BB54D3">
      <w:pPr>
        <w:pStyle w:val="paragraph"/>
      </w:pPr>
      <w:r w:rsidRPr="00BB54D3">
        <w:tab/>
        <w:t>(a)</w:t>
      </w:r>
      <w:r w:rsidRPr="00BB54D3">
        <w:tab/>
        <w:t>the carrier or carriage service provider providing one or more new telecommunication services;</w:t>
      </w:r>
    </w:p>
    <w:p w:rsidR="009B44AA" w:rsidRPr="00BB54D3" w:rsidRDefault="009B44AA" w:rsidP="00BB54D3">
      <w:pPr>
        <w:pStyle w:val="paragraph"/>
      </w:pPr>
      <w:r w:rsidRPr="00BB54D3">
        <w:tab/>
        <w:t>(b)</w:t>
      </w:r>
      <w:r w:rsidRPr="00BB54D3">
        <w:tab/>
        <w:t>the carrier or carriage service provider changing the location of notifiable equipment (including moving equipment outside Australia);</w:t>
      </w:r>
    </w:p>
    <w:p w:rsidR="009B44AA" w:rsidRPr="00BB54D3" w:rsidRDefault="009B44AA" w:rsidP="00BB54D3">
      <w:pPr>
        <w:pStyle w:val="paragraph"/>
      </w:pPr>
      <w:r w:rsidRPr="00BB54D3">
        <w:tab/>
        <w:t>(c)</w:t>
      </w:r>
      <w:r w:rsidRPr="00BB54D3">
        <w:tab/>
        <w:t>the carrier or carriage service provider procuring notifiable equipment (including procuring equipment that is located outside Australia);</w:t>
      </w:r>
    </w:p>
    <w:p w:rsidR="009B44AA" w:rsidRPr="00BB54D3" w:rsidRDefault="009B44AA" w:rsidP="00BB54D3">
      <w:pPr>
        <w:pStyle w:val="paragraph"/>
      </w:pPr>
      <w:r w:rsidRPr="00BB54D3">
        <w:tab/>
        <w:t>(d)</w:t>
      </w:r>
      <w:r w:rsidRPr="00BB54D3">
        <w:tab/>
        <w:t>the carrier or carriage service provider entering into outsourcing arrangements:</w:t>
      </w:r>
    </w:p>
    <w:p w:rsidR="009B44AA" w:rsidRPr="00BB54D3" w:rsidRDefault="009B44AA" w:rsidP="00BB54D3">
      <w:pPr>
        <w:pStyle w:val="paragraphsub"/>
      </w:pPr>
      <w:r w:rsidRPr="00BB54D3">
        <w:tab/>
        <w:t>(i)</w:t>
      </w:r>
      <w:r w:rsidRPr="00BB54D3">
        <w:tab/>
        <w:t>to have all or part of the telecommunication services provided for the carrier or provider; or</w:t>
      </w:r>
    </w:p>
    <w:p w:rsidR="009B44AA" w:rsidRPr="00BB54D3" w:rsidRDefault="009B44AA" w:rsidP="00BB54D3">
      <w:pPr>
        <w:pStyle w:val="paragraphsub"/>
      </w:pPr>
      <w:r w:rsidRPr="00BB54D3">
        <w:tab/>
        <w:t>(ii)</w:t>
      </w:r>
      <w:r w:rsidRPr="00BB54D3">
        <w:tab/>
        <w:t>to have all or part of the provision of telecommunication services managed for the carrier or provider; or</w:t>
      </w:r>
    </w:p>
    <w:p w:rsidR="009B44AA" w:rsidRPr="00BB54D3" w:rsidRDefault="009B44AA" w:rsidP="00BB54D3">
      <w:pPr>
        <w:pStyle w:val="paragraphsub"/>
      </w:pPr>
      <w:r w:rsidRPr="00BB54D3">
        <w:tab/>
        <w:t>(iii)</w:t>
      </w:r>
      <w:r w:rsidRPr="00BB54D3">
        <w:tab/>
        <w:t>to have all or some information to which section</w:t>
      </w:r>
      <w:r w:rsidR="00BB54D3" w:rsidRPr="00BB54D3">
        <w:t> </w:t>
      </w:r>
      <w:r w:rsidRPr="00BB54D3">
        <w:t>276 applies in relation to the carrier or provider, managed for the carrier or provider;</w:t>
      </w:r>
    </w:p>
    <w:p w:rsidR="009B44AA" w:rsidRPr="00BB54D3" w:rsidRDefault="009B44AA" w:rsidP="00BB54D3">
      <w:pPr>
        <w:pStyle w:val="paragraph"/>
      </w:pPr>
      <w:r w:rsidRPr="00BB54D3">
        <w:tab/>
        <w:t>(e)</w:t>
      </w:r>
      <w:r w:rsidRPr="00BB54D3">
        <w:tab/>
        <w:t>the carrier or carriage service provider entering into arrangements to have all or some information to which section</w:t>
      </w:r>
      <w:r w:rsidR="00BB54D3" w:rsidRPr="00BB54D3">
        <w:t> </w:t>
      </w:r>
      <w:r w:rsidRPr="00BB54D3">
        <w:t>276 applies in relation to the carrier or provider access</w:t>
      </w:r>
      <w:r w:rsidR="00B04B93" w:rsidRPr="00BB54D3">
        <w:t>ed by persons outside Australia;</w:t>
      </w:r>
    </w:p>
    <w:p w:rsidR="00B04B93" w:rsidRPr="00BB54D3" w:rsidRDefault="00B04B93" w:rsidP="00BB54D3">
      <w:pPr>
        <w:pStyle w:val="paragraph"/>
      </w:pPr>
      <w:r w:rsidRPr="00BB54D3">
        <w:tab/>
        <w:t>(f)</w:t>
      </w:r>
      <w:r w:rsidRPr="00BB54D3">
        <w:tab/>
        <w:t>the carrier or carriage service provider entering into arrangements to have all or some information or documents to which subsection</w:t>
      </w:r>
      <w:r w:rsidR="00BB54D3" w:rsidRPr="00BB54D3">
        <w:t> </w:t>
      </w:r>
      <w:r w:rsidRPr="00BB54D3">
        <w:t xml:space="preserve">187A(1) of the </w:t>
      </w:r>
      <w:r w:rsidRPr="00BB54D3">
        <w:rPr>
          <w:i/>
        </w:rPr>
        <w:t>Telecommunications (Interception and Access) Act 1979</w:t>
      </w:r>
      <w:r w:rsidRPr="00BB54D3">
        <w:t xml:space="preserve"> applies in relation to the carrier or provider kept outside Australia.</w:t>
      </w:r>
    </w:p>
    <w:p w:rsidR="00B04B93" w:rsidRPr="00BB54D3" w:rsidRDefault="00B04B93" w:rsidP="00BB54D3">
      <w:pPr>
        <w:pStyle w:val="subsection"/>
      </w:pPr>
      <w:r w:rsidRPr="00BB54D3">
        <w:tab/>
        <w:t>(2A)</w:t>
      </w:r>
      <w:r w:rsidRPr="00BB54D3">
        <w:tab/>
      </w:r>
      <w:r w:rsidR="00BB54D3" w:rsidRPr="00BB54D3">
        <w:t>Subsection (</w:t>
      </w:r>
      <w:r w:rsidRPr="00BB54D3">
        <w:t xml:space="preserve">1) does not apply to changes to a telecommunications service or a telecommunications system that are changes determined in an instrument under </w:t>
      </w:r>
      <w:r w:rsidR="00BB54D3" w:rsidRPr="00BB54D3">
        <w:t>subsection (</w:t>
      </w:r>
      <w:r w:rsidRPr="00BB54D3">
        <w:t>2B).</w:t>
      </w:r>
    </w:p>
    <w:p w:rsidR="00B04B93" w:rsidRPr="00BB54D3" w:rsidRDefault="00B04B93" w:rsidP="00BB54D3">
      <w:pPr>
        <w:pStyle w:val="subsection"/>
      </w:pPr>
      <w:r w:rsidRPr="00BB54D3">
        <w:tab/>
        <w:t>(2B)</w:t>
      </w:r>
      <w:r w:rsidRPr="00BB54D3">
        <w:tab/>
        <w:t>The Communications Access Co</w:t>
      </w:r>
      <w:r w:rsidR="00772E5E">
        <w:noBreakHyphen/>
      </w:r>
      <w:r w:rsidRPr="00BB54D3">
        <w:t xml:space="preserve">ordinator may, by legislative instrument, make a determination for the purposes of </w:t>
      </w:r>
      <w:r w:rsidR="00BB54D3" w:rsidRPr="00BB54D3">
        <w:t>subsection (</w:t>
      </w:r>
      <w:r w:rsidRPr="00BB54D3">
        <w:t>2A).</w:t>
      </w:r>
    </w:p>
    <w:p w:rsidR="00B04B93" w:rsidRPr="00BB54D3" w:rsidRDefault="00B04B93" w:rsidP="00BB54D3">
      <w:pPr>
        <w:pStyle w:val="notetext"/>
      </w:pPr>
      <w:r w:rsidRPr="00BB54D3">
        <w:t>Note:</w:t>
      </w:r>
      <w:r w:rsidRPr="00BB54D3">
        <w:tab/>
        <w:t>For variation and revocation, see subsection</w:t>
      </w:r>
      <w:r w:rsidR="00BB54D3" w:rsidRPr="00BB54D3">
        <w:t> </w:t>
      </w:r>
      <w:r w:rsidRPr="00BB54D3">
        <w:t xml:space="preserve">33(3) of the </w:t>
      </w:r>
      <w:r w:rsidRPr="00BB54D3">
        <w:rPr>
          <w:i/>
        </w:rPr>
        <w:t>Acts Interpretation Act 1901</w:t>
      </w:r>
      <w:r w:rsidRPr="00BB54D3">
        <w:t>.</w:t>
      </w:r>
    </w:p>
    <w:p w:rsidR="007E238B" w:rsidRPr="00BB54D3" w:rsidRDefault="007E238B" w:rsidP="00BB54D3">
      <w:pPr>
        <w:pStyle w:val="SubsectionHead"/>
      </w:pPr>
      <w:r w:rsidRPr="00BB54D3">
        <w:t>Notification of change</w:t>
      </w:r>
    </w:p>
    <w:p w:rsidR="009B44AA" w:rsidRPr="00BB54D3" w:rsidRDefault="009B44AA" w:rsidP="00BB54D3">
      <w:pPr>
        <w:pStyle w:val="subsection"/>
      </w:pPr>
      <w:r w:rsidRPr="00BB54D3">
        <w:tab/>
        <w:t>(3)</w:t>
      </w:r>
      <w:r w:rsidRPr="00BB54D3">
        <w:tab/>
        <w:t>The carrier or provider must notify the Communications Access Co</w:t>
      </w:r>
      <w:r w:rsidR="00772E5E">
        <w:noBreakHyphen/>
      </w:r>
      <w:r w:rsidRPr="00BB54D3">
        <w:t>ordinator, in writing, of its intention to implement the proposed change.</w:t>
      </w:r>
      <w:r w:rsidR="00E54AB0" w:rsidRPr="00BB54D3">
        <w:t xml:space="preserve"> The notification must include a </w:t>
      </w:r>
      <w:r w:rsidR="00E54AB0" w:rsidRPr="00BB54D3">
        <w:rPr>
          <w:szCs w:val="22"/>
        </w:rPr>
        <w:t>description of the proposed change.</w:t>
      </w:r>
    </w:p>
    <w:p w:rsidR="00EB460B" w:rsidRPr="00BB54D3" w:rsidRDefault="00EB460B" w:rsidP="00BB54D3">
      <w:pPr>
        <w:pStyle w:val="SubsectionHead"/>
      </w:pPr>
      <w:r w:rsidRPr="00BB54D3">
        <w:t>Exemptions</w:t>
      </w:r>
    </w:p>
    <w:p w:rsidR="00627EC5" w:rsidRPr="00BB54D3" w:rsidRDefault="00EB460B" w:rsidP="00BB54D3">
      <w:pPr>
        <w:pStyle w:val="subsection"/>
      </w:pPr>
      <w:r w:rsidRPr="00BB54D3">
        <w:tab/>
        <w:t>(</w:t>
      </w:r>
      <w:r w:rsidR="00E54AB0" w:rsidRPr="00BB54D3">
        <w:t>4</w:t>
      </w:r>
      <w:r w:rsidRPr="00BB54D3">
        <w:t>)</w:t>
      </w:r>
      <w:r w:rsidRPr="00BB54D3">
        <w:tab/>
        <w:t>The Communications Access Co</w:t>
      </w:r>
      <w:r w:rsidR="00772E5E">
        <w:noBreakHyphen/>
      </w:r>
      <w:r w:rsidRPr="00BB54D3">
        <w:t xml:space="preserve">ordinator may, </w:t>
      </w:r>
      <w:r w:rsidR="00DA6BE8" w:rsidRPr="00BB54D3">
        <w:t xml:space="preserve">by </w:t>
      </w:r>
      <w:r w:rsidR="00627EC5" w:rsidRPr="00BB54D3">
        <w:t xml:space="preserve">notice </w:t>
      </w:r>
      <w:r w:rsidRPr="00BB54D3">
        <w:t>in writing</w:t>
      </w:r>
      <w:r w:rsidR="007C26FD" w:rsidRPr="00BB54D3">
        <w:t xml:space="preserve"> given to a carrier or a nominated carriage service provider</w:t>
      </w:r>
      <w:r w:rsidR="00627EC5" w:rsidRPr="00BB54D3">
        <w:t xml:space="preserve">, </w:t>
      </w:r>
      <w:r w:rsidR="007C26FD" w:rsidRPr="00BB54D3">
        <w:t>exempt the carrier or provider from the operation of this section.</w:t>
      </w:r>
    </w:p>
    <w:p w:rsidR="00EB460B" w:rsidRPr="00BB54D3" w:rsidRDefault="00627EC5" w:rsidP="00BB54D3">
      <w:pPr>
        <w:pStyle w:val="notetext"/>
      </w:pPr>
      <w:r w:rsidRPr="00BB54D3">
        <w:t>Note:</w:t>
      </w:r>
      <w:r w:rsidRPr="00BB54D3">
        <w:tab/>
        <w:t>For revocation, see subsection</w:t>
      </w:r>
      <w:r w:rsidR="00BB54D3" w:rsidRPr="00BB54D3">
        <w:t> </w:t>
      </w:r>
      <w:r w:rsidRPr="00BB54D3">
        <w:t xml:space="preserve">33(3) of the </w:t>
      </w:r>
      <w:r w:rsidRPr="00BB54D3">
        <w:rPr>
          <w:i/>
        </w:rPr>
        <w:t>Acts Interpretation Act 1901</w:t>
      </w:r>
      <w:r w:rsidR="00D45FC3" w:rsidRPr="00BB54D3">
        <w:t>.</w:t>
      </w:r>
    </w:p>
    <w:p w:rsidR="007C26FD" w:rsidRPr="00BB54D3" w:rsidRDefault="007C26FD" w:rsidP="00BB54D3">
      <w:pPr>
        <w:pStyle w:val="subsection"/>
      </w:pPr>
      <w:r w:rsidRPr="00BB54D3">
        <w:tab/>
        <w:t>(</w:t>
      </w:r>
      <w:r w:rsidR="00E54AB0" w:rsidRPr="00BB54D3">
        <w:t>5</w:t>
      </w:r>
      <w:r w:rsidRPr="00BB54D3">
        <w:t>)</w:t>
      </w:r>
      <w:r w:rsidRPr="00BB54D3">
        <w:tab/>
        <w:t>The Communications Access Co</w:t>
      </w:r>
      <w:r w:rsidR="00772E5E">
        <w:noBreakHyphen/>
      </w:r>
      <w:r w:rsidRPr="00BB54D3">
        <w:t xml:space="preserve">ordinator may, </w:t>
      </w:r>
      <w:r w:rsidR="00DA6BE8" w:rsidRPr="00BB54D3">
        <w:t xml:space="preserve">by </w:t>
      </w:r>
      <w:r w:rsidRPr="00BB54D3">
        <w:t>notice in writing given to a carrier or a nominated carriage service provider, exempt the carrier or provider from the operation of this section in relation to changes specified in the notice.</w:t>
      </w:r>
    </w:p>
    <w:p w:rsidR="007C26FD" w:rsidRPr="00BB54D3" w:rsidRDefault="007C26FD" w:rsidP="00BB54D3">
      <w:pPr>
        <w:pStyle w:val="notetext"/>
      </w:pPr>
      <w:r w:rsidRPr="00BB54D3">
        <w:t>Note:</w:t>
      </w:r>
      <w:r w:rsidRPr="00BB54D3">
        <w:tab/>
        <w:t>For variation and revocation, see subsection</w:t>
      </w:r>
      <w:r w:rsidR="00BB54D3" w:rsidRPr="00BB54D3">
        <w:t> </w:t>
      </w:r>
      <w:r w:rsidRPr="00BB54D3">
        <w:t xml:space="preserve">33(3) of the </w:t>
      </w:r>
      <w:r w:rsidRPr="00BB54D3">
        <w:rPr>
          <w:i/>
        </w:rPr>
        <w:t>Acts Interpretation Act 1901</w:t>
      </w:r>
      <w:r w:rsidRPr="00BB54D3">
        <w:t>.</w:t>
      </w:r>
    </w:p>
    <w:p w:rsidR="00B04B93" w:rsidRPr="00BB54D3" w:rsidRDefault="00B04B93" w:rsidP="00BB54D3">
      <w:pPr>
        <w:pStyle w:val="subsection"/>
      </w:pPr>
      <w:r w:rsidRPr="00BB54D3">
        <w:tab/>
        <w:t>(5A)</w:t>
      </w:r>
      <w:r w:rsidRPr="00BB54D3">
        <w:tab/>
        <w:t>The Communications Access Co</w:t>
      </w:r>
      <w:r w:rsidR="00772E5E">
        <w:noBreakHyphen/>
      </w:r>
      <w:r w:rsidRPr="00BB54D3">
        <w:t xml:space="preserve">ordinator may grant an exemption under </w:t>
      </w:r>
      <w:r w:rsidR="00BB54D3" w:rsidRPr="00BB54D3">
        <w:t>subsection (</w:t>
      </w:r>
      <w:r w:rsidRPr="00BB54D3">
        <w:t>4) or (5) on his or her own initiative or on written application by a carrier or a nominated carriage service provider.</w:t>
      </w:r>
    </w:p>
    <w:p w:rsidR="00B04B93" w:rsidRPr="00BB54D3" w:rsidRDefault="00B04B93" w:rsidP="00BB54D3">
      <w:pPr>
        <w:pStyle w:val="subsection"/>
      </w:pPr>
      <w:r w:rsidRPr="00BB54D3">
        <w:tab/>
        <w:t>(5B)</w:t>
      </w:r>
      <w:r w:rsidRPr="00BB54D3">
        <w:tab/>
        <w:t>If a carrier or a nominated carriage service provider makes such an application, the Communications Access Co</w:t>
      </w:r>
      <w:r w:rsidR="00772E5E">
        <w:noBreakHyphen/>
      </w:r>
      <w:r w:rsidRPr="00BB54D3">
        <w:t>ordinator must, within 60 days of receiving the application, either:</w:t>
      </w:r>
    </w:p>
    <w:p w:rsidR="00B04B93" w:rsidRPr="00BB54D3" w:rsidRDefault="00B04B93" w:rsidP="00BB54D3">
      <w:pPr>
        <w:pStyle w:val="paragraph"/>
      </w:pPr>
      <w:r w:rsidRPr="00BB54D3">
        <w:tab/>
        <w:t>(a)</w:t>
      </w:r>
      <w:r w:rsidRPr="00BB54D3">
        <w:tab/>
        <w:t xml:space="preserve">give the carrier or provider an exemption under </w:t>
      </w:r>
      <w:r w:rsidR="00BB54D3" w:rsidRPr="00BB54D3">
        <w:t>subsection (</w:t>
      </w:r>
      <w:r w:rsidRPr="00BB54D3">
        <w:t>4) or (5); or</w:t>
      </w:r>
    </w:p>
    <w:p w:rsidR="00B04B93" w:rsidRPr="00BB54D3" w:rsidRDefault="00B04B93" w:rsidP="00BB54D3">
      <w:pPr>
        <w:pStyle w:val="paragraph"/>
      </w:pPr>
      <w:r w:rsidRPr="00BB54D3">
        <w:tab/>
        <w:t>(b)</w:t>
      </w:r>
      <w:r w:rsidRPr="00BB54D3">
        <w:tab/>
        <w:t>give the carrier or provider a notice in writing refusing the application, including setting out the reasons for the refusal.</w:t>
      </w:r>
    </w:p>
    <w:p w:rsidR="00B04B93" w:rsidRPr="00BB54D3" w:rsidRDefault="00B04B93" w:rsidP="00BB54D3">
      <w:pPr>
        <w:pStyle w:val="subsection"/>
      </w:pPr>
      <w:r w:rsidRPr="00BB54D3">
        <w:tab/>
        <w:t>(5C)</w:t>
      </w:r>
      <w:r w:rsidRPr="00BB54D3">
        <w:tab/>
        <w:t>Applications may be made to the Administrative Appeals Tribunal for review of a decision of the Communications Access Co</w:t>
      </w:r>
      <w:r w:rsidR="00772E5E">
        <w:noBreakHyphen/>
      </w:r>
      <w:r w:rsidRPr="00BB54D3">
        <w:t xml:space="preserve">ordinator under </w:t>
      </w:r>
      <w:r w:rsidR="00BB54D3" w:rsidRPr="00BB54D3">
        <w:t>paragraph (</w:t>
      </w:r>
      <w:r w:rsidRPr="00BB54D3">
        <w:t>5B)(b) to refuse an application.</w:t>
      </w:r>
    </w:p>
    <w:p w:rsidR="007C26FD" w:rsidRPr="00BB54D3" w:rsidRDefault="007C26FD" w:rsidP="00BB54D3">
      <w:pPr>
        <w:pStyle w:val="subsection"/>
      </w:pPr>
      <w:r w:rsidRPr="00BB54D3">
        <w:tab/>
        <w:t>(</w:t>
      </w:r>
      <w:r w:rsidR="00E54AB0" w:rsidRPr="00BB54D3">
        <w:t>6</w:t>
      </w:r>
      <w:r w:rsidRPr="00BB54D3">
        <w:t>)</w:t>
      </w:r>
      <w:r w:rsidRPr="00BB54D3">
        <w:tab/>
        <w:t xml:space="preserve">An exemption under </w:t>
      </w:r>
      <w:r w:rsidR="00BB54D3" w:rsidRPr="00BB54D3">
        <w:t>subsection (</w:t>
      </w:r>
      <w:r w:rsidR="00E54AB0" w:rsidRPr="00BB54D3">
        <w:t>4</w:t>
      </w:r>
      <w:r w:rsidRPr="00BB54D3">
        <w:t>) or (</w:t>
      </w:r>
      <w:r w:rsidR="00E54AB0" w:rsidRPr="00BB54D3">
        <w:t>5</w:t>
      </w:r>
      <w:r w:rsidRPr="00BB54D3">
        <w:t>) has effect accordingly.</w:t>
      </w:r>
    </w:p>
    <w:p w:rsidR="00BB54D3" w:rsidRPr="00BB54D3" w:rsidRDefault="00BB54D3" w:rsidP="00BB54D3">
      <w:pPr>
        <w:pStyle w:val="subsection"/>
      </w:pPr>
      <w:r w:rsidRPr="00BB54D3">
        <w:tab/>
        <w:t>(6A)</w:t>
      </w:r>
      <w:r w:rsidRPr="00BB54D3">
        <w:tab/>
        <w:t>An exemption under subsection (4) or (5) may specify the period during which it is to remain in force. The exemption remains in force for that period unless it is revoked earlier or it ceases to be in force as mentioned in subsection (6B).</w:t>
      </w:r>
    </w:p>
    <w:p w:rsidR="00BB54D3" w:rsidRPr="00BB54D3" w:rsidRDefault="00BB54D3" w:rsidP="00BB54D3">
      <w:pPr>
        <w:pStyle w:val="subsection"/>
      </w:pPr>
      <w:r w:rsidRPr="00BB54D3">
        <w:tab/>
        <w:t>(6B)</w:t>
      </w:r>
      <w:r w:rsidRPr="00BB54D3">
        <w:tab/>
        <w:t>An exemption under subsection (4) or (5) may be given subject to conditions specified in the exemption. The exemption ceases to be in force if the carrier or nominated carriage service provider breaches a condition.</w:t>
      </w:r>
    </w:p>
    <w:p w:rsidR="007C26FD" w:rsidRPr="00BB54D3" w:rsidRDefault="007C26FD" w:rsidP="00BB54D3">
      <w:pPr>
        <w:pStyle w:val="subsection"/>
      </w:pPr>
      <w:r w:rsidRPr="00BB54D3">
        <w:tab/>
        <w:t>(</w:t>
      </w:r>
      <w:r w:rsidR="00E54AB0" w:rsidRPr="00BB54D3">
        <w:t>7</w:t>
      </w:r>
      <w:r w:rsidRPr="00BB54D3">
        <w:t>)</w:t>
      </w:r>
      <w:r w:rsidRPr="00BB54D3">
        <w:tab/>
        <w:t xml:space="preserve">An exemption under </w:t>
      </w:r>
      <w:r w:rsidR="00BB54D3" w:rsidRPr="00BB54D3">
        <w:t>subsection (</w:t>
      </w:r>
      <w:r w:rsidR="00E54AB0" w:rsidRPr="00BB54D3">
        <w:t>4) or (5</w:t>
      </w:r>
      <w:r w:rsidRPr="00BB54D3">
        <w:t>) is not a legislative instrument.</w:t>
      </w:r>
    </w:p>
    <w:p w:rsidR="009B44AA" w:rsidRPr="00BB54D3" w:rsidRDefault="009B44AA" w:rsidP="00BB54D3">
      <w:pPr>
        <w:pStyle w:val="ActHead5"/>
      </w:pPr>
      <w:bookmarkStart w:id="15" w:name="_Toc493599472"/>
      <w:r w:rsidRPr="00BB54D3">
        <w:rPr>
          <w:rStyle w:val="CharSectno"/>
        </w:rPr>
        <w:t>314B</w:t>
      </w:r>
      <w:r w:rsidRPr="00BB54D3">
        <w:t xml:space="preserve">  </w:t>
      </w:r>
      <w:r w:rsidR="00CB2837" w:rsidRPr="00BB54D3">
        <w:t>Assessment of</w:t>
      </w:r>
      <w:r w:rsidRPr="00BB54D3">
        <w:t xml:space="preserve"> proposed change</w:t>
      </w:r>
      <w:bookmarkEnd w:id="15"/>
    </w:p>
    <w:p w:rsidR="00CB2837" w:rsidRPr="00BB54D3" w:rsidRDefault="00CB2837" w:rsidP="00BB54D3">
      <w:pPr>
        <w:pStyle w:val="SubsectionHead"/>
      </w:pPr>
      <w:r w:rsidRPr="00BB54D3">
        <w:t>Further information</w:t>
      </w:r>
    </w:p>
    <w:p w:rsidR="00CB2837" w:rsidRPr="00BB54D3" w:rsidRDefault="00CB2837" w:rsidP="00BB54D3">
      <w:pPr>
        <w:pStyle w:val="subsection"/>
      </w:pPr>
      <w:r w:rsidRPr="00BB54D3">
        <w:tab/>
        <w:t>(1)</w:t>
      </w:r>
      <w:r w:rsidRPr="00BB54D3">
        <w:tab/>
        <w:t>If:</w:t>
      </w:r>
    </w:p>
    <w:p w:rsidR="00CB2837" w:rsidRPr="00BB54D3" w:rsidRDefault="00CB2837" w:rsidP="00BB54D3">
      <w:pPr>
        <w:pStyle w:val="paragraph"/>
      </w:pPr>
      <w:r w:rsidRPr="00BB54D3">
        <w:tab/>
        <w:t>(a)</w:t>
      </w:r>
      <w:r w:rsidRPr="00BB54D3">
        <w:tab/>
      </w:r>
      <w:r w:rsidR="00B23863" w:rsidRPr="00BB54D3">
        <w:t>under subsection</w:t>
      </w:r>
      <w:r w:rsidR="00BB54D3" w:rsidRPr="00BB54D3">
        <w:t> </w:t>
      </w:r>
      <w:r w:rsidR="00B23863" w:rsidRPr="00BB54D3">
        <w:t xml:space="preserve">314A(3), </w:t>
      </w:r>
      <w:r w:rsidRPr="00BB54D3">
        <w:t>a carrier or a nominated carriage service provider notifies the Communications Access Co</w:t>
      </w:r>
      <w:r w:rsidR="00772E5E">
        <w:noBreakHyphen/>
      </w:r>
      <w:r w:rsidRPr="00BB54D3">
        <w:t>ordinator of a proposed change; and</w:t>
      </w:r>
    </w:p>
    <w:p w:rsidR="00CB2837" w:rsidRPr="00BB54D3" w:rsidRDefault="00CB2837" w:rsidP="00BB54D3">
      <w:pPr>
        <w:pStyle w:val="paragraph"/>
      </w:pPr>
      <w:r w:rsidRPr="00BB54D3">
        <w:tab/>
        <w:t>(b)</w:t>
      </w:r>
      <w:r w:rsidRPr="00BB54D3">
        <w:tab/>
        <w:t>the Co</w:t>
      </w:r>
      <w:r w:rsidR="00772E5E">
        <w:noBreakHyphen/>
      </w:r>
      <w:r w:rsidRPr="00BB54D3">
        <w:t>ordinator considers that further information, in relation to the proposed change</w:t>
      </w:r>
      <w:r w:rsidR="00B07D9B" w:rsidRPr="00BB54D3">
        <w:t>,</w:t>
      </w:r>
      <w:r w:rsidRPr="00BB54D3">
        <w:t xml:space="preserve"> is required for the Co</w:t>
      </w:r>
      <w:r w:rsidR="00772E5E">
        <w:noBreakHyphen/>
      </w:r>
      <w:r w:rsidRPr="00BB54D3">
        <w:t>ordinator to assess whether there is a risk of unauthorised interference with, or unauthorised access to, telecommunications networks or facilities that would be prejudicial to security;</w:t>
      </w:r>
    </w:p>
    <w:p w:rsidR="00CB2837" w:rsidRPr="00BB54D3" w:rsidRDefault="00CB2837" w:rsidP="00BB54D3">
      <w:pPr>
        <w:pStyle w:val="subsection2"/>
      </w:pPr>
      <w:r w:rsidRPr="00BB54D3">
        <w:t>the Co</w:t>
      </w:r>
      <w:r w:rsidR="00772E5E">
        <w:noBreakHyphen/>
      </w:r>
      <w:r w:rsidRPr="00BB54D3">
        <w:t>ordinator may, by notice in writing given to the carrier or provider, set out the further information the Co</w:t>
      </w:r>
      <w:r w:rsidR="00772E5E">
        <w:noBreakHyphen/>
      </w:r>
      <w:r w:rsidRPr="00BB54D3">
        <w:t>ordinator requires.</w:t>
      </w:r>
    </w:p>
    <w:p w:rsidR="00B23863" w:rsidRPr="00BB54D3" w:rsidRDefault="00B23863" w:rsidP="00BB54D3">
      <w:pPr>
        <w:pStyle w:val="subsection"/>
      </w:pPr>
      <w:r w:rsidRPr="00BB54D3">
        <w:tab/>
        <w:t>(2)</w:t>
      </w:r>
      <w:r w:rsidRPr="00BB54D3">
        <w:tab/>
        <w:t xml:space="preserve">A notice under </w:t>
      </w:r>
      <w:r w:rsidR="00BB54D3" w:rsidRPr="00BB54D3">
        <w:t>subsection (</w:t>
      </w:r>
      <w:r w:rsidRPr="00BB54D3">
        <w:t>1) must be given to the carrier or provider within 30 days of the notification of the proposed change to the Communications Access Co</w:t>
      </w:r>
      <w:r w:rsidR="00772E5E">
        <w:noBreakHyphen/>
      </w:r>
      <w:r w:rsidRPr="00BB54D3">
        <w:t>ordinator.</w:t>
      </w:r>
    </w:p>
    <w:p w:rsidR="009B44AA" w:rsidRPr="00BB54D3" w:rsidRDefault="00B23863" w:rsidP="00BB54D3">
      <w:pPr>
        <w:pStyle w:val="SubsectionHead"/>
      </w:pPr>
      <w:r w:rsidRPr="00BB54D3">
        <w:t>Assessment of p</w:t>
      </w:r>
      <w:r w:rsidR="00CB2837" w:rsidRPr="00BB54D3">
        <w:t>roposed change</w:t>
      </w:r>
    </w:p>
    <w:p w:rsidR="009B44AA" w:rsidRPr="00BB54D3" w:rsidRDefault="00CB2837" w:rsidP="00BB54D3">
      <w:pPr>
        <w:pStyle w:val="subsection"/>
      </w:pPr>
      <w:r w:rsidRPr="00BB54D3">
        <w:tab/>
        <w:t>(</w:t>
      </w:r>
      <w:r w:rsidR="00B23863" w:rsidRPr="00BB54D3">
        <w:t>3</w:t>
      </w:r>
      <w:r w:rsidR="009B44AA" w:rsidRPr="00BB54D3">
        <w:t>)</w:t>
      </w:r>
      <w:r w:rsidR="009B44AA" w:rsidRPr="00BB54D3">
        <w:tab/>
        <w:t>If:</w:t>
      </w:r>
    </w:p>
    <w:p w:rsidR="009B44AA" w:rsidRPr="00BB54D3" w:rsidRDefault="009B44AA" w:rsidP="00BB54D3">
      <w:pPr>
        <w:pStyle w:val="paragraph"/>
      </w:pPr>
      <w:r w:rsidRPr="00BB54D3">
        <w:tab/>
        <w:t>(a)</w:t>
      </w:r>
      <w:r w:rsidRPr="00BB54D3">
        <w:tab/>
        <w:t>the Communications Access Co</w:t>
      </w:r>
      <w:r w:rsidR="00772E5E">
        <w:noBreakHyphen/>
      </w:r>
      <w:r w:rsidRPr="00BB54D3">
        <w:t xml:space="preserve">ordinator considers </w:t>
      </w:r>
      <w:r w:rsidR="00CB2837" w:rsidRPr="00BB54D3">
        <w:t>a</w:t>
      </w:r>
      <w:r w:rsidR="00EB460B" w:rsidRPr="00BB54D3">
        <w:t xml:space="preserve"> proposed</w:t>
      </w:r>
      <w:r w:rsidRPr="00BB54D3">
        <w:t xml:space="preserve"> change </w:t>
      </w:r>
      <w:r w:rsidR="00CB2837" w:rsidRPr="00BB54D3">
        <w:t>notified under subsection</w:t>
      </w:r>
      <w:r w:rsidR="00BB54D3" w:rsidRPr="00BB54D3">
        <w:t> </w:t>
      </w:r>
      <w:r w:rsidR="00CB2837" w:rsidRPr="00BB54D3">
        <w:t xml:space="preserve">314A(3) </w:t>
      </w:r>
      <w:r w:rsidRPr="00BB54D3">
        <w:t xml:space="preserve">(including </w:t>
      </w:r>
      <w:r w:rsidR="00CB2837" w:rsidRPr="00BB54D3">
        <w:t>a</w:t>
      </w:r>
      <w:r w:rsidRPr="00BB54D3">
        <w:t xml:space="preserve"> proposed change where further information is provided as mentioned in </w:t>
      </w:r>
      <w:r w:rsidR="00CB2837" w:rsidRPr="00BB54D3">
        <w:t xml:space="preserve">this section); </w:t>
      </w:r>
      <w:r w:rsidRPr="00BB54D3">
        <w:t>and</w:t>
      </w:r>
    </w:p>
    <w:p w:rsidR="009B44AA" w:rsidRPr="00BB54D3" w:rsidRDefault="009B44AA" w:rsidP="00BB54D3">
      <w:pPr>
        <w:pStyle w:val="paragraph"/>
      </w:pPr>
      <w:r w:rsidRPr="00BB54D3">
        <w:tab/>
        <w:t>(b)</w:t>
      </w:r>
      <w:r w:rsidRPr="00BB54D3">
        <w:tab/>
        <w:t>in relation to the proposed change, the Co</w:t>
      </w:r>
      <w:r w:rsidR="00772E5E">
        <w:noBreakHyphen/>
      </w:r>
      <w:r w:rsidRPr="00BB54D3">
        <w:t>ordinator is satisfied that there is a risk of unauthorised interference with, or unauthorised access to, telecommunications networks or facilities that would be prejudicial to security;</w:t>
      </w:r>
    </w:p>
    <w:p w:rsidR="00CB2837" w:rsidRPr="00BB54D3" w:rsidRDefault="009B44AA" w:rsidP="00BB54D3">
      <w:pPr>
        <w:pStyle w:val="subsection2"/>
      </w:pPr>
      <w:r w:rsidRPr="00BB54D3">
        <w:t>the Co</w:t>
      </w:r>
      <w:r w:rsidR="00772E5E">
        <w:noBreakHyphen/>
      </w:r>
      <w:r w:rsidRPr="00BB54D3">
        <w:t>ordinator must</w:t>
      </w:r>
      <w:r w:rsidR="00CB2837" w:rsidRPr="00BB54D3">
        <w:t xml:space="preserve"> </w:t>
      </w:r>
      <w:r w:rsidR="00B23863" w:rsidRPr="00BB54D3">
        <w:t>give a written notice</w:t>
      </w:r>
      <w:r w:rsidR="00CB2837" w:rsidRPr="00BB54D3">
        <w:t xml:space="preserve"> to the carrier or provider:</w:t>
      </w:r>
    </w:p>
    <w:p w:rsidR="009B44AA" w:rsidRPr="00BB54D3" w:rsidRDefault="00CB2837" w:rsidP="00BB54D3">
      <w:pPr>
        <w:pStyle w:val="paragraph"/>
      </w:pPr>
      <w:r w:rsidRPr="00BB54D3">
        <w:tab/>
        <w:t>(c)</w:t>
      </w:r>
      <w:r w:rsidRPr="00BB54D3">
        <w:tab/>
      </w:r>
      <w:r w:rsidR="00704495" w:rsidRPr="00BB54D3">
        <w:t>advis</w:t>
      </w:r>
      <w:r w:rsidR="00B23863" w:rsidRPr="00BB54D3">
        <w:t>ing</w:t>
      </w:r>
      <w:r w:rsidR="009B44AA" w:rsidRPr="00BB54D3">
        <w:t xml:space="preserve"> the carrier or provider</w:t>
      </w:r>
      <w:r w:rsidR="00704495" w:rsidRPr="00BB54D3">
        <w:t xml:space="preserve"> </w:t>
      </w:r>
      <w:r w:rsidRPr="00BB54D3">
        <w:t>of that risk</w:t>
      </w:r>
      <w:r w:rsidR="00704495" w:rsidRPr="00BB54D3">
        <w:t>; and</w:t>
      </w:r>
    </w:p>
    <w:p w:rsidR="00704495" w:rsidRPr="00BB54D3" w:rsidRDefault="00704495" w:rsidP="00BB54D3">
      <w:pPr>
        <w:pStyle w:val="paragraph"/>
      </w:pPr>
      <w:r w:rsidRPr="00BB54D3">
        <w:tab/>
        <w:t>(d)</w:t>
      </w:r>
      <w:r w:rsidRPr="00BB54D3">
        <w:tab/>
        <w:t>set</w:t>
      </w:r>
      <w:r w:rsidR="00B23863" w:rsidRPr="00BB54D3">
        <w:t>ting</w:t>
      </w:r>
      <w:r w:rsidRPr="00BB54D3">
        <w:t xml:space="preserve"> out the duty imposed by subsection</w:t>
      </w:r>
      <w:r w:rsidR="00BB54D3" w:rsidRPr="00BB54D3">
        <w:t> </w:t>
      </w:r>
      <w:r w:rsidRPr="00BB54D3">
        <w:t>313(1A) or (2A); and</w:t>
      </w:r>
    </w:p>
    <w:p w:rsidR="00704495" w:rsidRPr="00BB54D3" w:rsidRDefault="00704495" w:rsidP="00BB54D3">
      <w:pPr>
        <w:pStyle w:val="paragraph"/>
      </w:pPr>
      <w:r w:rsidRPr="00BB54D3">
        <w:tab/>
        <w:t>(e)</w:t>
      </w:r>
      <w:r w:rsidRPr="00BB54D3">
        <w:tab/>
        <w:t>set</w:t>
      </w:r>
      <w:r w:rsidR="00B23863" w:rsidRPr="00BB54D3">
        <w:t>ting</w:t>
      </w:r>
      <w:r w:rsidRPr="00BB54D3">
        <w:t xml:space="preserve"> out the consequences for the carrier or provider for not complying with that duty.</w:t>
      </w:r>
    </w:p>
    <w:p w:rsidR="00B23863" w:rsidRPr="00BB54D3" w:rsidRDefault="00B23863" w:rsidP="00BB54D3">
      <w:pPr>
        <w:pStyle w:val="subsection"/>
      </w:pPr>
      <w:r w:rsidRPr="00BB54D3">
        <w:tab/>
        <w:t>(4)</w:t>
      </w:r>
      <w:r w:rsidRPr="00BB54D3">
        <w:tab/>
        <w:t xml:space="preserve">A notice under </w:t>
      </w:r>
      <w:r w:rsidR="00BB54D3" w:rsidRPr="00BB54D3">
        <w:t>subsection (</w:t>
      </w:r>
      <w:r w:rsidRPr="00BB54D3">
        <w:t>3) may also set out the measures the Communications Access Co</w:t>
      </w:r>
      <w:r w:rsidR="00772E5E">
        <w:noBreakHyphen/>
      </w:r>
      <w:r w:rsidRPr="00BB54D3">
        <w:t>ordinator considers the carrier or provider could adopt to eliminate or reduce the</w:t>
      </w:r>
      <w:r w:rsidRPr="00BB54D3">
        <w:rPr>
          <w:i/>
        </w:rPr>
        <w:t xml:space="preserve"> </w:t>
      </w:r>
      <w:r w:rsidRPr="00BB54D3">
        <w:t xml:space="preserve">risk referred to in </w:t>
      </w:r>
      <w:r w:rsidR="00BB54D3" w:rsidRPr="00BB54D3">
        <w:t>subsection (</w:t>
      </w:r>
      <w:r w:rsidRPr="00BB54D3">
        <w:t>3).</w:t>
      </w:r>
    </w:p>
    <w:p w:rsidR="00B23863" w:rsidRPr="00BB54D3" w:rsidRDefault="00B23863" w:rsidP="00BB54D3">
      <w:pPr>
        <w:pStyle w:val="subsection"/>
      </w:pPr>
      <w:r w:rsidRPr="00BB54D3">
        <w:tab/>
        <w:t>(5)</w:t>
      </w:r>
      <w:r w:rsidRPr="00BB54D3">
        <w:tab/>
        <w:t>If:</w:t>
      </w:r>
    </w:p>
    <w:p w:rsidR="00B23863" w:rsidRPr="00BB54D3" w:rsidRDefault="00B23863" w:rsidP="00BB54D3">
      <w:pPr>
        <w:pStyle w:val="paragraph"/>
      </w:pPr>
      <w:r w:rsidRPr="00BB54D3">
        <w:tab/>
        <w:t>(a)</w:t>
      </w:r>
      <w:r w:rsidRPr="00BB54D3">
        <w:tab/>
        <w:t>the Communications Access Co</w:t>
      </w:r>
      <w:r w:rsidR="00772E5E">
        <w:noBreakHyphen/>
      </w:r>
      <w:r w:rsidRPr="00BB54D3">
        <w:t>ordinator considers a proposed change notified under subsection</w:t>
      </w:r>
      <w:r w:rsidR="00BB54D3" w:rsidRPr="00BB54D3">
        <w:t> </w:t>
      </w:r>
      <w:r w:rsidRPr="00BB54D3">
        <w:t>314A(3) (including a proposed change where further information is provided as mentioned in this section); and</w:t>
      </w:r>
    </w:p>
    <w:p w:rsidR="00B23863" w:rsidRPr="00BB54D3" w:rsidRDefault="00B23863" w:rsidP="00BB54D3">
      <w:pPr>
        <w:pStyle w:val="paragraph"/>
      </w:pPr>
      <w:r w:rsidRPr="00BB54D3">
        <w:tab/>
        <w:t>(b)</w:t>
      </w:r>
      <w:r w:rsidRPr="00BB54D3">
        <w:tab/>
        <w:t>in relation to the proposed change, the Co</w:t>
      </w:r>
      <w:r w:rsidR="00772E5E">
        <w:noBreakHyphen/>
      </w:r>
      <w:r w:rsidRPr="00BB54D3">
        <w:t>ordinator is satisfied that there is not a risk of unauthorised interference with, or unauthorised access to, telecommunications networks or facilities that would be prejudicial to security;</w:t>
      </w:r>
    </w:p>
    <w:p w:rsidR="00B23863" w:rsidRPr="00BB54D3" w:rsidRDefault="00B23863" w:rsidP="00BB54D3">
      <w:pPr>
        <w:pStyle w:val="subsection2"/>
      </w:pPr>
      <w:r w:rsidRPr="00BB54D3">
        <w:t>the Co</w:t>
      </w:r>
      <w:r w:rsidR="00772E5E">
        <w:noBreakHyphen/>
      </w:r>
      <w:r w:rsidRPr="00BB54D3">
        <w:t>ordinator must give a written notice to the carrier or provider to that effect.</w:t>
      </w:r>
    </w:p>
    <w:p w:rsidR="00A61E55" w:rsidRPr="00BB54D3" w:rsidRDefault="00A61E55" w:rsidP="00BB54D3">
      <w:pPr>
        <w:pStyle w:val="subsection"/>
      </w:pPr>
      <w:r w:rsidRPr="00BB54D3">
        <w:tab/>
        <w:t>(6)</w:t>
      </w:r>
      <w:r w:rsidRPr="00BB54D3">
        <w:tab/>
        <w:t>In response to a proposed change notified to the Communications Access Co</w:t>
      </w:r>
      <w:r w:rsidR="00772E5E">
        <w:noBreakHyphen/>
      </w:r>
      <w:r w:rsidRPr="00BB54D3">
        <w:t>ordinator under subsection</w:t>
      </w:r>
      <w:r w:rsidR="00BB54D3" w:rsidRPr="00BB54D3">
        <w:t> </w:t>
      </w:r>
      <w:r w:rsidRPr="00BB54D3">
        <w:t>314A(3), a notice must be given to the carrier or provider:</w:t>
      </w:r>
    </w:p>
    <w:p w:rsidR="00A61E55" w:rsidRPr="00BB54D3" w:rsidRDefault="00A61E55" w:rsidP="00BB54D3">
      <w:pPr>
        <w:pStyle w:val="paragraph"/>
      </w:pPr>
      <w:r w:rsidRPr="00BB54D3">
        <w:tab/>
        <w:t>(a)</w:t>
      </w:r>
      <w:r w:rsidRPr="00BB54D3">
        <w:tab/>
        <w:t>within 30 days of the notification; or</w:t>
      </w:r>
    </w:p>
    <w:p w:rsidR="00A61E55" w:rsidRPr="00BB54D3" w:rsidRDefault="00A61E55" w:rsidP="00BB54D3">
      <w:pPr>
        <w:pStyle w:val="paragraph"/>
      </w:pPr>
      <w:r w:rsidRPr="00BB54D3">
        <w:tab/>
        <w:t>(b)</w:t>
      </w:r>
      <w:r w:rsidRPr="00BB54D3">
        <w:tab/>
        <w:t xml:space="preserve">if under </w:t>
      </w:r>
      <w:r w:rsidR="00BB54D3" w:rsidRPr="00BB54D3">
        <w:t>subsection (</w:t>
      </w:r>
      <w:r w:rsidRPr="00BB54D3">
        <w:t>1) the Communications Access Co</w:t>
      </w:r>
      <w:r w:rsidR="00772E5E">
        <w:noBreakHyphen/>
      </w:r>
      <w:r w:rsidRPr="00BB54D3">
        <w:t>ordinator sought further information from the carrier or provider—as soon as practicable and no later than 30 days after the carrier or provider gave that further information.</w:t>
      </w:r>
    </w:p>
    <w:p w:rsidR="00A61E55" w:rsidRPr="00BB54D3" w:rsidRDefault="00A61E55" w:rsidP="00BB54D3">
      <w:pPr>
        <w:pStyle w:val="subsection2"/>
      </w:pPr>
      <w:r w:rsidRPr="00BB54D3">
        <w:t xml:space="preserve">The notice must be a notice under </w:t>
      </w:r>
      <w:r w:rsidR="00BB54D3" w:rsidRPr="00BB54D3">
        <w:t>subsection (</w:t>
      </w:r>
      <w:r w:rsidRPr="00BB54D3">
        <w:t>3) or (5).</w:t>
      </w:r>
    </w:p>
    <w:p w:rsidR="00EE22D7" w:rsidRPr="00BB54D3" w:rsidRDefault="00EE22D7" w:rsidP="00BB54D3">
      <w:pPr>
        <w:pStyle w:val="SubsectionHead"/>
      </w:pPr>
      <w:r w:rsidRPr="00BB54D3">
        <w:t>Definitions</w:t>
      </w:r>
    </w:p>
    <w:p w:rsidR="00EE22D7" w:rsidRPr="00BB54D3" w:rsidRDefault="00EE22D7" w:rsidP="00BB54D3">
      <w:pPr>
        <w:pStyle w:val="subsection"/>
      </w:pPr>
      <w:r w:rsidRPr="00BB54D3">
        <w:tab/>
        <w:t>(</w:t>
      </w:r>
      <w:r w:rsidR="00B23863" w:rsidRPr="00BB54D3">
        <w:t>7</w:t>
      </w:r>
      <w:r w:rsidRPr="00BB54D3">
        <w:t>)</w:t>
      </w:r>
      <w:r w:rsidRPr="00BB54D3">
        <w:tab/>
        <w:t>In this section:</w:t>
      </w:r>
    </w:p>
    <w:p w:rsidR="00EE22D7" w:rsidRPr="00BB54D3" w:rsidRDefault="00EE22D7" w:rsidP="00BB54D3">
      <w:pPr>
        <w:pStyle w:val="Definition"/>
      </w:pPr>
      <w:r w:rsidRPr="00BB54D3">
        <w:rPr>
          <w:b/>
          <w:i/>
        </w:rPr>
        <w:t>security</w:t>
      </w:r>
      <w:r w:rsidRPr="00BB54D3">
        <w:t xml:space="preserve"> has the same meaning as in the </w:t>
      </w:r>
      <w:r w:rsidRPr="00BB54D3">
        <w:rPr>
          <w:i/>
        </w:rPr>
        <w:t>Australian Security Intelligence Organisation Act 1979</w:t>
      </w:r>
      <w:r w:rsidRPr="00BB54D3">
        <w:t>.</w:t>
      </w:r>
    </w:p>
    <w:p w:rsidR="00D1415A" w:rsidRPr="00BB54D3" w:rsidRDefault="00D1415A" w:rsidP="00BB54D3">
      <w:pPr>
        <w:pStyle w:val="ActHead4"/>
      </w:pPr>
      <w:bookmarkStart w:id="16" w:name="_Toc493599473"/>
      <w:r w:rsidRPr="00BB54D3">
        <w:rPr>
          <w:rStyle w:val="CharSubdNo"/>
        </w:rPr>
        <w:t>Subdivision B</w:t>
      </w:r>
      <w:r w:rsidRPr="00BB54D3">
        <w:t>—</w:t>
      </w:r>
      <w:r w:rsidRPr="00BB54D3">
        <w:rPr>
          <w:rStyle w:val="CharSubdText"/>
        </w:rPr>
        <w:t>Security capability plans</w:t>
      </w:r>
      <w:bookmarkEnd w:id="16"/>
    </w:p>
    <w:p w:rsidR="00D1415A" w:rsidRPr="00BB54D3" w:rsidRDefault="00D1415A" w:rsidP="00BB54D3">
      <w:pPr>
        <w:pStyle w:val="ActHead5"/>
      </w:pPr>
      <w:bookmarkStart w:id="17" w:name="_Toc493599474"/>
      <w:r w:rsidRPr="00BB54D3">
        <w:rPr>
          <w:rStyle w:val="CharSectno"/>
        </w:rPr>
        <w:t>314</w:t>
      </w:r>
      <w:r w:rsidR="009B44AA" w:rsidRPr="00BB54D3">
        <w:rPr>
          <w:rStyle w:val="CharSectno"/>
        </w:rPr>
        <w:t>C</w:t>
      </w:r>
      <w:r w:rsidRPr="00BB54D3">
        <w:t xml:space="preserve">  Security capability plans</w:t>
      </w:r>
      <w:bookmarkEnd w:id="17"/>
    </w:p>
    <w:p w:rsidR="00D1415A" w:rsidRPr="00BB54D3" w:rsidRDefault="00D1415A" w:rsidP="00BB54D3">
      <w:pPr>
        <w:pStyle w:val="subsection"/>
      </w:pPr>
      <w:r w:rsidRPr="00BB54D3">
        <w:tab/>
        <w:t>(1)</w:t>
      </w:r>
      <w:r w:rsidRPr="00BB54D3">
        <w:tab/>
        <w:t>A carrier or a nominated carriage service provider may give the Communications Access Co</w:t>
      </w:r>
      <w:r w:rsidR="00772E5E">
        <w:noBreakHyphen/>
      </w:r>
      <w:r w:rsidRPr="00BB54D3">
        <w:t xml:space="preserve">ordinator a written instrument (a </w:t>
      </w:r>
      <w:r w:rsidRPr="00BB54D3">
        <w:rPr>
          <w:b/>
          <w:i/>
        </w:rPr>
        <w:t>security capability plan</w:t>
      </w:r>
      <w:r w:rsidRPr="00BB54D3">
        <w:t xml:space="preserve">) </w:t>
      </w:r>
      <w:r w:rsidR="00CA0146" w:rsidRPr="00BB54D3">
        <w:t>under this section</w:t>
      </w:r>
      <w:r w:rsidRPr="00BB54D3">
        <w:t>.</w:t>
      </w:r>
    </w:p>
    <w:p w:rsidR="00D1415A" w:rsidRPr="00BB54D3" w:rsidRDefault="00D1415A" w:rsidP="00BB54D3">
      <w:pPr>
        <w:pStyle w:val="subsection"/>
      </w:pPr>
      <w:r w:rsidRPr="00BB54D3">
        <w:tab/>
        <w:t>(2)</w:t>
      </w:r>
      <w:r w:rsidRPr="00BB54D3">
        <w:tab/>
        <w:t xml:space="preserve">A security capability plan </w:t>
      </w:r>
      <w:r w:rsidR="000A1AE2" w:rsidRPr="00BB54D3">
        <w:t>may</w:t>
      </w:r>
      <w:r w:rsidRPr="00BB54D3">
        <w:t xml:space="preserve"> set out one or more changes to a telecommunications service or a telecommunications system the carrier or provider proposes to implement in the future that are likely to have a material adverse effect on the capacity of the carrier or provider to comply with its obligations under subsection</w:t>
      </w:r>
      <w:r w:rsidR="00BB54D3" w:rsidRPr="00BB54D3">
        <w:t> </w:t>
      </w:r>
      <w:r w:rsidRPr="00BB54D3">
        <w:t>313(1A) or (2A).</w:t>
      </w:r>
    </w:p>
    <w:p w:rsidR="00D1415A" w:rsidRPr="00BB54D3" w:rsidRDefault="00D1415A" w:rsidP="00BB54D3">
      <w:pPr>
        <w:pStyle w:val="subsection"/>
      </w:pPr>
      <w:r w:rsidRPr="00BB54D3">
        <w:tab/>
        <w:t>(3)</w:t>
      </w:r>
      <w:r w:rsidRPr="00BB54D3">
        <w:tab/>
        <w:t>A security capability plan m</w:t>
      </w:r>
      <w:r w:rsidR="000A1AE2" w:rsidRPr="00BB54D3">
        <w:t>ay</w:t>
      </w:r>
      <w:r w:rsidRPr="00BB54D3">
        <w:t xml:space="preserve"> set out the time each of the changes is proposed to be implemented.</w:t>
      </w:r>
    </w:p>
    <w:p w:rsidR="00D1415A" w:rsidRPr="00BB54D3" w:rsidRDefault="00D1415A" w:rsidP="00BB54D3">
      <w:pPr>
        <w:pStyle w:val="SubsectionHead"/>
      </w:pPr>
      <w:r w:rsidRPr="00BB54D3">
        <w:t>Kinds of changes</w:t>
      </w:r>
    </w:p>
    <w:p w:rsidR="00D1415A" w:rsidRPr="00BB54D3" w:rsidRDefault="00E54AB0" w:rsidP="00BB54D3">
      <w:pPr>
        <w:pStyle w:val="subsection"/>
      </w:pPr>
      <w:r w:rsidRPr="00BB54D3">
        <w:tab/>
        <w:t>(4</w:t>
      </w:r>
      <w:r w:rsidR="00D1415A" w:rsidRPr="00BB54D3">
        <w:t>)</w:t>
      </w:r>
      <w:r w:rsidR="00D1415A" w:rsidRPr="00BB54D3">
        <w:tab/>
        <w:t xml:space="preserve">For the purposes of </w:t>
      </w:r>
      <w:r w:rsidR="00BB54D3" w:rsidRPr="00BB54D3">
        <w:t>subsection (</w:t>
      </w:r>
      <w:r w:rsidR="00D1415A" w:rsidRPr="00BB54D3">
        <w:t>2), a change to a telecommunications service or a telecommunications system includes (but is not limited to):</w:t>
      </w:r>
    </w:p>
    <w:p w:rsidR="00D1415A" w:rsidRPr="00BB54D3" w:rsidRDefault="00D1415A" w:rsidP="00BB54D3">
      <w:pPr>
        <w:pStyle w:val="paragraph"/>
      </w:pPr>
      <w:r w:rsidRPr="00BB54D3">
        <w:tab/>
        <w:t>(a)</w:t>
      </w:r>
      <w:r w:rsidRPr="00BB54D3">
        <w:tab/>
        <w:t>changes referred to in subsection</w:t>
      </w:r>
      <w:r w:rsidR="00BB54D3" w:rsidRPr="00BB54D3">
        <w:t> </w:t>
      </w:r>
      <w:r w:rsidR="009B44AA" w:rsidRPr="00BB54D3">
        <w:t>314A</w:t>
      </w:r>
      <w:r w:rsidRPr="00BB54D3">
        <w:t>(2); and</w:t>
      </w:r>
    </w:p>
    <w:p w:rsidR="00D1415A" w:rsidRPr="00BB54D3" w:rsidRDefault="00D1415A" w:rsidP="00BB54D3">
      <w:pPr>
        <w:pStyle w:val="paragraph"/>
      </w:pPr>
      <w:r w:rsidRPr="00BB54D3">
        <w:tab/>
        <w:t>(b)</w:t>
      </w:r>
      <w:r w:rsidRPr="00BB54D3">
        <w:tab/>
        <w:t xml:space="preserve">changes determined in an instrument under </w:t>
      </w:r>
      <w:r w:rsidR="00BB54D3" w:rsidRPr="00BB54D3">
        <w:t>subsection (</w:t>
      </w:r>
      <w:r w:rsidR="00E54AB0" w:rsidRPr="00BB54D3">
        <w:t>5</w:t>
      </w:r>
      <w:r w:rsidRPr="00BB54D3">
        <w:t>) of this section.</w:t>
      </w:r>
    </w:p>
    <w:p w:rsidR="00D1415A" w:rsidRPr="00BB54D3" w:rsidRDefault="00D1415A" w:rsidP="00BB54D3">
      <w:pPr>
        <w:pStyle w:val="subsection"/>
      </w:pPr>
      <w:r w:rsidRPr="00BB54D3">
        <w:tab/>
        <w:t>(</w:t>
      </w:r>
      <w:r w:rsidR="00E54AB0" w:rsidRPr="00BB54D3">
        <w:t>5</w:t>
      </w:r>
      <w:r w:rsidRPr="00BB54D3">
        <w:t>)</w:t>
      </w:r>
      <w:r w:rsidRPr="00BB54D3">
        <w:tab/>
        <w:t>The Communications Access Co</w:t>
      </w:r>
      <w:r w:rsidR="00772E5E">
        <w:noBreakHyphen/>
      </w:r>
      <w:r w:rsidRPr="00BB54D3">
        <w:t xml:space="preserve">ordinator may, by legislative instrument, determine changes for the purposes of </w:t>
      </w:r>
      <w:r w:rsidR="00BB54D3" w:rsidRPr="00BB54D3">
        <w:t>paragraph (</w:t>
      </w:r>
      <w:r w:rsidR="00E54AB0" w:rsidRPr="00BB54D3">
        <w:t>4</w:t>
      </w:r>
      <w:r w:rsidRPr="00BB54D3">
        <w:t>)(b).</w:t>
      </w:r>
    </w:p>
    <w:p w:rsidR="00D1415A" w:rsidRPr="00BB54D3" w:rsidRDefault="00DF203F" w:rsidP="00BB54D3">
      <w:pPr>
        <w:pStyle w:val="SubsectionHead"/>
      </w:pPr>
      <w:r w:rsidRPr="00BB54D3">
        <w:t>Other m</w:t>
      </w:r>
      <w:r w:rsidR="00D1415A" w:rsidRPr="00BB54D3">
        <w:t>atters plan may include</w:t>
      </w:r>
    </w:p>
    <w:p w:rsidR="00D1415A" w:rsidRPr="00BB54D3" w:rsidRDefault="00E54AB0" w:rsidP="00BB54D3">
      <w:pPr>
        <w:pStyle w:val="subsection"/>
      </w:pPr>
      <w:r w:rsidRPr="00BB54D3">
        <w:tab/>
        <w:t>(6</w:t>
      </w:r>
      <w:r w:rsidR="00D1415A" w:rsidRPr="00BB54D3">
        <w:t>)</w:t>
      </w:r>
      <w:r w:rsidR="00D1415A" w:rsidRPr="00BB54D3">
        <w:tab/>
        <w:t>A security capability plan may set out the carrier’s or provider’s practices, policies or strategies to comply with its obligations under subsection</w:t>
      </w:r>
      <w:r w:rsidR="00BB54D3" w:rsidRPr="00BB54D3">
        <w:t> </w:t>
      </w:r>
      <w:r w:rsidR="00D1415A" w:rsidRPr="00BB54D3">
        <w:t>313(1A) or (2A).</w:t>
      </w:r>
    </w:p>
    <w:p w:rsidR="00D1415A" w:rsidRPr="00BB54D3" w:rsidRDefault="00D1415A" w:rsidP="00BB54D3">
      <w:pPr>
        <w:pStyle w:val="subsection"/>
      </w:pPr>
      <w:r w:rsidRPr="00BB54D3">
        <w:tab/>
        <w:t>(</w:t>
      </w:r>
      <w:r w:rsidR="00E54AB0" w:rsidRPr="00BB54D3">
        <w:t>7</w:t>
      </w:r>
      <w:r w:rsidRPr="00BB54D3">
        <w:t>)</w:t>
      </w:r>
      <w:r w:rsidRPr="00BB54D3">
        <w:tab/>
        <w:t>A security capability plan may set out the measures the carrier or provider is implementing, or proposing to implement, to mitigate the risk of unauthorised interference with, or unauthorised access to, telecommunications networks or facilities.</w:t>
      </w:r>
    </w:p>
    <w:p w:rsidR="00D1415A" w:rsidRPr="00BB54D3" w:rsidRDefault="00D1415A" w:rsidP="00BB54D3">
      <w:pPr>
        <w:pStyle w:val="SubsectionHead"/>
      </w:pPr>
      <w:r w:rsidRPr="00BB54D3">
        <w:t>One instrument each 12</w:t>
      </w:r>
      <w:r w:rsidR="00772E5E">
        <w:noBreakHyphen/>
      </w:r>
      <w:r w:rsidRPr="00BB54D3">
        <w:t>month period</w:t>
      </w:r>
    </w:p>
    <w:p w:rsidR="00D1415A" w:rsidRPr="00BB54D3" w:rsidRDefault="00D1415A" w:rsidP="00BB54D3">
      <w:pPr>
        <w:pStyle w:val="subsection"/>
      </w:pPr>
      <w:r w:rsidRPr="00BB54D3">
        <w:tab/>
        <w:t>(</w:t>
      </w:r>
      <w:r w:rsidR="00E54AB0" w:rsidRPr="00BB54D3">
        <w:t>8</w:t>
      </w:r>
      <w:r w:rsidRPr="00BB54D3">
        <w:t>)</w:t>
      </w:r>
      <w:r w:rsidRPr="00BB54D3">
        <w:tab/>
        <w:t>A carrier or a nominated carriage service provider cannot give more than one instrument under this section in any 12</w:t>
      </w:r>
      <w:r w:rsidR="00772E5E">
        <w:noBreakHyphen/>
      </w:r>
      <w:r w:rsidRPr="00BB54D3">
        <w:t>month period.</w:t>
      </w:r>
    </w:p>
    <w:p w:rsidR="00D1415A" w:rsidRPr="00BB54D3" w:rsidRDefault="009B44AA" w:rsidP="00BB54D3">
      <w:pPr>
        <w:pStyle w:val="ActHead5"/>
      </w:pPr>
      <w:bookmarkStart w:id="18" w:name="_Toc493599475"/>
      <w:r w:rsidRPr="00BB54D3">
        <w:rPr>
          <w:rStyle w:val="CharSectno"/>
        </w:rPr>
        <w:t>314D</w:t>
      </w:r>
      <w:r w:rsidR="00D1415A" w:rsidRPr="00BB54D3">
        <w:t xml:space="preserve">  </w:t>
      </w:r>
      <w:r w:rsidR="00B07D9B" w:rsidRPr="00BB54D3">
        <w:t>Assessment of</w:t>
      </w:r>
      <w:r w:rsidR="00D1415A" w:rsidRPr="00BB54D3">
        <w:t xml:space="preserve"> security capability plan</w:t>
      </w:r>
      <w:bookmarkEnd w:id="18"/>
    </w:p>
    <w:p w:rsidR="00B07D9B" w:rsidRPr="00BB54D3" w:rsidRDefault="00B07D9B" w:rsidP="00BB54D3">
      <w:pPr>
        <w:pStyle w:val="SubsectionHead"/>
      </w:pPr>
      <w:r w:rsidRPr="00BB54D3">
        <w:t>Further information</w:t>
      </w:r>
    </w:p>
    <w:p w:rsidR="00B07D9B" w:rsidRPr="00BB54D3" w:rsidRDefault="00B07D9B" w:rsidP="00BB54D3">
      <w:pPr>
        <w:pStyle w:val="subsection"/>
      </w:pPr>
      <w:r w:rsidRPr="00BB54D3">
        <w:tab/>
        <w:t>(1)</w:t>
      </w:r>
      <w:r w:rsidRPr="00BB54D3">
        <w:tab/>
        <w:t>If:</w:t>
      </w:r>
    </w:p>
    <w:p w:rsidR="00B07D9B" w:rsidRPr="00BB54D3" w:rsidRDefault="00B07D9B" w:rsidP="00BB54D3">
      <w:pPr>
        <w:pStyle w:val="paragraph"/>
      </w:pPr>
      <w:r w:rsidRPr="00BB54D3">
        <w:tab/>
        <w:t>(a)</w:t>
      </w:r>
      <w:r w:rsidRPr="00BB54D3">
        <w:tab/>
        <w:t>a carrier or a nominated carriage service provider gives the Communications Access Co</w:t>
      </w:r>
      <w:r w:rsidR="00772E5E">
        <w:noBreakHyphen/>
      </w:r>
      <w:r w:rsidRPr="00BB54D3">
        <w:t>ordinator a security capability plan</w:t>
      </w:r>
      <w:r w:rsidR="000A1AE2" w:rsidRPr="00BB54D3">
        <w:t xml:space="preserve"> setting out one or more </w:t>
      </w:r>
      <w:r w:rsidR="002B1EAA" w:rsidRPr="00BB54D3">
        <w:t xml:space="preserve">proposed </w:t>
      </w:r>
      <w:r w:rsidR="000A1AE2" w:rsidRPr="00BB54D3">
        <w:t>changes mentioned in subsection</w:t>
      </w:r>
      <w:r w:rsidR="00BB54D3" w:rsidRPr="00BB54D3">
        <w:t> </w:t>
      </w:r>
      <w:r w:rsidR="000A1AE2" w:rsidRPr="00BB54D3">
        <w:t>314C(2)</w:t>
      </w:r>
      <w:r w:rsidRPr="00BB54D3">
        <w:t>; and</w:t>
      </w:r>
    </w:p>
    <w:p w:rsidR="00B07D9B" w:rsidRPr="00BB54D3" w:rsidRDefault="00B07D9B" w:rsidP="00BB54D3">
      <w:pPr>
        <w:pStyle w:val="paragraph"/>
      </w:pPr>
      <w:r w:rsidRPr="00BB54D3">
        <w:tab/>
        <w:t>(b)</w:t>
      </w:r>
      <w:r w:rsidRPr="00BB54D3">
        <w:tab/>
        <w:t>the Co</w:t>
      </w:r>
      <w:r w:rsidR="00772E5E">
        <w:noBreakHyphen/>
      </w:r>
      <w:r w:rsidRPr="00BB54D3">
        <w:t>ordinator considers that further information, in relation to a particular proposed change, is required for the Co</w:t>
      </w:r>
      <w:r w:rsidR="00772E5E">
        <w:noBreakHyphen/>
      </w:r>
      <w:r w:rsidRPr="00BB54D3">
        <w:t>ordinator to assess whether there is a risk of unauthorised interference with, or unauthorised access to, telecommunications networks or facilities that would be prejudicial to security;</w:t>
      </w:r>
    </w:p>
    <w:p w:rsidR="00B07D9B" w:rsidRPr="00BB54D3" w:rsidRDefault="00B07D9B" w:rsidP="00BB54D3">
      <w:pPr>
        <w:pStyle w:val="subsection2"/>
      </w:pPr>
      <w:r w:rsidRPr="00BB54D3">
        <w:t>the Co</w:t>
      </w:r>
      <w:r w:rsidR="00772E5E">
        <w:noBreakHyphen/>
      </w:r>
      <w:r w:rsidRPr="00BB54D3">
        <w:t>ordinator may, by notice in writing given to the carrier or provider, set out the further information the Co</w:t>
      </w:r>
      <w:r w:rsidR="00772E5E">
        <w:noBreakHyphen/>
      </w:r>
      <w:r w:rsidRPr="00BB54D3">
        <w:t>ordinator requires.</w:t>
      </w:r>
    </w:p>
    <w:p w:rsidR="000A1AE2" w:rsidRPr="00BB54D3" w:rsidRDefault="000A1AE2" w:rsidP="00BB54D3">
      <w:pPr>
        <w:pStyle w:val="subsection"/>
      </w:pPr>
      <w:r w:rsidRPr="00BB54D3">
        <w:tab/>
        <w:t>(2)</w:t>
      </w:r>
      <w:r w:rsidRPr="00BB54D3">
        <w:tab/>
        <w:t xml:space="preserve">A notice under </w:t>
      </w:r>
      <w:r w:rsidR="00BB54D3" w:rsidRPr="00BB54D3">
        <w:t>subsection (</w:t>
      </w:r>
      <w:r w:rsidRPr="00BB54D3">
        <w:t>1) must be given to the carrier or provider within 60 days of the plan being given to the Communications Access Co</w:t>
      </w:r>
      <w:r w:rsidR="00772E5E">
        <w:noBreakHyphen/>
      </w:r>
      <w:r w:rsidRPr="00BB54D3">
        <w:t>ordinator.</w:t>
      </w:r>
    </w:p>
    <w:p w:rsidR="00B07D9B" w:rsidRPr="00BB54D3" w:rsidRDefault="000A1AE2" w:rsidP="00BB54D3">
      <w:pPr>
        <w:pStyle w:val="SubsectionHead"/>
      </w:pPr>
      <w:r w:rsidRPr="00BB54D3">
        <w:t>Assessment of p</w:t>
      </w:r>
      <w:r w:rsidR="00B07D9B" w:rsidRPr="00BB54D3">
        <w:t>roposed change</w:t>
      </w:r>
    </w:p>
    <w:p w:rsidR="00B07D9B" w:rsidRPr="00BB54D3" w:rsidRDefault="00B07D9B" w:rsidP="00BB54D3">
      <w:pPr>
        <w:pStyle w:val="subsection"/>
      </w:pPr>
      <w:r w:rsidRPr="00BB54D3">
        <w:tab/>
        <w:t>(</w:t>
      </w:r>
      <w:r w:rsidR="000A1AE2" w:rsidRPr="00BB54D3">
        <w:t>3</w:t>
      </w:r>
      <w:r w:rsidRPr="00BB54D3">
        <w:t>)</w:t>
      </w:r>
      <w:r w:rsidRPr="00BB54D3">
        <w:tab/>
        <w:t>If:</w:t>
      </w:r>
    </w:p>
    <w:p w:rsidR="00B07D9B" w:rsidRPr="00BB54D3" w:rsidRDefault="00B07D9B" w:rsidP="00BB54D3">
      <w:pPr>
        <w:pStyle w:val="paragraph"/>
      </w:pPr>
      <w:r w:rsidRPr="00BB54D3">
        <w:tab/>
        <w:t>(a)</w:t>
      </w:r>
      <w:r w:rsidRPr="00BB54D3">
        <w:tab/>
        <w:t>the Communications Access Co</w:t>
      </w:r>
      <w:r w:rsidR="00772E5E">
        <w:noBreakHyphen/>
      </w:r>
      <w:r w:rsidRPr="00BB54D3">
        <w:t xml:space="preserve">ordinator considers a particular proposed change </w:t>
      </w:r>
      <w:r w:rsidR="00DF203F" w:rsidRPr="00BB54D3">
        <w:t>mentioned in subsection</w:t>
      </w:r>
      <w:r w:rsidR="00BB54D3" w:rsidRPr="00BB54D3">
        <w:t> </w:t>
      </w:r>
      <w:r w:rsidR="00DF203F" w:rsidRPr="00BB54D3">
        <w:t xml:space="preserve">314C(2) that is </w:t>
      </w:r>
      <w:r w:rsidRPr="00BB54D3">
        <w:t xml:space="preserve">set out in </w:t>
      </w:r>
      <w:r w:rsidR="00DF203F" w:rsidRPr="00BB54D3">
        <w:t>a</w:t>
      </w:r>
      <w:r w:rsidRPr="00BB54D3">
        <w:t xml:space="preserve"> </w:t>
      </w:r>
      <w:r w:rsidR="00DF203F" w:rsidRPr="00BB54D3">
        <w:t xml:space="preserve">security capability </w:t>
      </w:r>
      <w:r w:rsidRPr="00BB54D3">
        <w:t>plan (including a proposed change where further information is provided as mentioned in this section); and</w:t>
      </w:r>
    </w:p>
    <w:p w:rsidR="00B07D9B" w:rsidRPr="00BB54D3" w:rsidRDefault="00B07D9B" w:rsidP="00BB54D3">
      <w:pPr>
        <w:pStyle w:val="paragraph"/>
      </w:pPr>
      <w:r w:rsidRPr="00BB54D3">
        <w:tab/>
        <w:t>(b)</w:t>
      </w:r>
      <w:r w:rsidRPr="00BB54D3">
        <w:tab/>
        <w:t>in relation to the proposed change, the Co</w:t>
      </w:r>
      <w:r w:rsidR="00772E5E">
        <w:noBreakHyphen/>
      </w:r>
      <w:r w:rsidRPr="00BB54D3">
        <w:t>ordinator is satisfied that there is a risk of unauthorised interference with, or unauthorised access to, telecommunications networks or facilities that would be prejudicial to security;</w:t>
      </w:r>
    </w:p>
    <w:p w:rsidR="00B07D9B" w:rsidRPr="00BB54D3" w:rsidRDefault="00B07D9B" w:rsidP="00BB54D3">
      <w:pPr>
        <w:pStyle w:val="subsection2"/>
      </w:pPr>
      <w:r w:rsidRPr="00BB54D3">
        <w:t>the Co</w:t>
      </w:r>
      <w:r w:rsidR="00772E5E">
        <w:noBreakHyphen/>
      </w:r>
      <w:r w:rsidRPr="00BB54D3">
        <w:t xml:space="preserve">ordinator must </w:t>
      </w:r>
      <w:r w:rsidR="000A1AE2" w:rsidRPr="00BB54D3">
        <w:t>give a written notice to</w:t>
      </w:r>
      <w:r w:rsidRPr="00BB54D3">
        <w:t xml:space="preserve"> the carrier or provider:</w:t>
      </w:r>
    </w:p>
    <w:p w:rsidR="00B07D9B" w:rsidRPr="00BB54D3" w:rsidRDefault="00B07D9B" w:rsidP="00BB54D3">
      <w:pPr>
        <w:pStyle w:val="paragraph"/>
      </w:pPr>
      <w:r w:rsidRPr="00BB54D3">
        <w:tab/>
        <w:t>(c)</w:t>
      </w:r>
      <w:r w:rsidRPr="00BB54D3">
        <w:tab/>
        <w:t>advis</w:t>
      </w:r>
      <w:r w:rsidR="000A1AE2" w:rsidRPr="00BB54D3">
        <w:t>ing</w:t>
      </w:r>
      <w:r w:rsidRPr="00BB54D3">
        <w:t xml:space="preserve"> the carrier or provider of that risk; and</w:t>
      </w:r>
    </w:p>
    <w:p w:rsidR="00B07D9B" w:rsidRPr="00BB54D3" w:rsidRDefault="00B07D9B" w:rsidP="00BB54D3">
      <w:pPr>
        <w:pStyle w:val="paragraph"/>
      </w:pPr>
      <w:r w:rsidRPr="00BB54D3">
        <w:tab/>
        <w:t>(d)</w:t>
      </w:r>
      <w:r w:rsidRPr="00BB54D3">
        <w:tab/>
        <w:t>set</w:t>
      </w:r>
      <w:r w:rsidR="000A1AE2" w:rsidRPr="00BB54D3">
        <w:t>ting</w:t>
      </w:r>
      <w:r w:rsidRPr="00BB54D3">
        <w:t xml:space="preserve"> out the duty imposed by subsection</w:t>
      </w:r>
      <w:r w:rsidR="00BB54D3" w:rsidRPr="00BB54D3">
        <w:t> </w:t>
      </w:r>
      <w:r w:rsidRPr="00BB54D3">
        <w:t>313(1A) or (2A); and</w:t>
      </w:r>
    </w:p>
    <w:p w:rsidR="00B07D9B" w:rsidRPr="00BB54D3" w:rsidRDefault="00B07D9B" w:rsidP="00BB54D3">
      <w:pPr>
        <w:pStyle w:val="paragraph"/>
      </w:pPr>
      <w:r w:rsidRPr="00BB54D3">
        <w:tab/>
        <w:t>(e)</w:t>
      </w:r>
      <w:r w:rsidRPr="00BB54D3">
        <w:tab/>
        <w:t>set</w:t>
      </w:r>
      <w:r w:rsidR="000A1AE2" w:rsidRPr="00BB54D3">
        <w:t>ting</w:t>
      </w:r>
      <w:r w:rsidRPr="00BB54D3">
        <w:t xml:space="preserve"> out the consequences for the carrier or provider for not complying with that duty.</w:t>
      </w:r>
    </w:p>
    <w:p w:rsidR="000A1AE2" w:rsidRPr="00BB54D3" w:rsidRDefault="000A1AE2" w:rsidP="00BB54D3">
      <w:pPr>
        <w:pStyle w:val="subsection"/>
      </w:pPr>
      <w:r w:rsidRPr="00BB54D3">
        <w:tab/>
        <w:t>(4)</w:t>
      </w:r>
      <w:r w:rsidRPr="00BB54D3">
        <w:tab/>
        <w:t xml:space="preserve">A notice under </w:t>
      </w:r>
      <w:r w:rsidR="00BB54D3" w:rsidRPr="00BB54D3">
        <w:t>subsection (</w:t>
      </w:r>
      <w:r w:rsidRPr="00BB54D3">
        <w:t xml:space="preserve">3) may also set out the measures the </w:t>
      </w:r>
      <w:r w:rsidR="00DF203F" w:rsidRPr="00BB54D3">
        <w:t>Communications Access Co</w:t>
      </w:r>
      <w:r w:rsidR="00772E5E">
        <w:noBreakHyphen/>
      </w:r>
      <w:r w:rsidR="00DF203F" w:rsidRPr="00BB54D3">
        <w:t xml:space="preserve">ordinator considers the </w:t>
      </w:r>
      <w:r w:rsidRPr="00BB54D3">
        <w:t>carrier or provider could adopt to eliminate or reduce the</w:t>
      </w:r>
      <w:r w:rsidRPr="00BB54D3">
        <w:rPr>
          <w:i/>
        </w:rPr>
        <w:t xml:space="preserve"> </w:t>
      </w:r>
      <w:r w:rsidRPr="00BB54D3">
        <w:t xml:space="preserve">risk referred to in </w:t>
      </w:r>
      <w:r w:rsidR="00BB54D3" w:rsidRPr="00BB54D3">
        <w:t>subsection (</w:t>
      </w:r>
      <w:r w:rsidRPr="00BB54D3">
        <w:t>3).</w:t>
      </w:r>
    </w:p>
    <w:p w:rsidR="000A1AE2" w:rsidRPr="00BB54D3" w:rsidRDefault="000A1AE2" w:rsidP="00BB54D3">
      <w:pPr>
        <w:pStyle w:val="subsection"/>
      </w:pPr>
      <w:r w:rsidRPr="00BB54D3">
        <w:tab/>
        <w:t>(5)</w:t>
      </w:r>
      <w:r w:rsidRPr="00BB54D3">
        <w:tab/>
        <w:t>If:</w:t>
      </w:r>
    </w:p>
    <w:p w:rsidR="00DF203F" w:rsidRPr="00BB54D3" w:rsidRDefault="00DF203F" w:rsidP="00BB54D3">
      <w:pPr>
        <w:pStyle w:val="paragraph"/>
      </w:pPr>
      <w:r w:rsidRPr="00BB54D3">
        <w:tab/>
        <w:t>(a)</w:t>
      </w:r>
      <w:r w:rsidRPr="00BB54D3">
        <w:tab/>
        <w:t>the Communications Access Co</w:t>
      </w:r>
      <w:r w:rsidR="00772E5E">
        <w:noBreakHyphen/>
      </w:r>
      <w:r w:rsidRPr="00BB54D3">
        <w:t>ordinator considers a particular proposed change mentioned in subsection</w:t>
      </w:r>
      <w:r w:rsidR="00BB54D3" w:rsidRPr="00BB54D3">
        <w:t> </w:t>
      </w:r>
      <w:r w:rsidRPr="00BB54D3">
        <w:t>314C(2) that is set out in a security capability plan (including a proposed change where further information is provided as mentioned in this section); and</w:t>
      </w:r>
    </w:p>
    <w:p w:rsidR="000A1AE2" w:rsidRPr="00BB54D3" w:rsidRDefault="000A1AE2" w:rsidP="00BB54D3">
      <w:pPr>
        <w:pStyle w:val="paragraph"/>
      </w:pPr>
      <w:r w:rsidRPr="00BB54D3">
        <w:tab/>
        <w:t>(b)</w:t>
      </w:r>
      <w:r w:rsidRPr="00BB54D3">
        <w:tab/>
        <w:t>in relation to the proposed change, the Co</w:t>
      </w:r>
      <w:r w:rsidR="00772E5E">
        <w:noBreakHyphen/>
      </w:r>
      <w:r w:rsidRPr="00BB54D3">
        <w:t>ordinator is satisfied that there is not a risk of unauthorised interference with, or unauthorised access to, telecommunications networks or facilities that would be prejudicial to security;</w:t>
      </w:r>
    </w:p>
    <w:p w:rsidR="00DF203F" w:rsidRPr="00BB54D3" w:rsidRDefault="000A1AE2" w:rsidP="00BB54D3">
      <w:pPr>
        <w:pStyle w:val="subsection2"/>
      </w:pPr>
      <w:r w:rsidRPr="00BB54D3">
        <w:t>the Co</w:t>
      </w:r>
      <w:r w:rsidR="00772E5E">
        <w:noBreakHyphen/>
      </w:r>
      <w:r w:rsidRPr="00BB54D3">
        <w:t xml:space="preserve">ordinator must </w:t>
      </w:r>
      <w:r w:rsidR="00DF203F" w:rsidRPr="00BB54D3">
        <w:t>give a written notice to the carrier or provider to that effect.</w:t>
      </w:r>
    </w:p>
    <w:p w:rsidR="009A2EA9" w:rsidRPr="00BB54D3" w:rsidRDefault="009A2EA9" w:rsidP="00BB54D3">
      <w:pPr>
        <w:pStyle w:val="subsection"/>
      </w:pPr>
      <w:r w:rsidRPr="00BB54D3">
        <w:tab/>
        <w:t>(6)</w:t>
      </w:r>
      <w:r w:rsidRPr="00BB54D3">
        <w:tab/>
        <w:t>In response to a proposed change mentioned in subsection</w:t>
      </w:r>
      <w:r w:rsidR="00BB54D3" w:rsidRPr="00BB54D3">
        <w:t> </w:t>
      </w:r>
      <w:r w:rsidRPr="00BB54D3">
        <w:t>314C(2) that is set out in a security capability plan, a notice must be given to the carrier or provider:</w:t>
      </w:r>
    </w:p>
    <w:p w:rsidR="009A2EA9" w:rsidRPr="00BB54D3" w:rsidRDefault="009A2EA9" w:rsidP="00BB54D3">
      <w:pPr>
        <w:pStyle w:val="paragraph"/>
      </w:pPr>
      <w:r w:rsidRPr="00BB54D3">
        <w:tab/>
        <w:t>(a)</w:t>
      </w:r>
      <w:r w:rsidRPr="00BB54D3">
        <w:tab/>
        <w:t>within 60 days of the plan being given to the Communications Access Co</w:t>
      </w:r>
      <w:r w:rsidR="00772E5E">
        <w:noBreakHyphen/>
      </w:r>
      <w:r w:rsidRPr="00BB54D3">
        <w:t>ordinator; or</w:t>
      </w:r>
    </w:p>
    <w:p w:rsidR="009A2EA9" w:rsidRPr="00BB54D3" w:rsidRDefault="009A2EA9" w:rsidP="00BB54D3">
      <w:pPr>
        <w:pStyle w:val="paragraph"/>
      </w:pPr>
      <w:r w:rsidRPr="00BB54D3">
        <w:tab/>
        <w:t>(b)</w:t>
      </w:r>
      <w:r w:rsidRPr="00BB54D3">
        <w:tab/>
        <w:t xml:space="preserve">if under </w:t>
      </w:r>
      <w:r w:rsidR="00BB54D3" w:rsidRPr="00BB54D3">
        <w:t>subsection (</w:t>
      </w:r>
      <w:r w:rsidRPr="00BB54D3">
        <w:t>1) the Communications Access Co</w:t>
      </w:r>
      <w:r w:rsidR="00772E5E">
        <w:noBreakHyphen/>
      </w:r>
      <w:r w:rsidRPr="00BB54D3">
        <w:t>ordinator sought further information from the carrier or provider—as soon as practicable and no later than 60 days after the carrier or provider gave that further information.</w:t>
      </w:r>
    </w:p>
    <w:p w:rsidR="009A2EA9" w:rsidRPr="00BB54D3" w:rsidRDefault="009A2EA9" w:rsidP="00BB54D3">
      <w:pPr>
        <w:pStyle w:val="subsection2"/>
      </w:pPr>
      <w:r w:rsidRPr="00BB54D3">
        <w:t xml:space="preserve">The notice must be a notice under </w:t>
      </w:r>
      <w:r w:rsidR="00BB54D3" w:rsidRPr="00BB54D3">
        <w:t>subsection (</w:t>
      </w:r>
      <w:r w:rsidRPr="00BB54D3">
        <w:t>3) or (5)</w:t>
      </w:r>
      <w:r w:rsidR="006427D1" w:rsidRPr="00BB54D3">
        <w:t xml:space="preserve"> and may relate to one or more such changes</w:t>
      </w:r>
      <w:r w:rsidRPr="00BB54D3">
        <w:t>.</w:t>
      </w:r>
    </w:p>
    <w:p w:rsidR="00EE22D7" w:rsidRPr="00BB54D3" w:rsidRDefault="00EE22D7" w:rsidP="00BB54D3">
      <w:pPr>
        <w:pStyle w:val="SubsectionHead"/>
      </w:pPr>
      <w:r w:rsidRPr="00BB54D3">
        <w:t>Definitions</w:t>
      </w:r>
    </w:p>
    <w:p w:rsidR="00EE22D7" w:rsidRPr="00BB54D3" w:rsidRDefault="00EE22D7" w:rsidP="00BB54D3">
      <w:pPr>
        <w:pStyle w:val="subsection"/>
      </w:pPr>
      <w:r w:rsidRPr="00BB54D3">
        <w:tab/>
        <w:t>(</w:t>
      </w:r>
      <w:r w:rsidR="00DF203F" w:rsidRPr="00BB54D3">
        <w:t>7</w:t>
      </w:r>
      <w:r w:rsidRPr="00BB54D3">
        <w:t>)</w:t>
      </w:r>
      <w:r w:rsidRPr="00BB54D3">
        <w:tab/>
        <w:t>In this section:</w:t>
      </w:r>
    </w:p>
    <w:p w:rsidR="00EE22D7" w:rsidRPr="00BB54D3" w:rsidRDefault="00EE22D7" w:rsidP="00BB54D3">
      <w:pPr>
        <w:pStyle w:val="Definition"/>
      </w:pPr>
      <w:r w:rsidRPr="00BB54D3">
        <w:rPr>
          <w:b/>
          <w:i/>
        </w:rPr>
        <w:t>security</w:t>
      </w:r>
      <w:r w:rsidRPr="00BB54D3">
        <w:t xml:space="preserve"> has the same meaning as in the </w:t>
      </w:r>
      <w:r w:rsidRPr="00BB54D3">
        <w:rPr>
          <w:i/>
        </w:rPr>
        <w:t>Australian Security Intelligence Organisation Act 1979</w:t>
      </w:r>
      <w:r w:rsidRPr="00BB54D3">
        <w:t>.</w:t>
      </w:r>
    </w:p>
    <w:p w:rsidR="00D1415A" w:rsidRPr="00BB54D3" w:rsidRDefault="009B44AA" w:rsidP="00BB54D3">
      <w:pPr>
        <w:pStyle w:val="ActHead5"/>
      </w:pPr>
      <w:bookmarkStart w:id="19" w:name="_Toc493599476"/>
      <w:r w:rsidRPr="00BB54D3">
        <w:rPr>
          <w:rStyle w:val="CharSectno"/>
        </w:rPr>
        <w:t>314E</w:t>
      </w:r>
      <w:r w:rsidR="00D1415A" w:rsidRPr="00BB54D3">
        <w:t xml:space="preserve">  Relationship with </w:t>
      </w:r>
      <w:r w:rsidRPr="00BB54D3">
        <w:t>section</w:t>
      </w:r>
      <w:r w:rsidR="00BB54D3" w:rsidRPr="00BB54D3">
        <w:t> </w:t>
      </w:r>
      <w:r w:rsidRPr="00BB54D3">
        <w:t>314A</w:t>
      </w:r>
      <w:bookmarkEnd w:id="19"/>
    </w:p>
    <w:p w:rsidR="00D1415A" w:rsidRPr="00BB54D3" w:rsidRDefault="00D1415A" w:rsidP="00BB54D3">
      <w:pPr>
        <w:pStyle w:val="SubsectionHead"/>
      </w:pPr>
      <w:r w:rsidRPr="00BB54D3">
        <w:t>Dual notifications not required</w:t>
      </w:r>
    </w:p>
    <w:p w:rsidR="00D1415A" w:rsidRPr="00BB54D3" w:rsidRDefault="00D1415A" w:rsidP="00BB54D3">
      <w:pPr>
        <w:pStyle w:val="subsection"/>
      </w:pPr>
      <w:r w:rsidRPr="00BB54D3">
        <w:tab/>
        <w:t>(1)</w:t>
      </w:r>
      <w:r w:rsidRPr="00BB54D3">
        <w:tab/>
        <w:t>If, under section</w:t>
      </w:r>
      <w:r w:rsidR="00BB54D3" w:rsidRPr="00BB54D3">
        <w:t> </w:t>
      </w:r>
      <w:r w:rsidR="009B44AA" w:rsidRPr="00BB54D3">
        <w:t>314</w:t>
      </w:r>
      <w:r w:rsidR="00DF203F" w:rsidRPr="00BB54D3">
        <w:t>C</w:t>
      </w:r>
      <w:r w:rsidRPr="00BB54D3">
        <w:t xml:space="preserve">, a carrier or a nominated carriage service provider </w:t>
      </w:r>
      <w:r w:rsidR="00DF203F" w:rsidRPr="00BB54D3">
        <w:t>has given a security capability plan setting out one or more proposed changes mentioned in subsection</w:t>
      </w:r>
      <w:r w:rsidR="00BB54D3" w:rsidRPr="00BB54D3">
        <w:t> </w:t>
      </w:r>
      <w:r w:rsidR="00DF203F" w:rsidRPr="00BB54D3">
        <w:t>314C(2),</w:t>
      </w:r>
      <w:r w:rsidRPr="00BB54D3">
        <w:t xml:space="preserve"> the carrier or provider is not required to notify th</w:t>
      </w:r>
      <w:r w:rsidR="00B23863" w:rsidRPr="00BB54D3">
        <w:t>ose</w:t>
      </w:r>
      <w:r w:rsidRPr="00BB54D3">
        <w:t xml:space="preserve"> </w:t>
      </w:r>
      <w:r w:rsidR="00B23863" w:rsidRPr="00BB54D3">
        <w:t xml:space="preserve">proposed </w:t>
      </w:r>
      <w:r w:rsidRPr="00BB54D3">
        <w:t>change</w:t>
      </w:r>
      <w:r w:rsidR="00B23863" w:rsidRPr="00BB54D3">
        <w:t xml:space="preserve">s </w:t>
      </w:r>
      <w:r w:rsidRPr="00BB54D3">
        <w:t xml:space="preserve">under </w:t>
      </w:r>
      <w:r w:rsidR="009B44AA" w:rsidRPr="00BB54D3">
        <w:t>section</w:t>
      </w:r>
      <w:r w:rsidR="00BB54D3" w:rsidRPr="00BB54D3">
        <w:t> </w:t>
      </w:r>
      <w:r w:rsidR="009B44AA" w:rsidRPr="00BB54D3">
        <w:t>314A</w:t>
      </w:r>
      <w:r w:rsidRPr="00BB54D3">
        <w:t>.</w:t>
      </w:r>
    </w:p>
    <w:p w:rsidR="00D1415A" w:rsidRPr="00BB54D3" w:rsidRDefault="00D1415A" w:rsidP="00BB54D3">
      <w:pPr>
        <w:pStyle w:val="SubsectionHead"/>
      </w:pPr>
      <w:r w:rsidRPr="00BB54D3">
        <w:t>Certain modifications to changes are changes in their own right</w:t>
      </w:r>
    </w:p>
    <w:p w:rsidR="00D1415A" w:rsidRPr="00BB54D3" w:rsidRDefault="00D1415A" w:rsidP="00BB54D3">
      <w:pPr>
        <w:pStyle w:val="subsection"/>
      </w:pPr>
      <w:r w:rsidRPr="00BB54D3">
        <w:tab/>
        <w:t>(2)</w:t>
      </w:r>
      <w:r w:rsidRPr="00BB54D3">
        <w:tab/>
        <w:t>If:</w:t>
      </w:r>
    </w:p>
    <w:p w:rsidR="00D1415A" w:rsidRPr="00BB54D3" w:rsidRDefault="00D1415A" w:rsidP="00BB54D3">
      <w:pPr>
        <w:pStyle w:val="paragraph"/>
      </w:pPr>
      <w:r w:rsidRPr="00BB54D3">
        <w:tab/>
        <w:t>(a)</w:t>
      </w:r>
      <w:r w:rsidRPr="00BB54D3">
        <w:tab/>
      </w:r>
      <w:r w:rsidR="00B23863" w:rsidRPr="00BB54D3">
        <w:t>under section</w:t>
      </w:r>
      <w:r w:rsidR="00BB54D3" w:rsidRPr="00BB54D3">
        <w:t> </w:t>
      </w:r>
      <w:r w:rsidR="00B23863" w:rsidRPr="00BB54D3">
        <w:t>314C, a carrier or a nominated carriage service provider has given a security capability plan setting out one or more proposed changes mentioned in subsection</w:t>
      </w:r>
      <w:r w:rsidR="00BB54D3" w:rsidRPr="00BB54D3">
        <w:t> </w:t>
      </w:r>
      <w:r w:rsidR="00B23863" w:rsidRPr="00BB54D3">
        <w:t>314C(2)</w:t>
      </w:r>
      <w:r w:rsidRPr="00BB54D3">
        <w:t>; and</w:t>
      </w:r>
    </w:p>
    <w:p w:rsidR="00D1415A" w:rsidRPr="00BB54D3" w:rsidRDefault="00D1415A" w:rsidP="00BB54D3">
      <w:pPr>
        <w:pStyle w:val="paragraph"/>
      </w:pPr>
      <w:r w:rsidRPr="00BB54D3">
        <w:tab/>
        <w:t>(b)</w:t>
      </w:r>
      <w:r w:rsidRPr="00BB54D3">
        <w:tab/>
        <w:t xml:space="preserve">the carrier or provider becomes aware that the implementation by the carrier or provider of any modification to </w:t>
      </w:r>
      <w:r w:rsidR="00B23863" w:rsidRPr="00BB54D3">
        <w:t>such a proposed change</w:t>
      </w:r>
      <w:r w:rsidRPr="00BB54D3">
        <w:t xml:space="preserve"> is likely to have a material adverse effect on the capacity of the carrier or provider to comply with its obligations under subsection</w:t>
      </w:r>
      <w:r w:rsidR="00BB54D3" w:rsidRPr="00BB54D3">
        <w:t> </w:t>
      </w:r>
      <w:r w:rsidRPr="00BB54D3">
        <w:t>313(1A) or (2A);</w:t>
      </w:r>
    </w:p>
    <w:p w:rsidR="00D1415A" w:rsidRPr="00BB54D3" w:rsidRDefault="00D1415A" w:rsidP="00BB54D3">
      <w:pPr>
        <w:pStyle w:val="subsection2"/>
      </w:pPr>
      <w:r w:rsidRPr="00BB54D3">
        <w:t xml:space="preserve">then </w:t>
      </w:r>
      <w:r w:rsidR="009B44AA" w:rsidRPr="00BB54D3">
        <w:t>section</w:t>
      </w:r>
      <w:r w:rsidR="00BB54D3" w:rsidRPr="00BB54D3">
        <w:t> </w:t>
      </w:r>
      <w:r w:rsidR="009B44AA" w:rsidRPr="00BB54D3">
        <w:t>314A</w:t>
      </w:r>
      <w:r w:rsidRPr="00BB54D3">
        <w:t xml:space="preserve"> applies in relation to the modification as if the modification were a change in its own right.</w:t>
      </w:r>
    </w:p>
    <w:p w:rsidR="001D1671" w:rsidRPr="00BB54D3" w:rsidRDefault="001D1671" w:rsidP="00BB54D3">
      <w:pPr>
        <w:pStyle w:val="ActHead3"/>
      </w:pPr>
      <w:bookmarkStart w:id="20" w:name="_Toc493599477"/>
      <w:r w:rsidRPr="00BB54D3">
        <w:rPr>
          <w:rStyle w:val="CharDivNo"/>
        </w:rPr>
        <w:t>Division</w:t>
      </w:r>
      <w:r w:rsidR="00BB54D3" w:rsidRPr="00BB54D3">
        <w:rPr>
          <w:rStyle w:val="CharDivNo"/>
        </w:rPr>
        <w:t> </w:t>
      </w:r>
      <w:r w:rsidR="002D6DC7" w:rsidRPr="00BB54D3">
        <w:rPr>
          <w:rStyle w:val="CharDivNo"/>
        </w:rPr>
        <w:t>4</w:t>
      </w:r>
      <w:r w:rsidRPr="00BB54D3">
        <w:t>—</w:t>
      </w:r>
      <w:r w:rsidRPr="00BB54D3">
        <w:rPr>
          <w:rStyle w:val="CharDivText"/>
        </w:rPr>
        <w:t>Carriage service provider may suspend supply of carriage service in an emergency</w:t>
      </w:r>
      <w:bookmarkEnd w:id="20"/>
    </w:p>
    <w:p w:rsidR="001D1671" w:rsidRPr="00BB54D3" w:rsidRDefault="0074196E" w:rsidP="00BB54D3">
      <w:pPr>
        <w:pStyle w:val="ItemHead"/>
      </w:pPr>
      <w:r w:rsidRPr="00BB54D3">
        <w:t>13</w:t>
      </w:r>
      <w:r w:rsidR="001D1671" w:rsidRPr="00BB54D3">
        <w:t xml:space="preserve">  After section</w:t>
      </w:r>
      <w:r w:rsidR="00BB54D3" w:rsidRPr="00BB54D3">
        <w:t> </w:t>
      </w:r>
      <w:r w:rsidR="001D1671" w:rsidRPr="00BB54D3">
        <w:t>315</w:t>
      </w:r>
    </w:p>
    <w:p w:rsidR="001D1671" w:rsidRPr="00BB54D3" w:rsidRDefault="001D1671" w:rsidP="00BB54D3">
      <w:pPr>
        <w:pStyle w:val="Item"/>
      </w:pPr>
      <w:r w:rsidRPr="00BB54D3">
        <w:t>Insert:</w:t>
      </w:r>
    </w:p>
    <w:p w:rsidR="001D1671" w:rsidRPr="00BB54D3" w:rsidRDefault="001D1671" w:rsidP="00BB54D3">
      <w:pPr>
        <w:pStyle w:val="ActHead3"/>
      </w:pPr>
      <w:bookmarkStart w:id="21" w:name="_Toc493599478"/>
      <w:r w:rsidRPr="00BB54D3">
        <w:rPr>
          <w:rStyle w:val="CharDivNo"/>
        </w:rPr>
        <w:t>Division</w:t>
      </w:r>
      <w:r w:rsidR="00BB54D3" w:rsidRPr="00BB54D3">
        <w:rPr>
          <w:rStyle w:val="CharDivNo"/>
        </w:rPr>
        <w:t> </w:t>
      </w:r>
      <w:r w:rsidR="002D6DC7" w:rsidRPr="00BB54D3">
        <w:rPr>
          <w:rStyle w:val="CharDivNo"/>
        </w:rPr>
        <w:t>5</w:t>
      </w:r>
      <w:r w:rsidRPr="00BB54D3">
        <w:t>—</w:t>
      </w:r>
      <w:r w:rsidRPr="00BB54D3">
        <w:rPr>
          <w:rStyle w:val="CharDivText"/>
        </w:rPr>
        <w:t>Directions by Attorney</w:t>
      </w:r>
      <w:r w:rsidR="00772E5E">
        <w:rPr>
          <w:rStyle w:val="CharDivText"/>
        </w:rPr>
        <w:noBreakHyphen/>
      </w:r>
      <w:r w:rsidRPr="00BB54D3">
        <w:rPr>
          <w:rStyle w:val="CharDivText"/>
        </w:rPr>
        <w:t>General</w:t>
      </w:r>
      <w:bookmarkEnd w:id="21"/>
    </w:p>
    <w:p w:rsidR="001D1671" w:rsidRPr="00BB54D3" w:rsidRDefault="001D1671" w:rsidP="00BB54D3">
      <w:pPr>
        <w:pStyle w:val="ActHead5"/>
      </w:pPr>
      <w:bookmarkStart w:id="22" w:name="_Toc493599479"/>
      <w:r w:rsidRPr="00BB54D3">
        <w:rPr>
          <w:rStyle w:val="CharSectno"/>
        </w:rPr>
        <w:t>315A</w:t>
      </w:r>
      <w:r w:rsidR="00E70972" w:rsidRPr="00BB54D3">
        <w:t xml:space="preserve">  Direction if </w:t>
      </w:r>
      <w:r w:rsidR="00F03006" w:rsidRPr="00BB54D3">
        <w:t>use or supply of carriage services prejudicial to security</w:t>
      </w:r>
      <w:bookmarkEnd w:id="22"/>
    </w:p>
    <w:p w:rsidR="003160B6" w:rsidRPr="00BB54D3" w:rsidRDefault="003160B6" w:rsidP="00BB54D3">
      <w:pPr>
        <w:pStyle w:val="subsection"/>
      </w:pPr>
      <w:r w:rsidRPr="00BB54D3">
        <w:tab/>
        <w:t>(1)</w:t>
      </w:r>
      <w:r w:rsidRPr="00BB54D3">
        <w:tab/>
        <w:t>If:</w:t>
      </w:r>
    </w:p>
    <w:p w:rsidR="003160B6" w:rsidRPr="00BB54D3" w:rsidRDefault="003160B6" w:rsidP="00BB54D3">
      <w:pPr>
        <w:pStyle w:val="paragraph"/>
      </w:pPr>
      <w:r w:rsidRPr="00BB54D3">
        <w:tab/>
        <w:t>(a)</w:t>
      </w:r>
      <w:r w:rsidRPr="00BB54D3">
        <w:tab/>
        <w:t>a person who is a carrier or carriage service provider proposes to use, or uses, for the person’s own requirements or benefit, or proposes to supply, or supplies, to another person, one or more carriage services; and</w:t>
      </w:r>
    </w:p>
    <w:p w:rsidR="003160B6" w:rsidRPr="00BB54D3" w:rsidRDefault="003160B6" w:rsidP="00BB54D3">
      <w:pPr>
        <w:pStyle w:val="paragraph"/>
      </w:pPr>
      <w:r w:rsidRPr="00BB54D3">
        <w:tab/>
        <w:t>(b)</w:t>
      </w:r>
      <w:r w:rsidRPr="00BB54D3">
        <w:tab/>
        <w:t>the Attorney</w:t>
      </w:r>
      <w:r w:rsidR="00772E5E">
        <w:noBreakHyphen/>
      </w:r>
      <w:r w:rsidRPr="00BB54D3">
        <w:t>General, after consulting the Prime Minister and the Minister administering this Act, considers that the proposed use or supply would be, or the use or supply is, as the case may be, prejudicial to security;</w:t>
      </w:r>
    </w:p>
    <w:p w:rsidR="003160B6" w:rsidRPr="00BB54D3" w:rsidRDefault="003160B6" w:rsidP="00BB54D3">
      <w:pPr>
        <w:pStyle w:val="subsection2"/>
      </w:pPr>
      <w:r w:rsidRPr="00BB54D3">
        <w:t>the Attorney</w:t>
      </w:r>
      <w:r w:rsidR="00772E5E">
        <w:noBreakHyphen/>
      </w:r>
      <w:r w:rsidRPr="00BB54D3">
        <w:t>General may give the carrier or carriage service provider a written direction not to use or supply, or to cease using or supplying, the carriage service or the carriage services.</w:t>
      </w:r>
    </w:p>
    <w:p w:rsidR="001D1671" w:rsidRPr="00BB54D3" w:rsidRDefault="001D1671" w:rsidP="00BB54D3">
      <w:pPr>
        <w:pStyle w:val="subsection"/>
      </w:pPr>
      <w:r w:rsidRPr="00BB54D3">
        <w:tab/>
        <w:t>(2)</w:t>
      </w:r>
      <w:r w:rsidRPr="00BB54D3">
        <w:tab/>
        <w:t xml:space="preserve">A direction under </w:t>
      </w:r>
      <w:r w:rsidR="00BB54D3" w:rsidRPr="00BB54D3">
        <w:t>subsection (</w:t>
      </w:r>
      <w:r w:rsidRPr="00BB54D3">
        <w:t>1) must relate to a carriage service generally and cannot be expressed to apply to the supply of a carriage service to a particular person, particular persons or a particular class of persons.</w:t>
      </w:r>
    </w:p>
    <w:p w:rsidR="00896D1C" w:rsidRPr="00BB54D3" w:rsidRDefault="00896D1C" w:rsidP="00BB54D3">
      <w:pPr>
        <w:pStyle w:val="SubsectionHead"/>
      </w:pPr>
      <w:r w:rsidRPr="00BB54D3">
        <w:t>Direction to be given after adverse security assessment</w:t>
      </w:r>
    </w:p>
    <w:p w:rsidR="00911C76" w:rsidRPr="00BB54D3" w:rsidRDefault="00911C76" w:rsidP="00BB54D3">
      <w:pPr>
        <w:pStyle w:val="subsection"/>
      </w:pPr>
      <w:r w:rsidRPr="00BB54D3">
        <w:tab/>
        <w:t>(</w:t>
      </w:r>
      <w:r w:rsidR="00A4193C" w:rsidRPr="00BB54D3">
        <w:t>3</w:t>
      </w:r>
      <w:r w:rsidRPr="00BB54D3">
        <w:t>)</w:t>
      </w:r>
      <w:r w:rsidRPr="00BB54D3">
        <w:tab/>
        <w:t>The Attorney</w:t>
      </w:r>
      <w:r w:rsidR="00772E5E">
        <w:noBreakHyphen/>
      </w:r>
      <w:r w:rsidRPr="00BB54D3">
        <w:t xml:space="preserve">General must not give a carrier or carriage service provider a direction under </w:t>
      </w:r>
      <w:r w:rsidR="00BB54D3" w:rsidRPr="00BB54D3">
        <w:t>subsection (</w:t>
      </w:r>
      <w:r w:rsidRPr="00BB54D3">
        <w:t>1) unless an adverse security assessment in respect of the carrier or carriage service provider is given to the Attorney</w:t>
      </w:r>
      <w:r w:rsidR="00772E5E">
        <w:noBreakHyphen/>
      </w:r>
      <w:r w:rsidRPr="00BB54D3">
        <w:t>General in connection with this section.</w:t>
      </w:r>
    </w:p>
    <w:p w:rsidR="00752D61" w:rsidRPr="00BB54D3" w:rsidRDefault="00752D61" w:rsidP="00BB54D3">
      <w:pPr>
        <w:pStyle w:val="SubsectionHead"/>
      </w:pPr>
      <w:r w:rsidRPr="00BB54D3">
        <w:t>Copy of direction to be given to ACMA</w:t>
      </w:r>
    </w:p>
    <w:p w:rsidR="00752D61" w:rsidRPr="00BB54D3" w:rsidRDefault="006501E5" w:rsidP="00BB54D3">
      <w:pPr>
        <w:pStyle w:val="subsection"/>
      </w:pPr>
      <w:r w:rsidRPr="00BB54D3">
        <w:tab/>
        <w:t>(</w:t>
      </w:r>
      <w:r w:rsidR="00A4193C" w:rsidRPr="00BB54D3">
        <w:t>4</w:t>
      </w:r>
      <w:r w:rsidR="00752D61" w:rsidRPr="00BB54D3">
        <w:t>)</w:t>
      </w:r>
      <w:r w:rsidR="00752D61" w:rsidRPr="00BB54D3">
        <w:tab/>
        <w:t>The Attorney</w:t>
      </w:r>
      <w:r w:rsidR="00772E5E">
        <w:noBreakHyphen/>
      </w:r>
      <w:r w:rsidR="00752D61" w:rsidRPr="00BB54D3">
        <w:t xml:space="preserve">General must give the ACMA a copy of any direction under </w:t>
      </w:r>
      <w:r w:rsidR="00BB54D3" w:rsidRPr="00BB54D3">
        <w:t>subsection (</w:t>
      </w:r>
      <w:r w:rsidR="00752D61" w:rsidRPr="00BB54D3">
        <w:t>1).</w:t>
      </w:r>
    </w:p>
    <w:p w:rsidR="00752D61" w:rsidRPr="00BB54D3" w:rsidRDefault="00752D61" w:rsidP="00BB54D3">
      <w:pPr>
        <w:pStyle w:val="SubsectionHead"/>
      </w:pPr>
      <w:r w:rsidRPr="00BB54D3">
        <w:t>Compliance with direction</w:t>
      </w:r>
    </w:p>
    <w:p w:rsidR="001D1671" w:rsidRPr="00BB54D3" w:rsidRDefault="001D1671" w:rsidP="00BB54D3">
      <w:pPr>
        <w:pStyle w:val="subsection"/>
      </w:pPr>
      <w:r w:rsidRPr="00BB54D3">
        <w:tab/>
        <w:t>(</w:t>
      </w:r>
      <w:r w:rsidR="00A4193C" w:rsidRPr="00BB54D3">
        <w:t>5</w:t>
      </w:r>
      <w:r w:rsidRPr="00BB54D3">
        <w:t>)</w:t>
      </w:r>
      <w:r w:rsidRPr="00BB54D3">
        <w:tab/>
        <w:t xml:space="preserve">A person must comply with a direction given to the person under </w:t>
      </w:r>
      <w:r w:rsidR="00BB54D3" w:rsidRPr="00BB54D3">
        <w:t>subsection (</w:t>
      </w:r>
      <w:r w:rsidRPr="00BB54D3">
        <w:t>1).</w:t>
      </w:r>
    </w:p>
    <w:p w:rsidR="003E4381" w:rsidRPr="00BB54D3" w:rsidRDefault="003E4381" w:rsidP="00BB54D3">
      <w:pPr>
        <w:pStyle w:val="SubsectionHead"/>
      </w:pPr>
      <w:r w:rsidRPr="00BB54D3">
        <w:t>Definition</w:t>
      </w:r>
      <w:r w:rsidR="00CF5925" w:rsidRPr="00BB54D3">
        <w:t>s</w:t>
      </w:r>
    </w:p>
    <w:p w:rsidR="003E4381" w:rsidRPr="00BB54D3" w:rsidRDefault="003E4381" w:rsidP="00BB54D3">
      <w:pPr>
        <w:pStyle w:val="subsection"/>
      </w:pPr>
      <w:r w:rsidRPr="00BB54D3">
        <w:tab/>
        <w:t>(</w:t>
      </w:r>
      <w:r w:rsidR="00A4193C" w:rsidRPr="00BB54D3">
        <w:t>6</w:t>
      </w:r>
      <w:r w:rsidRPr="00BB54D3">
        <w:t>)</w:t>
      </w:r>
      <w:r w:rsidRPr="00BB54D3">
        <w:tab/>
        <w:t>In this section:</w:t>
      </w:r>
    </w:p>
    <w:p w:rsidR="003E4381" w:rsidRPr="00BB54D3" w:rsidRDefault="003E4381" w:rsidP="00BB54D3">
      <w:pPr>
        <w:pStyle w:val="Definition"/>
      </w:pPr>
      <w:r w:rsidRPr="00BB54D3">
        <w:rPr>
          <w:b/>
          <w:i/>
        </w:rPr>
        <w:t>security</w:t>
      </w:r>
      <w:r w:rsidRPr="00BB54D3">
        <w:t xml:space="preserve"> has the same meaning as in the </w:t>
      </w:r>
      <w:r w:rsidRPr="00BB54D3">
        <w:rPr>
          <w:i/>
        </w:rPr>
        <w:t>Australian Security Intelligence Organisation Act 1979</w:t>
      </w:r>
      <w:r w:rsidRPr="00BB54D3">
        <w:t>.</w:t>
      </w:r>
    </w:p>
    <w:p w:rsidR="00F03006" w:rsidRPr="00BB54D3" w:rsidRDefault="00F03006" w:rsidP="00BB54D3">
      <w:pPr>
        <w:pStyle w:val="ActHead5"/>
      </w:pPr>
      <w:bookmarkStart w:id="23" w:name="_Toc493599480"/>
      <w:r w:rsidRPr="00BB54D3">
        <w:rPr>
          <w:rStyle w:val="CharSectno"/>
        </w:rPr>
        <w:t>315B</w:t>
      </w:r>
      <w:r w:rsidRPr="00BB54D3">
        <w:t xml:space="preserve">  Direction</w:t>
      </w:r>
      <w:r w:rsidR="00E70972" w:rsidRPr="00BB54D3">
        <w:t xml:space="preserve"> if </w:t>
      </w:r>
      <w:r w:rsidRPr="00BB54D3">
        <w:t xml:space="preserve">risk of unauthorised interference </w:t>
      </w:r>
      <w:r w:rsidR="00E70972" w:rsidRPr="00BB54D3">
        <w:t xml:space="preserve">or access involving </w:t>
      </w:r>
      <w:r w:rsidRPr="00BB54D3">
        <w:t>telecommunications networks or facilities</w:t>
      </w:r>
      <w:bookmarkEnd w:id="23"/>
    </w:p>
    <w:p w:rsidR="001D1671" w:rsidRPr="00BB54D3" w:rsidRDefault="001D1671" w:rsidP="00BB54D3">
      <w:pPr>
        <w:pStyle w:val="subsection"/>
      </w:pPr>
      <w:r w:rsidRPr="00BB54D3">
        <w:tab/>
        <w:t>(1)</w:t>
      </w:r>
      <w:r w:rsidRPr="00BB54D3">
        <w:tab/>
      </w:r>
      <w:r w:rsidR="003B451C" w:rsidRPr="00BB54D3">
        <w:t>This section applies if</w:t>
      </w:r>
      <w:r w:rsidR="00877CE2" w:rsidRPr="00BB54D3">
        <w:t>,</w:t>
      </w:r>
      <w:r w:rsidR="003B451C" w:rsidRPr="00BB54D3">
        <w:t xml:space="preserve"> </w:t>
      </w:r>
      <w:r w:rsidRPr="00BB54D3">
        <w:t>in connection with:</w:t>
      </w:r>
    </w:p>
    <w:p w:rsidR="001D1671" w:rsidRPr="00BB54D3" w:rsidRDefault="001D1671" w:rsidP="00BB54D3">
      <w:pPr>
        <w:pStyle w:val="paragraph"/>
      </w:pPr>
      <w:r w:rsidRPr="00BB54D3">
        <w:tab/>
        <w:t>(a)</w:t>
      </w:r>
      <w:r w:rsidRPr="00BB54D3">
        <w:tab/>
        <w:t>the operation by a carrier or carriage service provider of telecommunications networks or facilities; or</w:t>
      </w:r>
    </w:p>
    <w:p w:rsidR="001D1671" w:rsidRPr="00BB54D3" w:rsidRDefault="001D1671" w:rsidP="00BB54D3">
      <w:pPr>
        <w:pStyle w:val="paragraph"/>
      </w:pPr>
      <w:r w:rsidRPr="00BB54D3">
        <w:tab/>
        <w:t>(b)</w:t>
      </w:r>
      <w:r w:rsidRPr="00BB54D3">
        <w:tab/>
        <w:t>the supply by a carrier or carriage service provider of a carriage service;</w:t>
      </w:r>
      <w:r w:rsidR="000B5B68" w:rsidRPr="00BB54D3">
        <w:t xml:space="preserve"> or</w:t>
      </w:r>
    </w:p>
    <w:p w:rsidR="000B5B68" w:rsidRPr="00BB54D3" w:rsidRDefault="000B5B68" w:rsidP="00BB54D3">
      <w:pPr>
        <w:pStyle w:val="paragraph"/>
      </w:pPr>
      <w:r w:rsidRPr="00BB54D3">
        <w:tab/>
        <w:t>(c)</w:t>
      </w:r>
      <w:r w:rsidRPr="00BB54D3">
        <w:tab/>
        <w:t>the supply by a carriage service provider of a carriage service, being a supply arranged by a carriage service intermediary;</w:t>
      </w:r>
    </w:p>
    <w:p w:rsidR="001D1671" w:rsidRPr="00BB54D3" w:rsidRDefault="001D1671" w:rsidP="00BB54D3">
      <w:pPr>
        <w:pStyle w:val="subsection2"/>
      </w:pPr>
      <w:r w:rsidRPr="00BB54D3">
        <w:t>the A</w:t>
      </w:r>
      <w:r w:rsidR="003B451C" w:rsidRPr="00BB54D3">
        <w:t>ttorney</w:t>
      </w:r>
      <w:r w:rsidR="00772E5E">
        <w:noBreakHyphen/>
      </w:r>
      <w:r w:rsidR="003B451C" w:rsidRPr="00BB54D3">
        <w:t>General</w:t>
      </w:r>
      <w:r w:rsidRPr="00BB54D3">
        <w:t xml:space="preserve"> is satisfied that</w:t>
      </w:r>
      <w:r w:rsidR="003B451C" w:rsidRPr="00BB54D3">
        <w:t xml:space="preserve"> there is a risk of unauthorised interference with, or unauthorised access to, telecommunications networks or facilities that would be </w:t>
      </w:r>
      <w:r w:rsidR="009F7476" w:rsidRPr="00BB54D3">
        <w:t>prejudicial</w:t>
      </w:r>
      <w:r w:rsidR="003B451C" w:rsidRPr="00BB54D3">
        <w:t xml:space="preserve"> to security.</w:t>
      </w:r>
    </w:p>
    <w:p w:rsidR="001D1671" w:rsidRPr="00BB54D3" w:rsidRDefault="003B451C" w:rsidP="00BB54D3">
      <w:pPr>
        <w:pStyle w:val="subsection"/>
      </w:pPr>
      <w:r w:rsidRPr="00BB54D3">
        <w:tab/>
        <w:t>(</w:t>
      </w:r>
      <w:r w:rsidR="00896D1C" w:rsidRPr="00BB54D3">
        <w:t>2</w:t>
      </w:r>
      <w:r w:rsidRPr="00BB54D3">
        <w:t>)</w:t>
      </w:r>
      <w:r w:rsidRPr="00BB54D3">
        <w:tab/>
        <w:t>The Attorney</w:t>
      </w:r>
      <w:r w:rsidR="00772E5E">
        <w:noBreakHyphen/>
      </w:r>
      <w:r w:rsidRPr="00BB54D3">
        <w:t>General</w:t>
      </w:r>
      <w:r w:rsidR="001D1671" w:rsidRPr="00BB54D3">
        <w:t xml:space="preserve"> may give </w:t>
      </w:r>
      <w:r w:rsidR="000B5B68" w:rsidRPr="00BB54D3">
        <w:t xml:space="preserve">a </w:t>
      </w:r>
      <w:r w:rsidR="001D1671" w:rsidRPr="00BB54D3">
        <w:t>carrier</w:t>
      </w:r>
      <w:r w:rsidR="000B5B68" w:rsidRPr="00BB54D3">
        <w:t>, carriage service provider or carriage service intermediary</w:t>
      </w:r>
      <w:r w:rsidR="001D1671" w:rsidRPr="00BB54D3">
        <w:t xml:space="preserve"> a written direction requiring the carrier</w:t>
      </w:r>
      <w:r w:rsidR="000B5B68" w:rsidRPr="00BB54D3">
        <w:t>, provider or intermediary</w:t>
      </w:r>
      <w:r w:rsidR="001D1671" w:rsidRPr="00BB54D3">
        <w:t xml:space="preserve"> to do, or to refrain from doing, a specified act or thing within the period specified in the direction.</w:t>
      </w:r>
    </w:p>
    <w:p w:rsidR="003A00C6" w:rsidRPr="00BB54D3" w:rsidRDefault="003A00C6" w:rsidP="00BB54D3">
      <w:pPr>
        <w:pStyle w:val="subsection"/>
      </w:pPr>
      <w:r w:rsidRPr="00BB54D3">
        <w:tab/>
        <w:t>(3)</w:t>
      </w:r>
      <w:r w:rsidRPr="00BB54D3">
        <w:tab/>
        <w:t xml:space="preserve">A direction under </w:t>
      </w:r>
      <w:r w:rsidR="00BB54D3" w:rsidRPr="00BB54D3">
        <w:t>subsection (</w:t>
      </w:r>
      <w:r w:rsidRPr="00BB54D3">
        <w:t>2) may be given only if the Attorney</w:t>
      </w:r>
      <w:r w:rsidR="00772E5E">
        <w:noBreakHyphen/>
      </w:r>
      <w:r w:rsidRPr="00BB54D3">
        <w:t>General is satisfied that requiring the carrier, carriage service provider or carriage service intermediary to do, or to refrain from doing, the specified act or thing is reasonably necessary for purposes relating to eliminating or reducing the</w:t>
      </w:r>
      <w:r w:rsidRPr="00BB54D3">
        <w:rPr>
          <w:i/>
        </w:rPr>
        <w:t xml:space="preserve"> </w:t>
      </w:r>
      <w:r w:rsidRPr="00BB54D3">
        <w:t xml:space="preserve">risk referred to in </w:t>
      </w:r>
      <w:r w:rsidR="00BB54D3" w:rsidRPr="00BB54D3">
        <w:t>subsection (</w:t>
      </w:r>
      <w:r w:rsidRPr="00BB54D3">
        <w:t>1).</w:t>
      </w:r>
    </w:p>
    <w:p w:rsidR="00896D1C" w:rsidRPr="00BB54D3" w:rsidRDefault="00896D1C" w:rsidP="00BB54D3">
      <w:pPr>
        <w:pStyle w:val="SubsectionHead"/>
      </w:pPr>
      <w:r w:rsidRPr="00BB54D3">
        <w:t>Direction to be given after adverse security assessment</w:t>
      </w:r>
    </w:p>
    <w:p w:rsidR="00911C76" w:rsidRPr="00BB54D3" w:rsidRDefault="00911C76" w:rsidP="00BB54D3">
      <w:pPr>
        <w:pStyle w:val="subsection"/>
      </w:pPr>
      <w:r w:rsidRPr="00BB54D3">
        <w:tab/>
        <w:t>(</w:t>
      </w:r>
      <w:r w:rsidR="00896D1C" w:rsidRPr="00BB54D3">
        <w:t>4</w:t>
      </w:r>
      <w:r w:rsidRPr="00BB54D3">
        <w:t>)</w:t>
      </w:r>
      <w:r w:rsidRPr="00BB54D3">
        <w:tab/>
        <w:t>The Attorney</w:t>
      </w:r>
      <w:r w:rsidR="00772E5E">
        <w:noBreakHyphen/>
      </w:r>
      <w:r w:rsidRPr="00BB54D3">
        <w:t xml:space="preserve">General must not give a </w:t>
      </w:r>
      <w:r w:rsidR="00EE7F8D" w:rsidRPr="00BB54D3">
        <w:t>carrier, carriage service provider or carriage service intermediary</w:t>
      </w:r>
      <w:r w:rsidRPr="00BB54D3">
        <w:t xml:space="preserve"> a direction under </w:t>
      </w:r>
      <w:r w:rsidR="00BB54D3" w:rsidRPr="00BB54D3">
        <w:t>subsection (</w:t>
      </w:r>
      <w:r w:rsidR="00896D1C" w:rsidRPr="00BB54D3">
        <w:t>2</w:t>
      </w:r>
      <w:r w:rsidRPr="00BB54D3">
        <w:t>) unless an adverse security assessment in respect of the carrier, provider or intermediary is given to the Attorney</w:t>
      </w:r>
      <w:r w:rsidR="00772E5E">
        <w:noBreakHyphen/>
      </w:r>
      <w:r w:rsidRPr="00BB54D3">
        <w:t>General in connection with this section.</w:t>
      </w:r>
    </w:p>
    <w:p w:rsidR="00896D1C" w:rsidRPr="00BB54D3" w:rsidRDefault="00896D1C" w:rsidP="00BB54D3">
      <w:pPr>
        <w:pStyle w:val="SubsectionHead"/>
      </w:pPr>
      <w:r w:rsidRPr="00BB54D3">
        <w:t>Direction to be given after negotiations in good faith</w:t>
      </w:r>
    </w:p>
    <w:p w:rsidR="002C034D" w:rsidRPr="00BB54D3" w:rsidRDefault="002C034D" w:rsidP="00BB54D3">
      <w:pPr>
        <w:pStyle w:val="subsection"/>
      </w:pPr>
      <w:r w:rsidRPr="00BB54D3">
        <w:tab/>
        <w:t>(</w:t>
      </w:r>
      <w:r w:rsidR="00896D1C" w:rsidRPr="00BB54D3">
        <w:t>5</w:t>
      </w:r>
      <w:r w:rsidRPr="00BB54D3">
        <w:t>)</w:t>
      </w:r>
      <w:r w:rsidRPr="00BB54D3">
        <w:tab/>
        <w:t>The Attorney</w:t>
      </w:r>
      <w:r w:rsidR="00772E5E">
        <w:noBreakHyphen/>
      </w:r>
      <w:r w:rsidRPr="00BB54D3">
        <w:t xml:space="preserve">General must not give </w:t>
      </w:r>
      <w:r w:rsidR="00EE7F8D" w:rsidRPr="00BB54D3">
        <w:t>a carrier, carriage service provider or carriage service intermediary</w:t>
      </w:r>
      <w:r w:rsidRPr="00BB54D3">
        <w:t xml:space="preserve"> a direction under </w:t>
      </w:r>
      <w:r w:rsidR="00BB54D3" w:rsidRPr="00BB54D3">
        <w:t>subsection (</w:t>
      </w:r>
      <w:r w:rsidR="00896D1C" w:rsidRPr="00BB54D3">
        <w:t>2</w:t>
      </w:r>
      <w:r w:rsidRPr="00BB54D3">
        <w:t xml:space="preserve">) unless </w:t>
      </w:r>
      <w:r w:rsidR="00EE7F8D" w:rsidRPr="00BB54D3">
        <w:t>the Attorney</w:t>
      </w:r>
      <w:r w:rsidR="00772E5E">
        <w:noBreakHyphen/>
      </w:r>
      <w:r w:rsidR="00EE7F8D" w:rsidRPr="00BB54D3">
        <w:t>General is satisfied that reasonable steps have been taken to negotiate in good faith with the carrier, provider or intermediary</w:t>
      </w:r>
      <w:r w:rsidR="009F7476" w:rsidRPr="00BB54D3">
        <w:t xml:space="preserve"> to achieve an outcome of eliminating or reducing the</w:t>
      </w:r>
      <w:r w:rsidR="009F7476" w:rsidRPr="00BB54D3">
        <w:rPr>
          <w:i/>
        </w:rPr>
        <w:t xml:space="preserve"> </w:t>
      </w:r>
      <w:r w:rsidR="009F7476" w:rsidRPr="00BB54D3">
        <w:t xml:space="preserve">risk referred to in </w:t>
      </w:r>
      <w:r w:rsidR="00BB54D3" w:rsidRPr="00BB54D3">
        <w:t>subsection (</w:t>
      </w:r>
      <w:r w:rsidR="009F7476" w:rsidRPr="00BB54D3">
        <w:t>1)</w:t>
      </w:r>
      <w:r w:rsidRPr="00BB54D3">
        <w:t>.</w:t>
      </w:r>
    </w:p>
    <w:p w:rsidR="00896D1C" w:rsidRPr="00BB54D3" w:rsidRDefault="00896D1C" w:rsidP="00BB54D3">
      <w:pPr>
        <w:pStyle w:val="SubsectionHead"/>
      </w:pPr>
      <w:r w:rsidRPr="00BB54D3">
        <w:t>Matters to which regard must be had before giving direction</w:t>
      </w:r>
    </w:p>
    <w:p w:rsidR="009F7476" w:rsidRPr="00BB54D3" w:rsidRDefault="009F7476" w:rsidP="00BB54D3">
      <w:pPr>
        <w:pStyle w:val="subsection"/>
      </w:pPr>
      <w:r w:rsidRPr="00BB54D3">
        <w:tab/>
        <w:t>(</w:t>
      </w:r>
      <w:r w:rsidR="00896D1C" w:rsidRPr="00BB54D3">
        <w:t>6</w:t>
      </w:r>
      <w:r w:rsidRPr="00BB54D3">
        <w:t>)</w:t>
      </w:r>
      <w:r w:rsidRPr="00BB54D3">
        <w:tab/>
      </w:r>
      <w:r w:rsidR="00896D1C" w:rsidRPr="00BB54D3">
        <w:t xml:space="preserve">Before giving a carrier, carriage service provider or carriage service intermediary a direction under </w:t>
      </w:r>
      <w:r w:rsidR="00BB54D3" w:rsidRPr="00BB54D3">
        <w:t>subsection (</w:t>
      </w:r>
      <w:r w:rsidR="00896D1C" w:rsidRPr="00BB54D3">
        <w:t>2), the Attorney</w:t>
      </w:r>
      <w:r w:rsidR="00772E5E">
        <w:noBreakHyphen/>
      </w:r>
      <w:r w:rsidR="00896D1C" w:rsidRPr="00BB54D3">
        <w:t>General must</w:t>
      </w:r>
      <w:r w:rsidRPr="00BB54D3">
        <w:t xml:space="preserve"> </w:t>
      </w:r>
      <w:r w:rsidR="00896D1C" w:rsidRPr="00BB54D3">
        <w:t xml:space="preserve">have </w:t>
      </w:r>
      <w:r w:rsidRPr="00BB54D3">
        <w:t>regard to the following matters:</w:t>
      </w:r>
    </w:p>
    <w:p w:rsidR="00051C0C" w:rsidRPr="00BB54D3" w:rsidRDefault="00051C0C" w:rsidP="00BB54D3">
      <w:pPr>
        <w:pStyle w:val="paragraph"/>
      </w:pPr>
      <w:r w:rsidRPr="00BB54D3">
        <w:tab/>
        <w:t>(a)</w:t>
      </w:r>
      <w:r w:rsidRPr="00BB54D3">
        <w:tab/>
      </w:r>
      <w:r w:rsidR="00575514" w:rsidRPr="00BB54D3">
        <w:t xml:space="preserve">the adverse security assessment mentioned in </w:t>
      </w:r>
      <w:r w:rsidR="00BB54D3" w:rsidRPr="00BB54D3">
        <w:t>subsection (</w:t>
      </w:r>
      <w:r w:rsidR="007A5512" w:rsidRPr="00BB54D3">
        <w:t>4</w:t>
      </w:r>
      <w:r w:rsidR="00575514" w:rsidRPr="00BB54D3">
        <w:t>)</w:t>
      </w:r>
      <w:r w:rsidRPr="00BB54D3">
        <w:t>;</w:t>
      </w:r>
    </w:p>
    <w:p w:rsidR="00AC7092" w:rsidRPr="00BB54D3" w:rsidRDefault="00051C0C" w:rsidP="00BB54D3">
      <w:pPr>
        <w:pStyle w:val="paragraph"/>
      </w:pPr>
      <w:r w:rsidRPr="00BB54D3">
        <w:tab/>
        <w:t>(b</w:t>
      </w:r>
      <w:r w:rsidR="00AC7092" w:rsidRPr="00BB54D3">
        <w:t>)</w:t>
      </w:r>
      <w:r w:rsidR="00AC7092" w:rsidRPr="00BB54D3">
        <w:tab/>
        <w:t>the costs</w:t>
      </w:r>
      <w:r w:rsidR="00BA0E16" w:rsidRPr="00BB54D3">
        <w:t>,</w:t>
      </w:r>
      <w:r w:rsidR="00AC7092" w:rsidRPr="00BB54D3">
        <w:t xml:space="preserve"> in complying with </w:t>
      </w:r>
      <w:r w:rsidR="00BA0E16" w:rsidRPr="00BB54D3">
        <w:t>any</w:t>
      </w:r>
      <w:r w:rsidR="00AC7092" w:rsidRPr="00BB54D3">
        <w:t xml:space="preserve"> direction</w:t>
      </w:r>
      <w:r w:rsidR="00BA0E16" w:rsidRPr="00BB54D3">
        <w:t>,</w:t>
      </w:r>
      <w:r w:rsidR="00AC7092" w:rsidRPr="00BB54D3">
        <w:t xml:space="preserve"> that would be likely to be incurred by the carrier, provider or intermediary;</w:t>
      </w:r>
    </w:p>
    <w:p w:rsidR="00AC7092" w:rsidRPr="00BB54D3" w:rsidRDefault="00AC7092" w:rsidP="00BB54D3">
      <w:pPr>
        <w:pStyle w:val="paragraph"/>
      </w:pPr>
      <w:r w:rsidRPr="00BB54D3">
        <w:tab/>
        <w:t>(</w:t>
      </w:r>
      <w:r w:rsidR="00051C0C" w:rsidRPr="00BB54D3">
        <w:t>c</w:t>
      </w:r>
      <w:r w:rsidRPr="00BB54D3">
        <w:t>)</w:t>
      </w:r>
      <w:r w:rsidRPr="00BB54D3">
        <w:tab/>
        <w:t xml:space="preserve">the potential consequences that </w:t>
      </w:r>
      <w:r w:rsidR="00BA0E16" w:rsidRPr="00BB54D3">
        <w:t>any</w:t>
      </w:r>
      <w:r w:rsidRPr="00BB54D3">
        <w:t xml:space="preserve"> direction may have on competition in </w:t>
      </w:r>
      <w:r w:rsidR="00BA0E16" w:rsidRPr="00BB54D3">
        <w:t>the telecommunications industry</w:t>
      </w:r>
      <w:r w:rsidR="00A1296F" w:rsidRPr="00BB54D3">
        <w:t>;</w:t>
      </w:r>
    </w:p>
    <w:p w:rsidR="00A1296F" w:rsidRPr="00BB54D3" w:rsidRDefault="00A1296F" w:rsidP="00BB54D3">
      <w:pPr>
        <w:pStyle w:val="paragraph"/>
      </w:pPr>
      <w:r w:rsidRPr="00BB54D3">
        <w:tab/>
        <w:t>(d)</w:t>
      </w:r>
      <w:r w:rsidRPr="00BB54D3">
        <w:tab/>
        <w:t>the potential consequences that any direction may have on customers of the carrier, provider or intermediary.</w:t>
      </w:r>
    </w:p>
    <w:p w:rsidR="001B2D32" w:rsidRPr="00BB54D3" w:rsidRDefault="001B2D32" w:rsidP="00BB54D3">
      <w:pPr>
        <w:pStyle w:val="subsection2"/>
      </w:pPr>
      <w:r w:rsidRPr="00BB54D3">
        <w:t>The Attorney</w:t>
      </w:r>
      <w:r w:rsidR="00772E5E">
        <w:noBreakHyphen/>
      </w:r>
      <w:r w:rsidRPr="00BB54D3">
        <w:t xml:space="preserve">General must give the greatest weight to the matter mentioned in </w:t>
      </w:r>
      <w:r w:rsidR="00BB54D3" w:rsidRPr="00BB54D3">
        <w:t>paragraph (</w:t>
      </w:r>
      <w:r w:rsidRPr="00BB54D3">
        <w:t>a).</w:t>
      </w:r>
    </w:p>
    <w:p w:rsidR="009F7476" w:rsidRPr="00BB54D3" w:rsidRDefault="009F7476" w:rsidP="00BB54D3">
      <w:pPr>
        <w:pStyle w:val="subsection"/>
      </w:pPr>
      <w:r w:rsidRPr="00BB54D3">
        <w:tab/>
        <w:t>(</w:t>
      </w:r>
      <w:r w:rsidR="007A5512" w:rsidRPr="00BB54D3">
        <w:t>7</w:t>
      </w:r>
      <w:r w:rsidRPr="00BB54D3">
        <w:t>)</w:t>
      </w:r>
      <w:r w:rsidRPr="00BB54D3">
        <w:tab/>
      </w:r>
      <w:r w:rsidR="00BB54D3" w:rsidRPr="00BB54D3">
        <w:t>Subsection (</w:t>
      </w:r>
      <w:r w:rsidR="007A5512" w:rsidRPr="00BB54D3">
        <w:t>6</w:t>
      </w:r>
      <w:r w:rsidRPr="00BB54D3">
        <w:t>) does not limit the matters to which regard may be had.</w:t>
      </w:r>
    </w:p>
    <w:p w:rsidR="00A04C85" w:rsidRPr="00BB54D3" w:rsidRDefault="00A04C85" w:rsidP="00BB54D3">
      <w:pPr>
        <w:pStyle w:val="SubsectionHead"/>
      </w:pPr>
      <w:r w:rsidRPr="00BB54D3">
        <w:t>Consultation</w:t>
      </w:r>
    </w:p>
    <w:p w:rsidR="00A02FE2" w:rsidRPr="00BB54D3" w:rsidRDefault="00A02FE2" w:rsidP="00BB54D3">
      <w:pPr>
        <w:pStyle w:val="subsection"/>
      </w:pPr>
      <w:r w:rsidRPr="00BB54D3">
        <w:tab/>
        <w:t>(</w:t>
      </w:r>
      <w:r w:rsidR="00BE0EF9" w:rsidRPr="00BB54D3">
        <w:t>8</w:t>
      </w:r>
      <w:r w:rsidRPr="00BB54D3">
        <w:t>)</w:t>
      </w:r>
      <w:r w:rsidRPr="00BB54D3">
        <w:tab/>
        <w:t xml:space="preserve">Before giving a carrier, carriage service provider or carriage service intermediary a direction under </w:t>
      </w:r>
      <w:r w:rsidR="00BB54D3" w:rsidRPr="00BB54D3">
        <w:t>subsection (</w:t>
      </w:r>
      <w:r w:rsidR="00896D1C" w:rsidRPr="00BB54D3">
        <w:t>2</w:t>
      </w:r>
      <w:r w:rsidRPr="00BB54D3">
        <w:t xml:space="preserve">), the </w:t>
      </w:r>
      <w:r w:rsidR="003B451C" w:rsidRPr="00BB54D3">
        <w:t>Attorney</w:t>
      </w:r>
      <w:r w:rsidR="00772E5E">
        <w:noBreakHyphen/>
      </w:r>
      <w:r w:rsidR="003B451C" w:rsidRPr="00BB54D3">
        <w:t>General</w:t>
      </w:r>
      <w:r w:rsidRPr="00BB54D3">
        <w:t xml:space="preserve"> must:</w:t>
      </w:r>
    </w:p>
    <w:p w:rsidR="00F8650B" w:rsidRPr="00BB54D3" w:rsidRDefault="00F8650B" w:rsidP="00BB54D3">
      <w:pPr>
        <w:pStyle w:val="paragraph"/>
      </w:pPr>
      <w:r w:rsidRPr="00BB54D3">
        <w:tab/>
        <w:t>(a)</w:t>
      </w:r>
      <w:r w:rsidRPr="00BB54D3">
        <w:tab/>
        <w:t>consult the Minister administering this Act; and</w:t>
      </w:r>
    </w:p>
    <w:p w:rsidR="00F8650B" w:rsidRPr="00BB54D3" w:rsidRDefault="00F8650B" w:rsidP="00BB54D3">
      <w:pPr>
        <w:pStyle w:val="paragraph"/>
      </w:pPr>
      <w:r w:rsidRPr="00BB54D3">
        <w:tab/>
        <w:t>(b)</w:t>
      </w:r>
      <w:r w:rsidRPr="00BB54D3">
        <w:tab/>
        <w:t>do the following:</w:t>
      </w:r>
    </w:p>
    <w:p w:rsidR="00A02FE2" w:rsidRPr="00BB54D3" w:rsidRDefault="00A02FE2" w:rsidP="00BB54D3">
      <w:pPr>
        <w:pStyle w:val="paragraphsub"/>
      </w:pPr>
      <w:r w:rsidRPr="00BB54D3">
        <w:tab/>
        <w:t>(</w:t>
      </w:r>
      <w:r w:rsidR="00F8650B" w:rsidRPr="00BB54D3">
        <w:t>i</w:t>
      </w:r>
      <w:r w:rsidRPr="00BB54D3">
        <w:t>)</w:t>
      </w:r>
      <w:r w:rsidRPr="00BB54D3">
        <w:tab/>
        <w:t>by written notice</w:t>
      </w:r>
      <w:r w:rsidR="005E45F9" w:rsidRPr="00BB54D3">
        <w:t>,</w:t>
      </w:r>
      <w:r w:rsidRPr="00BB54D3">
        <w:t xml:space="preserve"> given to the carrier, provider or intermediary</w:t>
      </w:r>
      <w:r w:rsidR="005E45F9" w:rsidRPr="00BB54D3">
        <w:t>,</w:t>
      </w:r>
      <w:r w:rsidR="0095662D" w:rsidRPr="00BB54D3">
        <w:t xml:space="preserve"> set out the proposed direction;</w:t>
      </w:r>
    </w:p>
    <w:p w:rsidR="0095662D" w:rsidRPr="00BB54D3" w:rsidRDefault="0095662D" w:rsidP="00BB54D3">
      <w:pPr>
        <w:pStyle w:val="paragraphsub"/>
      </w:pPr>
      <w:r w:rsidRPr="00BB54D3">
        <w:tab/>
        <w:t>(</w:t>
      </w:r>
      <w:r w:rsidR="00F8650B" w:rsidRPr="00BB54D3">
        <w:t>ii</w:t>
      </w:r>
      <w:r w:rsidRPr="00BB54D3">
        <w:t>)</w:t>
      </w:r>
      <w:r w:rsidRPr="00BB54D3">
        <w:tab/>
        <w:t>in that notice, invite the carrier, provider or intermediary to make written representations to the Attorney</w:t>
      </w:r>
      <w:r w:rsidR="00772E5E">
        <w:noBreakHyphen/>
      </w:r>
      <w:r w:rsidRPr="00BB54D3">
        <w:t>General in relation to the proposed direction</w:t>
      </w:r>
      <w:r w:rsidR="00F8650B" w:rsidRPr="00BB54D3">
        <w:t xml:space="preserve"> within the period specified in the notice;</w:t>
      </w:r>
    </w:p>
    <w:p w:rsidR="00A02FE2" w:rsidRPr="00BB54D3" w:rsidRDefault="00A02FE2" w:rsidP="00BB54D3">
      <w:pPr>
        <w:pStyle w:val="paragraphsub"/>
      </w:pPr>
      <w:r w:rsidRPr="00BB54D3">
        <w:tab/>
        <w:t>(</w:t>
      </w:r>
      <w:r w:rsidR="00F8650B" w:rsidRPr="00BB54D3">
        <w:t>iii</w:t>
      </w:r>
      <w:r w:rsidRPr="00BB54D3">
        <w:t>)</w:t>
      </w:r>
      <w:r w:rsidRPr="00BB54D3">
        <w:tab/>
        <w:t xml:space="preserve">have regard to any </w:t>
      </w:r>
      <w:r w:rsidR="007D0B50" w:rsidRPr="00BB54D3">
        <w:t>such representations made within that period.</w:t>
      </w:r>
    </w:p>
    <w:p w:rsidR="00F8650B" w:rsidRPr="00BB54D3" w:rsidRDefault="00F8650B" w:rsidP="00BB54D3">
      <w:pPr>
        <w:pStyle w:val="subsection"/>
      </w:pPr>
      <w:r w:rsidRPr="00BB54D3">
        <w:tab/>
        <w:t>(</w:t>
      </w:r>
      <w:r w:rsidR="00BE0EF9" w:rsidRPr="00BB54D3">
        <w:t>9</w:t>
      </w:r>
      <w:r w:rsidRPr="00BB54D3">
        <w:t>)</w:t>
      </w:r>
      <w:r w:rsidRPr="00BB54D3">
        <w:tab/>
        <w:t xml:space="preserve">For the purposes of </w:t>
      </w:r>
      <w:r w:rsidR="00BB54D3" w:rsidRPr="00BB54D3">
        <w:t>subparagraph (</w:t>
      </w:r>
      <w:r w:rsidR="00BE0EF9" w:rsidRPr="00BB54D3">
        <w:t>8</w:t>
      </w:r>
      <w:r w:rsidRPr="00BB54D3">
        <w:t>)(b)</w:t>
      </w:r>
      <w:r w:rsidR="00BE0EF9" w:rsidRPr="00BB54D3">
        <w:t>(ii)</w:t>
      </w:r>
      <w:r w:rsidRPr="00BB54D3">
        <w:t xml:space="preserve">, the period to be </w:t>
      </w:r>
      <w:r w:rsidR="00C3092F" w:rsidRPr="00BB54D3">
        <w:t>specified</w:t>
      </w:r>
      <w:r w:rsidRPr="00BB54D3">
        <w:t xml:space="preserve"> in the notice must be at least </w:t>
      </w:r>
      <w:r w:rsidR="00A050BE" w:rsidRPr="00BB54D3">
        <w:t>28</w:t>
      </w:r>
      <w:r w:rsidRPr="00BB54D3">
        <w:t xml:space="preserve"> days after the notice is given. However, the Attorney</w:t>
      </w:r>
      <w:r w:rsidR="00772E5E">
        <w:noBreakHyphen/>
      </w:r>
      <w:r w:rsidRPr="00BB54D3">
        <w:t>General may specify a shorter period if the Attorney</w:t>
      </w:r>
      <w:r w:rsidR="00772E5E">
        <w:noBreakHyphen/>
      </w:r>
      <w:r w:rsidRPr="00BB54D3">
        <w:t>General considers it necessary to do so because of urgent circumstances.</w:t>
      </w:r>
    </w:p>
    <w:p w:rsidR="00A04C85" w:rsidRPr="00BB54D3" w:rsidRDefault="00A04C85" w:rsidP="00BB54D3">
      <w:pPr>
        <w:pStyle w:val="subsection"/>
      </w:pPr>
      <w:r w:rsidRPr="00BB54D3">
        <w:tab/>
        <w:t>(</w:t>
      </w:r>
      <w:r w:rsidR="007A5512" w:rsidRPr="00BB54D3">
        <w:t>1</w:t>
      </w:r>
      <w:r w:rsidR="00BE0EF9" w:rsidRPr="00BB54D3">
        <w:t>0</w:t>
      </w:r>
      <w:r w:rsidRPr="00BB54D3">
        <w:t>)</w:t>
      </w:r>
      <w:r w:rsidRPr="00BB54D3">
        <w:tab/>
      </w:r>
      <w:r w:rsidR="00BB54D3" w:rsidRPr="00BB54D3">
        <w:t>Subsection (</w:t>
      </w:r>
      <w:r w:rsidR="00BE0EF9" w:rsidRPr="00BB54D3">
        <w:t>8</w:t>
      </w:r>
      <w:r w:rsidRPr="00BB54D3">
        <w:t xml:space="preserve">) </w:t>
      </w:r>
      <w:r w:rsidR="00A02FE2" w:rsidRPr="00BB54D3">
        <w:t>do</w:t>
      </w:r>
      <w:r w:rsidR="00BE0EF9" w:rsidRPr="00BB54D3">
        <w:t>es</w:t>
      </w:r>
      <w:r w:rsidRPr="00BB54D3">
        <w:t xml:space="preserve"> not limit the persons with whom the </w:t>
      </w:r>
      <w:r w:rsidR="003B451C" w:rsidRPr="00BB54D3">
        <w:t>Attorney</w:t>
      </w:r>
      <w:r w:rsidR="00772E5E">
        <w:noBreakHyphen/>
      </w:r>
      <w:r w:rsidR="003B451C" w:rsidRPr="00BB54D3">
        <w:t>General</w:t>
      </w:r>
      <w:r w:rsidRPr="00BB54D3">
        <w:t xml:space="preserve"> may consult.</w:t>
      </w:r>
    </w:p>
    <w:p w:rsidR="001D1671" w:rsidRPr="00BB54D3" w:rsidRDefault="001D1671" w:rsidP="00BB54D3">
      <w:pPr>
        <w:pStyle w:val="SubsectionHead"/>
      </w:pPr>
      <w:r w:rsidRPr="00BB54D3">
        <w:t>Copy of direction to be given to ACMA</w:t>
      </w:r>
    </w:p>
    <w:p w:rsidR="003B451C" w:rsidRPr="00BB54D3" w:rsidRDefault="003B451C" w:rsidP="00BB54D3">
      <w:pPr>
        <w:pStyle w:val="subsection"/>
      </w:pPr>
      <w:r w:rsidRPr="00BB54D3">
        <w:tab/>
        <w:t>(</w:t>
      </w:r>
      <w:r w:rsidR="007A5512" w:rsidRPr="00BB54D3">
        <w:t>1</w:t>
      </w:r>
      <w:r w:rsidR="00BE0EF9" w:rsidRPr="00BB54D3">
        <w:t>1</w:t>
      </w:r>
      <w:r w:rsidRPr="00BB54D3">
        <w:t>)</w:t>
      </w:r>
      <w:r w:rsidRPr="00BB54D3">
        <w:tab/>
        <w:t>The Attorney</w:t>
      </w:r>
      <w:r w:rsidR="00772E5E">
        <w:noBreakHyphen/>
      </w:r>
      <w:r w:rsidRPr="00BB54D3">
        <w:t xml:space="preserve">General must give the ACMA a copy of any direction under </w:t>
      </w:r>
      <w:r w:rsidR="00BB54D3" w:rsidRPr="00BB54D3">
        <w:t>subsection (</w:t>
      </w:r>
      <w:r w:rsidR="00896D1C" w:rsidRPr="00BB54D3">
        <w:t>2</w:t>
      </w:r>
      <w:r w:rsidRPr="00BB54D3">
        <w:t>).</w:t>
      </w:r>
    </w:p>
    <w:p w:rsidR="001D1671" w:rsidRPr="00BB54D3" w:rsidRDefault="001D1671" w:rsidP="00BB54D3">
      <w:pPr>
        <w:pStyle w:val="SubsectionHead"/>
      </w:pPr>
      <w:r w:rsidRPr="00BB54D3">
        <w:t>Compliance with direction</w:t>
      </w:r>
    </w:p>
    <w:p w:rsidR="001D1671" w:rsidRPr="00BB54D3" w:rsidRDefault="001D1671" w:rsidP="00BB54D3">
      <w:pPr>
        <w:pStyle w:val="subsection"/>
      </w:pPr>
      <w:r w:rsidRPr="00BB54D3">
        <w:tab/>
        <w:t>(</w:t>
      </w:r>
      <w:r w:rsidR="007A5512" w:rsidRPr="00BB54D3">
        <w:t>1</w:t>
      </w:r>
      <w:r w:rsidR="00BE0EF9" w:rsidRPr="00BB54D3">
        <w:t>2)</w:t>
      </w:r>
      <w:r w:rsidRPr="00BB54D3">
        <w:tab/>
        <w:t xml:space="preserve">A person must comply with a direction given to the person under </w:t>
      </w:r>
      <w:r w:rsidR="00BB54D3" w:rsidRPr="00BB54D3">
        <w:t>subsection (</w:t>
      </w:r>
      <w:r w:rsidR="00896D1C" w:rsidRPr="00BB54D3">
        <w:t>2</w:t>
      </w:r>
      <w:r w:rsidRPr="00BB54D3">
        <w:t>).</w:t>
      </w:r>
    </w:p>
    <w:p w:rsidR="00CC1DB1" w:rsidRPr="00BB54D3" w:rsidRDefault="00CC1DB1" w:rsidP="00BB54D3">
      <w:pPr>
        <w:pStyle w:val="SubsectionHead"/>
      </w:pPr>
      <w:r w:rsidRPr="00BB54D3">
        <w:t>Definition</w:t>
      </w:r>
      <w:r w:rsidR="00CF5925" w:rsidRPr="00BB54D3">
        <w:t>s</w:t>
      </w:r>
    </w:p>
    <w:p w:rsidR="00CC1DB1" w:rsidRPr="00BB54D3" w:rsidRDefault="00CC1DB1" w:rsidP="00BB54D3">
      <w:pPr>
        <w:pStyle w:val="subsection"/>
      </w:pPr>
      <w:r w:rsidRPr="00BB54D3">
        <w:tab/>
        <w:t>(</w:t>
      </w:r>
      <w:r w:rsidR="003160B6" w:rsidRPr="00BB54D3">
        <w:t>1</w:t>
      </w:r>
      <w:r w:rsidR="00BE0EF9" w:rsidRPr="00BB54D3">
        <w:t>3</w:t>
      </w:r>
      <w:r w:rsidRPr="00BB54D3">
        <w:t>)</w:t>
      </w:r>
      <w:r w:rsidRPr="00BB54D3">
        <w:tab/>
        <w:t>In this section:</w:t>
      </w:r>
    </w:p>
    <w:p w:rsidR="00CC1DB1" w:rsidRPr="00BB54D3" w:rsidRDefault="00CC1DB1" w:rsidP="00BB54D3">
      <w:pPr>
        <w:pStyle w:val="Definition"/>
      </w:pPr>
      <w:r w:rsidRPr="00BB54D3">
        <w:rPr>
          <w:b/>
          <w:i/>
        </w:rPr>
        <w:t>security</w:t>
      </w:r>
      <w:r w:rsidRPr="00BB54D3">
        <w:t xml:space="preserve"> has the same meaning as in the </w:t>
      </w:r>
      <w:r w:rsidRPr="00BB54D3">
        <w:rPr>
          <w:i/>
        </w:rPr>
        <w:t>Australian Security Intelligence Organisation Act 1979</w:t>
      </w:r>
      <w:r w:rsidRPr="00BB54D3">
        <w:t>.</w:t>
      </w:r>
    </w:p>
    <w:p w:rsidR="001D1671" w:rsidRPr="00BB54D3" w:rsidRDefault="001D1671" w:rsidP="00BB54D3">
      <w:pPr>
        <w:pStyle w:val="ActHead3"/>
      </w:pPr>
      <w:bookmarkStart w:id="24" w:name="_Toc493599481"/>
      <w:r w:rsidRPr="00BB54D3">
        <w:rPr>
          <w:rStyle w:val="CharDivNo"/>
        </w:rPr>
        <w:t>Division</w:t>
      </w:r>
      <w:r w:rsidR="00BB54D3" w:rsidRPr="00BB54D3">
        <w:rPr>
          <w:rStyle w:val="CharDivNo"/>
        </w:rPr>
        <w:t> </w:t>
      </w:r>
      <w:r w:rsidR="002D6DC7" w:rsidRPr="00BB54D3">
        <w:rPr>
          <w:rStyle w:val="CharDivNo"/>
        </w:rPr>
        <w:t>6</w:t>
      </w:r>
      <w:r w:rsidRPr="00BB54D3">
        <w:t>—</w:t>
      </w:r>
      <w:r w:rsidRPr="00BB54D3">
        <w:rPr>
          <w:rStyle w:val="CharDivText"/>
        </w:rPr>
        <w:t>Attorney</w:t>
      </w:r>
      <w:r w:rsidR="00772E5E">
        <w:rPr>
          <w:rStyle w:val="CharDivText"/>
        </w:rPr>
        <w:noBreakHyphen/>
      </w:r>
      <w:r w:rsidRPr="00BB54D3">
        <w:rPr>
          <w:rStyle w:val="CharDivText"/>
        </w:rPr>
        <w:t>General’s Secretary’s information</w:t>
      </w:r>
      <w:r w:rsidR="00772E5E">
        <w:rPr>
          <w:rStyle w:val="CharDivText"/>
        </w:rPr>
        <w:noBreakHyphen/>
      </w:r>
      <w:r w:rsidRPr="00BB54D3">
        <w:rPr>
          <w:rStyle w:val="CharDivText"/>
        </w:rPr>
        <w:t>gathering powers</w:t>
      </w:r>
      <w:bookmarkEnd w:id="24"/>
    </w:p>
    <w:p w:rsidR="001D1671" w:rsidRPr="00BB54D3" w:rsidRDefault="001D1671" w:rsidP="00BB54D3">
      <w:pPr>
        <w:pStyle w:val="ActHead5"/>
      </w:pPr>
      <w:bookmarkStart w:id="25" w:name="_Toc493599482"/>
      <w:r w:rsidRPr="00BB54D3">
        <w:rPr>
          <w:rStyle w:val="CharSectno"/>
        </w:rPr>
        <w:t>315C</w:t>
      </w:r>
      <w:r w:rsidRPr="00BB54D3">
        <w:t xml:space="preserve">  Attorney</w:t>
      </w:r>
      <w:r w:rsidR="00772E5E">
        <w:noBreakHyphen/>
      </w:r>
      <w:r w:rsidRPr="00BB54D3">
        <w:t>General’s Secretary may obtain information and documents from carriers and carriage service providers</w:t>
      </w:r>
      <w:bookmarkEnd w:id="25"/>
    </w:p>
    <w:p w:rsidR="001D1671" w:rsidRPr="00BB54D3" w:rsidRDefault="001D1671" w:rsidP="00BB54D3">
      <w:pPr>
        <w:pStyle w:val="subsection"/>
      </w:pPr>
      <w:r w:rsidRPr="00BB54D3">
        <w:tab/>
        <w:t>(1)</w:t>
      </w:r>
      <w:r w:rsidRPr="00BB54D3">
        <w:tab/>
        <w:t xml:space="preserve">This section applies to a carrier, </w:t>
      </w:r>
      <w:r w:rsidR="00EF0A26" w:rsidRPr="00BB54D3">
        <w:t xml:space="preserve">carriage service provider or </w:t>
      </w:r>
      <w:r w:rsidRPr="00BB54D3">
        <w:t>carriage service intermediary if the Attorney</w:t>
      </w:r>
      <w:r w:rsidR="00772E5E">
        <w:noBreakHyphen/>
      </w:r>
      <w:r w:rsidRPr="00BB54D3">
        <w:t xml:space="preserve">General’s Secretary has reason to believe that the carrier, provider or intermediary has information or a document that is relevant to </w:t>
      </w:r>
      <w:r w:rsidR="00840B91" w:rsidRPr="00BB54D3">
        <w:t>assessing compliance with the duty</w:t>
      </w:r>
      <w:r w:rsidRPr="00BB54D3">
        <w:t xml:space="preserve"> imposed by subsection</w:t>
      </w:r>
      <w:r w:rsidR="00BB54D3" w:rsidRPr="00BB54D3">
        <w:t> </w:t>
      </w:r>
      <w:r w:rsidRPr="00BB54D3">
        <w:t>313(1A) or (2A).</w:t>
      </w:r>
    </w:p>
    <w:p w:rsidR="001D1671" w:rsidRPr="00BB54D3" w:rsidRDefault="001D1671" w:rsidP="00BB54D3">
      <w:pPr>
        <w:pStyle w:val="subsection"/>
      </w:pPr>
      <w:r w:rsidRPr="00BB54D3">
        <w:tab/>
        <w:t>(2)</w:t>
      </w:r>
      <w:r w:rsidRPr="00BB54D3">
        <w:tab/>
        <w:t>The Attorney</w:t>
      </w:r>
      <w:r w:rsidR="00772E5E">
        <w:noBreakHyphen/>
      </w:r>
      <w:r w:rsidRPr="00BB54D3">
        <w:t>General’s Secretary may, by written notice given to the carrier, provider or intermediary, require the carrier, provider or intermediary:</w:t>
      </w:r>
    </w:p>
    <w:p w:rsidR="001D1671" w:rsidRPr="00BB54D3" w:rsidRDefault="001D1671" w:rsidP="00BB54D3">
      <w:pPr>
        <w:pStyle w:val="paragraph"/>
      </w:pPr>
      <w:r w:rsidRPr="00BB54D3">
        <w:tab/>
        <w:t>(a)</w:t>
      </w:r>
      <w:r w:rsidRPr="00BB54D3">
        <w:tab/>
        <w:t>to give to that Secretary, within the period and in the manner and form specified in the notice, any such information; or</w:t>
      </w:r>
    </w:p>
    <w:p w:rsidR="001D1671" w:rsidRPr="00BB54D3" w:rsidRDefault="001D1671" w:rsidP="00BB54D3">
      <w:pPr>
        <w:pStyle w:val="paragraph"/>
      </w:pPr>
      <w:r w:rsidRPr="00BB54D3">
        <w:tab/>
        <w:t>(b)</w:t>
      </w:r>
      <w:r w:rsidRPr="00BB54D3">
        <w:tab/>
        <w:t>to produce to that Secretary, within the period and in the manner specified in the notice, any such documents</w:t>
      </w:r>
      <w:r w:rsidR="001843A1" w:rsidRPr="00BB54D3">
        <w:t>; or</w:t>
      </w:r>
    </w:p>
    <w:p w:rsidR="001843A1" w:rsidRPr="00BB54D3" w:rsidRDefault="001843A1" w:rsidP="00BB54D3">
      <w:pPr>
        <w:pStyle w:val="paragraph"/>
      </w:pPr>
      <w:r w:rsidRPr="00BB54D3">
        <w:tab/>
        <w:t>(c)</w:t>
      </w:r>
      <w:r w:rsidRPr="00BB54D3">
        <w:tab/>
        <w:t>to make copies of any such documents and to produce to that Secretary, within the period and in the manner specified in the notice, those copies</w:t>
      </w:r>
      <w:r w:rsidR="00D3474A" w:rsidRPr="00BB54D3">
        <w:t>.</w:t>
      </w:r>
    </w:p>
    <w:p w:rsidR="001D1671" w:rsidRPr="00BB54D3" w:rsidRDefault="001D1671" w:rsidP="00BB54D3">
      <w:pPr>
        <w:pStyle w:val="subsection"/>
      </w:pPr>
      <w:r w:rsidRPr="00BB54D3">
        <w:tab/>
        <w:t>(3)</w:t>
      </w:r>
      <w:r w:rsidRPr="00BB54D3">
        <w:tab/>
        <w:t xml:space="preserve">The carrier, provider or intermediary must comply with a requirement under </w:t>
      </w:r>
      <w:r w:rsidR="00BB54D3" w:rsidRPr="00BB54D3">
        <w:t>subsection (</w:t>
      </w:r>
      <w:r w:rsidRPr="00BB54D3">
        <w:t>2).</w:t>
      </w:r>
    </w:p>
    <w:p w:rsidR="007A7E12" w:rsidRPr="00BB54D3" w:rsidRDefault="007A7E12" w:rsidP="00BB54D3">
      <w:pPr>
        <w:pStyle w:val="SubsectionHead"/>
      </w:pPr>
      <w:r w:rsidRPr="00BB54D3">
        <w:t>Matters to which regard must be had before giving notice</w:t>
      </w:r>
    </w:p>
    <w:p w:rsidR="007A7E12" w:rsidRPr="00BB54D3" w:rsidRDefault="007A7E12" w:rsidP="00BB54D3">
      <w:pPr>
        <w:pStyle w:val="subsection"/>
      </w:pPr>
      <w:r w:rsidRPr="00BB54D3">
        <w:tab/>
        <w:t>(4)</w:t>
      </w:r>
      <w:r w:rsidRPr="00BB54D3">
        <w:tab/>
        <w:t xml:space="preserve">Before giving a carrier, carriage service provider or carriage service intermediary a notice under </w:t>
      </w:r>
      <w:r w:rsidR="00BB54D3" w:rsidRPr="00BB54D3">
        <w:t>subsection (</w:t>
      </w:r>
      <w:r w:rsidRPr="00BB54D3">
        <w:t>2), the Attorney</w:t>
      </w:r>
      <w:r w:rsidR="00772E5E">
        <w:noBreakHyphen/>
      </w:r>
      <w:r w:rsidRPr="00BB54D3">
        <w:t>General’s Secretary must have regard to the costs, in complying with any requirement in the notice, that would be likely to be incurred by the carrier, provider or intermediary.</w:t>
      </w:r>
    </w:p>
    <w:p w:rsidR="007A7E12" w:rsidRPr="00BB54D3" w:rsidRDefault="007A7E12" w:rsidP="00BB54D3">
      <w:pPr>
        <w:pStyle w:val="subsection"/>
      </w:pPr>
      <w:r w:rsidRPr="00BB54D3">
        <w:tab/>
        <w:t>(5)</w:t>
      </w:r>
      <w:r w:rsidRPr="00BB54D3">
        <w:tab/>
      </w:r>
      <w:r w:rsidR="00BB54D3" w:rsidRPr="00BB54D3">
        <w:t>Subsection (</w:t>
      </w:r>
      <w:r w:rsidRPr="00BB54D3">
        <w:t>4) does not limit the matters to which regard may be had.</w:t>
      </w:r>
    </w:p>
    <w:p w:rsidR="001D1671" w:rsidRPr="00BB54D3" w:rsidRDefault="001D1671" w:rsidP="00BB54D3">
      <w:pPr>
        <w:pStyle w:val="SubsectionHead"/>
      </w:pPr>
      <w:r w:rsidRPr="00BB54D3">
        <w:t>Content of notice</w:t>
      </w:r>
    </w:p>
    <w:p w:rsidR="001D1671" w:rsidRPr="00BB54D3" w:rsidRDefault="001D1671" w:rsidP="00BB54D3">
      <w:pPr>
        <w:pStyle w:val="subsection"/>
      </w:pPr>
      <w:r w:rsidRPr="00BB54D3">
        <w:tab/>
        <w:t>(</w:t>
      </w:r>
      <w:r w:rsidR="007A7E12" w:rsidRPr="00BB54D3">
        <w:t>6</w:t>
      </w:r>
      <w:r w:rsidRPr="00BB54D3">
        <w:t>)</w:t>
      </w:r>
      <w:r w:rsidRPr="00BB54D3">
        <w:tab/>
        <w:t>A notice given to a carrier under this section must set out the effect of the following provisions:</w:t>
      </w:r>
    </w:p>
    <w:p w:rsidR="001D1671" w:rsidRPr="00BB54D3" w:rsidRDefault="001D1671" w:rsidP="00BB54D3">
      <w:pPr>
        <w:pStyle w:val="paragraph"/>
      </w:pPr>
      <w:r w:rsidRPr="00BB54D3">
        <w:tab/>
        <w:t>(a)</w:t>
      </w:r>
      <w:r w:rsidRPr="00BB54D3">
        <w:tab/>
      </w:r>
      <w:r w:rsidR="00BB54D3" w:rsidRPr="00BB54D3">
        <w:t>subsection (</w:t>
      </w:r>
      <w:r w:rsidRPr="00BB54D3">
        <w:t>3);</w:t>
      </w:r>
    </w:p>
    <w:p w:rsidR="001D1671" w:rsidRPr="00BB54D3" w:rsidRDefault="001D1671" w:rsidP="00BB54D3">
      <w:pPr>
        <w:pStyle w:val="paragraph"/>
      </w:pPr>
      <w:r w:rsidRPr="00BB54D3">
        <w:tab/>
        <w:t>(b)</w:t>
      </w:r>
      <w:r w:rsidRPr="00BB54D3">
        <w:tab/>
        <w:t>section</w:t>
      </w:r>
      <w:r w:rsidR="00BB54D3" w:rsidRPr="00BB54D3">
        <w:t> </w:t>
      </w:r>
      <w:r w:rsidRPr="00BB54D3">
        <w:t>68;</w:t>
      </w:r>
    </w:p>
    <w:p w:rsidR="001D1671" w:rsidRPr="00BB54D3" w:rsidRDefault="001D1671" w:rsidP="00BB54D3">
      <w:pPr>
        <w:pStyle w:val="paragraph"/>
      </w:pPr>
      <w:r w:rsidRPr="00BB54D3">
        <w:tab/>
        <w:t>(c)</w:t>
      </w:r>
      <w:r w:rsidRPr="00BB54D3">
        <w:tab/>
        <w:t>section</w:t>
      </w:r>
      <w:r w:rsidR="00BB54D3" w:rsidRPr="00BB54D3">
        <w:t> </w:t>
      </w:r>
      <w:r w:rsidRPr="00BB54D3">
        <w:t>570;</w:t>
      </w:r>
    </w:p>
    <w:p w:rsidR="001D1671" w:rsidRPr="00BB54D3" w:rsidRDefault="001D1671" w:rsidP="00BB54D3">
      <w:pPr>
        <w:pStyle w:val="paragraph"/>
      </w:pPr>
      <w:r w:rsidRPr="00BB54D3">
        <w:tab/>
        <w:t>(d)</w:t>
      </w:r>
      <w:r w:rsidRPr="00BB54D3">
        <w:tab/>
        <w:t>Part</w:t>
      </w:r>
      <w:r w:rsidR="00BB54D3" w:rsidRPr="00BB54D3">
        <w:t> </w:t>
      </w:r>
      <w:r w:rsidRPr="00BB54D3">
        <w:t>1 of Schedule</w:t>
      </w:r>
      <w:r w:rsidR="00BB54D3" w:rsidRPr="00BB54D3">
        <w:t> </w:t>
      </w:r>
      <w:r w:rsidRPr="00BB54D3">
        <w:t>1;</w:t>
      </w:r>
    </w:p>
    <w:p w:rsidR="001D1671" w:rsidRPr="00BB54D3" w:rsidRDefault="001D1671" w:rsidP="00BB54D3">
      <w:pPr>
        <w:pStyle w:val="paragraph"/>
        <w:rPr>
          <w:kern w:val="28"/>
        </w:rPr>
      </w:pPr>
      <w:r w:rsidRPr="00BB54D3">
        <w:rPr>
          <w:kern w:val="28"/>
        </w:rPr>
        <w:tab/>
        <w:t>(e)</w:t>
      </w:r>
      <w:r w:rsidRPr="00BB54D3">
        <w:rPr>
          <w:kern w:val="28"/>
        </w:rPr>
        <w:tab/>
        <w:t>sections</w:t>
      </w:r>
      <w:r w:rsidR="00BB54D3" w:rsidRPr="00BB54D3">
        <w:rPr>
          <w:kern w:val="28"/>
        </w:rPr>
        <w:t> </w:t>
      </w:r>
      <w:r w:rsidRPr="00BB54D3">
        <w:rPr>
          <w:kern w:val="28"/>
        </w:rPr>
        <w:t xml:space="preserve">137.1 and 137.2 of the </w:t>
      </w:r>
      <w:r w:rsidRPr="00BB54D3">
        <w:rPr>
          <w:i/>
          <w:kern w:val="28"/>
        </w:rPr>
        <w:t>Criminal Code</w:t>
      </w:r>
      <w:r w:rsidRPr="00BB54D3">
        <w:rPr>
          <w:kern w:val="28"/>
        </w:rPr>
        <w:t xml:space="preserve"> (false or misleading information or documents).</w:t>
      </w:r>
    </w:p>
    <w:p w:rsidR="001D1671" w:rsidRPr="00BB54D3" w:rsidRDefault="001D1671" w:rsidP="00BB54D3">
      <w:pPr>
        <w:pStyle w:val="subsection"/>
      </w:pPr>
      <w:r w:rsidRPr="00BB54D3">
        <w:tab/>
        <w:t>(</w:t>
      </w:r>
      <w:r w:rsidR="007A7E12" w:rsidRPr="00BB54D3">
        <w:t>7</w:t>
      </w:r>
      <w:r w:rsidRPr="00BB54D3">
        <w:t>)</w:t>
      </w:r>
      <w:r w:rsidRPr="00BB54D3">
        <w:tab/>
        <w:t>A notice given to a carriage service provider or carriage service intermediary under this section must set out the effect of the following provisions:</w:t>
      </w:r>
    </w:p>
    <w:p w:rsidR="001D1671" w:rsidRPr="00BB54D3" w:rsidRDefault="001D1671" w:rsidP="00BB54D3">
      <w:pPr>
        <w:pStyle w:val="paragraph"/>
      </w:pPr>
      <w:r w:rsidRPr="00BB54D3">
        <w:tab/>
        <w:t>(a)</w:t>
      </w:r>
      <w:r w:rsidRPr="00BB54D3">
        <w:tab/>
      </w:r>
      <w:r w:rsidR="00BB54D3" w:rsidRPr="00BB54D3">
        <w:t>subsection (</w:t>
      </w:r>
      <w:r w:rsidRPr="00BB54D3">
        <w:t>3);</w:t>
      </w:r>
    </w:p>
    <w:p w:rsidR="001D1671" w:rsidRPr="00BB54D3" w:rsidRDefault="001D1671" w:rsidP="00BB54D3">
      <w:pPr>
        <w:pStyle w:val="paragraph"/>
      </w:pPr>
      <w:r w:rsidRPr="00BB54D3">
        <w:tab/>
        <w:t>(b)</w:t>
      </w:r>
      <w:r w:rsidRPr="00BB54D3">
        <w:tab/>
        <w:t>section</w:t>
      </w:r>
      <w:r w:rsidR="00BB54D3" w:rsidRPr="00BB54D3">
        <w:t> </w:t>
      </w:r>
      <w:r w:rsidRPr="00BB54D3">
        <w:t>101;</w:t>
      </w:r>
    </w:p>
    <w:p w:rsidR="001D1671" w:rsidRPr="00BB54D3" w:rsidRDefault="001D1671" w:rsidP="00BB54D3">
      <w:pPr>
        <w:pStyle w:val="paragraph"/>
      </w:pPr>
      <w:r w:rsidRPr="00BB54D3">
        <w:tab/>
        <w:t>(c)</w:t>
      </w:r>
      <w:r w:rsidRPr="00BB54D3">
        <w:tab/>
        <w:t>section</w:t>
      </w:r>
      <w:r w:rsidR="00BB54D3" w:rsidRPr="00BB54D3">
        <w:t> </w:t>
      </w:r>
      <w:r w:rsidRPr="00BB54D3">
        <w:t>570;</w:t>
      </w:r>
    </w:p>
    <w:p w:rsidR="001D1671" w:rsidRPr="00BB54D3" w:rsidRDefault="001D1671" w:rsidP="00BB54D3">
      <w:pPr>
        <w:pStyle w:val="paragraph"/>
      </w:pPr>
      <w:r w:rsidRPr="00BB54D3">
        <w:tab/>
        <w:t>(d)</w:t>
      </w:r>
      <w:r w:rsidRPr="00BB54D3">
        <w:tab/>
        <w:t>Part</w:t>
      </w:r>
      <w:r w:rsidR="00BB54D3" w:rsidRPr="00BB54D3">
        <w:t> </w:t>
      </w:r>
      <w:r w:rsidRPr="00BB54D3">
        <w:t>1 of Schedule</w:t>
      </w:r>
      <w:r w:rsidR="00BB54D3" w:rsidRPr="00BB54D3">
        <w:t> </w:t>
      </w:r>
      <w:r w:rsidRPr="00BB54D3">
        <w:t>2;</w:t>
      </w:r>
    </w:p>
    <w:p w:rsidR="001D1671" w:rsidRPr="00BB54D3" w:rsidRDefault="001D1671" w:rsidP="00BB54D3">
      <w:pPr>
        <w:pStyle w:val="paragraph"/>
        <w:rPr>
          <w:kern w:val="28"/>
        </w:rPr>
      </w:pPr>
      <w:r w:rsidRPr="00BB54D3">
        <w:rPr>
          <w:kern w:val="28"/>
        </w:rPr>
        <w:tab/>
        <w:t>(e)</w:t>
      </w:r>
      <w:r w:rsidRPr="00BB54D3">
        <w:rPr>
          <w:kern w:val="28"/>
        </w:rPr>
        <w:tab/>
        <w:t>sections</w:t>
      </w:r>
      <w:r w:rsidR="00BB54D3" w:rsidRPr="00BB54D3">
        <w:rPr>
          <w:kern w:val="28"/>
        </w:rPr>
        <w:t> </w:t>
      </w:r>
      <w:r w:rsidRPr="00BB54D3">
        <w:rPr>
          <w:kern w:val="28"/>
        </w:rPr>
        <w:t xml:space="preserve">137.1 and 137.2 of the </w:t>
      </w:r>
      <w:r w:rsidRPr="00BB54D3">
        <w:rPr>
          <w:i/>
          <w:kern w:val="28"/>
        </w:rPr>
        <w:t>Criminal Code</w:t>
      </w:r>
      <w:r w:rsidRPr="00BB54D3">
        <w:rPr>
          <w:kern w:val="28"/>
        </w:rPr>
        <w:t xml:space="preserve"> (false or misleading information or documents).</w:t>
      </w:r>
    </w:p>
    <w:p w:rsidR="001843A1" w:rsidRPr="00BB54D3" w:rsidRDefault="001843A1" w:rsidP="00BB54D3">
      <w:pPr>
        <w:pStyle w:val="SubsectionHead"/>
      </w:pPr>
      <w:r w:rsidRPr="00BB54D3">
        <w:t>Copying documents—reasonable compensation</w:t>
      </w:r>
    </w:p>
    <w:p w:rsidR="001843A1" w:rsidRPr="00BB54D3" w:rsidRDefault="001843A1" w:rsidP="00BB54D3">
      <w:pPr>
        <w:pStyle w:val="subsection"/>
      </w:pPr>
      <w:r w:rsidRPr="00BB54D3">
        <w:tab/>
        <w:t>(</w:t>
      </w:r>
      <w:r w:rsidR="007A7E12" w:rsidRPr="00BB54D3">
        <w:t>8</w:t>
      </w:r>
      <w:r w:rsidRPr="00BB54D3">
        <w:t>)</w:t>
      </w:r>
      <w:r w:rsidRPr="00BB54D3">
        <w:tab/>
        <w:t xml:space="preserve">A carrier, carriage service provider or carriage service intermediary is entitled to be paid by the Commonwealth reasonable compensation for complying with a requirement covered by </w:t>
      </w:r>
      <w:r w:rsidR="00BB54D3" w:rsidRPr="00BB54D3">
        <w:t>paragraph (</w:t>
      </w:r>
      <w:r w:rsidRPr="00BB54D3">
        <w:t>2)(c)</w:t>
      </w:r>
      <w:r w:rsidR="00FD571F" w:rsidRPr="00BB54D3">
        <w:t>.</w:t>
      </w:r>
    </w:p>
    <w:p w:rsidR="001D1671" w:rsidRPr="00BB54D3" w:rsidRDefault="001D1671" w:rsidP="00BB54D3">
      <w:pPr>
        <w:pStyle w:val="ActHead5"/>
      </w:pPr>
      <w:bookmarkStart w:id="26" w:name="_Toc493599483"/>
      <w:r w:rsidRPr="00BB54D3">
        <w:rPr>
          <w:rStyle w:val="CharSectno"/>
        </w:rPr>
        <w:t>315D</w:t>
      </w:r>
      <w:r w:rsidRPr="00BB54D3">
        <w:t xml:space="preserve">  Self</w:t>
      </w:r>
      <w:r w:rsidR="00772E5E">
        <w:noBreakHyphen/>
      </w:r>
      <w:r w:rsidRPr="00BB54D3">
        <w:t>incrimination</w:t>
      </w:r>
      <w:bookmarkEnd w:id="26"/>
    </w:p>
    <w:p w:rsidR="001D1671" w:rsidRPr="00BB54D3" w:rsidRDefault="001D1671" w:rsidP="00BB54D3">
      <w:pPr>
        <w:pStyle w:val="subsection"/>
      </w:pPr>
      <w:r w:rsidRPr="00BB54D3">
        <w:tab/>
        <w:t>(1)</w:t>
      </w:r>
      <w:r w:rsidRPr="00BB54D3">
        <w:tab/>
        <w:t xml:space="preserve">A person is not excused from giving information or producing a document </w:t>
      </w:r>
      <w:r w:rsidR="00C737A6" w:rsidRPr="00BB54D3">
        <w:t xml:space="preserve">or a copy of a document </w:t>
      </w:r>
      <w:r w:rsidRPr="00BB54D3">
        <w:t>under section</w:t>
      </w:r>
      <w:r w:rsidR="00BB54D3" w:rsidRPr="00BB54D3">
        <w:t> </w:t>
      </w:r>
      <w:r w:rsidRPr="00BB54D3">
        <w:t xml:space="preserve">315C on the ground that the information or the production of the document </w:t>
      </w:r>
      <w:r w:rsidR="00C737A6" w:rsidRPr="00BB54D3">
        <w:t xml:space="preserve">or copy </w:t>
      </w:r>
      <w:r w:rsidRPr="00BB54D3">
        <w:t>might tend to incriminate the person or expose the person to a penalty.</w:t>
      </w:r>
    </w:p>
    <w:p w:rsidR="001D1671" w:rsidRPr="00BB54D3" w:rsidRDefault="001D1671" w:rsidP="00BB54D3">
      <w:pPr>
        <w:pStyle w:val="subsection"/>
      </w:pPr>
      <w:r w:rsidRPr="00BB54D3">
        <w:tab/>
        <w:t>(2)</w:t>
      </w:r>
      <w:r w:rsidRPr="00BB54D3">
        <w:tab/>
        <w:t>However, in the case of an individual:</w:t>
      </w:r>
    </w:p>
    <w:p w:rsidR="001D1671" w:rsidRPr="00BB54D3" w:rsidRDefault="001D1671" w:rsidP="00BB54D3">
      <w:pPr>
        <w:pStyle w:val="paragraph"/>
      </w:pPr>
      <w:r w:rsidRPr="00BB54D3">
        <w:tab/>
        <w:t>(a)</w:t>
      </w:r>
      <w:r w:rsidRPr="00BB54D3">
        <w:tab/>
        <w:t xml:space="preserve">the information given or the document </w:t>
      </w:r>
      <w:r w:rsidR="00C737A6" w:rsidRPr="00BB54D3">
        <w:t xml:space="preserve">or copy </w:t>
      </w:r>
      <w:r w:rsidRPr="00BB54D3">
        <w:t>produced; or</w:t>
      </w:r>
    </w:p>
    <w:p w:rsidR="001D1671" w:rsidRPr="00BB54D3" w:rsidRDefault="001D1671" w:rsidP="00BB54D3">
      <w:pPr>
        <w:pStyle w:val="paragraph"/>
      </w:pPr>
      <w:r w:rsidRPr="00BB54D3">
        <w:tab/>
        <w:t>(b)</w:t>
      </w:r>
      <w:r w:rsidRPr="00BB54D3">
        <w:tab/>
        <w:t>giving the information or producing the document</w:t>
      </w:r>
      <w:r w:rsidR="00C737A6" w:rsidRPr="00BB54D3">
        <w:t xml:space="preserve"> or copy</w:t>
      </w:r>
      <w:r w:rsidRPr="00BB54D3">
        <w:t>; or</w:t>
      </w:r>
    </w:p>
    <w:p w:rsidR="001D1671" w:rsidRPr="00BB54D3" w:rsidRDefault="001D1671" w:rsidP="00BB54D3">
      <w:pPr>
        <w:pStyle w:val="paragraph"/>
      </w:pPr>
      <w:r w:rsidRPr="00BB54D3">
        <w:tab/>
        <w:t>(c)</w:t>
      </w:r>
      <w:r w:rsidRPr="00BB54D3">
        <w:tab/>
        <w:t>any information, document or thing obtained as a direct or indirect consequence of giving the information or producing the document</w:t>
      </w:r>
      <w:r w:rsidR="00C737A6" w:rsidRPr="00BB54D3">
        <w:t xml:space="preserve"> or copy</w:t>
      </w:r>
      <w:r w:rsidRPr="00BB54D3">
        <w:t>;</w:t>
      </w:r>
    </w:p>
    <w:p w:rsidR="001D1671" w:rsidRPr="00BB54D3" w:rsidRDefault="001D1671" w:rsidP="00BB54D3">
      <w:pPr>
        <w:pStyle w:val="subsection2"/>
      </w:pPr>
      <w:r w:rsidRPr="00BB54D3">
        <w:t>is not admissible in evidence against the individual:</w:t>
      </w:r>
    </w:p>
    <w:p w:rsidR="001D1671" w:rsidRPr="00BB54D3" w:rsidRDefault="001D1671" w:rsidP="00BB54D3">
      <w:pPr>
        <w:pStyle w:val="paragraph"/>
      </w:pPr>
      <w:r w:rsidRPr="00BB54D3">
        <w:tab/>
        <w:t>(d)</w:t>
      </w:r>
      <w:r w:rsidRPr="00BB54D3">
        <w:tab/>
        <w:t>in criminal proceedings other than proceedings for an offence against section</w:t>
      </w:r>
      <w:r w:rsidR="00BB54D3" w:rsidRPr="00BB54D3">
        <w:t> </w:t>
      </w:r>
      <w:r w:rsidRPr="00BB54D3">
        <w:t xml:space="preserve">137.1 or 137.2 of the </w:t>
      </w:r>
      <w:r w:rsidRPr="00BB54D3">
        <w:rPr>
          <w:i/>
        </w:rPr>
        <w:t>Criminal Code</w:t>
      </w:r>
      <w:r w:rsidRPr="00BB54D3">
        <w:t xml:space="preserve"> that relates to this </w:t>
      </w:r>
      <w:r w:rsidR="002C4276" w:rsidRPr="00BB54D3">
        <w:t>Division</w:t>
      </w:r>
      <w:r w:rsidRPr="00BB54D3">
        <w:t>; or</w:t>
      </w:r>
    </w:p>
    <w:p w:rsidR="001D1671" w:rsidRPr="00BB54D3" w:rsidRDefault="001D1671" w:rsidP="00BB54D3">
      <w:pPr>
        <w:pStyle w:val="paragraph"/>
      </w:pPr>
      <w:r w:rsidRPr="00BB54D3">
        <w:tab/>
        <w:t>(e)</w:t>
      </w:r>
      <w:r w:rsidRPr="00BB54D3">
        <w:tab/>
        <w:t>in civil proceedings other than proceedings under section</w:t>
      </w:r>
      <w:r w:rsidR="00BB54D3" w:rsidRPr="00BB54D3">
        <w:t> </w:t>
      </w:r>
      <w:r w:rsidRPr="00BB54D3">
        <w:t xml:space="preserve">570 for recovery of a penalty in relation to a contravention of </w:t>
      </w:r>
      <w:r w:rsidR="000E4A8D" w:rsidRPr="00BB54D3">
        <w:t>sub</w:t>
      </w:r>
      <w:r w:rsidRPr="00BB54D3">
        <w:t>section</w:t>
      </w:r>
      <w:r w:rsidR="00BB54D3" w:rsidRPr="00BB54D3">
        <w:t> </w:t>
      </w:r>
      <w:r w:rsidRPr="00BB54D3">
        <w:t>315C</w:t>
      </w:r>
      <w:r w:rsidR="000E4A8D" w:rsidRPr="00BB54D3">
        <w:t>(3)</w:t>
      </w:r>
      <w:r w:rsidRPr="00BB54D3">
        <w:t>.</w:t>
      </w:r>
    </w:p>
    <w:p w:rsidR="001D1671" w:rsidRPr="00BB54D3" w:rsidRDefault="001D1671" w:rsidP="00BB54D3">
      <w:pPr>
        <w:pStyle w:val="ActHead5"/>
      </w:pPr>
      <w:bookmarkStart w:id="27" w:name="_Toc493599484"/>
      <w:r w:rsidRPr="00BB54D3">
        <w:rPr>
          <w:rStyle w:val="CharSectno"/>
        </w:rPr>
        <w:t>315E</w:t>
      </w:r>
      <w:r w:rsidRPr="00BB54D3">
        <w:t xml:space="preserve">  Copies of documents</w:t>
      </w:r>
      <w:bookmarkEnd w:id="27"/>
    </w:p>
    <w:p w:rsidR="001D1671" w:rsidRPr="00BB54D3" w:rsidRDefault="001D1671" w:rsidP="00BB54D3">
      <w:pPr>
        <w:pStyle w:val="subsection"/>
      </w:pPr>
      <w:r w:rsidRPr="00BB54D3">
        <w:tab/>
      </w:r>
      <w:r w:rsidR="00C737A6" w:rsidRPr="00BB54D3">
        <w:t>(1)</w:t>
      </w:r>
      <w:r w:rsidRPr="00BB54D3">
        <w:tab/>
        <w:t>The Attorney</w:t>
      </w:r>
      <w:r w:rsidR="00772E5E">
        <w:noBreakHyphen/>
      </w:r>
      <w:r w:rsidRPr="00BB54D3">
        <w:t xml:space="preserve">General’s Secretary may inspect a document </w:t>
      </w:r>
      <w:r w:rsidR="00C737A6" w:rsidRPr="00BB54D3">
        <w:t xml:space="preserve">or copy </w:t>
      </w:r>
      <w:r w:rsidRPr="00BB54D3">
        <w:t>produced under section</w:t>
      </w:r>
      <w:r w:rsidR="00BB54D3" w:rsidRPr="00BB54D3">
        <w:t> </w:t>
      </w:r>
      <w:r w:rsidRPr="00BB54D3">
        <w:t>315C and may make and retain copies of such a document.</w:t>
      </w:r>
    </w:p>
    <w:p w:rsidR="00C737A6" w:rsidRPr="00BB54D3" w:rsidRDefault="00C737A6" w:rsidP="00BB54D3">
      <w:pPr>
        <w:pStyle w:val="subsection"/>
      </w:pPr>
      <w:r w:rsidRPr="00BB54D3">
        <w:tab/>
        <w:t>(2)</w:t>
      </w:r>
      <w:r w:rsidRPr="00BB54D3">
        <w:tab/>
        <w:t>The Attorney</w:t>
      </w:r>
      <w:r w:rsidR="00772E5E">
        <w:noBreakHyphen/>
      </w:r>
      <w:r w:rsidRPr="00BB54D3">
        <w:t>General’s Secretary may retain possession of a copy of a document produced in accordance with a requirement covered by paragraph</w:t>
      </w:r>
      <w:r w:rsidR="00BB54D3" w:rsidRPr="00BB54D3">
        <w:t> </w:t>
      </w:r>
      <w:r w:rsidRPr="00BB54D3">
        <w:t>315C(2)(c).</w:t>
      </w:r>
    </w:p>
    <w:p w:rsidR="001D1671" w:rsidRPr="00BB54D3" w:rsidRDefault="001D1671" w:rsidP="00BB54D3">
      <w:pPr>
        <w:pStyle w:val="ActHead5"/>
      </w:pPr>
      <w:bookmarkStart w:id="28" w:name="_Toc493599485"/>
      <w:r w:rsidRPr="00BB54D3">
        <w:rPr>
          <w:rStyle w:val="CharSectno"/>
        </w:rPr>
        <w:t>315F</w:t>
      </w:r>
      <w:r w:rsidRPr="00BB54D3">
        <w:t xml:space="preserve">  Retention of documents</w:t>
      </w:r>
      <w:bookmarkEnd w:id="28"/>
    </w:p>
    <w:p w:rsidR="001D1671" w:rsidRPr="00BB54D3" w:rsidRDefault="001D1671" w:rsidP="00BB54D3">
      <w:pPr>
        <w:pStyle w:val="subsection"/>
      </w:pPr>
      <w:r w:rsidRPr="00BB54D3">
        <w:tab/>
        <w:t>(1)</w:t>
      </w:r>
      <w:r w:rsidRPr="00BB54D3">
        <w:tab/>
        <w:t>The Attorney</w:t>
      </w:r>
      <w:r w:rsidR="00772E5E">
        <w:noBreakHyphen/>
      </w:r>
      <w:r w:rsidRPr="00BB54D3">
        <w:t>General’s Secretary may take, and retain for as long as is necessary, possession of a document produced under section</w:t>
      </w:r>
      <w:r w:rsidR="00BB54D3" w:rsidRPr="00BB54D3">
        <w:t> </w:t>
      </w:r>
      <w:r w:rsidRPr="00BB54D3">
        <w:t>315C.</w:t>
      </w:r>
    </w:p>
    <w:p w:rsidR="001D1671" w:rsidRPr="00BB54D3" w:rsidRDefault="001D1671" w:rsidP="00BB54D3">
      <w:pPr>
        <w:pStyle w:val="subsection"/>
      </w:pPr>
      <w:r w:rsidRPr="00BB54D3">
        <w:tab/>
        <w:t>(2)</w:t>
      </w:r>
      <w:r w:rsidRPr="00BB54D3">
        <w:tab/>
        <w:t>The person otherwise entitled to possession of the document is entitled to be supplied, as soon as practicable, with a copy certified by the Attorney</w:t>
      </w:r>
      <w:r w:rsidR="00772E5E">
        <w:noBreakHyphen/>
      </w:r>
      <w:r w:rsidRPr="00BB54D3">
        <w:t>General’s Secretary to be a true copy.</w:t>
      </w:r>
    </w:p>
    <w:p w:rsidR="001D1671" w:rsidRPr="00BB54D3" w:rsidRDefault="001D1671" w:rsidP="00BB54D3">
      <w:pPr>
        <w:pStyle w:val="subsection"/>
      </w:pPr>
      <w:r w:rsidRPr="00BB54D3">
        <w:tab/>
        <w:t>(3)</w:t>
      </w:r>
      <w:r w:rsidRPr="00BB54D3">
        <w:tab/>
        <w:t>The certified copy must be received in all courts and tribunals as evidence as if it were the original.</w:t>
      </w:r>
    </w:p>
    <w:p w:rsidR="001D1671" w:rsidRPr="00BB54D3" w:rsidRDefault="001D1671" w:rsidP="00BB54D3">
      <w:pPr>
        <w:pStyle w:val="subsection"/>
      </w:pPr>
      <w:r w:rsidRPr="00BB54D3">
        <w:tab/>
        <w:t>(4)</w:t>
      </w:r>
      <w:r w:rsidRPr="00BB54D3">
        <w:tab/>
        <w:t>Until a certified copy is supplied, the Attorney</w:t>
      </w:r>
      <w:r w:rsidR="00772E5E">
        <w:noBreakHyphen/>
      </w:r>
      <w:r w:rsidRPr="00BB54D3">
        <w:t>General’s Secretary must, at such times and places as he or she thinks appropriate, permit the person otherwise entitled to possession of the document, or a person authorised by that person, to inspect and make copies of the document.</w:t>
      </w:r>
    </w:p>
    <w:p w:rsidR="001D1671" w:rsidRPr="00BB54D3" w:rsidRDefault="001D1671" w:rsidP="00BB54D3">
      <w:pPr>
        <w:pStyle w:val="ActHead5"/>
      </w:pPr>
      <w:bookmarkStart w:id="29" w:name="_Toc493599486"/>
      <w:r w:rsidRPr="00BB54D3">
        <w:rPr>
          <w:rStyle w:val="CharSectno"/>
        </w:rPr>
        <w:t>315G</w:t>
      </w:r>
      <w:r w:rsidRPr="00BB54D3">
        <w:t xml:space="preserve">  Delegation by Attorney</w:t>
      </w:r>
      <w:r w:rsidR="00772E5E">
        <w:noBreakHyphen/>
      </w:r>
      <w:r w:rsidRPr="00BB54D3">
        <w:t>General’s Secretary</w:t>
      </w:r>
      <w:bookmarkEnd w:id="29"/>
    </w:p>
    <w:p w:rsidR="00191634" w:rsidRPr="00BB54D3" w:rsidRDefault="001D1671" w:rsidP="00BB54D3">
      <w:pPr>
        <w:pStyle w:val="subsection"/>
      </w:pPr>
      <w:r w:rsidRPr="00BB54D3">
        <w:tab/>
        <w:t>(1)</w:t>
      </w:r>
      <w:r w:rsidRPr="00BB54D3">
        <w:tab/>
        <w:t>The Attorney</w:t>
      </w:r>
      <w:r w:rsidR="00772E5E">
        <w:noBreakHyphen/>
      </w:r>
      <w:r w:rsidRPr="00BB54D3">
        <w:t>General’s Secretary may, in writing, delegate any or all of his or her powers and functions under sections</w:t>
      </w:r>
      <w:r w:rsidR="00BB54D3" w:rsidRPr="00BB54D3">
        <w:t> </w:t>
      </w:r>
      <w:r w:rsidRPr="00BB54D3">
        <w:t>315C, 315E and 315F to</w:t>
      </w:r>
      <w:r w:rsidR="0001161F" w:rsidRPr="00BB54D3">
        <w:t xml:space="preserve"> the Director</w:t>
      </w:r>
      <w:r w:rsidR="00772E5E">
        <w:noBreakHyphen/>
      </w:r>
      <w:r w:rsidR="0001161F" w:rsidRPr="00BB54D3">
        <w:t>General of Security.</w:t>
      </w:r>
    </w:p>
    <w:p w:rsidR="001D1671" w:rsidRPr="00BB54D3" w:rsidRDefault="001D1671" w:rsidP="00BB54D3">
      <w:pPr>
        <w:pStyle w:val="subsection"/>
      </w:pPr>
      <w:r w:rsidRPr="00BB54D3">
        <w:tab/>
        <w:t>(2)</w:t>
      </w:r>
      <w:r w:rsidRPr="00BB54D3">
        <w:tab/>
      </w:r>
      <w:r w:rsidR="0001161F" w:rsidRPr="00BB54D3">
        <w:t>In</w:t>
      </w:r>
      <w:r w:rsidRPr="00BB54D3">
        <w:t xml:space="preserve"> exercising a power or performing a function under a delegation under </w:t>
      </w:r>
      <w:r w:rsidR="00BB54D3" w:rsidRPr="00BB54D3">
        <w:t>subsection (</w:t>
      </w:r>
      <w:r w:rsidRPr="00BB54D3">
        <w:t>1)</w:t>
      </w:r>
      <w:r w:rsidR="0001161F" w:rsidRPr="00BB54D3">
        <w:t>, the</w:t>
      </w:r>
      <w:r w:rsidRPr="00BB54D3">
        <w:t xml:space="preserve"> </w:t>
      </w:r>
      <w:r w:rsidR="0001161F" w:rsidRPr="00BB54D3">
        <w:t>Director</w:t>
      </w:r>
      <w:r w:rsidR="00772E5E">
        <w:noBreakHyphen/>
      </w:r>
      <w:r w:rsidR="0001161F" w:rsidRPr="00BB54D3">
        <w:t xml:space="preserve">General of Security </w:t>
      </w:r>
      <w:r w:rsidRPr="00BB54D3">
        <w:t>must comply with any directions of the Attorney</w:t>
      </w:r>
      <w:r w:rsidR="00772E5E">
        <w:noBreakHyphen/>
      </w:r>
      <w:r w:rsidRPr="00BB54D3">
        <w:t>General’s Secretary.</w:t>
      </w:r>
    </w:p>
    <w:p w:rsidR="003F69BB" w:rsidRPr="00BB54D3" w:rsidRDefault="003F69BB" w:rsidP="00BB54D3">
      <w:pPr>
        <w:pStyle w:val="ActHead3"/>
      </w:pPr>
      <w:bookmarkStart w:id="30" w:name="_Toc493599487"/>
      <w:r w:rsidRPr="00BB54D3">
        <w:rPr>
          <w:rStyle w:val="CharDivNo"/>
        </w:rPr>
        <w:t>Division</w:t>
      </w:r>
      <w:r w:rsidR="00BB54D3" w:rsidRPr="00BB54D3">
        <w:rPr>
          <w:rStyle w:val="CharDivNo"/>
        </w:rPr>
        <w:t> </w:t>
      </w:r>
      <w:r w:rsidRPr="00BB54D3">
        <w:rPr>
          <w:rStyle w:val="CharDivNo"/>
        </w:rPr>
        <w:t>7</w:t>
      </w:r>
      <w:r w:rsidRPr="00BB54D3">
        <w:t>—</w:t>
      </w:r>
      <w:r w:rsidRPr="00BB54D3">
        <w:rPr>
          <w:rStyle w:val="CharDivText"/>
        </w:rPr>
        <w:t>Information sharing and confidentiality</w:t>
      </w:r>
      <w:bookmarkEnd w:id="30"/>
    </w:p>
    <w:p w:rsidR="001D1671" w:rsidRPr="00BB54D3" w:rsidRDefault="001D1671" w:rsidP="00BB54D3">
      <w:pPr>
        <w:pStyle w:val="ActHead5"/>
      </w:pPr>
      <w:bookmarkStart w:id="31" w:name="_Toc493599488"/>
      <w:r w:rsidRPr="00BB54D3">
        <w:rPr>
          <w:rStyle w:val="CharSectno"/>
        </w:rPr>
        <w:t>315H</w:t>
      </w:r>
      <w:r w:rsidRPr="00BB54D3">
        <w:t xml:space="preserve">  Information sharing</w:t>
      </w:r>
      <w:r w:rsidR="003F69BB" w:rsidRPr="00BB54D3">
        <w:t xml:space="preserve"> and confidentiality</w:t>
      </w:r>
      <w:bookmarkEnd w:id="31"/>
    </w:p>
    <w:p w:rsidR="001D1671" w:rsidRPr="00BB54D3" w:rsidRDefault="001D1671" w:rsidP="00BB54D3">
      <w:pPr>
        <w:pStyle w:val="subsection"/>
      </w:pPr>
      <w:r w:rsidRPr="00BB54D3">
        <w:tab/>
      </w:r>
      <w:r w:rsidR="007561AA" w:rsidRPr="00BB54D3">
        <w:t>(1)</w:t>
      </w:r>
      <w:r w:rsidRPr="00BB54D3">
        <w:tab/>
        <w:t>A person who obtains information or a document</w:t>
      </w:r>
      <w:r w:rsidR="005C0E02" w:rsidRPr="00BB54D3">
        <w:t xml:space="preserve"> </w:t>
      </w:r>
      <w:r w:rsidRPr="00BB54D3">
        <w:t>under section</w:t>
      </w:r>
      <w:r w:rsidR="00BB54D3" w:rsidRPr="00BB54D3">
        <w:t> </w:t>
      </w:r>
      <w:r w:rsidR="00462CD3" w:rsidRPr="00BB54D3">
        <w:t xml:space="preserve">314A, 314B, 314C, 314D, </w:t>
      </w:r>
      <w:r w:rsidRPr="00BB54D3">
        <w:t xml:space="preserve">315C </w:t>
      </w:r>
      <w:r w:rsidR="00BE69E6" w:rsidRPr="00BB54D3">
        <w:t xml:space="preserve">or this </w:t>
      </w:r>
      <w:r w:rsidR="005C0E02" w:rsidRPr="00BB54D3">
        <w:t>sub</w:t>
      </w:r>
      <w:r w:rsidR="00BE69E6" w:rsidRPr="00BB54D3">
        <w:t xml:space="preserve">section </w:t>
      </w:r>
      <w:r w:rsidRPr="00BB54D3">
        <w:t>may disclose any of that information, or provide the document (or a copy</w:t>
      </w:r>
      <w:r w:rsidR="00260CD6" w:rsidRPr="00BB54D3">
        <w:t xml:space="preserve"> of it</w:t>
      </w:r>
      <w:r w:rsidRPr="00BB54D3">
        <w:t xml:space="preserve">), to </w:t>
      </w:r>
      <w:r w:rsidR="007561AA" w:rsidRPr="00BB54D3">
        <w:t xml:space="preserve">another person </w:t>
      </w:r>
      <w:r w:rsidRPr="00BB54D3">
        <w:t xml:space="preserve">for </w:t>
      </w:r>
      <w:r w:rsidR="007561AA" w:rsidRPr="00BB54D3">
        <w:t xml:space="preserve">either or both </w:t>
      </w:r>
      <w:r w:rsidR="00D80C91" w:rsidRPr="00BB54D3">
        <w:t xml:space="preserve">of </w:t>
      </w:r>
      <w:r w:rsidRPr="00BB54D3">
        <w:t>the following purposes:</w:t>
      </w:r>
    </w:p>
    <w:p w:rsidR="001D1671" w:rsidRPr="00BB54D3" w:rsidRDefault="0046181F" w:rsidP="00BB54D3">
      <w:pPr>
        <w:pStyle w:val="paragraph"/>
      </w:pPr>
      <w:r w:rsidRPr="00BB54D3">
        <w:tab/>
        <w:t>(</w:t>
      </w:r>
      <w:r w:rsidR="007561AA" w:rsidRPr="00BB54D3">
        <w:t>a</w:t>
      </w:r>
      <w:r w:rsidRPr="00BB54D3">
        <w:t>)</w:t>
      </w:r>
      <w:r w:rsidRPr="00BB54D3">
        <w:tab/>
      </w:r>
      <w:r w:rsidR="00562FE8" w:rsidRPr="00BB54D3">
        <w:t xml:space="preserve">the </w:t>
      </w:r>
      <w:r w:rsidR="001D1671" w:rsidRPr="00BB54D3">
        <w:t>assessment of the risk of unauthorised interference with, or unauthorised access to, telecommunications networks or facilities</w:t>
      </w:r>
      <w:r w:rsidR="007561AA" w:rsidRPr="00BB54D3">
        <w:t xml:space="preserve"> and, if there is such a risk, </w:t>
      </w:r>
      <w:r w:rsidR="00562FE8" w:rsidRPr="00BB54D3">
        <w:t xml:space="preserve">the </w:t>
      </w:r>
      <w:r w:rsidR="007561AA" w:rsidRPr="00BB54D3">
        <w:t>assessment of the risk to security</w:t>
      </w:r>
      <w:r w:rsidR="001D1671" w:rsidRPr="00BB54D3">
        <w:t>;</w:t>
      </w:r>
    </w:p>
    <w:p w:rsidR="001D1671" w:rsidRPr="00BB54D3" w:rsidRDefault="0046181F" w:rsidP="00BB54D3">
      <w:pPr>
        <w:pStyle w:val="paragraph"/>
      </w:pPr>
      <w:r w:rsidRPr="00BB54D3">
        <w:tab/>
        <w:t>(</w:t>
      </w:r>
      <w:r w:rsidR="007561AA" w:rsidRPr="00BB54D3">
        <w:t>b</w:t>
      </w:r>
      <w:r w:rsidRPr="00BB54D3">
        <w:t>)</w:t>
      </w:r>
      <w:r w:rsidRPr="00BB54D3">
        <w:tab/>
      </w:r>
      <w:r w:rsidR="00562FE8" w:rsidRPr="00BB54D3">
        <w:t xml:space="preserve">the </w:t>
      </w:r>
      <w:r w:rsidR="007561AA" w:rsidRPr="00BB54D3">
        <w:t>purposes of security</w:t>
      </w:r>
      <w:r w:rsidR="001D1671" w:rsidRPr="00BB54D3">
        <w:t>.</w:t>
      </w:r>
    </w:p>
    <w:p w:rsidR="00BB54D3" w:rsidRPr="00BB54D3" w:rsidRDefault="00BB54D3" w:rsidP="00BB54D3">
      <w:pPr>
        <w:pStyle w:val="notetext"/>
      </w:pPr>
      <w:r w:rsidRPr="00BB54D3">
        <w:t>Note:</w:t>
      </w:r>
      <w:r w:rsidRPr="00BB54D3">
        <w:tab/>
        <w:t xml:space="preserve">The </w:t>
      </w:r>
      <w:r w:rsidRPr="00BB54D3">
        <w:rPr>
          <w:i/>
        </w:rPr>
        <w:t>Privacy Act 1988</w:t>
      </w:r>
      <w:r w:rsidRPr="00BB54D3">
        <w:t xml:space="preserve"> applies to the disclosure of personal information.</w:t>
      </w:r>
    </w:p>
    <w:p w:rsidR="003B157E" w:rsidRPr="00BB54D3" w:rsidRDefault="00E221EB" w:rsidP="00BB54D3">
      <w:pPr>
        <w:pStyle w:val="SubsectionHead"/>
      </w:pPr>
      <w:r w:rsidRPr="00BB54D3">
        <w:t>Limitation</w:t>
      </w:r>
    </w:p>
    <w:p w:rsidR="0097103E" w:rsidRPr="00BB54D3" w:rsidRDefault="0097103E" w:rsidP="00BB54D3">
      <w:pPr>
        <w:pStyle w:val="subsection"/>
      </w:pPr>
      <w:r w:rsidRPr="00BB54D3">
        <w:tab/>
        <w:t>(2)</w:t>
      </w:r>
      <w:r w:rsidRPr="00BB54D3">
        <w:tab/>
        <w:t xml:space="preserve">However, </w:t>
      </w:r>
      <w:r w:rsidR="00F3209B" w:rsidRPr="00BB54D3">
        <w:t xml:space="preserve">if a person obtains information or a document under </w:t>
      </w:r>
      <w:r w:rsidR="00462CD3" w:rsidRPr="00BB54D3">
        <w:t>section</w:t>
      </w:r>
      <w:r w:rsidR="00BB54D3" w:rsidRPr="00BB54D3">
        <w:t> </w:t>
      </w:r>
      <w:r w:rsidR="00462CD3" w:rsidRPr="00BB54D3">
        <w:t>314A, 314B, 314C, 314D, 315C</w:t>
      </w:r>
      <w:r w:rsidR="00F3209B" w:rsidRPr="00BB54D3">
        <w:t xml:space="preserve"> or </w:t>
      </w:r>
      <w:r w:rsidR="00BB54D3" w:rsidRPr="00BB54D3">
        <w:t>subsection (</w:t>
      </w:r>
      <w:r w:rsidR="00F3209B" w:rsidRPr="00BB54D3">
        <w:t xml:space="preserve">1) of this section, </w:t>
      </w:r>
      <w:r w:rsidRPr="00BB54D3">
        <w:t>the person must not disclose any of that information, or provide the document (or a copy of it), to a person who is not a Commonwealth officer</w:t>
      </w:r>
      <w:r w:rsidR="004B3A8A" w:rsidRPr="00BB54D3">
        <w:t>,</w:t>
      </w:r>
      <w:r w:rsidRPr="00BB54D3">
        <w:t xml:space="preserve"> to the extent that the information</w:t>
      </w:r>
      <w:r w:rsidR="00F3209B" w:rsidRPr="00BB54D3">
        <w:t xml:space="preserve"> is identifying information</w:t>
      </w:r>
      <w:r w:rsidRPr="00BB54D3">
        <w:t xml:space="preserve"> or </w:t>
      </w:r>
      <w:r w:rsidR="00F3209B" w:rsidRPr="00BB54D3">
        <w:t xml:space="preserve">that </w:t>
      </w:r>
      <w:r w:rsidRPr="00BB54D3">
        <w:t xml:space="preserve">the document (or a copy of it) contains </w:t>
      </w:r>
      <w:r w:rsidR="00F3209B" w:rsidRPr="00BB54D3">
        <w:t>identifying information.</w:t>
      </w:r>
    </w:p>
    <w:p w:rsidR="0001161F" w:rsidRPr="00BB54D3" w:rsidRDefault="0001161F" w:rsidP="00BB54D3">
      <w:pPr>
        <w:pStyle w:val="SubsectionHead"/>
      </w:pPr>
      <w:r w:rsidRPr="00BB54D3">
        <w:t>Confidentiality</w:t>
      </w:r>
    </w:p>
    <w:p w:rsidR="007E60AD" w:rsidRPr="00BB54D3" w:rsidRDefault="0001161F" w:rsidP="00BB54D3">
      <w:pPr>
        <w:pStyle w:val="subsection"/>
      </w:pPr>
      <w:r w:rsidRPr="00BB54D3">
        <w:tab/>
        <w:t>(</w:t>
      </w:r>
      <w:r w:rsidR="004B3A8A" w:rsidRPr="00BB54D3">
        <w:t>3</w:t>
      </w:r>
      <w:r w:rsidR="007E60AD" w:rsidRPr="00BB54D3">
        <w:t>)</w:t>
      </w:r>
      <w:r w:rsidR="007E60AD" w:rsidRPr="00BB54D3">
        <w:tab/>
      </w:r>
      <w:r w:rsidR="00AC012E" w:rsidRPr="00BB54D3">
        <w:t>Subject to this section, a</w:t>
      </w:r>
      <w:r w:rsidR="007E60AD" w:rsidRPr="00BB54D3">
        <w:t xml:space="preserve"> person who obtains information or a document under </w:t>
      </w:r>
      <w:r w:rsidR="00462CD3" w:rsidRPr="00BB54D3">
        <w:t>section</w:t>
      </w:r>
      <w:r w:rsidR="00BB54D3" w:rsidRPr="00BB54D3">
        <w:t> </w:t>
      </w:r>
      <w:r w:rsidR="00462CD3" w:rsidRPr="00BB54D3">
        <w:t>314A, 314B, 314C, 314D, 315C</w:t>
      </w:r>
      <w:r w:rsidR="007E60AD" w:rsidRPr="00BB54D3">
        <w:t xml:space="preserve"> or this section must treat the information or document as confidential</w:t>
      </w:r>
      <w:r w:rsidR="00D95DFB" w:rsidRPr="00BB54D3">
        <w:t>.</w:t>
      </w:r>
    </w:p>
    <w:p w:rsidR="00E05204" w:rsidRPr="00BB54D3" w:rsidRDefault="00E05204" w:rsidP="00BB54D3">
      <w:pPr>
        <w:pStyle w:val="SubsectionHead"/>
      </w:pPr>
      <w:r w:rsidRPr="00BB54D3">
        <w:t>Definition</w:t>
      </w:r>
      <w:r w:rsidR="00D95DFB" w:rsidRPr="00BB54D3">
        <w:t>s</w:t>
      </w:r>
    </w:p>
    <w:p w:rsidR="00E05204" w:rsidRPr="00BB54D3" w:rsidRDefault="00E05204" w:rsidP="00BB54D3">
      <w:pPr>
        <w:pStyle w:val="subsection"/>
      </w:pPr>
      <w:r w:rsidRPr="00BB54D3">
        <w:tab/>
        <w:t>(</w:t>
      </w:r>
      <w:r w:rsidR="004B3A8A" w:rsidRPr="00BB54D3">
        <w:t>4</w:t>
      </w:r>
      <w:r w:rsidRPr="00BB54D3">
        <w:t>)</w:t>
      </w:r>
      <w:r w:rsidRPr="00BB54D3">
        <w:tab/>
        <w:t>In this sectio</w:t>
      </w:r>
      <w:r w:rsidR="00462CD3" w:rsidRPr="00BB54D3">
        <w:t>n</w:t>
      </w:r>
      <w:r w:rsidRPr="00BB54D3">
        <w:t>:</w:t>
      </w:r>
    </w:p>
    <w:p w:rsidR="00D95DFB" w:rsidRPr="00BB54D3" w:rsidRDefault="00D95DFB" w:rsidP="00BB54D3">
      <w:pPr>
        <w:pStyle w:val="Definition"/>
      </w:pPr>
      <w:r w:rsidRPr="00BB54D3">
        <w:rPr>
          <w:b/>
          <w:i/>
        </w:rPr>
        <w:t xml:space="preserve">Commonwealth officer </w:t>
      </w:r>
      <w:r w:rsidRPr="00BB54D3">
        <w:t>means:</w:t>
      </w:r>
    </w:p>
    <w:p w:rsidR="00D95DFB" w:rsidRPr="00BB54D3" w:rsidRDefault="00D95DFB" w:rsidP="00BB54D3">
      <w:pPr>
        <w:pStyle w:val="paragraph"/>
      </w:pPr>
      <w:r w:rsidRPr="00BB54D3">
        <w:tab/>
        <w:t>(a)</w:t>
      </w:r>
      <w:r w:rsidRPr="00BB54D3">
        <w:tab/>
        <w:t>a person who is in the employment of the Commonwealth, other than a person who is engaged outside Australia to perform duties outside Australia as an employee; or</w:t>
      </w:r>
    </w:p>
    <w:p w:rsidR="00D95DFB" w:rsidRPr="00BB54D3" w:rsidRDefault="00D95DFB" w:rsidP="00BB54D3">
      <w:pPr>
        <w:pStyle w:val="paragraph"/>
      </w:pPr>
      <w:r w:rsidRPr="00BB54D3">
        <w:tab/>
        <w:t>(b)</w:t>
      </w:r>
      <w:r w:rsidRPr="00BB54D3">
        <w:tab/>
        <w:t>a person who holds or performs the duties of any office or position established by or under a law of the Commonwealth; or</w:t>
      </w:r>
    </w:p>
    <w:p w:rsidR="00D95DFB" w:rsidRPr="00BB54D3" w:rsidRDefault="00D95DFB" w:rsidP="00BB54D3">
      <w:pPr>
        <w:pStyle w:val="paragraph"/>
      </w:pPr>
      <w:r w:rsidRPr="00BB54D3">
        <w:tab/>
        <w:t>(c)</w:t>
      </w:r>
      <w:r w:rsidRPr="00BB54D3">
        <w:tab/>
        <w:t>a member of the Australian Defence Force; or</w:t>
      </w:r>
    </w:p>
    <w:p w:rsidR="00D95DFB" w:rsidRPr="00BB54D3" w:rsidRDefault="00D95DFB" w:rsidP="00BB54D3">
      <w:pPr>
        <w:pStyle w:val="paragraph"/>
      </w:pPr>
      <w:r w:rsidRPr="00BB54D3">
        <w:tab/>
        <w:t>(d)</w:t>
      </w:r>
      <w:r w:rsidRPr="00BB54D3">
        <w:tab/>
        <w:t xml:space="preserve">the Commissioner of the Australian Federal Police, a Deputy Commissioner of the Australian Federal Police, an AFP employee, a special member or a special protective service officer (all within the meaning of the </w:t>
      </w:r>
      <w:r w:rsidRPr="00BB54D3">
        <w:rPr>
          <w:i/>
        </w:rPr>
        <w:t>Australian Federal Police Act 1979</w:t>
      </w:r>
      <w:r w:rsidRPr="00BB54D3">
        <w:t>).</w:t>
      </w:r>
    </w:p>
    <w:p w:rsidR="00B04573" w:rsidRPr="00BB54D3" w:rsidRDefault="00B04573" w:rsidP="00BB54D3">
      <w:pPr>
        <w:pStyle w:val="notetext"/>
      </w:pPr>
      <w:r w:rsidRPr="00BB54D3">
        <w:t>Note:</w:t>
      </w:r>
      <w:r w:rsidRPr="00BB54D3">
        <w:tab/>
      </w:r>
      <w:r w:rsidR="00BB54D3" w:rsidRPr="00BB54D3">
        <w:t>Paragraph (</w:t>
      </w:r>
      <w:r w:rsidRPr="00BB54D3">
        <w:t>a) of this definition covers, for example, persons employed by the Director</w:t>
      </w:r>
      <w:r w:rsidR="00772E5E">
        <w:noBreakHyphen/>
      </w:r>
      <w:r w:rsidRPr="00BB54D3">
        <w:t>General of Security, on behalf of the Commonwealth, under subsection</w:t>
      </w:r>
      <w:r w:rsidR="00BB54D3" w:rsidRPr="00BB54D3">
        <w:t> </w:t>
      </w:r>
      <w:r w:rsidRPr="00BB54D3">
        <w:t xml:space="preserve">84(1) of the </w:t>
      </w:r>
      <w:r w:rsidRPr="00BB54D3">
        <w:rPr>
          <w:i/>
        </w:rPr>
        <w:t>Australian Security Intelligence Organisation Act 1979</w:t>
      </w:r>
      <w:r w:rsidRPr="00BB54D3">
        <w:t>.</w:t>
      </w:r>
    </w:p>
    <w:p w:rsidR="00F3209B" w:rsidRPr="00BB54D3" w:rsidRDefault="00F3209B" w:rsidP="00BB54D3">
      <w:pPr>
        <w:pStyle w:val="Definition"/>
      </w:pPr>
      <w:r w:rsidRPr="00BB54D3">
        <w:rPr>
          <w:b/>
          <w:i/>
        </w:rPr>
        <w:t>identifying information</w:t>
      </w:r>
      <w:r w:rsidRPr="00BB54D3">
        <w:t xml:space="preserve"> means information that identifies the carrier, carriage service provider or carriage service intermediary concerned.</w:t>
      </w:r>
    </w:p>
    <w:p w:rsidR="00E05204" w:rsidRPr="00BB54D3" w:rsidRDefault="00E05204" w:rsidP="00BB54D3">
      <w:pPr>
        <w:pStyle w:val="Definition"/>
      </w:pPr>
      <w:r w:rsidRPr="00BB54D3">
        <w:rPr>
          <w:b/>
          <w:i/>
        </w:rPr>
        <w:t>security</w:t>
      </w:r>
      <w:r w:rsidRPr="00BB54D3">
        <w:t xml:space="preserve"> has the same meaning as in the </w:t>
      </w:r>
      <w:r w:rsidRPr="00BB54D3">
        <w:rPr>
          <w:i/>
        </w:rPr>
        <w:t>Australian Security Intelligence Organisation Act 1979</w:t>
      </w:r>
      <w:r w:rsidRPr="00BB54D3">
        <w:t>.</w:t>
      </w:r>
    </w:p>
    <w:p w:rsidR="004E5951" w:rsidRPr="00BB54D3" w:rsidRDefault="004E5951" w:rsidP="00BB54D3">
      <w:pPr>
        <w:pStyle w:val="ActHead3"/>
      </w:pPr>
      <w:bookmarkStart w:id="32" w:name="_Toc493599489"/>
      <w:r w:rsidRPr="00BB54D3">
        <w:rPr>
          <w:rStyle w:val="CharDivNo"/>
        </w:rPr>
        <w:t>Division</w:t>
      </w:r>
      <w:r w:rsidR="00BB54D3" w:rsidRPr="00BB54D3">
        <w:rPr>
          <w:rStyle w:val="CharDivNo"/>
        </w:rPr>
        <w:t> </w:t>
      </w:r>
      <w:r w:rsidRPr="00BB54D3">
        <w:rPr>
          <w:rStyle w:val="CharDivNo"/>
        </w:rPr>
        <w:t>8</w:t>
      </w:r>
      <w:r w:rsidRPr="00BB54D3">
        <w:t>—</w:t>
      </w:r>
      <w:r w:rsidRPr="00BB54D3">
        <w:rPr>
          <w:rStyle w:val="CharDivText"/>
        </w:rPr>
        <w:t>Annual report</w:t>
      </w:r>
      <w:bookmarkEnd w:id="32"/>
    </w:p>
    <w:p w:rsidR="004E5951" w:rsidRPr="00BB54D3" w:rsidRDefault="004E5951" w:rsidP="00BB54D3">
      <w:pPr>
        <w:pStyle w:val="ActHead5"/>
      </w:pPr>
      <w:bookmarkStart w:id="33" w:name="_Toc493599490"/>
      <w:r w:rsidRPr="00BB54D3">
        <w:rPr>
          <w:rStyle w:val="CharSectno"/>
        </w:rPr>
        <w:t>315J</w:t>
      </w:r>
      <w:r w:rsidRPr="00BB54D3">
        <w:t xml:space="preserve">  Annual report</w:t>
      </w:r>
      <w:bookmarkEnd w:id="33"/>
    </w:p>
    <w:p w:rsidR="00CF58A6" w:rsidRPr="00BB54D3" w:rsidRDefault="00CF58A6" w:rsidP="00BB54D3">
      <w:pPr>
        <w:pStyle w:val="subsection"/>
      </w:pPr>
      <w:r w:rsidRPr="00BB54D3">
        <w:tab/>
      </w:r>
      <w:r w:rsidR="0077165D" w:rsidRPr="00BB54D3">
        <w:t>(1)</w:t>
      </w:r>
      <w:r w:rsidR="0077165D" w:rsidRPr="00BB54D3">
        <w:tab/>
        <w:t>The Attorney</w:t>
      </w:r>
      <w:r w:rsidR="00772E5E">
        <w:noBreakHyphen/>
      </w:r>
      <w:r w:rsidR="0077165D" w:rsidRPr="00BB54D3">
        <w:t>General’s Secretary</w:t>
      </w:r>
      <w:r w:rsidR="00DA509A" w:rsidRPr="00BB54D3">
        <w:t xml:space="preserve"> must report each financial year to the Attorney</w:t>
      </w:r>
      <w:r w:rsidR="00772E5E">
        <w:noBreakHyphen/>
      </w:r>
      <w:r w:rsidR="00DA509A" w:rsidRPr="00BB54D3">
        <w:t>General on</w:t>
      </w:r>
      <w:r w:rsidR="004F78A2" w:rsidRPr="00BB54D3">
        <w:t xml:space="preserve"> the operation of this Part, to the </w:t>
      </w:r>
      <w:r w:rsidR="00DA509A" w:rsidRPr="00BB54D3">
        <w:t xml:space="preserve">extent that this Part was amended by the </w:t>
      </w:r>
      <w:r w:rsidR="00DA509A" w:rsidRPr="00BB54D3">
        <w:rPr>
          <w:i/>
        </w:rPr>
        <w:t>Telecommunications and Other Legislation Amendment Act 201</w:t>
      </w:r>
      <w:r w:rsidR="00045F62">
        <w:rPr>
          <w:i/>
        </w:rPr>
        <w:t>7</w:t>
      </w:r>
      <w:r w:rsidR="00DA509A" w:rsidRPr="00BB54D3">
        <w:t>.</w:t>
      </w:r>
    </w:p>
    <w:p w:rsidR="00BB54D3" w:rsidRPr="00BB54D3" w:rsidRDefault="00BB54D3" w:rsidP="00BB54D3">
      <w:pPr>
        <w:pStyle w:val="subsection"/>
      </w:pPr>
      <w:r w:rsidRPr="00BB54D3">
        <w:tab/>
        <w:t>(1A)</w:t>
      </w:r>
      <w:r w:rsidRPr="00BB54D3">
        <w:tab/>
        <w:t>Without limiting subsection (1), a report under that subsection for a financial year must include the following information for that year:</w:t>
      </w:r>
    </w:p>
    <w:p w:rsidR="00BB54D3" w:rsidRPr="00BB54D3" w:rsidRDefault="00BB54D3" w:rsidP="00BB54D3">
      <w:pPr>
        <w:pStyle w:val="paragraph"/>
      </w:pPr>
      <w:r w:rsidRPr="00BB54D3">
        <w:tab/>
        <w:t>(a)</w:t>
      </w:r>
      <w:r w:rsidRPr="00BB54D3">
        <w:tab/>
        <w:t>the number of directions the Attorney</w:t>
      </w:r>
      <w:r w:rsidR="00772E5E">
        <w:noBreakHyphen/>
      </w:r>
      <w:r w:rsidRPr="00BB54D3">
        <w:t>General gave under subsection 315A(1);</w:t>
      </w:r>
    </w:p>
    <w:p w:rsidR="00BB54D3" w:rsidRPr="00BB54D3" w:rsidRDefault="00BB54D3" w:rsidP="00BB54D3">
      <w:pPr>
        <w:pStyle w:val="paragraph"/>
      </w:pPr>
      <w:r w:rsidRPr="00BB54D3">
        <w:tab/>
        <w:t>(b)</w:t>
      </w:r>
      <w:r w:rsidRPr="00BB54D3">
        <w:tab/>
        <w:t>the number of directions the Attorney</w:t>
      </w:r>
      <w:r w:rsidR="00772E5E">
        <w:noBreakHyphen/>
      </w:r>
      <w:r w:rsidRPr="00BB54D3">
        <w:t>General gave under subsection 315B(2);</w:t>
      </w:r>
    </w:p>
    <w:p w:rsidR="00BB54D3" w:rsidRPr="00BB54D3" w:rsidRDefault="00BB54D3" w:rsidP="00BB54D3">
      <w:pPr>
        <w:pStyle w:val="paragraph"/>
      </w:pPr>
      <w:r w:rsidRPr="00BB54D3">
        <w:tab/>
        <w:t>(c)</w:t>
      </w:r>
      <w:r w:rsidRPr="00BB54D3">
        <w:tab/>
        <w:t>the following:</w:t>
      </w:r>
    </w:p>
    <w:p w:rsidR="00BB54D3" w:rsidRPr="00BB54D3" w:rsidRDefault="00BB54D3" w:rsidP="00BB54D3">
      <w:pPr>
        <w:pStyle w:val="paragraphsub"/>
      </w:pPr>
      <w:r w:rsidRPr="00BB54D3">
        <w:tab/>
        <w:t>(i)</w:t>
      </w:r>
      <w:r w:rsidRPr="00BB54D3">
        <w:tab/>
        <w:t>the number of notifications the Communications Access Co</w:t>
      </w:r>
      <w:r w:rsidR="00772E5E">
        <w:noBreakHyphen/>
      </w:r>
      <w:r w:rsidRPr="00BB54D3">
        <w:t>ordinator received under subsection 314A(3);</w:t>
      </w:r>
    </w:p>
    <w:p w:rsidR="00BB54D3" w:rsidRPr="00BB54D3" w:rsidRDefault="00BB54D3" w:rsidP="00BB54D3">
      <w:pPr>
        <w:pStyle w:val="paragraphsub"/>
      </w:pPr>
      <w:r w:rsidRPr="00BB54D3">
        <w:tab/>
        <w:t>(ii)</w:t>
      </w:r>
      <w:r w:rsidRPr="00BB54D3">
        <w:tab/>
        <w:t>in response to such notifications, the average number of days taken by the Co</w:t>
      </w:r>
      <w:r w:rsidR="00772E5E">
        <w:noBreakHyphen/>
      </w:r>
      <w:r w:rsidRPr="00BB54D3">
        <w:t>ordinator to give a notice under subsection 314B(3) or (5);</w:t>
      </w:r>
    </w:p>
    <w:p w:rsidR="00BB54D3" w:rsidRPr="00BB54D3" w:rsidRDefault="00BB54D3" w:rsidP="00BB54D3">
      <w:pPr>
        <w:pStyle w:val="paragraphsub"/>
      </w:pPr>
      <w:r w:rsidRPr="00BB54D3">
        <w:tab/>
        <w:t>(iii)</w:t>
      </w:r>
      <w:r w:rsidRPr="00BB54D3">
        <w:tab/>
        <w:t>in response to such notifications, the percentage of notices given within the period under subsection 314B(6) by the Co</w:t>
      </w:r>
      <w:r w:rsidR="00772E5E">
        <w:noBreakHyphen/>
      </w:r>
      <w:r w:rsidRPr="00BB54D3">
        <w:t>ordinator under subsection 314B(3) or (5);</w:t>
      </w:r>
    </w:p>
    <w:p w:rsidR="00BB54D3" w:rsidRPr="00BB54D3" w:rsidRDefault="00BB54D3" w:rsidP="00BB54D3">
      <w:pPr>
        <w:pStyle w:val="paragraph"/>
      </w:pPr>
      <w:r w:rsidRPr="00BB54D3">
        <w:tab/>
        <w:t>(d)</w:t>
      </w:r>
      <w:r w:rsidRPr="00BB54D3">
        <w:tab/>
        <w:t>the following:</w:t>
      </w:r>
    </w:p>
    <w:p w:rsidR="00BB54D3" w:rsidRPr="00BB54D3" w:rsidRDefault="00BB54D3" w:rsidP="00BB54D3">
      <w:pPr>
        <w:pStyle w:val="paragraphsub"/>
      </w:pPr>
      <w:r w:rsidRPr="00BB54D3">
        <w:tab/>
        <w:t>(i)</w:t>
      </w:r>
      <w:r w:rsidRPr="00BB54D3">
        <w:tab/>
        <w:t>the number of applications the Communications Access Co</w:t>
      </w:r>
      <w:r w:rsidR="00772E5E">
        <w:noBreakHyphen/>
      </w:r>
      <w:r w:rsidRPr="00BB54D3">
        <w:t>ordinator received under subsection 314A(5A);</w:t>
      </w:r>
    </w:p>
    <w:p w:rsidR="00BB54D3" w:rsidRPr="00BB54D3" w:rsidRDefault="00BB54D3" w:rsidP="00BB54D3">
      <w:pPr>
        <w:pStyle w:val="paragraphsub"/>
      </w:pPr>
      <w:r w:rsidRPr="00BB54D3">
        <w:tab/>
        <w:t>(ii)</w:t>
      </w:r>
      <w:r w:rsidRPr="00BB54D3">
        <w:tab/>
        <w:t>in response to such applications, the average number of days taken by the Co</w:t>
      </w:r>
      <w:r w:rsidR="00772E5E">
        <w:noBreakHyphen/>
      </w:r>
      <w:r w:rsidRPr="00BB54D3">
        <w:t>ordinator to give a notice under subsection 314A(4) or (5) or paragraph 314A(5B)(b);</w:t>
      </w:r>
    </w:p>
    <w:p w:rsidR="00BB54D3" w:rsidRPr="00BB54D3" w:rsidRDefault="00BB54D3" w:rsidP="00BB54D3">
      <w:pPr>
        <w:pStyle w:val="paragraphsub"/>
      </w:pPr>
      <w:r w:rsidRPr="00BB54D3">
        <w:tab/>
        <w:t>(iii)</w:t>
      </w:r>
      <w:r w:rsidRPr="00BB54D3">
        <w:tab/>
        <w:t>in response to such applications, the percentage of notices given within the period under subsection 314A(5B) by the Co</w:t>
      </w:r>
      <w:r w:rsidR="00772E5E">
        <w:noBreakHyphen/>
      </w:r>
      <w:r w:rsidRPr="00BB54D3">
        <w:t>ordinator under subsection 314A(4) or (5) or paragraph 314A(5B)(b);</w:t>
      </w:r>
    </w:p>
    <w:p w:rsidR="00BB54D3" w:rsidRPr="00BB54D3" w:rsidRDefault="00BB54D3" w:rsidP="00BB54D3">
      <w:pPr>
        <w:pStyle w:val="paragraph"/>
      </w:pPr>
      <w:r w:rsidRPr="00BB54D3">
        <w:tab/>
        <w:t>(e)</w:t>
      </w:r>
      <w:r w:rsidRPr="00BB54D3">
        <w:tab/>
        <w:t>the following:</w:t>
      </w:r>
    </w:p>
    <w:p w:rsidR="00BB54D3" w:rsidRPr="00BB54D3" w:rsidRDefault="00BB54D3" w:rsidP="00BB54D3">
      <w:pPr>
        <w:pStyle w:val="paragraphsub"/>
      </w:pPr>
      <w:r w:rsidRPr="00BB54D3">
        <w:tab/>
        <w:t>(i)</w:t>
      </w:r>
      <w:r w:rsidRPr="00BB54D3">
        <w:tab/>
        <w:t>the number of security capability plans the Communications Access Co</w:t>
      </w:r>
      <w:r w:rsidR="00772E5E">
        <w:noBreakHyphen/>
      </w:r>
      <w:r w:rsidRPr="00BB54D3">
        <w:t>ordinator received under subsection 314C(1);</w:t>
      </w:r>
    </w:p>
    <w:p w:rsidR="00BB54D3" w:rsidRPr="00BB54D3" w:rsidRDefault="00BB54D3" w:rsidP="00BB54D3">
      <w:pPr>
        <w:pStyle w:val="paragraphsub"/>
      </w:pPr>
      <w:r w:rsidRPr="00BB54D3">
        <w:tab/>
        <w:t>(ii)</w:t>
      </w:r>
      <w:r w:rsidRPr="00BB54D3">
        <w:tab/>
        <w:t>in response to such plans, the average number of days taken by the Co</w:t>
      </w:r>
      <w:r w:rsidR="00772E5E">
        <w:noBreakHyphen/>
      </w:r>
      <w:r w:rsidRPr="00BB54D3">
        <w:t>ordinator to give a notice under subsection 314D(3) or (5);</w:t>
      </w:r>
    </w:p>
    <w:p w:rsidR="00BB54D3" w:rsidRPr="00BB54D3" w:rsidRDefault="00BB54D3" w:rsidP="00BB54D3">
      <w:pPr>
        <w:pStyle w:val="paragraphsub"/>
      </w:pPr>
      <w:r w:rsidRPr="00BB54D3">
        <w:tab/>
        <w:t>(iii)</w:t>
      </w:r>
      <w:r w:rsidRPr="00BB54D3">
        <w:tab/>
        <w:t>in response to such plans, the percentage of notices given within the period under subsection 314D(6) by the Co</w:t>
      </w:r>
      <w:r w:rsidR="00772E5E">
        <w:noBreakHyphen/>
      </w:r>
      <w:r w:rsidRPr="00BB54D3">
        <w:t>ordinator under subsection 314D(3) or (5);</w:t>
      </w:r>
    </w:p>
    <w:p w:rsidR="00BB54D3" w:rsidRPr="00BB54D3" w:rsidRDefault="00BB54D3" w:rsidP="00BB54D3">
      <w:pPr>
        <w:pStyle w:val="paragraph"/>
      </w:pPr>
      <w:r w:rsidRPr="00BB54D3">
        <w:tab/>
        <w:t>(f)</w:t>
      </w:r>
      <w:r w:rsidRPr="00BB54D3">
        <w:tab/>
        <w:t>the number of notices the Attorney</w:t>
      </w:r>
      <w:r w:rsidR="00772E5E">
        <w:noBreakHyphen/>
      </w:r>
      <w:r w:rsidRPr="00BB54D3">
        <w:t>General’s Secretary gave under subsection 315C(2);</w:t>
      </w:r>
    </w:p>
    <w:p w:rsidR="00BB54D3" w:rsidRPr="00BB54D3" w:rsidRDefault="00BB54D3" w:rsidP="00BB54D3">
      <w:pPr>
        <w:pStyle w:val="paragraph"/>
      </w:pPr>
      <w:r w:rsidRPr="00BB54D3">
        <w:tab/>
        <w:t>(g)</w:t>
      </w:r>
      <w:r w:rsidRPr="00BB54D3">
        <w:tab/>
        <w:t xml:space="preserve">details of the information sharing arrangements between the Commonwealth and carriers and carriage service providers in relation to this Part, to the extent that this Part was amended by the </w:t>
      </w:r>
      <w:r w:rsidRPr="00BB54D3">
        <w:rPr>
          <w:i/>
        </w:rPr>
        <w:t>Telecommunications and Other Legislation Amendment Act 2017</w:t>
      </w:r>
      <w:r w:rsidRPr="00BB54D3">
        <w:t>;</w:t>
      </w:r>
    </w:p>
    <w:p w:rsidR="00BB54D3" w:rsidRPr="00BB54D3" w:rsidRDefault="00BB54D3" w:rsidP="00BB54D3">
      <w:pPr>
        <w:pStyle w:val="paragraph"/>
      </w:pPr>
      <w:r w:rsidRPr="00BB54D3">
        <w:tab/>
        <w:t>(h)</w:t>
      </w:r>
      <w:r w:rsidRPr="00BB54D3">
        <w:tab/>
        <w:t>a summary of any feedback or complaints made in relation to this Part, to the extent that this Part was amended by that Act;</w:t>
      </w:r>
    </w:p>
    <w:p w:rsidR="00BB54D3" w:rsidRPr="00BB54D3" w:rsidRDefault="00BB54D3" w:rsidP="00BB54D3">
      <w:pPr>
        <w:pStyle w:val="paragraph"/>
      </w:pPr>
      <w:r w:rsidRPr="00BB54D3">
        <w:tab/>
        <w:t>(i)</w:t>
      </w:r>
      <w:r w:rsidRPr="00BB54D3">
        <w:tab/>
        <w:t>trends or issues in relation to the matters covered by paragraphs (a) to (h).</w:t>
      </w:r>
    </w:p>
    <w:p w:rsidR="00DA509A" w:rsidRPr="00BB54D3" w:rsidRDefault="00DA509A" w:rsidP="00BB54D3">
      <w:pPr>
        <w:pStyle w:val="subsection"/>
      </w:pPr>
      <w:r w:rsidRPr="00BB54D3">
        <w:tab/>
        <w:t>(2)</w:t>
      </w:r>
      <w:r w:rsidRPr="00BB54D3">
        <w:tab/>
        <w:t>The Attorney</w:t>
      </w:r>
      <w:r w:rsidR="00772E5E">
        <w:noBreakHyphen/>
      </w:r>
      <w:r w:rsidRPr="00BB54D3">
        <w:t xml:space="preserve">General’s Secretary must give a report under </w:t>
      </w:r>
      <w:r w:rsidR="00BB54D3" w:rsidRPr="00BB54D3">
        <w:t>subsection (</w:t>
      </w:r>
      <w:r w:rsidRPr="00BB54D3">
        <w:t>1) to the Attorney</w:t>
      </w:r>
      <w:r w:rsidR="00772E5E">
        <w:noBreakHyphen/>
      </w:r>
      <w:r w:rsidRPr="00BB54D3">
        <w:t>General as soon as practicable after the end of the financial year concerned.</w:t>
      </w:r>
    </w:p>
    <w:p w:rsidR="00DA509A" w:rsidRPr="00BB54D3" w:rsidRDefault="00DA509A" w:rsidP="00BB54D3">
      <w:pPr>
        <w:pStyle w:val="subsection"/>
      </w:pPr>
      <w:r w:rsidRPr="00BB54D3">
        <w:tab/>
        <w:t>(3)</w:t>
      </w:r>
      <w:r w:rsidRPr="00BB54D3">
        <w:tab/>
        <w:t>The Attorney</w:t>
      </w:r>
      <w:r w:rsidR="00772E5E">
        <w:noBreakHyphen/>
      </w:r>
      <w:r w:rsidRPr="00BB54D3">
        <w:t xml:space="preserve">General must cause a copy of a report under </w:t>
      </w:r>
      <w:r w:rsidR="00BB54D3" w:rsidRPr="00BB54D3">
        <w:t>subsection (</w:t>
      </w:r>
      <w:r w:rsidRPr="00BB54D3">
        <w:t>1) to be laid before each House of the Parliament within 15 sitting days of that House after receiving the report.</w:t>
      </w:r>
    </w:p>
    <w:p w:rsidR="00BB54D3" w:rsidRPr="00BB54D3" w:rsidRDefault="00BB54D3" w:rsidP="00BB54D3">
      <w:pPr>
        <w:pStyle w:val="ActHead3"/>
      </w:pPr>
      <w:bookmarkStart w:id="34" w:name="_Toc493599491"/>
      <w:r w:rsidRPr="00BB54D3">
        <w:rPr>
          <w:rStyle w:val="CharDivNo"/>
        </w:rPr>
        <w:t>Division 8A</w:t>
      </w:r>
      <w:r w:rsidRPr="00BB54D3">
        <w:t>—</w:t>
      </w:r>
      <w:r w:rsidRPr="00BB54D3">
        <w:rPr>
          <w:rStyle w:val="CharDivText"/>
        </w:rPr>
        <w:t>Review by Parliamentary Joint Committee on Intelligence and Security</w:t>
      </w:r>
      <w:bookmarkEnd w:id="34"/>
    </w:p>
    <w:p w:rsidR="00BB54D3" w:rsidRPr="00BB54D3" w:rsidRDefault="00BB54D3" w:rsidP="00BB54D3">
      <w:pPr>
        <w:pStyle w:val="ActHead5"/>
      </w:pPr>
      <w:bookmarkStart w:id="35" w:name="_Toc493599492"/>
      <w:r w:rsidRPr="00BB54D3">
        <w:rPr>
          <w:rStyle w:val="CharSectno"/>
        </w:rPr>
        <w:t>315K</w:t>
      </w:r>
      <w:r w:rsidRPr="00BB54D3">
        <w:t xml:space="preserve">  Review by Parliamentary Joint Committee on Intelligence and Security</w:t>
      </w:r>
      <w:bookmarkEnd w:id="35"/>
    </w:p>
    <w:p w:rsidR="00BB54D3" w:rsidRPr="00BB54D3" w:rsidRDefault="00BB54D3" w:rsidP="00BB54D3">
      <w:pPr>
        <w:pStyle w:val="subsection"/>
      </w:pPr>
      <w:r w:rsidRPr="00BB54D3">
        <w:tab/>
        <w:t>(1)</w:t>
      </w:r>
      <w:r w:rsidRPr="00BB54D3">
        <w:tab/>
        <w:t xml:space="preserve">The Parliamentary Joint Committee on Intelligence and Security must review the operation of this Part, to the extent that this Part was amended by the </w:t>
      </w:r>
      <w:r w:rsidRPr="00BB54D3">
        <w:rPr>
          <w:i/>
        </w:rPr>
        <w:t>Telecommunications and Other Legislation Amendment Act 2017</w:t>
      </w:r>
      <w:r w:rsidRPr="00BB54D3">
        <w:t>.</w:t>
      </w:r>
    </w:p>
    <w:p w:rsidR="00BB54D3" w:rsidRPr="00BB54D3" w:rsidRDefault="00BB54D3" w:rsidP="00BB54D3">
      <w:pPr>
        <w:pStyle w:val="subsection"/>
      </w:pPr>
      <w:r w:rsidRPr="00BB54D3">
        <w:tab/>
        <w:t>(2)</w:t>
      </w:r>
      <w:r w:rsidRPr="00BB54D3">
        <w:tab/>
        <w:t>The review:</w:t>
      </w:r>
    </w:p>
    <w:p w:rsidR="00BB54D3" w:rsidRPr="00BB54D3" w:rsidRDefault="00BB54D3" w:rsidP="00BB54D3">
      <w:pPr>
        <w:pStyle w:val="paragraph"/>
      </w:pPr>
      <w:r w:rsidRPr="00BB54D3">
        <w:tab/>
        <w:t>(a)</w:t>
      </w:r>
      <w:r w:rsidRPr="00BB54D3">
        <w:tab/>
        <w:t>must start on or before the second anniversary of the commencement of this section; and</w:t>
      </w:r>
    </w:p>
    <w:p w:rsidR="00BB54D3" w:rsidRPr="00BB54D3" w:rsidRDefault="00BB54D3" w:rsidP="00BB54D3">
      <w:pPr>
        <w:pStyle w:val="paragraph"/>
      </w:pPr>
      <w:r w:rsidRPr="00BB54D3">
        <w:tab/>
        <w:t>(b)</w:t>
      </w:r>
      <w:r w:rsidRPr="00BB54D3">
        <w:tab/>
        <w:t>must be concluded on or before the third anniversary of the commencement of this section.</w:t>
      </w:r>
    </w:p>
    <w:p w:rsidR="00BB54D3" w:rsidRPr="00BB54D3" w:rsidRDefault="00BB54D3" w:rsidP="00BB54D3">
      <w:pPr>
        <w:pStyle w:val="subsection"/>
      </w:pPr>
      <w:r w:rsidRPr="00BB54D3">
        <w:tab/>
        <w:t>(3)</w:t>
      </w:r>
      <w:r w:rsidRPr="00BB54D3">
        <w:tab/>
        <w:t>The Committee must give the Attorney</w:t>
      </w:r>
      <w:r w:rsidR="00772E5E">
        <w:noBreakHyphen/>
      </w:r>
      <w:r w:rsidRPr="00BB54D3">
        <w:t>General a written report of the review.</w:t>
      </w:r>
    </w:p>
    <w:p w:rsidR="001D1671" w:rsidRPr="00BB54D3" w:rsidRDefault="0074196E" w:rsidP="00BB54D3">
      <w:pPr>
        <w:pStyle w:val="ItemHead"/>
      </w:pPr>
      <w:r w:rsidRPr="00BB54D3">
        <w:t>14</w:t>
      </w:r>
      <w:r w:rsidR="001D1671" w:rsidRPr="00BB54D3">
        <w:t xml:space="preserve">  Before section</w:t>
      </w:r>
      <w:r w:rsidR="00BB54D3" w:rsidRPr="00BB54D3">
        <w:t> </w:t>
      </w:r>
      <w:r w:rsidR="001D1671" w:rsidRPr="00BB54D3">
        <w:t>316</w:t>
      </w:r>
    </w:p>
    <w:p w:rsidR="001D1671" w:rsidRPr="00BB54D3" w:rsidRDefault="001D1671" w:rsidP="00BB54D3">
      <w:pPr>
        <w:pStyle w:val="Item"/>
      </w:pPr>
      <w:r w:rsidRPr="00BB54D3">
        <w:t>Insert:</w:t>
      </w:r>
    </w:p>
    <w:p w:rsidR="001D1671" w:rsidRPr="00BB54D3" w:rsidRDefault="001D1671" w:rsidP="00BB54D3">
      <w:pPr>
        <w:pStyle w:val="ActHead3"/>
      </w:pPr>
      <w:bookmarkStart w:id="36" w:name="_Toc493599493"/>
      <w:r w:rsidRPr="00BB54D3">
        <w:rPr>
          <w:rStyle w:val="CharDivNo"/>
        </w:rPr>
        <w:t>Division</w:t>
      </w:r>
      <w:r w:rsidR="00BB54D3" w:rsidRPr="00BB54D3">
        <w:rPr>
          <w:rStyle w:val="CharDivNo"/>
        </w:rPr>
        <w:t> </w:t>
      </w:r>
      <w:r w:rsidR="004E5951" w:rsidRPr="00BB54D3">
        <w:rPr>
          <w:rStyle w:val="CharDivNo"/>
        </w:rPr>
        <w:t>9</w:t>
      </w:r>
      <w:r w:rsidRPr="00BB54D3">
        <w:t>—</w:t>
      </w:r>
      <w:r w:rsidRPr="00BB54D3">
        <w:rPr>
          <w:rStyle w:val="CharDivText"/>
        </w:rPr>
        <w:t>Generality of Part not limited</w:t>
      </w:r>
      <w:bookmarkEnd w:id="36"/>
    </w:p>
    <w:p w:rsidR="001D1671" w:rsidRPr="00BB54D3" w:rsidRDefault="0074196E" w:rsidP="00BB54D3">
      <w:pPr>
        <w:pStyle w:val="ItemHead"/>
      </w:pPr>
      <w:r w:rsidRPr="00BB54D3">
        <w:t>15</w:t>
      </w:r>
      <w:r w:rsidR="001D1671" w:rsidRPr="00BB54D3">
        <w:t xml:space="preserve">  Subsections</w:t>
      </w:r>
      <w:r w:rsidR="00BB54D3" w:rsidRPr="00BB54D3">
        <w:t> </w:t>
      </w:r>
      <w:r w:rsidR="001D1671" w:rsidRPr="00BB54D3">
        <w:t>564(1) and (2)</w:t>
      </w:r>
    </w:p>
    <w:p w:rsidR="001D1671" w:rsidRPr="00BB54D3" w:rsidRDefault="001D1671" w:rsidP="00BB54D3">
      <w:pPr>
        <w:pStyle w:val="Item"/>
      </w:pPr>
      <w:r w:rsidRPr="00BB54D3">
        <w:t>Omit “or the ACCC”, substitute “, the ACCC or the Attorney</w:t>
      </w:r>
      <w:r w:rsidR="00772E5E">
        <w:noBreakHyphen/>
      </w:r>
      <w:r w:rsidRPr="00BB54D3">
        <w:t>General”.</w:t>
      </w:r>
    </w:p>
    <w:p w:rsidR="001D1671" w:rsidRPr="00BB54D3" w:rsidRDefault="0074196E" w:rsidP="00BB54D3">
      <w:pPr>
        <w:pStyle w:val="ItemHead"/>
      </w:pPr>
      <w:r w:rsidRPr="00BB54D3">
        <w:t>16</w:t>
      </w:r>
      <w:r w:rsidR="001D1671" w:rsidRPr="00BB54D3">
        <w:t xml:space="preserve">  After subsection</w:t>
      </w:r>
      <w:r w:rsidR="00BB54D3" w:rsidRPr="00BB54D3">
        <w:t> </w:t>
      </w:r>
      <w:r w:rsidR="001D1671" w:rsidRPr="00BB54D3">
        <w:t>564(3)</w:t>
      </w:r>
    </w:p>
    <w:p w:rsidR="001D1671" w:rsidRPr="00BB54D3" w:rsidRDefault="001D1671" w:rsidP="00BB54D3">
      <w:pPr>
        <w:pStyle w:val="Item"/>
      </w:pPr>
      <w:r w:rsidRPr="00BB54D3">
        <w:t>Insert:</w:t>
      </w:r>
    </w:p>
    <w:p w:rsidR="001D1671" w:rsidRPr="00BB54D3" w:rsidRDefault="001D1671" w:rsidP="00BB54D3">
      <w:pPr>
        <w:pStyle w:val="SubsectionHead"/>
      </w:pPr>
      <w:r w:rsidRPr="00BB54D3">
        <w:t>Limit on standing of the Attorney</w:t>
      </w:r>
      <w:r w:rsidR="00772E5E">
        <w:noBreakHyphen/>
      </w:r>
      <w:r w:rsidRPr="00BB54D3">
        <w:t>General</w:t>
      </w:r>
    </w:p>
    <w:p w:rsidR="001D1671" w:rsidRPr="00BB54D3" w:rsidRDefault="001D1671" w:rsidP="00BB54D3">
      <w:pPr>
        <w:pStyle w:val="subsection"/>
      </w:pPr>
      <w:r w:rsidRPr="00BB54D3">
        <w:tab/>
        <w:t>(3A)</w:t>
      </w:r>
      <w:r w:rsidRPr="00BB54D3">
        <w:tab/>
        <w:t xml:space="preserve">Despite </w:t>
      </w:r>
      <w:r w:rsidR="00BB54D3" w:rsidRPr="00BB54D3">
        <w:t>subsections (</w:t>
      </w:r>
      <w:r w:rsidRPr="00BB54D3">
        <w:t>1) and (2), the Attorney</w:t>
      </w:r>
      <w:r w:rsidR="00772E5E">
        <w:noBreakHyphen/>
      </w:r>
      <w:r w:rsidRPr="00BB54D3">
        <w:t>General is not entitled to apply for an injunction unless the application relates to a contravention of:</w:t>
      </w:r>
    </w:p>
    <w:p w:rsidR="001D1671" w:rsidRPr="00BB54D3" w:rsidRDefault="001D1671" w:rsidP="00BB54D3">
      <w:pPr>
        <w:pStyle w:val="paragraph"/>
      </w:pPr>
      <w:r w:rsidRPr="00BB54D3">
        <w:tab/>
        <w:t>(a)</w:t>
      </w:r>
      <w:r w:rsidRPr="00BB54D3">
        <w:tab/>
        <w:t>the carrier licence condition set out in Part</w:t>
      </w:r>
      <w:r w:rsidR="00BB54D3" w:rsidRPr="00BB54D3">
        <w:t> </w:t>
      </w:r>
      <w:r w:rsidRPr="00BB54D3">
        <w:t>1 of Schedule</w:t>
      </w:r>
      <w:r w:rsidR="00BB54D3" w:rsidRPr="00BB54D3">
        <w:t> </w:t>
      </w:r>
      <w:r w:rsidRPr="00BB54D3">
        <w:t>1 in so far as that condition relates to subsection</w:t>
      </w:r>
      <w:r w:rsidR="00BB54D3" w:rsidRPr="00BB54D3">
        <w:t> </w:t>
      </w:r>
      <w:r w:rsidRPr="00BB54D3">
        <w:t xml:space="preserve">313(1A), </w:t>
      </w:r>
      <w:r w:rsidR="0023712A" w:rsidRPr="00BB54D3">
        <w:t xml:space="preserve">314A(3), </w:t>
      </w:r>
      <w:r w:rsidR="00811F61" w:rsidRPr="00BB54D3">
        <w:t>315A(</w:t>
      </w:r>
      <w:r w:rsidR="00CD7A64" w:rsidRPr="00BB54D3">
        <w:t>5</w:t>
      </w:r>
      <w:r w:rsidR="00811F61" w:rsidRPr="00BB54D3">
        <w:t xml:space="preserve">), </w:t>
      </w:r>
      <w:r w:rsidR="00CF51FC" w:rsidRPr="00BB54D3">
        <w:t>315B(</w:t>
      </w:r>
      <w:r w:rsidR="00CF5925" w:rsidRPr="00BB54D3">
        <w:t>12</w:t>
      </w:r>
      <w:r w:rsidR="00CF51FC" w:rsidRPr="00BB54D3">
        <w:t>)</w:t>
      </w:r>
      <w:r w:rsidRPr="00BB54D3">
        <w:t xml:space="preserve"> or 315C(3); or</w:t>
      </w:r>
    </w:p>
    <w:p w:rsidR="001D1671" w:rsidRPr="00BB54D3" w:rsidRDefault="001D1671" w:rsidP="00BB54D3">
      <w:pPr>
        <w:pStyle w:val="paragraph"/>
      </w:pPr>
      <w:r w:rsidRPr="00BB54D3">
        <w:tab/>
        <w:t>(b)</w:t>
      </w:r>
      <w:r w:rsidRPr="00BB54D3">
        <w:tab/>
        <w:t>the service provider rule set out in Part</w:t>
      </w:r>
      <w:r w:rsidR="00BB54D3" w:rsidRPr="00BB54D3">
        <w:t> </w:t>
      </w:r>
      <w:r w:rsidRPr="00BB54D3">
        <w:t>1 of Schedule</w:t>
      </w:r>
      <w:r w:rsidR="00BB54D3" w:rsidRPr="00BB54D3">
        <w:t> </w:t>
      </w:r>
      <w:r w:rsidRPr="00BB54D3">
        <w:t>2 in so far as that rule relates to subsection</w:t>
      </w:r>
      <w:r w:rsidR="00BB54D3" w:rsidRPr="00BB54D3">
        <w:t> </w:t>
      </w:r>
      <w:r w:rsidRPr="00BB54D3">
        <w:t>313(1A) or (</w:t>
      </w:r>
      <w:r w:rsidR="002E2AC3" w:rsidRPr="00BB54D3">
        <w:t>2A</w:t>
      </w:r>
      <w:r w:rsidRPr="00BB54D3">
        <w:t xml:space="preserve">), </w:t>
      </w:r>
      <w:r w:rsidR="0023712A" w:rsidRPr="00BB54D3">
        <w:t xml:space="preserve">314A(3), </w:t>
      </w:r>
      <w:r w:rsidR="00CD7A64" w:rsidRPr="00BB54D3">
        <w:t>315A(5</w:t>
      </w:r>
      <w:r w:rsidR="00811F61" w:rsidRPr="00BB54D3">
        <w:t xml:space="preserve">), </w:t>
      </w:r>
      <w:r w:rsidR="00CF51FC" w:rsidRPr="00BB54D3">
        <w:t>315B(</w:t>
      </w:r>
      <w:r w:rsidR="00CF5925" w:rsidRPr="00BB54D3">
        <w:t>12</w:t>
      </w:r>
      <w:r w:rsidR="00CF51FC" w:rsidRPr="00BB54D3">
        <w:t>)</w:t>
      </w:r>
      <w:r w:rsidRPr="00BB54D3">
        <w:t xml:space="preserve"> or 315C(3).</w:t>
      </w:r>
    </w:p>
    <w:p w:rsidR="001D1671" w:rsidRPr="00BB54D3" w:rsidRDefault="0074196E" w:rsidP="00BB54D3">
      <w:pPr>
        <w:pStyle w:val="ItemHead"/>
      </w:pPr>
      <w:r w:rsidRPr="00BB54D3">
        <w:t>17</w:t>
      </w:r>
      <w:r w:rsidR="001D1671" w:rsidRPr="00BB54D3">
        <w:t xml:space="preserve">  Before subsection</w:t>
      </w:r>
      <w:r w:rsidR="00BB54D3" w:rsidRPr="00BB54D3">
        <w:t> </w:t>
      </w:r>
      <w:r w:rsidR="001D1671" w:rsidRPr="00BB54D3">
        <w:t>564(4)</w:t>
      </w:r>
    </w:p>
    <w:p w:rsidR="001D1671" w:rsidRPr="00BB54D3" w:rsidRDefault="001D1671" w:rsidP="00BB54D3">
      <w:pPr>
        <w:pStyle w:val="Item"/>
      </w:pPr>
      <w:r w:rsidRPr="00BB54D3">
        <w:t>Insert:</w:t>
      </w:r>
    </w:p>
    <w:p w:rsidR="001D1671" w:rsidRPr="00BB54D3" w:rsidRDefault="001D1671" w:rsidP="00BB54D3">
      <w:pPr>
        <w:pStyle w:val="SubsectionHead"/>
      </w:pPr>
      <w:r w:rsidRPr="00BB54D3">
        <w:t>Definition</w:t>
      </w:r>
      <w:r w:rsidR="00C75814" w:rsidRPr="00BB54D3">
        <w:t>s</w:t>
      </w:r>
    </w:p>
    <w:p w:rsidR="001D1671" w:rsidRPr="00BB54D3" w:rsidRDefault="0074196E" w:rsidP="00BB54D3">
      <w:pPr>
        <w:pStyle w:val="ItemHead"/>
      </w:pPr>
      <w:r w:rsidRPr="00BB54D3">
        <w:t>18</w:t>
      </w:r>
      <w:r w:rsidR="001D1671" w:rsidRPr="00BB54D3">
        <w:t xml:space="preserve">  Subsection</w:t>
      </w:r>
      <w:r w:rsidR="00BB54D3" w:rsidRPr="00BB54D3">
        <w:t> </w:t>
      </w:r>
      <w:r w:rsidR="001D1671" w:rsidRPr="00BB54D3">
        <w:t>571(1)</w:t>
      </w:r>
    </w:p>
    <w:p w:rsidR="001D1671" w:rsidRPr="00BB54D3" w:rsidRDefault="001D1671" w:rsidP="00BB54D3">
      <w:pPr>
        <w:pStyle w:val="Item"/>
      </w:pPr>
      <w:r w:rsidRPr="00BB54D3">
        <w:t>Omit “or the ACCC”, substitute “, the ACCC or the Attorney</w:t>
      </w:r>
      <w:r w:rsidR="00772E5E">
        <w:noBreakHyphen/>
      </w:r>
      <w:r w:rsidRPr="00BB54D3">
        <w:t>General”.</w:t>
      </w:r>
    </w:p>
    <w:p w:rsidR="001D1671" w:rsidRPr="00BB54D3" w:rsidRDefault="0074196E" w:rsidP="00BB54D3">
      <w:pPr>
        <w:pStyle w:val="ItemHead"/>
      </w:pPr>
      <w:r w:rsidRPr="00BB54D3">
        <w:t>19</w:t>
      </w:r>
      <w:r w:rsidR="001D1671" w:rsidRPr="00BB54D3">
        <w:t xml:space="preserve">  Before subsection</w:t>
      </w:r>
      <w:r w:rsidR="00BB54D3" w:rsidRPr="00BB54D3">
        <w:t> </w:t>
      </w:r>
      <w:r w:rsidR="001D1671" w:rsidRPr="00BB54D3">
        <w:t>571(3)</w:t>
      </w:r>
    </w:p>
    <w:p w:rsidR="001D1671" w:rsidRPr="00BB54D3" w:rsidRDefault="001D1671" w:rsidP="00BB54D3">
      <w:pPr>
        <w:pStyle w:val="Item"/>
      </w:pPr>
      <w:r w:rsidRPr="00BB54D3">
        <w:t>Insert:</w:t>
      </w:r>
    </w:p>
    <w:p w:rsidR="001D1671" w:rsidRPr="00BB54D3" w:rsidRDefault="001D1671" w:rsidP="00BB54D3">
      <w:pPr>
        <w:pStyle w:val="SubsectionHead"/>
      </w:pPr>
      <w:r w:rsidRPr="00BB54D3">
        <w:t>Limit on standing of the ACMA</w:t>
      </w:r>
    </w:p>
    <w:p w:rsidR="001D1671" w:rsidRPr="00BB54D3" w:rsidRDefault="0074196E" w:rsidP="00BB54D3">
      <w:pPr>
        <w:pStyle w:val="ItemHead"/>
      </w:pPr>
      <w:r w:rsidRPr="00BB54D3">
        <w:t>20</w:t>
      </w:r>
      <w:r w:rsidR="001D1671" w:rsidRPr="00BB54D3">
        <w:t xml:space="preserve">  At the end of section</w:t>
      </w:r>
      <w:r w:rsidR="00BB54D3" w:rsidRPr="00BB54D3">
        <w:t> </w:t>
      </w:r>
      <w:r w:rsidR="001D1671" w:rsidRPr="00BB54D3">
        <w:t>571</w:t>
      </w:r>
    </w:p>
    <w:p w:rsidR="001D1671" w:rsidRPr="00BB54D3" w:rsidRDefault="001D1671" w:rsidP="00BB54D3">
      <w:pPr>
        <w:pStyle w:val="Item"/>
      </w:pPr>
      <w:r w:rsidRPr="00BB54D3">
        <w:t>Add:</w:t>
      </w:r>
    </w:p>
    <w:p w:rsidR="001D1671" w:rsidRPr="00BB54D3" w:rsidRDefault="001D1671" w:rsidP="00BB54D3">
      <w:pPr>
        <w:pStyle w:val="SubsectionHead"/>
      </w:pPr>
      <w:r w:rsidRPr="00BB54D3">
        <w:t>Limit on standing of the Attorney</w:t>
      </w:r>
      <w:r w:rsidR="00772E5E">
        <w:noBreakHyphen/>
      </w:r>
      <w:r w:rsidRPr="00BB54D3">
        <w:t>General</w:t>
      </w:r>
    </w:p>
    <w:p w:rsidR="001D1671" w:rsidRPr="00BB54D3" w:rsidRDefault="001D1671" w:rsidP="00BB54D3">
      <w:pPr>
        <w:pStyle w:val="subsection"/>
      </w:pPr>
      <w:r w:rsidRPr="00BB54D3">
        <w:tab/>
        <w:t>(4)</w:t>
      </w:r>
      <w:r w:rsidRPr="00BB54D3">
        <w:tab/>
        <w:t xml:space="preserve">Despite </w:t>
      </w:r>
      <w:r w:rsidR="00BB54D3" w:rsidRPr="00BB54D3">
        <w:t>subsection (</w:t>
      </w:r>
      <w:r w:rsidRPr="00BB54D3">
        <w:t>1), the Attorney</w:t>
      </w:r>
      <w:r w:rsidR="00772E5E">
        <w:noBreakHyphen/>
      </w:r>
      <w:r w:rsidRPr="00BB54D3">
        <w:t>General is not entitled to institute a proceeding for the recovery of a pecuniary penalty unless the proceeding relates to a contravention of:</w:t>
      </w:r>
    </w:p>
    <w:p w:rsidR="001D1671" w:rsidRPr="00BB54D3" w:rsidRDefault="001D1671" w:rsidP="00BB54D3">
      <w:pPr>
        <w:pStyle w:val="paragraph"/>
      </w:pPr>
      <w:r w:rsidRPr="00BB54D3">
        <w:tab/>
        <w:t>(a)</w:t>
      </w:r>
      <w:r w:rsidRPr="00BB54D3">
        <w:tab/>
        <w:t>the carrier licence condition set out in Part</w:t>
      </w:r>
      <w:r w:rsidR="00BB54D3" w:rsidRPr="00BB54D3">
        <w:t> </w:t>
      </w:r>
      <w:r w:rsidRPr="00BB54D3">
        <w:t>1 of Schedule</w:t>
      </w:r>
      <w:r w:rsidR="00BB54D3" w:rsidRPr="00BB54D3">
        <w:t> </w:t>
      </w:r>
      <w:r w:rsidRPr="00BB54D3">
        <w:t>1 in so far as that condition relates to subsection</w:t>
      </w:r>
      <w:r w:rsidR="00BB54D3" w:rsidRPr="00BB54D3">
        <w:t> </w:t>
      </w:r>
      <w:r w:rsidRPr="00BB54D3">
        <w:t xml:space="preserve">313(1A), </w:t>
      </w:r>
      <w:r w:rsidR="0023712A" w:rsidRPr="00BB54D3">
        <w:t xml:space="preserve">314A(3), </w:t>
      </w:r>
      <w:r w:rsidR="00811F61" w:rsidRPr="00BB54D3">
        <w:t>315A(</w:t>
      </w:r>
      <w:r w:rsidR="00CD7A64" w:rsidRPr="00BB54D3">
        <w:t>5</w:t>
      </w:r>
      <w:r w:rsidR="00811F61" w:rsidRPr="00BB54D3">
        <w:t xml:space="preserve">), </w:t>
      </w:r>
      <w:r w:rsidR="00CF51FC" w:rsidRPr="00BB54D3">
        <w:t>315B(</w:t>
      </w:r>
      <w:r w:rsidR="00CF5925" w:rsidRPr="00BB54D3">
        <w:t>12</w:t>
      </w:r>
      <w:r w:rsidR="00CF51FC" w:rsidRPr="00BB54D3">
        <w:t>)</w:t>
      </w:r>
      <w:r w:rsidRPr="00BB54D3">
        <w:t xml:space="preserve"> or 315C(3); or</w:t>
      </w:r>
    </w:p>
    <w:p w:rsidR="001D1671" w:rsidRPr="00BB54D3" w:rsidRDefault="001D1671" w:rsidP="00BB54D3">
      <w:pPr>
        <w:pStyle w:val="paragraph"/>
      </w:pPr>
      <w:r w:rsidRPr="00BB54D3">
        <w:tab/>
        <w:t>(b)</w:t>
      </w:r>
      <w:r w:rsidRPr="00BB54D3">
        <w:tab/>
        <w:t>the service provider rule set out in Part</w:t>
      </w:r>
      <w:r w:rsidR="00BB54D3" w:rsidRPr="00BB54D3">
        <w:t> </w:t>
      </w:r>
      <w:r w:rsidRPr="00BB54D3">
        <w:t>1 of Schedule</w:t>
      </w:r>
      <w:r w:rsidR="00BB54D3" w:rsidRPr="00BB54D3">
        <w:t> </w:t>
      </w:r>
      <w:r w:rsidRPr="00BB54D3">
        <w:t>2 in so far as that rule relates to subsection</w:t>
      </w:r>
      <w:r w:rsidR="00BB54D3" w:rsidRPr="00BB54D3">
        <w:t> </w:t>
      </w:r>
      <w:r w:rsidRPr="00BB54D3">
        <w:t>313(1A) or (</w:t>
      </w:r>
      <w:r w:rsidR="002E2AC3" w:rsidRPr="00BB54D3">
        <w:t>2A</w:t>
      </w:r>
      <w:r w:rsidRPr="00BB54D3">
        <w:t xml:space="preserve">), </w:t>
      </w:r>
      <w:r w:rsidR="0023712A" w:rsidRPr="00BB54D3">
        <w:t xml:space="preserve">314A(3), </w:t>
      </w:r>
      <w:r w:rsidR="00811F61" w:rsidRPr="00BB54D3">
        <w:t>315A(</w:t>
      </w:r>
      <w:r w:rsidR="00CD7A64" w:rsidRPr="00BB54D3">
        <w:t>5</w:t>
      </w:r>
      <w:r w:rsidR="00811F61" w:rsidRPr="00BB54D3">
        <w:t xml:space="preserve">), </w:t>
      </w:r>
      <w:r w:rsidR="00CF51FC" w:rsidRPr="00BB54D3">
        <w:t>315B(</w:t>
      </w:r>
      <w:r w:rsidR="00CF5925" w:rsidRPr="00BB54D3">
        <w:t>12</w:t>
      </w:r>
      <w:r w:rsidR="00CF51FC" w:rsidRPr="00BB54D3">
        <w:t>)</w:t>
      </w:r>
      <w:r w:rsidRPr="00BB54D3">
        <w:t xml:space="preserve"> or 315C(3).</w:t>
      </w:r>
    </w:p>
    <w:p w:rsidR="001D1671" w:rsidRPr="00BB54D3" w:rsidRDefault="0074196E" w:rsidP="00BB54D3">
      <w:pPr>
        <w:pStyle w:val="ItemHead"/>
      </w:pPr>
      <w:r w:rsidRPr="00BB54D3">
        <w:t>21</w:t>
      </w:r>
      <w:r w:rsidR="001D1671" w:rsidRPr="00BB54D3">
        <w:t xml:space="preserve">  Section</w:t>
      </w:r>
      <w:r w:rsidR="00BB54D3" w:rsidRPr="00BB54D3">
        <w:t> </w:t>
      </w:r>
      <w:r w:rsidR="001D1671" w:rsidRPr="00BB54D3">
        <w:t>572A</w:t>
      </w:r>
    </w:p>
    <w:p w:rsidR="001D1671" w:rsidRPr="00BB54D3" w:rsidRDefault="001D1671" w:rsidP="00BB54D3">
      <w:pPr>
        <w:pStyle w:val="Item"/>
      </w:pPr>
      <w:r w:rsidRPr="00BB54D3">
        <w:t>After “ACMA”, insert “or the Attorney</w:t>
      </w:r>
      <w:r w:rsidR="00772E5E">
        <w:noBreakHyphen/>
      </w:r>
      <w:r w:rsidRPr="00BB54D3">
        <w:t>General”.</w:t>
      </w:r>
    </w:p>
    <w:p w:rsidR="001D1671" w:rsidRPr="00BB54D3" w:rsidRDefault="0074196E" w:rsidP="00BB54D3">
      <w:pPr>
        <w:pStyle w:val="ItemHead"/>
      </w:pPr>
      <w:r w:rsidRPr="00BB54D3">
        <w:t>22</w:t>
      </w:r>
      <w:r w:rsidR="001D1671" w:rsidRPr="00BB54D3">
        <w:t xml:space="preserve">  Subsections</w:t>
      </w:r>
      <w:r w:rsidR="00BB54D3" w:rsidRPr="00BB54D3">
        <w:t> </w:t>
      </w:r>
      <w:r w:rsidR="001D1671" w:rsidRPr="00BB54D3">
        <w:t>572B(1), (3) and (4)</w:t>
      </w:r>
    </w:p>
    <w:p w:rsidR="001D1671" w:rsidRPr="00BB54D3" w:rsidRDefault="001D1671" w:rsidP="00BB54D3">
      <w:pPr>
        <w:pStyle w:val="Item"/>
      </w:pPr>
      <w:r w:rsidRPr="00BB54D3">
        <w:t>After “ACMA”, insert “or the Attorney</w:t>
      </w:r>
      <w:r w:rsidR="00772E5E">
        <w:noBreakHyphen/>
      </w:r>
      <w:r w:rsidRPr="00BB54D3">
        <w:t>General”.</w:t>
      </w:r>
    </w:p>
    <w:p w:rsidR="001D1671" w:rsidRPr="00BB54D3" w:rsidRDefault="0074196E" w:rsidP="00BB54D3">
      <w:pPr>
        <w:pStyle w:val="ItemHead"/>
      </w:pPr>
      <w:r w:rsidRPr="00BB54D3">
        <w:t>23</w:t>
      </w:r>
      <w:r w:rsidR="001D1671" w:rsidRPr="00BB54D3">
        <w:t xml:space="preserve">  At the end of subsection</w:t>
      </w:r>
      <w:r w:rsidR="00BB54D3" w:rsidRPr="00BB54D3">
        <w:t> </w:t>
      </w:r>
      <w:r w:rsidR="001D1671" w:rsidRPr="00BB54D3">
        <w:t>572B(5)</w:t>
      </w:r>
    </w:p>
    <w:p w:rsidR="001D1671" w:rsidRPr="00BB54D3" w:rsidRDefault="001D1671" w:rsidP="00BB54D3">
      <w:pPr>
        <w:pStyle w:val="Item"/>
      </w:pPr>
      <w:r w:rsidRPr="00BB54D3">
        <w:t>Add “The Attorney</w:t>
      </w:r>
      <w:r w:rsidR="00772E5E">
        <w:noBreakHyphen/>
      </w:r>
      <w:r w:rsidRPr="00BB54D3">
        <w:t>General</w:t>
      </w:r>
      <w:r w:rsidR="00D95DFB" w:rsidRPr="00BB54D3">
        <w:t xml:space="preserve"> may arrange for the publishing of the </w:t>
      </w:r>
      <w:r w:rsidRPr="00BB54D3">
        <w:t>undertaking on the Attorney</w:t>
      </w:r>
      <w:r w:rsidR="00772E5E">
        <w:noBreakHyphen/>
      </w:r>
      <w:r w:rsidRPr="00BB54D3">
        <w:t>General’s Department’s website.”.</w:t>
      </w:r>
    </w:p>
    <w:p w:rsidR="001D1671" w:rsidRPr="00BB54D3" w:rsidRDefault="0074196E" w:rsidP="00BB54D3">
      <w:pPr>
        <w:pStyle w:val="ItemHead"/>
      </w:pPr>
      <w:r w:rsidRPr="00BB54D3">
        <w:t>24</w:t>
      </w:r>
      <w:r w:rsidR="001D1671" w:rsidRPr="00BB54D3">
        <w:t xml:space="preserve">  After subsection</w:t>
      </w:r>
      <w:r w:rsidR="00BB54D3" w:rsidRPr="00BB54D3">
        <w:t> </w:t>
      </w:r>
      <w:r w:rsidR="001D1671" w:rsidRPr="00BB54D3">
        <w:t>572B(5)</w:t>
      </w:r>
    </w:p>
    <w:p w:rsidR="001D1671" w:rsidRPr="00BB54D3" w:rsidRDefault="001D1671" w:rsidP="00BB54D3">
      <w:pPr>
        <w:pStyle w:val="Item"/>
      </w:pPr>
      <w:r w:rsidRPr="00BB54D3">
        <w:t>Insert:</w:t>
      </w:r>
    </w:p>
    <w:p w:rsidR="001D1671" w:rsidRPr="00BB54D3" w:rsidRDefault="001D1671" w:rsidP="00BB54D3">
      <w:pPr>
        <w:pStyle w:val="subsection"/>
      </w:pPr>
      <w:r w:rsidRPr="00BB54D3">
        <w:tab/>
        <w:t>(5A)</w:t>
      </w:r>
      <w:r w:rsidRPr="00BB54D3">
        <w:tab/>
        <w:t xml:space="preserve">Despite </w:t>
      </w:r>
      <w:r w:rsidR="00BB54D3" w:rsidRPr="00BB54D3">
        <w:t>subsection (</w:t>
      </w:r>
      <w:r w:rsidRPr="00BB54D3">
        <w:t>1), the Attorney</w:t>
      </w:r>
      <w:r w:rsidR="00772E5E">
        <w:noBreakHyphen/>
      </w:r>
      <w:r w:rsidRPr="00BB54D3">
        <w:t>General is not entitled to accept an undertaking under this section unless the undertaking relates to compliance with:</w:t>
      </w:r>
    </w:p>
    <w:p w:rsidR="001D1671" w:rsidRPr="00BB54D3" w:rsidRDefault="001D1671" w:rsidP="00BB54D3">
      <w:pPr>
        <w:pStyle w:val="paragraph"/>
      </w:pPr>
      <w:r w:rsidRPr="00BB54D3">
        <w:tab/>
        <w:t>(a)</w:t>
      </w:r>
      <w:r w:rsidRPr="00BB54D3">
        <w:tab/>
        <w:t>the carrier licence condition set out in Part</w:t>
      </w:r>
      <w:r w:rsidR="00BB54D3" w:rsidRPr="00BB54D3">
        <w:t> </w:t>
      </w:r>
      <w:r w:rsidRPr="00BB54D3">
        <w:t>1 of Schedule</w:t>
      </w:r>
      <w:r w:rsidR="00BB54D3" w:rsidRPr="00BB54D3">
        <w:t> </w:t>
      </w:r>
      <w:r w:rsidRPr="00BB54D3">
        <w:t>1 in so far as that condition relates to subsection</w:t>
      </w:r>
      <w:r w:rsidR="00BB54D3" w:rsidRPr="00BB54D3">
        <w:t> </w:t>
      </w:r>
      <w:r w:rsidRPr="00BB54D3">
        <w:t xml:space="preserve">313(1A), </w:t>
      </w:r>
      <w:r w:rsidR="0023712A" w:rsidRPr="00BB54D3">
        <w:t xml:space="preserve">314A(3), </w:t>
      </w:r>
      <w:r w:rsidR="00811F61" w:rsidRPr="00BB54D3">
        <w:t>315A(</w:t>
      </w:r>
      <w:r w:rsidR="00CD7A64" w:rsidRPr="00BB54D3">
        <w:t>5</w:t>
      </w:r>
      <w:r w:rsidR="00811F61" w:rsidRPr="00BB54D3">
        <w:t xml:space="preserve">), </w:t>
      </w:r>
      <w:r w:rsidR="00CF51FC" w:rsidRPr="00BB54D3">
        <w:t>315B(</w:t>
      </w:r>
      <w:r w:rsidR="00CF5925" w:rsidRPr="00BB54D3">
        <w:t>12</w:t>
      </w:r>
      <w:r w:rsidR="00CF51FC" w:rsidRPr="00BB54D3">
        <w:t>)</w:t>
      </w:r>
      <w:r w:rsidRPr="00BB54D3">
        <w:t xml:space="preserve"> or 315C(3); or</w:t>
      </w:r>
    </w:p>
    <w:p w:rsidR="001D1671" w:rsidRPr="00BB54D3" w:rsidRDefault="001D1671" w:rsidP="00BB54D3">
      <w:pPr>
        <w:pStyle w:val="paragraph"/>
      </w:pPr>
      <w:r w:rsidRPr="00BB54D3">
        <w:tab/>
        <w:t>(b)</w:t>
      </w:r>
      <w:r w:rsidRPr="00BB54D3">
        <w:tab/>
        <w:t>the service provider rule set out in Part</w:t>
      </w:r>
      <w:r w:rsidR="00BB54D3" w:rsidRPr="00BB54D3">
        <w:t> </w:t>
      </w:r>
      <w:r w:rsidRPr="00BB54D3">
        <w:t>1 of Schedule</w:t>
      </w:r>
      <w:r w:rsidR="00BB54D3" w:rsidRPr="00BB54D3">
        <w:t> </w:t>
      </w:r>
      <w:r w:rsidRPr="00BB54D3">
        <w:t>2 in so far as that rule relates to subsection</w:t>
      </w:r>
      <w:r w:rsidR="00BB54D3" w:rsidRPr="00BB54D3">
        <w:t> </w:t>
      </w:r>
      <w:r w:rsidRPr="00BB54D3">
        <w:t>313(1A) or (</w:t>
      </w:r>
      <w:r w:rsidR="002E2AC3" w:rsidRPr="00BB54D3">
        <w:t>2A</w:t>
      </w:r>
      <w:r w:rsidRPr="00BB54D3">
        <w:t xml:space="preserve">), </w:t>
      </w:r>
      <w:r w:rsidR="0023712A" w:rsidRPr="00BB54D3">
        <w:t xml:space="preserve">314A(3), </w:t>
      </w:r>
      <w:r w:rsidR="00811F61" w:rsidRPr="00BB54D3">
        <w:t>315A(</w:t>
      </w:r>
      <w:r w:rsidR="00CD7A64" w:rsidRPr="00BB54D3">
        <w:t>5</w:t>
      </w:r>
      <w:r w:rsidR="00811F61" w:rsidRPr="00BB54D3">
        <w:t xml:space="preserve">), </w:t>
      </w:r>
      <w:r w:rsidR="00CF51FC" w:rsidRPr="00BB54D3">
        <w:t>315B(</w:t>
      </w:r>
      <w:r w:rsidR="00CF5925" w:rsidRPr="00BB54D3">
        <w:t>12</w:t>
      </w:r>
      <w:r w:rsidR="00CF51FC" w:rsidRPr="00BB54D3">
        <w:t>)</w:t>
      </w:r>
      <w:r w:rsidRPr="00BB54D3">
        <w:t xml:space="preserve"> or 315C(3).</w:t>
      </w:r>
    </w:p>
    <w:p w:rsidR="00B85AFC" w:rsidRPr="00BB54D3" w:rsidRDefault="00B85AFC" w:rsidP="00BB54D3">
      <w:pPr>
        <w:pStyle w:val="subsection"/>
      </w:pPr>
      <w:r w:rsidRPr="00BB54D3">
        <w:tab/>
        <w:t>(5B)</w:t>
      </w:r>
      <w:r w:rsidRPr="00BB54D3">
        <w:tab/>
      </w:r>
      <w:r w:rsidR="00C651FA" w:rsidRPr="00BB54D3">
        <w:t xml:space="preserve">The ACMA’s powers under </w:t>
      </w:r>
      <w:r w:rsidR="00BB54D3" w:rsidRPr="00BB54D3">
        <w:t>subsections (</w:t>
      </w:r>
      <w:r w:rsidRPr="00BB54D3">
        <w:t xml:space="preserve">3) to (5) </w:t>
      </w:r>
      <w:r w:rsidR="00C651FA" w:rsidRPr="00BB54D3">
        <w:t>are</w:t>
      </w:r>
      <w:r w:rsidRPr="00BB54D3">
        <w:t xml:space="preserve"> </w:t>
      </w:r>
      <w:r w:rsidR="00C651FA" w:rsidRPr="00BB54D3">
        <w:t>only in relation to under</w:t>
      </w:r>
      <w:r w:rsidR="002E354B" w:rsidRPr="00BB54D3">
        <w:t>t</w:t>
      </w:r>
      <w:r w:rsidR="00C651FA" w:rsidRPr="00BB54D3">
        <w:t xml:space="preserve">akings it </w:t>
      </w:r>
      <w:r w:rsidR="00277771" w:rsidRPr="00BB54D3">
        <w:t xml:space="preserve">has </w:t>
      </w:r>
      <w:r w:rsidR="00C651FA" w:rsidRPr="00BB54D3">
        <w:t>accept</w:t>
      </w:r>
      <w:r w:rsidR="00277771" w:rsidRPr="00BB54D3">
        <w:t>ed</w:t>
      </w:r>
      <w:r w:rsidR="00C651FA" w:rsidRPr="00BB54D3">
        <w:t>. The Attorney</w:t>
      </w:r>
      <w:r w:rsidR="00772E5E">
        <w:noBreakHyphen/>
      </w:r>
      <w:r w:rsidR="00C651FA" w:rsidRPr="00BB54D3">
        <w:t>General</w:t>
      </w:r>
      <w:r w:rsidR="00E70972" w:rsidRPr="00BB54D3">
        <w:t xml:space="preserve">’s </w:t>
      </w:r>
      <w:r w:rsidR="00C651FA" w:rsidRPr="00BB54D3">
        <w:t>powers under those subsections are only in relation to under</w:t>
      </w:r>
      <w:r w:rsidR="002E354B" w:rsidRPr="00BB54D3">
        <w:t>t</w:t>
      </w:r>
      <w:r w:rsidR="00C651FA" w:rsidRPr="00BB54D3">
        <w:t xml:space="preserve">akings he or she </w:t>
      </w:r>
      <w:r w:rsidR="00277771" w:rsidRPr="00BB54D3">
        <w:t xml:space="preserve">has </w:t>
      </w:r>
      <w:r w:rsidR="00C651FA" w:rsidRPr="00BB54D3">
        <w:t>accept</w:t>
      </w:r>
      <w:r w:rsidR="00277771" w:rsidRPr="00BB54D3">
        <w:t>ed</w:t>
      </w:r>
      <w:r w:rsidR="00C651FA" w:rsidRPr="00BB54D3">
        <w:t>.</w:t>
      </w:r>
    </w:p>
    <w:p w:rsidR="001D1671" w:rsidRPr="00BB54D3" w:rsidRDefault="0074196E" w:rsidP="00BB54D3">
      <w:pPr>
        <w:pStyle w:val="ItemHead"/>
      </w:pPr>
      <w:r w:rsidRPr="00BB54D3">
        <w:t>25</w:t>
      </w:r>
      <w:r w:rsidR="001D1671" w:rsidRPr="00BB54D3">
        <w:t xml:space="preserve">  Subsection</w:t>
      </w:r>
      <w:r w:rsidR="00BB54D3" w:rsidRPr="00BB54D3">
        <w:t> </w:t>
      </w:r>
      <w:r w:rsidR="001D1671" w:rsidRPr="00BB54D3">
        <w:t>572C(1)</w:t>
      </w:r>
    </w:p>
    <w:p w:rsidR="001D1671" w:rsidRPr="00BB54D3" w:rsidRDefault="001D1671" w:rsidP="00BB54D3">
      <w:pPr>
        <w:pStyle w:val="Item"/>
      </w:pPr>
      <w:r w:rsidRPr="00BB54D3">
        <w:t>After “ACMA” (wherever occurring), insert “or the Attorney</w:t>
      </w:r>
      <w:r w:rsidR="00772E5E">
        <w:noBreakHyphen/>
      </w:r>
      <w:r w:rsidRPr="00BB54D3">
        <w:t>General”.</w:t>
      </w:r>
    </w:p>
    <w:p w:rsidR="00C651FA" w:rsidRPr="00BB54D3" w:rsidRDefault="0074196E" w:rsidP="00BB54D3">
      <w:pPr>
        <w:pStyle w:val="ItemHead"/>
      </w:pPr>
      <w:r w:rsidRPr="00BB54D3">
        <w:t>26</w:t>
      </w:r>
      <w:r w:rsidR="00C651FA" w:rsidRPr="00BB54D3">
        <w:t xml:space="preserve">  At the end of section</w:t>
      </w:r>
      <w:r w:rsidR="00BB54D3" w:rsidRPr="00BB54D3">
        <w:t> </w:t>
      </w:r>
      <w:r w:rsidR="00C651FA" w:rsidRPr="00BB54D3">
        <w:t>572C</w:t>
      </w:r>
    </w:p>
    <w:p w:rsidR="00C651FA" w:rsidRPr="00BB54D3" w:rsidRDefault="00C651FA" w:rsidP="00BB54D3">
      <w:pPr>
        <w:pStyle w:val="Item"/>
      </w:pPr>
      <w:r w:rsidRPr="00BB54D3">
        <w:t>Add:</w:t>
      </w:r>
    </w:p>
    <w:p w:rsidR="00C651FA" w:rsidRPr="00BB54D3" w:rsidRDefault="00C651FA" w:rsidP="00BB54D3">
      <w:pPr>
        <w:pStyle w:val="subsection"/>
      </w:pPr>
      <w:r w:rsidRPr="00BB54D3">
        <w:tab/>
        <w:t>(3)</w:t>
      </w:r>
      <w:r w:rsidRPr="00BB54D3">
        <w:tab/>
        <w:t xml:space="preserve">The ACMA’s power under </w:t>
      </w:r>
      <w:r w:rsidR="00BB54D3" w:rsidRPr="00BB54D3">
        <w:t>subsection (</w:t>
      </w:r>
      <w:r w:rsidRPr="00BB54D3">
        <w:t>1) is only in relation to under</w:t>
      </w:r>
      <w:r w:rsidR="002E354B" w:rsidRPr="00BB54D3">
        <w:t>t</w:t>
      </w:r>
      <w:r w:rsidRPr="00BB54D3">
        <w:t xml:space="preserve">akings it </w:t>
      </w:r>
      <w:r w:rsidR="00277771" w:rsidRPr="00BB54D3">
        <w:t xml:space="preserve">has </w:t>
      </w:r>
      <w:r w:rsidRPr="00BB54D3">
        <w:t>accept</w:t>
      </w:r>
      <w:r w:rsidR="00277771" w:rsidRPr="00BB54D3">
        <w:t>ed</w:t>
      </w:r>
      <w:r w:rsidRPr="00BB54D3">
        <w:t>. The Attorney</w:t>
      </w:r>
      <w:r w:rsidR="00772E5E">
        <w:noBreakHyphen/>
      </w:r>
      <w:r w:rsidRPr="00BB54D3">
        <w:t>General’s power under that subsection is only in relation to under</w:t>
      </w:r>
      <w:r w:rsidR="002E354B" w:rsidRPr="00BB54D3">
        <w:t>t</w:t>
      </w:r>
      <w:r w:rsidRPr="00BB54D3">
        <w:t xml:space="preserve">akings he or she </w:t>
      </w:r>
      <w:r w:rsidR="00277771" w:rsidRPr="00BB54D3">
        <w:t xml:space="preserve">has </w:t>
      </w:r>
      <w:r w:rsidRPr="00BB54D3">
        <w:t>accept</w:t>
      </w:r>
      <w:r w:rsidR="00277771" w:rsidRPr="00BB54D3">
        <w:t>ed</w:t>
      </w:r>
      <w:r w:rsidRPr="00BB54D3">
        <w:t>.</w:t>
      </w:r>
    </w:p>
    <w:p w:rsidR="0050499C" w:rsidRPr="00BB54D3" w:rsidRDefault="0074196E" w:rsidP="00BB54D3">
      <w:pPr>
        <w:pStyle w:val="ItemHead"/>
      </w:pPr>
      <w:r w:rsidRPr="00BB54D3">
        <w:t>27</w:t>
      </w:r>
      <w:r w:rsidR="0050499C" w:rsidRPr="00BB54D3">
        <w:t xml:space="preserve">  Subsections</w:t>
      </w:r>
      <w:r w:rsidR="00BB54D3" w:rsidRPr="00BB54D3">
        <w:t> </w:t>
      </w:r>
      <w:r w:rsidR="0050499C" w:rsidRPr="00BB54D3">
        <w:t>581(3) and (3A)</w:t>
      </w:r>
    </w:p>
    <w:p w:rsidR="0050499C" w:rsidRPr="00BB54D3" w:rsidRDefault="0050499C" w:rsidP="00BB54D3">
      <w:pPr>
        <w:pStyle w:val="Item"/>
      </w:pPr>
      <w:r w:rsidRPr="00BB54D3">
        <w:t>Repeal the subsections.</w:t>
      </w:r>
    </w:p>
    <w:p w:rsidR="0050499C" w:rsidRPr="00BB54D3" w:rsidRDefault="0074196E" w:rsidP="00BB54D3">
      <w:pPr>
        <w:pStyle w:val="ItemHead"/>
      </w:pPr>
      <w:r w:rsidRPr="00BB54D3">
        <w:t>28</w:t>
      </w:r>
      <w:r w:rsidR="0050499C" w:rsidRPr="00BB54D3">
        <w:t xml:space="preserve">  Subsection</w:t>
      </w:r>
      <w:r w:rsidR="00BB54D3" w:rsidRPr="00BB54D3">
        <w:t> </w:t>
      </w:r>
      <w:r w:rsidR="0050499C" w:rsidRPr="00BB54D3">
        <w:t>581(4)</w:t>
      </w:r>
    </w:p>
    <w:p w:rsidR="0050499C" w:rsidRPr="00BB54D3" w:rsidRDefault="0050499C" w:rsidP="00BB54D3">
      <w:pPr>
        <w:pStyle w:val="Item"/>
      </w:pPr>
      <w:r w:rsidRPr="00BB54D3">
        <w:t>Omit “or (3)”.</w:t>
      </w:r>
    </w:p>
    <w:p w:rsidR="0050499C" w:rsidRPr="00BB54D3" w:rsidRDefault="0074196E" w:rsidP="00BB54D3">
      <w:pPr>
        <w:pStyle w:val="ItemHead"/>
      </w:pPr>
      <w:r w:rsidRPr="00BB54D3">
        <w:t>29</w:t>
      </w:r>
      <w:r w:rsidR="0050499C" w:rsidRPr="00BB54D3">
        <w:t xml:space="preserve">  Subsection</w:t>
      </w:r>
      <w:r w:rsidR="00BB54D3" w:rsidRPr="00BB54D3">
        <w:t> </w:t>
      </w:r>
      <w:r w:rsidR="0050499C" w:rsidRPr="00BB54D3">
        <w:t>581(5)</w:t>
      </w:r>
    </w:p>
    <w:p w:rsidR="0050499C" w:rsidRPr="00BB54D3" w:rsidRDefault="0050499C" w:rsidP="00BB54D3">
      <w:pPr>
        <w:pStyle w:val="Item"/>
      </w:pPr>
      <w:r w:rsidRPr="00BB54D3">
        <w:t>Repeal the subsection.</w:t>
      </w:r>
    </w:p>
    <w:p w:rsidR="00117F89" w:rsidRPr="00BB54D3" w:rsidRDefault="00117F89" w:rsidP="00BB54D3">
      <w:pPr>
        <w:pStyle w:val="ActHead9"/>
        <w:rPr>
          <w:i w:val="0"/>
        </w:rPr>
      </w:pPr>
      <w:bookmarkStart w:id="37" w:name="_Toc493599494"/>
      <w:r w:rsidRPr="00BB54D3">
        <w:t>Telecommunications (Interception and Access) Act 1979</w:t>
      </w:r>
      <w:bookmarkEnd w:id="37"/>
    </w:p>
    <w:p w:rsidR="00140846" w:rsidRPr="00BB54D3" w:rsidRDefault="0074196E" w:rsidP="00BB54D3">
      <w:pPr>
        <w:pStyle w:val="ItemHead"/>
      </w:pPr>
      <w:r w:rsidRPr="00BB54D3">
        <w:t>30</w:t>
      </w:r>
      <w:r w:rsidR="00140846" w:rsidRPr="00BB54D3">
        <w:t xml:space="preserve">  Subparagraph 202A(a)(ii)</w:t>
      </w:r>
    </w:p>
    <w:p w:rsidR="00140846" w:rsidRPr="00BB54D3" w:rsidRDefault="00140846" w:rsidP="00BB54D3">
      <w:pPr>
        <w:pStyle w:val="Item"/>
      </w:pPr>
      <w:r w:rsidRPr="00BB54D3">
        <w:t>After “</w:t>
      </w:r>
      <w:r w:rsidRPr="00BB54D3">
        <w:rPr>
          <w:i/>
        </w:rPr>
        <w:t>Telecommunications Act 1997</w:t>
      </w:r>
      <w:r w:rsidRPr="00BB54D3">
        <w:t>”, insert “(other than subsection</w:t>
      </w:r>
      <w:r w:rsidR="00BB54D3" w:rsidRPr="00BB54D3">
        <w:t> </w:t>
      </w:r>
      <w:r w:rsidRPr="00BB54D3">
        <w:t>313(1A) or (2A) of that Act)”.</w:t>
      </w:r>
    </w:p>
    <w:p w:rsidR="00D1415A" w:rsidRPr="00BB54D3" w:rsidRDefault="0074196E" w:rsidP="00BB54D3">
      <w:pPr>
        <w:pStyle w:val="ItemHead"/>
      </w:pPr>
      <w:r w:rsidRPr="00BB54D3">
        <w:t>31</w:t>
      </w:r>
      <w:r w:rsidR="00D1415A" w:rsidRPr="00BB54D3">
        <w:t xml:space="preserve">  At the end of paragraph</w:t>
      </w:r>
      <w:r w:rsidR="00BB54D3" w:rsidRPr="00BB54D3">
        <w:t> </w:t>
      </w:r>
      <w:r w:rsidR="00D1415A" w:rsidRPr="00BB54D3">
        <w:t>202B(1)(b)</w:t>
      </w:r>
    </w:p>
    <w:p w:rsidR="00D1415A" w:rsidRPr="00BB54D3" w:rsidRDefault="00D1415A" w:rsidP="00BB54D3">
      <w:pPr>
        <w:pStyle w:val="Item"/>
      </w:pPr>
      <w:r w:rsidRPr="00BB54D3">
        <w:t>Add “(other than subsection</w:t>
      </w:r>
      <w:r w:rsidR="00BB54D3" w:rsidRPr="00BB54D3">
        <w:t> </w:t>
      </w:r>
      <w:r w:rsidRPr="00BB54D3">
        <w:t>313(1A) or (2A) of that Act)”.</w:t>
      </w:r>
    </w:p>
    <w:p w:rsidR="007C3E33" w:rsidRPr="00BB54D3" w:rsidRDefault="007C3E33" w:rsidP="00BB54D3">
      <w:pPr>
        <w:pStyle w:val="ActHead7"/>
        <w:pageBreakBefore/>
      </w:pPr>
      <w:bookmarkStart w:id="38" w:name="_Toc493599495"/>
      <w:r w:rsidRPr="00BB54D3">
        <w:rPr>
          <w:rStyle w:val="CharAmPartNo"/>
        </w:rPr>
        <w:t>Part</w:t>
      </w:r>
      <w:r w:rsidR="00BB54D3" w:rsidRPr="00BB54D3">
        <w:rPr>
          <w:rStyle w:val="CharAmPartNo"/>
        </w:rPr>
        <w:t> </w:t>
      </w:r>
      <w:r w:rsidR="0092157E" w:rsidRPr="00BB54D3">
        <w:rPr>
          <w:rStyle w:val="CharAmPartNo"/>
        </w:rPr>
        <w:t>2</w:t>
      </w:r>
      <w:r w:rsidRPr="00BB54D3">
        <w:t>—</w:t>
      </w:r>
      <w:r w:rsidRPr="00BB54D3">
        <w:rPr>
          <w:rStyle w:val="CharAmPartText"/>
        </w:rPr>
        <w:t>Other amendments</w:t>
      </w:r>
      <w:bookmarkEnd w:id="38"/>
    </w:p>
    <w:p w:rsidR="001D1671" w:rsidRPr="00BB54D3" w:rsidRDefault="001D1671" w:rsidP="00BB54D3">
      <w:pPr>
        <w:pStyle w:val="ActHead9"/>
        <w:rPr>
          <w:i w:val="0"/>
        </w:rPr>
      </w:pPr>
      <w:bookmarkStart w:id="39" w:name="_Toc493599496"/>
      <w:r w:rsidRPr="00BB54D3">
        <w:t>Administrative Decisions (Judicial Review) Act 1977</w:t>
      </w:r>
      <w:bookmarkEnd w:id="39"/>
    </w:p>
    <w:p w:rsidR="001D1671" w:rsidRPr="00BB54D3" w:rsidRDefault="0074196E" w:rsidP="00BB54D3">
      <w:pPr>
        <w:pStyle w:val="ItemHead"/>
      </w:pPr>
      <w:r w:rsidRPr="00BB54D3">
        <w:t>32</w:t>
      </w:r>
      <w:r w:rsidR="001D1671" w:rsidRPr="00BB54D3">
        <w:t xml:space="preserve">  </w:t>
      </w:r>
      <w:r w:rsidR="00BB54D3" w:rsidRPr="00BB54D3">
        <w:t>Paragraph (</w:t>
      </w:r>
      <w:r w:rsidR="001D1671" w:rsidRPr="00BB54D3">
        <w:t>daa) of Schedule</w:t>
      </w:r>
      <w:r w:rsidR="00BB54D3" w:rsidRPr="00BB54D3">
        <w:t> </w:t>
      </w:r>
      <w:r w:rsidR="001D1671" w:rsidRPr="00BB54D3">
        <w:t>1</w:t>
      </w:r>
    </w:p>
    <w:p w:rsidR="001D1671" w:rsidRPr="00BB54D3" w:rsidRDefault="001D0007" w:rsidP="00BB54D3">
      <w:pPr>
        <w:pStyle w:val="Item"/>
      </w:pPr>
      <w:bookmarkStart w:id="40" w:name="BK_DDB_S3P17L4C1"/>
      <w:bookmarkEnd w:id="40"/>
      <w:r w:rsidRPr="00BB54D3">
        <w:t>Omit “, or subsection</w:t>
      </w:r>
      <w:r w:rsidR="00BB54D3" w:rsidRPr="00BB54D3">
        <w:t> </w:t>
      </w:r>
      <w:r w:rsidRPr="00BB54D3">
        <w:t>581(3),”</w:t>
      </w:r>
      <w:r w:rsidR="00302D76" w:rsidRPr="00BB54D3">
        <w:t>.</w:t>
      </w:r>
    </w:p>
    <w:p w:rsidR="00BE0049" w:rsidRPr="00BB54D3" w:rsidRDefault="00BE0049" w:rsidP="00BB54D3">
      <w:pPr>
        <w:pStyle w:val="ActHead9"/>
        <w:rPr>
          <w:i w:val="0"/>
        </w:rPr>
      </w:pPr>
      <w:bookmarkStart w:id="41" w:name="_Toc493599497"/>
      <w:r w:rsidRPr="00BB54D3">
        <w:t>Australian Security Intelligence Organisation Act 1979</w:t>
      </w:r>
      <w:bookmarkEnd w:id="41"/>
    </w:p>
    <w:p w:rsidR="00A375FC" w:rsidRPr="00BB54D3" w:rsidRDefault="0074196E" w:rsidP="00BB54D3">
      <w:pPr>
        <w:pStyle w:val="ItemHead"/>
      </w:pPr>
      <w:r w:rsidRPr="00BB54D3">
        <w:t>33</w:t>
      </w:r>
      <w:r w:rsidR="00A375FC" w:rsidRPr="00BB54D3">
        <w:t xml:space="preserve">  </w:t>
      </w:r>
      <w:r w:rsidR="00945D5C" w:rsidRPr="00BB54D3">
        <w:t>Subsection</w:t>
      </w:r>
      <w:r w:rsidR="00BB54D3" w:rsidRPr="00BB54D3">
        <w:t> </w:t>
      </w:r>
      <w:r w:rsidR="00945D5C" w:rsidRPr="00BB54D3">
        <w:t>35(1) (</w:t>
      </w:r>
      <w:r w:rsidR="00BB54D3" w:rsidRPr="00BB54D3">
        <w:t>subparagraph (</w:t>
      </w:r>
      <w:r w:rsidR="00945D5C" w:rsidRPr="00BB54D3">
        <w:t xml:space="preserve">d)(ii) of the definition of </w:t>
      </w:r>
      <w:r w:rsidR="00945D5C" w:rsidRPr="00BB54D3">
        <w:rPr>
          <w:i/>
        </w:rPr>
        <w:t>prescribed administrative action</w:t>
      </w:r>
      <w:r w:rsidR="00945D5C" w:rsidRPr="00BB54D3">
        <w:t>)</w:t>
      </w:r>
    </w:p>
    <w:p w:rsidR="00945D5C" w:rsidRPr="00BB54D3" w:rsidRDefault="00945D5C" w:rsidP="00BB54D3">
      <w:pPr>
        <w:pStyle w:val="Item"/>
      </w:pPr>
      <w:r w:rsidRPr="00BB54D3">
        <w:t>Repeal the subparagraph, substitute:</w:t>
      </w:r>
    </w:p>
    <w:p w:rsidR="00945D5C" w:rsidRPr="00BB54D3" w:rsidRDefault="00945D5C" w:rsidP="00BB54D3">
      <w:pPr>
        <w:pStyle w:val="paragraphsub"/>
      </w:pPr>
      <w:r w:rsidRPr="00BB54D3">
        <w:tab/>
        <w:t>(ii)</w:t>
      </w:r>
      <w:r w:rsidRPr="00BB54D3">
        <w:tab/>
        <w:t>subsection</w:t>
      </w:r>
      <w:r w:rsidR="00BB54D3" w:rsidRPr="00BB54D3">
        <w:t> </w:t>
      </w:r>
      <w:r w:rsidRPr="00BB54D3">
        <w:t>315A(1) or 315B(</w:t>
      </w:r>
      <w:r w:rsidR="00896D1C" w:rsidRPr="00BB54D3">
        <w:t>2</w:t>
      </w:r>
      <w:r w:rsidRPr="00BB54D3">
        <w:t>);</w:t>
      </w:r>
    </w:p>
    <w:p w:rsidR="00F86BDF" w:rsidRPr="00BB54D3" w:rsidRDefault="0074196E" w:rsidP="00BB54D3">
      <w:pPr>
        <w:pStyle w:val="ItemHead"/>
      </w:pPr>
      <w:r w:rsidRPr="00BB54D3">
        <w:t>34</w:t>
      </w:r>
      <w:r w:rsidR="00F86BDF" w:rsidRPr="00BB54D3">
        <w:t xml:space="preserve">  Paragraph 38A(1)(b)</w:t>
      </w:r>
    </w:p>
    <w:p w:rsidR="00F86BDF" w:rsidRPr="00BB54D3" w:rsidRDefault="00F86BDF" w:rsidP="00BB54D3">
      <w:pPr>
        <w:pStyle w:val="Item"/>
      </w:pPr>
      <w:r w:rsidRPr="00BB54D3">
        <w:t>Repeal the paragraph, substitute:</w:t>
      </w:r>
    </w:p>
    <w:p w:rsidR="00F86BDF" w:rsidRPr="00BB54D3" w:rsidRDefault="00F86BDF" w:rsidP="00BB54D3">
      <w:pPr>
        <w:pStyle w:val="paragraph"/>
      </w:pPr>
      <w:r w:rsidRPr="00BB54D3">
        <w:tab/>
        <w:t>(b)</w:t>
      </w:r>
      <w:r w:rsidRPr="00BB54D3">
        <w:tab/>
        <w:t>s</w:t>
      </w:r>
      <w:r w:rsidR="00911C76" w:rsidRPr="00BB54D3">
        <w:t>ection</w:t>
      </w:r>
      <w:r w:rsidR="00BB54D3" w:rsidRPr="00BB54D3">
        <w:t> </w:t>
      </w:r>
      <w:r w:rsidR="00911C76" w:rsidRPr="00BB54D3">
        <w:t>315A or 315B</w:t>
      </w:r>
      <w:r w:rsidRPr="00BB54D3">
        <w:t>;</w:t>
      </w:r>
    </w:p>
    <w:p w:rsidR="001D1671" w:rsidRPr="00BB54D3" w:rsidRDefault="001D1671" w:rsidP="00BB54D3">
      <w:pPr>
        <w:pStyle w:val="ActHead7"/>
        <w:pageBreakBefore/>
      </w:pPr>
      <w:bookmarkStart w:id="42" w:name="_Toc493599498"/>
      <w:r w:rsidRPr="00BB54D3">
        <w:rPr>
          <w:rStyle w:val="CharAmPartNo"/>
        </w:rPr>
        <w:t>Part</w:t>
      </w:r>
      <w:r w:rsidR="00BB54D3" w:rsidRPr="00BB54D3">
        <w:rPr>
          <w:rStyle w:val="CharAmPartNo"/>
        </w:rPr>
        <w:t> </w:t>
      </w:r>
      <w:r w:rsidR="0092157E" w:rsidRPr="00BB54D3">
        <w:rPr>
          <w:rStyle w:val="CharAmPartNo"/>
        </w:rPr>
        <w:t>3</w:t>
      </w:r>
      <w:r w:rsidRPr="00BB54D3">
        <w:t>—</w:t>
      </w:r>
      <w:r w:rsidRPr="00BB54D3">
        <w:rPr>
          <w:rStyle w:val="CharAmPartText"/>
        </w:rPr>
        <w:t xml:space="preserve">Transitional </w:t>
      </w:r>
      <w:r w:rsidR="001D0007" w:rsidRPr="00BB54D3">
        <w:rPr>
          <w:rStyle w:val="CharAmPartText"/>
        </w:rPr>
        <w:t xml:space="preserve">and saving </w:t>
      </w:r>
      <w:r w:rsidRPr="00BB54D3">
        <w:rPr>
          <w:rStyle w:val="CharAmPartText"/>
        </w:rPr>
        <w:t>provisions</w:t>
      </w:r>
      <w:bookmarkEnd w:id="42"/>
    </w:p>
    <w:p w:rsidR="00C64323" w:rsidRPr="00BB54D3" w:rsidRDefault="0074196E" w:rsidP="00BB54D3">
      <w:pPr>
        <w:pStyle w:val="ItemHead"/>
      </w:pPr>
      <w:r w:rsidRPr="00BB54D3">
        <w:t>35</w:t>
      </w:r>
      <w:r w:rsidR="00C64323" w:rsidRPr="00BB54D3">
        <w:t xml:space="preserve">  </w:t>
      </w:r>
      <w:r w:rsidR="00971424" w:rsidRPr="00BB54D3">
        <w:t>Transitional</w:t>
      </w:r>
      <w:r w:rsidR="00C64323" w:rsidRPr="00BB54D3">
        <w:t xml:space="preserve"> </w:t>
      </w:r>
      <w:r w:rsidR="00E3680F" w:rsidRPr="00BB54D3">
        <w:t xml:space="preserve">and saving </w:t>
      </w:r>
      <w:r w:rsidR="00C64323" w:rsidRPr="00BB54D3">
        <w:t>provisions</w:t>
      </w:r>
    </w:p>
    <w:p w:rsidR="00C64323" w:rsidRPr="00BB54D3" w:rsidRDefault="00C64323" w:rsidP="00BB54D3">
      <w:pPr>
        <w:pStyle w:val="Subitem"/>
      </w:pPr>
      <w:r w:rsidRPr="00BB54D3">
        <w:t>(1)</w:t>
      </w:r>
      <w:r w:rsidRPr="00BB54D3">
        <w:tab/>
      </w:r>
      <w:r w:rsidR="00720C44" w:rsidRPr="00BB54D3">
        <w:t>A direction in force under subsection</w:t>
      </w:r>
      <w:r w:rsidR="00BB54D3" w:rsidRPr="00BB54D3">
        <w:t> </w:t>
      </w:r>
      <w:r w:rsidR="00720C44" w:rsidRPr="00BB54D3">
        <w:t xml:space="preserve">581(3) of the </w:t>
      </w:r>
      <w:r w:rsidR="00720C44" w:rsidRPr="00BB54D3">
        <w:rPr>
          <w:i/>
        </w:rPr>
        <w:t>Telecommunications Act 1997</w:t>
      </w:r>
      <w:r w:rsidR="00720C44" w:rsidRPr="00BB54D3">
        <w:rPr>
          <w:b/>
        </w:rPr>
        <w:t xml:space="preserve"> </w:t>
      </w:r>
      <w:r w:rsidR="00720C44" w:rsidRPr="00BB54D3">
        <w:t>immediately before the commencement of this item has effect on and after that commencement as if it were a direction in force under subsection</w:t>
      </w:r>
      <w:r w:rsidR="00BB54D3" w:rsidRPr="00BB54D3">
        <w:t> </w:t>
      </w:r>
      <w:r w:rsidR="00720C44" w:rsidRPr="00BB54D3">
        <w:t>315A(1) of that Act.</w:t>
      </w:r>
    </w:p>
    <w:p w:rsidR="00740659" w:rsidRPr="00BB54D3" w:rsidRDefault="00740659" w:rsidP="00BB54D3">
      <w:pPr>
        <w:pStyle w:val="Subitem"/>
      </w:pPr>
      <w:r w:rsidRPr="00BB54D3">
        <w:t>(2)</w:t>
      </w:r>
      <w:r w:rsidRPr="00BB54D3">
        <w:tab/>
        <w:t>An assessment mentioned in subsection</w:t>
      </w:r>
      <w:r w:rsidR="00BB54D3" w:rsidRPr="00BB54D3">
        <w:t> </w:t>
      </w:r>
      <w:r w:rsidRPr="00BB54D3">
        <w:t xml:space="preserve">38A(1) of the </w:t>
      </w:r>
      <w:r w:rsidRPr="00BB54D3">
        <w:rPr>
          <w:i/>
        </w:rPr>
        <w:t>Australian Security Intelligence Organisation Act 1979</w:t>
      </w:r>
      <w:r w:rsidRPr="00BB54D3">
        <w:t xml:space="preserve"> that is given to the Attorney</w:t>
      </w:r>
      <w:r w:rsidR="00772E5E">
        <w:noBreakHyphen/>
      </w:r>
      <w:r w:rsidRPr="00BB54D3">
        <w:t>General under that Act before the commencement of this item in connection with subsection</w:t>
      </w:r>
      <w:r w:rsidR="00BB54D3" w:rsidRPr="00BB54D3">
        <w:t> </w:t>
      </w:r>
      <w:r w:rsidRPr="00BB54D3">
        <w:t xml:space="preserve">581(3) of the </w:t>
      </w:r>
      <w:r w:rsidRPr="00BB54D3">
        <w:rPr>
          <w:i/>
        </w:rPr>
        <w:t xml:space="preserve">Telecommunications Act 1997 </w:t>
      </w:r>
      <w:r w:rsidRPr="00BB54D3">
        <w:t xml:space="preserve">has effect on and after that commencement as if it were given in connection with </w:t>
      </w:r>
      <w:r w:rsidR="009C060B" w:rsidRPr="00BB54D3">
        <w:t>s</w:t>
      </w:r>
      <w:r w:rsidRPr="00BB54D3">
        <w:t>ection</w:t>
      </w:r>
      <w:r w:rsidR="00BB54D3" w:rsidRPr="00BB54D3">
        <w:t> </w:t>
      </w:r>
      <w:r w:rsidRPr="00BB54D3">
        <w:t xml:space="preserve">315A of the </w:t>
      </w:r>
      <w:r w:rsidRPr="00BB54D3">
        <w:rPr>
          <w:i/>
        </w:rPr>
        <w:t>Telecommunications Act 1997</w:t>
      </w:r>
      <w:r w:rsidRPr="00BB54D3">
        <w:t>.</w:t>
      </w:r>
    </w:p>
    <w:p w:rsidR="007F169B" w:rsidRDefault="001D0007" w:rsidP="00BB54D3">
      <w:pPr>
        <w:pStyle w:val="Subitem"/>
      </w:pPr>
      <w:r w:rsidRPr="00BB54D3">
        <w:t>(3)</w:t>
      </w:r>
      <w:r w:rsidRPr="00BB54D3">
        <w:tab/>
      </w:r>
      <w:r w:rsidR="00BB54D3" w:rsidRPr="00BB54D3">
        <w:t>Paragraph (</w:t>
      </w:r>
      <w:r w:rsidRPr="00BB54D3">
        <w:t>daa) of Schedule</w:t>
      </w:r>
      <w:r w:rsidR="00BB54D3" w:rsidRPr="00BB54D3">
        <w:t> </w:t>
      </w:r>
      <w:r w:rsidRPr="00BB54D3">
        <w:t xml:space="preserve">1 to the </w:t>
      </w:r>
      <w:r w:rsidRPr="00BB54D3">
        <w:rPr>
          <w:i/>
        </w:rPr>
        <w:t>Administrative Decisions (Judicial Review) Act 1977</w:t>
      </w:r>
      <w:r w:rsidRPr="00BB54D3">
        <w:t>, as in force immediately before the commencement of this item, continues to apply on and after that commencement in relation to a decision of the Attorney</w:t>
      </w:r>
      <w:r w:rsidR="00772E5E">
        <w:noBreakHyphen/>
      </w:r>
      <w:r w:rsidRPr="00BB54D3">
        <w:t>General under subsection</w:t>
      </w:r>
      <w:r w:rsidR="00BB54D3" w:rsidRPr="00BB54D3">
        <w:t> </w:t>
      </w:r>
      <w:r w:rsidRPr="00BB54D3">
        <w:t xml:space="preserve">581(3) of the </w:t>
      </w:r>
      <w:r w:rsidRPr="00BB54D3">
        <w:rPr>
          <w:i/>
        </w:rPr>
        <w:t>Telecommunications Act 1997</w:t>
      </w:r>
      <w:r w:rsidRPr="00BB54D3">
        <w:t xml:space="preserve"> made before that commencement.</w:t>
      </w:r>
    </w:p>
    <w:p w:rsidR="00805365" w:rsidRDefault="00805365" w:rsidP="00805365"/>
    <w:p w:rsidR="00805365" w:rsidRDefault="00805365" w:rsidP="00805365">
      <w:pPr>
        <w:pStyle w:val="AssentBk"/>
        <w:keepNext/>
      </w:pPr>
    </w:p>
    <w:p w:rsidR="00805365" w:rsidRDefault="00805365" w:rsidP="00805365">
      <w:pPr>
        <w:pStyle w:val="AssentBk"/>
        <w:keepNext/>
      </w:pPr>
    </w:p>
    <w:p w:rsidR="00805365" w:rsidRDefault="00805365" w:rsidP="00805365">
      <w:pPr>
        <w:pStyle w:val="2ndRd"/>
        <w:keepNext/>
        <w:pBdr>
          <w:top w:val="single" w:sz="2" w:space="1" w:color="auto"/>
        </w:pBdr>
      </w:pPr>
    </w:p>
    <w:p w:rsidR="00805365" w:rsidRDefault="00805365" w:rsidP="000C5962">
      <w:pPr>
        <w:pStyle w:val="2ndRd"/>
        <w:keepNext/>
        <w:spacing w:line="260" w:lineRule="atLeast"/>
        <w:rPr>
          <w:i/>
        </w:rPr>
      </w:pPr>
      <w:r>
        <w:t>[</w:t>
      </w:r>
      <w:r>
        <w:rPr>
          <w:i/>
        </w:rPr>
        <w:t>Minister’s second reading speech made in—</w:t>
      </w:r>
    </w:p>
    <w:p w:rsidR="00805365" w:rsidRDefault="00805365" w:rsidP="000C5962">
      <w:pPr>
        <w:pStyle w:val="2ndRd"/>
        <w:keepNext/>
        <w:spacing w:line="260" w:lineRule="atLeast"/>
      </w:pPr>
      <w:r>
        <w:rPr>
          <w:i/>
        </w:rPr>
        <w:t>Senate on 9 November 2016</w:t>
      </w:r>
    </w:p>
    <w:p w:rsidR="00805365" w:rsidRDefault="00805365" w:rsidP="000C5962">
      <w:pPr>
        <w:pStyle w:val="2ndRd"/>
        <w:keepNext/>
        <w:spacing w:line="260" w:lineRule="atLeast"/>
        <w:rPr>
          <w:i/>
        </w:rPr>
      </w:pPr>
      <w:r>
        <w:rPr>
          <w:i/>
        </w:rPr>
        <w:t>House of Representatives on 13 September 2017</w:t>
      </w:r>
      <w:r>
        <w:t>]</w:t>
      </w:r>
    </w:p>
    <w:p w:rsidR="00805365" w:rsidRDefault="00805365" w:rsidP="000C5962"/>
    <w:p w:rsidR="007F169B" w:rsidRPr="00805365" w:rsidRDefault="00805365" w:rsidP="00805365">
      <w:pPr>
        <w:framePr w:hSpace="180" w:wrap="around" w:vAnchor="text" w:hAnchor="page" w:x="2371" w:y="3042"/>
      </w:pPr>
      <w:r>
        <w:t>(171/16)</w:t>
      </w:r>
    </w:p>
    <w:p w:rsidR="00805365" w:rsidRDefault="00805365"/>
    <w:sectPr w:rsidR="00805365" w:rsidSect="007F169B">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93" w:rsidRDefault="00B04B93" w:rsidP="0048364F">
      <w:pPr>
        <w:spacing w:line="240" w:lineRule="auto"/>
      </w:pPr>
      <w:r>
        <w:separator/>
      </w:r>
    </w:p>
  </w:endnote>
  <w:endnote w:type="continuationSeparator" w:id="0">
    <w:p w:rsidR="00B04B93" w:rsidRDefault="00B04B9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5F1388" w:rsidRDefault="00B04B93" w:rsidP="00BB54D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65" w:rsidRDefault="00805365" w:rsidP="007517B8">
    <w:pPr>
      <w:pStyle w:val="ScalePlusRef"/>
    </w:pPr>
    <w:r>
      <w:t>Note: An electronic version of this Act is available on the Federal Register of Legislation (</w:t>
    </w:r>
    <w:hyperlink r:id="rId1" w:history="1">
      <w:r>
        <w:t>https://www.legislation.gov.au/</w:t>
      </w:r>
    </w:hyperlink>
    <w:r>
      <w:t>)</w:t>
    </w:r>
  </w:p>
  <w:p w:rsidR="00805365" w:rsidRDefault="00805365" w:rsidP="007517B8"/>
  <w:p w:rsidR="00805365" w:rsidRDefault="00805365" w:rsidP="007517B8"/>
  <w:p w:rsidR="00B04B93" w:rsidRDefault="00B04B93" w:rsidP="00BB54D3">
    <w:pPr>
      <w:pStyle w:val="Footer"/>
      <w:spacing w:before="120"/>
    </w:pPr>
  </w:p>
  <w:p w:rsidR="00B04B93" w:rsidRPr="005F1388" w:rsidRDefault="00B04B93" w:rsidP="004413EE">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ED79B6" w:rsidRDefault="00B04B93" w:rsidP="00BB54D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Default="00B04B93" w:rsidP="00BB54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04B93" w:rsidTr="00B04B93">
      <w:tc>
        <w:tcPr>
          <w:tcW w:w="646" w:type="dxa"/>
        </w:tcPr>
        <w:p w:rsidR="00B04B93" w:rsidRDefault="00B04B93" w:rsidP="00B04B9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7D71">
            <w:rPr>
              <w:i/>
              <w:noProof/>
              <w:sz w:val="18"/>
            </w:rPr>
            <w:t>xxx</w:t>
          </w:r>
          <w:r w:rsidRPr="00ED79B6">
            <w:rPr>
              <w:i/>
              <w:sz w:val="18"/>
            </w:rPr>
            <w:fldChar w:fldCharType="end"/>
          </w:r>
        </w:p>
      </w:tc>
      <w:tc>
        <w:tcPr>
          <w:tcW w:w="5387" w:type="dxa"/>
        </w:tcPr>
        <w:p w:rsidR="00B04B93" w:rsidRDefault="00B04B93" w:rsidP="00B04B9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7D71">
            <w:rPr>
              <w:i/>
              <w:sz w:val="18"/>
            </w:rPr>
            <w:t>Telecommunications and Other Legislation Amendment Act 2017</w:t>
          </w:r>
          <w:r w:rsidRPr="00ED79B6">
            <w:rPr>
              <w:i/>
              <w:sz w:val="18"/>
            </w:rPr>
            <w:fldChar w:fldCharType="end"/>
          </w:r>
        </w:p>
      </w:tc>
      <w:tc>
        <w:tcPr>
          <w:tcW w:w="1270" w:type="dxa"/>
        </w:tcPr>
        <w:p w:rsidR="00B04B93" w:rsidRDefault="00B04B93" w:rsidP="00B04B9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7D71">
            <w:rPr>
              <w:i/>
              <w:sz w:val="18"/>
            </w:rPr>
            <w:t>No. 111, 2017</w:t>
          </w:r>
          <w:r w:rsidRPr="00ED79B6">
            <w:rPr>
              <w:i/>
              <w:sz w:val="18"/>
            </w:rPr>
            <w:fldChar w:fldCharType="end"/>
          </w:r>
        </w:p>
      </w:tc>
    </w:tr>
  </w:tbl>
  <w:p w:rsidR="00B04B93" w:rsidRDefault="00B04B93" w:rsidP="004413E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Default="00B04B93" w:rsidP="00BB54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04B93" w:rsidTr="00B04B93">
      <w:tc>
        <w:tcPr>
          <w:tcW w:w="1247" w:type="dxa"/>
        </w:tcPr>
        <w:p w:rsidR="00B04B93" w:rsidRDefault="00B04B93" w:rsidP="00B04B9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E7D71">
            <w:rPr>
              <w:i/>
              <w:sz w:val="18"/>
            </w:rPr>
            <w:t>No. 111, 2017</w:t>
          </w:r>
          <w:r w:rsidRPr="00ED79B6">
            <w:rPr>
              <w:i/>
              <w:sz w:val="18"/>
            </w:rPr>
            <w:fldChar w:fldCharType="end"/>
          </w:r>
        </w:p>
      </w:tc>
      <w:tc>
        <w:tcPr>
          <w:tcW w:w="5387" w:type="dxa"/>
        </w:tcPr>
        <w:p w:rsidR="00B04B93" w:rsidRDefault="00B04B93" w:rsidP="00B04B9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E7D71">
            <w:rPr>
              <w:i/>
              <w:sz w:val="18"/>
            </w:rPr>
            <w:t>Telecommunications and Other Legislation Amendment Act 2017</w:t>
          </w:r>
          <w:r w:rsidRPr="00ED79B6">
            <w:rPr>
              <w:i/>
              <w:sz w:val="18"/>
            </w:rPr>
            <w:fldChar w:fldCharType="end"/>
          </w:r>
        </w:p>
      </w:tc>
      <w:tc>
        <w:tcPr>
          <w:tcW w:w="669" w:type="dxa"/>
        </w:tcPr>
        <w:p w:rsidR="00B04B93" w:rsidRDefault="00B04B93" w:rsidP="00B04B9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E7D71">
            <w:rPr>
              <w:i/>
              <w:noProof/>
              <w:sz w:val="18"/>
            </w:rPr>
            <w:t>i</w:t>
          </w:r>
          <w:r w:rsidRPr="00ED79B6">
            <w:rPr>
              <w:i/>
              <w:sz w:val="18"/>
            </w:rPr>
            <w:fldChar w:fldCharType="end"/>
          </w:r>
        </w:p>
      </w:tc>
    </w:tr>
  </w:tbl>
  <w:p w:rsidR="00B04B93" w:rsidRPr="00ED79B6" w:rsidRDefault="00B04B93" w:rsidP="004413EE">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A961C4" w:rsidRDefault="00B04B93" w:rsidP="00BB54D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04B93" w:rsidTr="000F7E56">
      <w:tc>
        <w:tcPr>
          <w:tcW w:w="646" w:type="dxa"/>
        </w:tcPr>
        <w:p w:rsidR="00B04B93" w:rsidRDefault="00B04B93" w:rsidP="00B04B9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E7D71">
            <w:rPr>
              <w:i/>
              <w:noProof/>
              <w:sz w:val="18"/>
            </w:rPr>
            <w:t>30</w:t>
          </w:r>
          <w:r w:rsidRPr="007A1328">
            <w:rPr>
              <w:i/>
              <w:sz w:val="18"/>
            </w:rPr>
            <w:fldChar w:fldCharType="end"/>
          </w:r>
        </w:p>
      </w:tc>
      <w:tc>
        <w:tcPr>
          <w:tcW w:w="5387" w:type="dxa"/>
        </w:tcPr>
        <w:p w:rsidR="00B04B93" w:rsidRDefault="00B04B93" w:rsidP="00B04B9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7D71">
            <w:rPr>
              <w:i/>
              <w:sz w:val="18"/>
            </w:rPr>
            <w:t>Telecommunications and Other Legislation Amendment Act 2017</w:t>
          </w:r>
          <w:r w:rsidRPr="007A1328">
            <w:rPr>
              <w:i/>
              <w:sz w:val="18"/>
            </w:rPr>
            <w:fldChar w:fldCharType="end"/>
          </w:r>
        </w:p>
      </w:tc>
      <w:tc>
        <w:tcPr>
          <w:tcW w:w="1270" w:type="dxa"/>
        </w:tcPr>
        <w:p w:rsidR="00B04B93" w:rsidRDefault="00B04B93" w:rsidP="00B04B9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7D71">
            <w:rPr>
              <w:i/>
              <w:sz w:val="18"/>
            </w:rPr>
            <w:t>No. 111, 2017</w:t>
          </w:r>
          <w:r w:rsidRPr="007A1328">
            <w:rPr>
              <w:i/>
              <w:sz w:val="18"/>
            </w:rPr>
            <w:fldChar w:fldCharType="end"/>
          </w:r>
        </w:p>
      </w:tc>
    </w:tr>
  </w:tbl>
  <w:p w:rsidR="00B04B93" w:rsidRPr="00A961C4" w:rsidRDefault="00B04B93" w:rsidP="004413E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A961C4" w:rsidRDefault="00B04B93" w:rsidP="00BB54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04B93" w:rsidTr="000F7E56">
      <w:tc>
        <w:tcPr>
          <w:tcW w:w="1247" w:type="dxa"/>
        </w:tcPr>
        <w:p w:rsidR="00B04B93" w:rsidRDefault="00B04B93" w:rsidP="00B04B9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7D71">
            <w:rPr>
              <w:i/>
              <w:sz w:val="18"/>
            </w:rPr>
            <w:t>No. 111, 2017</w:t>
          </w:r>
          <w:r w:rsidRPr="007A1328">
            <w:rPr>
              <w:i/>
              <w:sz w:val="18"/>
            </w:rPr>
            <w:fldChar w:fldCharType="end"/>
          </w:r>
        </w:p>
      </w:tc>
      <w:tc>
        <w:tcPr>
          <w:tcW w:w="5387" w:type="dxa"/>
        </w:tcPr>
        <w:p w:rsidR="00B04B93" w:rsidRDefault="00B04B93" w:rsidP="00B04B9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7D71">
            <w:rPr>
              <w:i/>
              <w:sz w:val="18"/>
            </w:rPr>
            <w:t>Telecommunications and Other Legislation Amendment Act 2017</w:t>
          </w:r>
          <w:r w:rsidRPr="007A1328">
            <w:rPr>
              <w:i/>
              <w:sz w:val="18"/>
            </w:rPr>
            <w:fldChar w:fldCharType="end"/>
          </w:r>
        </w:p>
      </w:tc>
      <w:tc>
        <w:tcPr>
          <w:tcW w:w="669" w:type="dxa"/>
        </w:tcPr>
        <w:p w:rsidR="00B04B93" w:rsidRDefault="00B04B93" w:rsidP="00B04B9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E7D71">
            <w:rPr>
              <w:i/>
              <w:noProof/>
              <w:sz w:val="18"/>
            </w:rPr>
            <w:t>29</w:t>
          </w:r>
          <w:r w:rsidRPr="007A1328">
            <w:rPr>
              <w:i/>
              <w:sz w:val="18"/>
            </w:rPr>
            <w:fldChar w:fldCharType="end"/>
          </w:r>
        </w:p>
      </w:tc>
    </w:tr>
  </w:tbl>
  <w:p w:rsidR="00B04B93" w:rsidRPr="00055B5C" w:rsidRDefault="00B04B93" w:rsidP="004413E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A961C4" w:rsidRDefault="00B04B93" w:rsidP="00BB54D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04B93" w:rsidTr="000F7E56">
      <w:tc>
        <w:tcPr>
          <w:tcW w:w="1247" w:type="dxa"/>
        </w:tcPr>
        <w:p w:rsidR="00B04B93" w:rsidRDefault="00B04B93" w:rsidP="00B04B9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E7D71">
            <w:rPr>
              <w:i/>
              <w:sz w:val="18"/>
            </w:rPr>
            <w:t>No. 111, 2017</w:t>
          </w:r>
          <w:r w:rsidRPr="007A1328">
            <w:rPr>
              <w:i/>
              <w:sz w:val="18"/>
            </w:rPr>
            <w:fldChar w:fldCharType="end"/>
          </w:r>
        </w:p>
      </w:tc>
      <w:tc>
        <w:tcPr>
          <w:tcW w:w="5387" w:type="dxa"/>
        </w:tcPr>
        <w:p w:rsidR="00B04B93" w:rsidRDefault="00B04B93" w:rsidP="00B04B9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E7D71">
            <w:rPr>
              <w:i/>
              <w:sz w:val="18"/>
            </w:rPr>
            <w:t>Telecommunications and Other Legislation Amendment Act 2017</w:t>
          </w:r>
          <w:r w:rsidRPr="007A1328">
            <w:rPr>
              <w:i/>
              <w:sz w:val="18"/>
            </w:rPr>
            <w:fldChar w:fldCharType="end"/>
          </w:r>
        </w:p>
      </w:tc>
      <w:tc>
        <w:tcPr>
          <w:tcW w:w="669" w:type="dxa"/>
        </w:tcPr>
        <w:p w:rsidR="00B04B93" w:rsidRDefault="00B04B93" w:rsidP="00B04B9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E7D71">
            <w:rPr>
              <w:i/>
              <w:noProof/>
              <w:sz w:val="18"/>
            </w:rPr>
            <w:t>1</w:t>
          </w:r>
          <w:r w:rsidRPr="007A1328">
            <w:rPr>
              <w:i/>
              <w:sz w:val="18"/>
            </w:rPr>
            <w:fldChar w:fldCharType="end"/>
          </w:r>
        </w:p>
      </w:tc>
    </w:tr>
  </w:tbl>
  <w:p w:rsidR="00B04B93" w:rsidRPr="00A961C4" w:rsidRDefault="00B04B93" w:rsidP="004413EE">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93" w:rsidRDefault="00B04B93" w:rsidP="0048364F">
      <w:pPr>
        <w:spacing w:line="240" w:lineRule="auto"/>
      </w:pPr>
      <w:r>
        <w:separator/>
      </w:r>
    </w:p>
  </w:footnote>
  <w:footnote w:type="continuationSeparator" w:id="0">
    <w:p w:rsidR="00B04B93" w:rsidRDefault="00B04B9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5F1388" w:rsidRDefault="00B04B93" w:rsidP="004413EE">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5F1388" w:rsidRDefault="00B04B93" w:rsidP="004413EE">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5F1388" w:rsidRDefault="00B04B93" w:rsidP="004413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ED79B6" w:rsidRDefault="00B04B93" w:rsidP="004413E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ED79B6" w:rsidRDefault="00B04B93" w:rsidP="004413E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ED79B6" w:rsidRDefault="00B04B93" w:rsidP="004413E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A961C4" w:rsidRDefault="00B04B93" w:rsidP="004413EE">
    <w:pPr>
      <w:rPr>
        <w:b/>
        <w:sz w:val="20"/>
      </w:rPr>
    </w:pPr>
    <w:r>
      <w:rPr>
        <w:b/>
        <w:sz w:val="20"/>
      </w:rPr>
      <w:fldChar w:fldCharType="begin"/>
    </w:r>
    <w:r>
      <w:rPr>
        <w:b/>
        <w:sz w:val="20"/>
      </w:rPr>
      <w:instrText xml:space="preserve"> STYLEREF CharAmSchNo </w:instrText>
    </w:r>
    <w:r w:rsidR="001E7D71">
      <w:rPr>
        <w:b/>
        <w:sz w:val="20"/>
      </w:rPr>
      <w:fldChar w:fldCharType="separate"/>
    </w:r>
    <w:r w:rsidR="001E7D7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E7D71">
      <w:rPr>
        <w:sz w:val="20"/>
      </w:rPr>
      <w:fldChar w:fldCharType="separate"/>
    </w:r>
    <w:r w:rsidR="001E7D71">
      <w:rPr>
        <w:noProof/>
        <w:sz w:val="20"/>
      </w:rPr>
      <w:t>Amendments</w:t>
    </w:r>
    <w:r>
      <w:rPr>
        <w:sz w:val="20"/>
      </w:rPr>
      <w:fldChar w:fldCharType="end"/>
    </w:r>
  </w:p>
  <w:p w:rsidR="00B04B93" w:rsidRPr="00A961C4" w:rsidRDefault="00B04B93" w:rsidP="004413EE">
    <w:pPr>
      <w:rPr>
        <w:b/>
        <w:sz w:val="20"/>
      </w:rPr>
    </w:pPr>
    <w:r>
      <w:rPr>
        <w:b/>
        <w:sz w:val="20"/>
      </w:rPr>
      <w:fldChar w:fldCharType="begin"/>
    </w:r>
    <w:r>
      <w:rPr>
        <w:b/>
        <w:sz w:val="20"/>
      </w:rPr>
      <w:instrText xml:space="preserve"> STYLEREF CharAmPartNo </w:instrText>
    </w:r>
    <w:r w:rsidR="001E7D71">
      <w:rPr>
        <w:b/>
        <w:sz w:val="20"/>
      </w:rPr>
      <w:fldChar w:fldCharType="separate"/>
    </w:r>
    <w:r w:rsidR="001E7D71">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E7D71">
      <w:rPr>
        <w:sz w:val="20"/>
      </w:rPr>
      <w:fldChar w:fldCharType="separate"/>
    </w:r>
    <w:r w:rsidR="001E7D71">
      <w:rPr>
        <w:noProof/>
        <w:sz w:val="20"/>
      </w:rPr>
      <w:t>Transitional and saving provisions</w:t>
    </w:r>
    <w:r>
      <w:rPr>
        <w:sz w:val="20"/>
      </w:rPr>
      <w:fldChar w:fldCharType="end"/>
    </w:r>
  </w:p>
  <w:p w:rsidR="00B04B93" w:rsidRPr="00A961C4" w:rsidRDefault="00B04B93" w:rsidP="004413E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A961C4" w:rsidRDefault="00B04B93" w:rsidP="004413EE">
    <w:pPr>
      <w:jc w:val="right"/>
      <w:rPr>
        <w:sz w:val="20"/>
      </w:rPr>
    </w:pPr>
    <w:r w:rsidRPr="00A961C4">
      <w:rPr>
        <w:sz w:val="20"/>
      </w:rPr>
      <w:fldChar w:fldCharType="begin"/>
    </w:r>
    <w:r w:rsidRPr="00A961C4">
      <w:rPr>
        <w:sz w:val="20"/>
      </w:rPr>
      <w:instrText xml:space="preserve"> STYLEREF CharAmSchText </w:instrText>
    </w:r>
    <w:r w:rsidR="001E7D71">
      <w:rPr>
        <w:sz w:val="20"/>
      </w:rPr>
      <w:fldChar w:fldCharType="separate"/>
    </w:r>
    <w:r w:rsidR="001E7D7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E7D71">
      <w:rPr>
        <w:b/>
        <w:sz w:val="20"/>
      </w:rPr>
      <w:fldChar w:fldCharType="separate"/>
    </w:r>
    <w:r w:rsidR="001E7D71">
      <w:rPr>
        <w:b/>
        <w:noProof/>
        <w:sz w:val="20"/>
      </w:rPr>
      <w:t>Schedule 1</w:t>
    </w:r>
    <w:r>
      <w:rPr>
        <w:b/>
        <w:sz w:val="20"/>
      </w:rPr>
      <w:fldChar w:fldCharType="end"/>
    </w:r>
  </w:p>
  <w:p w:rsidR="00B04B93" w:rsidRPr="00A961C4" w:rsidRDefault="00B04B93" w:rsidP="004413EE">
    <w:pPr>
      <w:jc w:val="right"/>
      <w:rPr>
        <w:b/>
        <w:sz w:val="20"/>
      </w:rPr>
    </w:pPr>
    <w:r w:rsidRPr="00A961C4">
      <w:rPr>
        <w:sz w:val="20"/>
      </w:rPr>
      <w:fldChar w:fldCharType="begin"/>
    </w:r>
    <w:r w:rsidRPr="00A961C4">
      <w:rPr>
        <w:sz w:val="20"/>
      </w:rPr>
      <w:instrText xml:space="preserve"> STYLEREF CharAmPartText </w:instrText>
    </w:r>
    <w:r w:rsidR="001E7D71">
      <w:rPr>
        <w:sz w:val="20"/>
      </w:rPr>
      <w:fldChar w:fldCharType="separate"/>
    </w:r>
    <w:r w:rsidR="001E7D71">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E7D71">
      <w:rPr>
        <w:b/>
        <w:sz w:val="20"/>
      </w:rPr>
      <w:fldChar w:fldCharType="separate"/>
    </w:r>
    <w:r w:rsidR="001E7D71">
      <w:rPr>
        <w:b/>
        <w:noProof/>
        <w:sz w:val="20"/>
      </w:rPr>
      <w:t>Part 2</w:t>
    </w:r>
    <w:r w:rsidRPr="00A961C4">
      <w:rPr>
        <w:b/>
        <w:sz w:val="20"/>
      </w:rPr>
      <w:fldChar w:fldCharType="end"/>
    </w:r>
  </w:p>
  <w:p w:rsidR="00B04B93" w:rsidRPr="00A961C4" w:rsidRDefault="00B04B93" w:rsidP="004413E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93" w:rsidRPr="00A961C4" w:rsidRDefault="00B04B93" w:rsidP="004413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30"/>
    <w:rsid w:val="00001DB0"/>
    <w:rsid w:val="000051C6"/>
    <w:rsid w:val="00010FA7"/>
    <w:rsid w:val="000110EB"/>
    <w:rsid w:val="000113BC"/>
    <w:rsid w:val="0001161F"/>
    <w:rsid w:val="000136AF"/>
    <w:rsid w:val="0001727C"/>
    <w:rsid w:val="000207A0"/>
    <w:rsid w:val="00021426"/>
    <w:rsid w:val="00022283"/>
    <w:rsid w:val="000222A5"/>
    <w:rsid w:val="000222E5"/>
    <w:rsid w:val="00023493"/>
    <w:rsid w:val="00027D6D"/>
    <w:rsid w:val="00030C2D"/>
    <w:rsid w:val="0003192C"/>
    <w:rsid w:val="000329AC"/>
    <w:rsid w:val="00033588"/>
    <w:rsid w:val="00033DB2"/>
    <w:rsid w:val="00034399"/>
    <w:rsid w:val="00034815"/>
    <w:rsid w:val="00035F6F"/>
    <w:rsid w:val="0004365E"/>
    <w:rsid w:val="00044C13"/>
    <w:rsid w:val="00045F62"/>
    <w:rsid w:val="00046034"/>
    <w:rsid w:val="0004669D"/>
    <w:rsid w:val="00051C0C"/>
    <w:rsid w:val="000537DE"/>
    <w:rsid w:val="00057265"/>
    <w:rsid w:val="000614BF"/>
    <w:rsid w:val="000649E7"/>
    <w:rsid w:val="00064D0D"/>
    <w:rsid w:val="0006544A"/>
    <w:rsid w:val="00065955"/>
    <w:rsid w:val="00065BFC"/>
    <w:rsid w:val="00066CC8"/>
    <w:rsid w:val="00070863"/>
    <w:rsid w:val="0007103D"/>
    <w:rsid w:val="00076B27"/>
    <w:rsid w:val="00077B5A"/>
    <w:rsid w:val="0008001A"/>
    <w:rsid w:val="0008012F"/>
    <w:rsid w:val="00080411"/>
    <w:rsid w:val="00082233"/>
    <w:rsid w:val="00082DB0"/>
    <w:rsid w:val="00085981"/>
    <w:rsid w:val="000862C0"/>
    <w:rsid w:val="0008739D"/>
    <w:rsid w:val="00087F3D"/>
    <w:rsid w:val="00090939"/>
    <w:rsid w:val="00092BD4"/>
    <w:rsid w:val="00094E06"/>
    <w:rsid w:val="00096431"/>
    <w:rsid w:val="000A05C6"/>
    <w:rsid w:val="000A0DB4"/>
    <w:rsid w:val="000A1AE2"/>
    <w:rsid w:val="000A54D8"/>
    <w:rsid w:val="000A73E1"/>
    <w:rsid w:val="000A76AA"/>
    <w:rsid w:val="000A79FF"/>
    <w:rsid w:val="000B3A46"/>
    <w:rsid w:val="000B5A43"/>
    <w:rsid w:val="000B5B68"/>
    <w:rsid w:val="000B5E3F"/>
    <w:rsid w:val="000B65E7"/>
    <w:rsid w:val="000D05EF"/>
    <w:rsid w:val="000D1073"/>
    <w:rsid w:val="000D3695"/>
    <w:rsid w:val="000D65D3"/>
    <w:rsid w:val="000E2B39"/>
    <w:rsid w:val="000E4A8D"/>
    <w:rsid w:val="000E5517"/>
    <w:rsid w:val="000E630F"/>
    <w:rsid w:val="000F21C1"/>
    <w:rsid w:val="000F6334"/>
    <w:rsid w:val="000F6B83"/>
    <w:rsid w:val="000F7E56"/>
    <w:rsid w:val="00100B3B"/>
    <w:rsid w:val="00101B0C"/>
    <w:rsid w:val="00101DB7"/>
    <w:rsid w:val="00102468"/>
    <w:rsid w:val="001052D6"/>
    <w:rsid w:val="00105816"/>
    <w:rsid w:val="0010745C"/>
    <w:rsid w:val="00112F25"/>
    <w:rsid w:val="00116A83"/>
    <w:rsid w:val="001174BC"/>
    <w:rsid w:val="001176A4"/>
    <w:rsid w:val="00117976"/>
    <w:rsid w:val="00117F89"/>
    <w:rsid w:val="001206B8"/>
    <w:rsid w:val="0012170F"/>
    <w:rsid w:val="00127587"/>
    <w:rsid w:val="00127946"/>
    <w:rsid w:val="001300AB"/>
    <w:rsid w:val="00134948"/>
    <w:rsid w:val="00140846"/>
    <w:rsid w:val="0014431E"/>
    <w:rsid w:val="00145D47"/>
    <w:rsid w:val="00147AAD"/>
    <w:rsid w:val="00150471"/>
    <w:rsid w:val="00152F52"/>
    <w:rsid w:val="0016076D"/>
    <w:rsid w:val="00160DA7"/>
    <w:rsid w:val="00161F69"/>
    <w:rsid w:val="001627A0"/>
    <w:rsid w:val="0016285D"/>
    <w:rsid w:val="001642B9"/>
    <w:rsid w:val="001643C9"/>
    <w:rsid w:val="00165568"/>
    <w:rsid w:val="00166026"/>
    <w:rsid w:val="001665EF"/>
    <w:rsid w:val="00166C2F"/>
    <w:rsid w:val="001670E3"/>
    <w:rsid w:val="00170881"/>
    <w:rsid w:val="001716C9"/>
    <w:rsid w:val="001776C4"/>
    <w:rsid w:val="0018034B"/>
    <w:rsid w:val="001819E6"/>
    <w:rsid w:val="00182251"/>
    <w:rsid w:val="00182C78"/>
    <w:rsid w:val="00182CE1"/>
    <w:rsid w:val="00183B18"/>
    <w:rsid w:val="001843A1"/>
    <w:rsid w:val="00185DE4"/>
    <w:rsid w:val="00191634"/>
    <w:rsid w:val="00192B48"/>
    <w:rsid w:val="001939E1"/>
    <w:rsid w:val="00193DB6"/>
    <w:rsid w:val="00194702"/>
    <w:rsid w:val="001951F2"/>
    <w:rsid w:val="00195382"/>
    <w:rsid w:val="00195A0F"/>
    <w:rsid w:val="001969D5"/>
    <w:rsid w:val="001A6635"/>
    <w:rsid w:val="001B0EB5"/>
    <w:rsid w:val="001B189A"/>
    <w:rsid w:val="001B1CB6"/>
    <w:rsid w:val="001B2D32"/>
    <w:rsid w:val="001B4449"/>
    <w:rsid w:val="001B7A5D"/>
    <w:rsid w:val="001C100B"/>
    <w:rsid w:val="001C69C4"/>
    <w:rsid w:val="001D0007"/>
    <w:rsid w:val="001D007B"/>
    <w:rsid w:val="001D1671"/>
    <w:rsid w:val="001D4A0C"/>
    <w:rsid w:val="001D4C35"/>
    <w:rsid w:val="001D6096"/>
    <w:rsid w:val="001E0449"/>
    <w:rsid w:val="001E0946"/>
    <w:rsid w:val="001E113D"/>
    <w:rsid w:val="001E2D66"/>
    <w:rsid w:val="001E3590"/>
    <w:rsid w:val="001E40EF"/>
    <w:rsid w:val="001E5159"/>
    <w:rsid w:val="001E64AE"/>
    <w:rsid w:val="001E7407"/>
    <w:rsid w:val="001E7AD3"/>
    <w:rsid w:val="001E7D71"/>
    <w:rsid w:val="001F15BC"/>
    <w:rsid w:val="001F1715"/>
    <w:rsid w:val="001F2BEA"/>
    <w:rsid w:val="001F7EB9"/>
    <w:rsid w:val="00201D27"/>
    <w:rsid w:val="002025F2"/>
    <w:rsid w:val="00202BAC"/>
    <w:rsid w:val="00203318"/>
    <w:rsid w:val="00203525"/>
    <w:rsid w:val="0020371F"/>
    <w:rsid w:val="00207D53"/>
    <w:rsid w:val="002160CA"/>
    <w:rsid w:val="0021636C"/>
    <w:rsid w:val="00217762"/>
    <w:rsid w:val="00221ECC"/>
    <w:rsid w:val="00222C0B"/>
    <w:rsid w:val="00223B5C"/>
    <w:rsid w:val="00227751"/>
    <w:rsid w:val="00227D53"/>
    <w:rsid w:val="00232662"/>
    <w:rsid w:val="00232DF2"/>
    <w:rsid w:val="00233CE3"/>
    <w:rsid w:val="0023712A"/>
    <w:rsid w:val="00240015"/>
    <w:rsid w:val="002405CB"/>
    <w:rsid w:val="00240749"/>
    <w:rsid w:val="0024184E"/>
    <w:rsid w:val="00243C52"/>
    <w:rsid w:val="0024595E"/>
    <w:rsid w:val="0025133A"/>
    <w:rsid w:val="002519B4"/>
    <w:rsid w:val="00253523"/>
    <w:rsid w:val="00255E9F"/>
    <w:rsid w:val="00256AD6"/>
    <w:rsid w:val="00256B25"/>
    <w:rsid w:val="00260CD6"/>
    <w:rsid w:val="00262622"/>
    <w:rsid w:val="00263118"/>
    <w:rsid w:val="002662FC"/>
    <w:rsid w:val="00267AC7"/>
    <w:rsid w:val="00270294"/>
    <w:rsid w:val="00270D31"/>
    <w:rsid w:val="002741BB"/>
    <w:rsid w:val="00277582"/>
    <w:rsid w:val="00277771"/>
    <w:rsid w:val="0028069C"/>
    <w:rsid w:val="00281DFE"/>
    <w:rsid w:val="00282714"/>
    <w:rsid w:val="00282CFF"/>
    <w:rsid w:val="00287BC4"/>
    <w:rsid w:val="00292CAB"/>
    <w:rsid w:val="00297ECB"/>
    <w:rsid w:val="002A0F35"/>
    <w:rsid w:val="002A12FB"/>
    <w:rsid w:val="002A201E"/>
    <w:rsid w:val="002A248A"/>
    <w:rsid w:val="002A2858"/>
    <w:rsid w:val="002A2DB4"/>
    <w:rsid w:val="002A3FD1"/>
    <w:rsid w:val="002A4A11"/>
    <w:rsid w:val="002A4C8D"/>
    <w:rsid w:val="002A672D"/>
    <w:rsid w:val="002A738C"/>
    <w:rsid w:val="002B1EAA"/>
    <w:rsid w:val="002B6549"/>
    <w:rsid w:val="002B65E1"/>
    <w:rsid w:val="002C034D"/>
    <w:rsid w:val="002C4276"/>
    <w:rsid w:val="002C5FAB"/>
    <w:rsid w:val="002C68DB"/>
    <w:rsid w:val="002D043A"/>
    <w:rsid w:val="002D0D9C"/>
    <w:rsid w:val="002D30BC"/>
    <w:rsid w:val="002D312F"/>
    <w:rsid w:val="002D6351"/>
    <w:rsid w:val="002D6A8F"/>
    <w:rsid w:val="002D6DC7"/>
    <w:rsid w:val="002D7608"/>
    <w:rsid w:val="002E2AC3"/>
    <w:rsid w:val="002E2C65"/>
    <w:rsid w:val="002E354B"/>
    <w:rsid w:val="002E4C5C"/>
    <w:rsid w:val="002E6F03"/>
    <w:rsid w:val="002F04E9"/>
    <w:rsid w:val="002F0A2D"/>
    <w:rsid w:val="002F0FD2"/>
    <w:rsid w:val="002F12D3"/>
    <w:rsid w:val="002F1810"/>
    <w:rsid w:val="002F3541"/>
    <w:rsid w:val="002F48D2"/>
    <w:rsid w:val="002F579F"/>
    <w:rsid w:val="002F762C"/>
    <w:rsid w:val="00301B6B"/>
    <w:rsid w:val="00302D76"/>
    <w:rsid w:val="00303C60"/>
    <w:rsid w:val="003045EC"/>
    <w:rsid w:val="00313D99"/>
    <w:rsid w:val="00313FBF"/>
    <w:rsid w:val="003160B6"/>
    <w:rsid w:val="00322E02"/>
    <w:rsid w:val="00325AA4"/>
    <w:rsid w:val="00325FFF"/>
    <w:rsid w:val="0033261D"/>
    <w:rsid w:val="00333245"/>
    <w:rsid w:val="0033572A"/>
    <w:rsid w:val="0033656F"/>
    <w:rsid w:val="00336911"/>
    <w:rsid w:val="00336D9B"/>
    <w:rsid w:val="00340833"/>
    <w:rsid w:val="003415D3"/>
    <w:rsid w:val="003430BE"/>
    <w:rsid w:val="003435A7"/>
    <w:rsid w:val="00345D42"/>
    <w:rsid w:val="00350778"/>
    <w:rsid w:val="00350DF7"/>
    <w:rsid w:val="00351623"/>
    <w:rsid w:val="003519B8"/>
    <w:rsid w:val="00351CDD"/>
    <w:rsid w:val="00351D8E"/>
    <w:rsid w:val="00352B0F"/>
    <w:rsid w:val="0035468F"/>
    <w:rsid w:val="00360424"/>
    <w:rsid w:val="00361156"/>
    <w:rsid w:val="003621A2"/>
    <w:rsid w:val="003657E9"/>
    <w:rsid w:val="00366542"/>
    <w:rsid w:val="00366ABB"/>
    <w:rsid w:val="00371654"/>
    <w:rsid w:val="00371CB0"/>
    <w:rsid w:val="0037364F"/>
    <w:rsid w:val="00374605"/>
    <w:rsid w:val="00380B8C"/>
    <w:rsid w:val="00384BA2"/>
    <w:rsid w:val="003909E2"/>
    <w:rsid w:val="00390CB1"/>
    <w:rsid w:val="00390FD8"/>
    <w:rsid w:val="00391E3A"/>
    <w:rsid w:val="003924A6"/>
    <w:rsid w:val="0039416F"/>
    <w:rsid w:val="0039527A"/>
    <w:rsid w:val="003A00C6"/>
    <w:rsid w:val="003A43F7"/>
    <w:rsid w:val="003A7A99"/>
    <w:rsid w:val="003B061E"/>
    <w:rsid w:val="003B157E"/>
    <w:rsid w:val="003B419A"/>
    <w:rsid w:val="003B451C"/>
    <w:rsid w:val="003B46BD"/>
    <w:rsid w:val="003C08BA"/>
    <w:rsid w:val="003C5F2B"/>
    <w:rsid w:val="003C7CB7"/>
    <w:rsid w:val="003D08CA"/>
    <w:rsid w:val="003D0A75"/>
    <w:rsid w:val="003D0BFE"/>
    <w:rsid w:val="003D40F9"/>
    <w:rsid w:val="003D470D"/>
    <w:rsid w:val="003D5700"/>
    <w:rsid w:val="003D7429"/>
    <w:rsid w:val="003E06D0"/>
    <w:rsid w:val="003E1A31"/>
    <w:rsid w:val="003E2AAC"/>
    <w:rsid w:val="003E4381"/>
    <w:rsid w:val="003E497A"/>
    <w:rsid w:val="003E6171"/>
    <w:rsid w:val="003E6C3E"/>
    <w:rsid w:val="003E7291"/>
    <w:rsid w:val="003E74F7"/>
    <w:rsid w:val="003E77FC"/>
    <w:rsid w:val="003E7ABE"/>
    <w:rsid w:val="003F08F4"/>
    <w:rsid w:val="003F0ABA"/>
    <w:rsid w:val="003F152D"/>
    <w:rsid w:val="003F3CFF"/>
    <w:rsid w:val="003F5418"/>
    <w:rsid w:val="003F5422"/>
    <w:rsid w:val="003F5D7D"/>
    <w:rsid w:val="003F639B"/>
    <w:rsid w:val="003F69BB"/>
    <w:rsid w:val="003F731B"/>
    <w:rsid w:val="004012BC"/>
    <w:rsid w:val="00403896"/>
    <w:rsid w:val="00410DA9"/>
    <w:rsid w:val="004116CD"/>
    <w:rsid w:val="00411808"/>
    <w:rsid w:val="00413A1B"/>
    <w:rsid w:val="00415278"/>
    <w:rsid w:val="00417783"/>
    <w:rsid w:val="00421256"/>
    <w:rsid w:val="00423308"/>
    <w:rsid w:val="00423CF9"/>
    <w:rsid w:val="00424CA9"/>
    <w:rsid w:val="00425873"/>
    <w:rsid w:val="00425BE2"/>
    <w:rsid w:val="00427C77"/>
    <w:rsid w:val="0043325F"/>
    <w:rsid w:val="00434BA0"/>
    <w:rsid w:val="00435C8E"/>
    <w:rsid w:val="00435E34"/>
    <w:rsid w:val="004403A3"/>
    <w:rsid w:val="004413EE"/>
    <w:rsid w:val="004422D2"/>
    <w:rsid w:val="0044291A"/>
    <w:rsid w:val="00446121"/>
    <w:rsid w:val="00450533"/>
    <w:rsid w:val="00450B0F"/>
    <w:rsid w:val="00451890"/>
    <w:rsid w:val="0045248D"/>
    <w:rsid w:val="00455901"/>
    <w:rsid w:val="004579EA"/>
    <w:rsid w:val="004605B5"/>
    <w:rsid w:val="0046181F"/>
    <w:rsid w:val="00462CD3"/>
    <w:rsid w:val="00463221"/>
    <w:rsid w:val="004649CB"/>
    <w:rsid w:val="004668C8"/>
    <w:rsid w:val="00467E05"/>
    <w:rsid w:val="00470E8A"/>
    <w:rsid w:val="00471E35"/>
    <w:rsid w:val="00474EC9"/>
    <w:rsid w:val="004752F8"/>
    <w:rsid w:val="00477AEB"/>
    <w:rsid w:val="00480295"/>
    <w:rsid w:val="0048364F"/>
    <w:rsid w:val="0048376C"/>
    <w:rsid w:val="00484FF4"/>
    <w:rsid w:val="004858F6"/>
    <w:rsid w:val="0048599A"/>
    <w:rsid w:val="0049248E"/>
    <w:rsid w:val="00492D72"/>
    <w:rsid w:val="0049364A"/>
    <w:rsid w:val="004960F7"/>
    <w:rsid w:val="00496F97"/>
    <w:rsid w:val="004A0423"/>
    <w:rsid w:val="004A0A1A"/>
    <w:rsid w:val="004A1228"/>
    <w:rsid w:val="004A2DF5"/>
    <w:rsid w:val="004B3A8A"/>
    <w:rsid w:val="004B556F"/>
    <w:rsid w:val="004B557B"/>
    <w:rsid w:val="004B5943"/>
    <w:rsid w:val="004B6F80"/>
    <w:rsid w:val="004C1B33"/>
    <w:rsid w:val="004C1BE1"/>
    <w:rsid w:val="004C25A2"/>
    <w:rsid w:val="004C7063"/>
    <w:rsid w:val="004D1A05"/>
    <w:rsid w:val="004D33E3"/>
    <w:rsid w:val="004D445C"/>
    <w:rsid w:val="004D5772"/>
    <w:rsid w:val="004D742F"/>
    <w:rsid w:val="004D7605"/>
    <w:rsid w:val="004E02CF"/>
    <w:rsid w:val="004E04D2"/>
    <w:rsid w:val="004E084A"/>
    <w:rsid w:val="004E1867"/>
    <w:rsid w:val="004E372D"/>
    <w:rsid w:val="004E4C5D"/>
    <w:rsid w:val="004E5951"/>
    <w:rsid w:val="004E6ECE"/>
    <w:rsid w:val="004E7227"/>
    <w:rsid w:val="004E743D"/>
    <w:rsid w:val="004F1FAC"/>
    <w:rsid w:val="004F6F73"/>
    <w:rsid w:val="004F78A2"/>
    <w:rsid w:val="004F7D61"/>
    <w:rsid w:val="00500B28"/>
    <w:rsid w:val="0050194A"/>
    <w:rsid w:val="005021B5"/>
    <w:rsid w:val="0050499C"/>
    <w:rsid w:val="005049D0"/>
    <w:rsid w:val="005055F8"/>
    <w:rsid w:val="0050641A"/>
    <w:rsid w:val="00506C50"/>
    <w:rsid w:val="00506D90"/>
    <w:rsid w:val="00506EFF"/>
    <w:rsid w:val="00516B8D"/>
    <w:rsid w:val="00522D8C"/>
    <w:rsid w:val="00524D53"/>
    <w:rsid w:val="00526D1C"/>
    <w:rsid w:val="0053132A"/>
    <w:rsid w:val="00531BEB"/>
    <w:rsid w:val="0053406D"/>
    <w:rsid w:val="0053565A"/>
    <w:rsid w:val="00537770"/>
    <w:rsid w:val="00537FBC"/>
    <w:rsid w:val="00541C51"/>
    <w:rsid w:val="00542674"/>
    <w:rsid w:val="00543469"/>
    <w:rsid w:val="00543BAA"/>
    <w:rsid w:val="00544141"/>
    <w:rsid w:val="00544159"/>
    <w:rsid w:val="00545DDE"/>
    <w:rsid w:val="005472A9"/>
    <w:rsid w:val="005502A5"/>
    <w:rsid w:val="005521B8"/>
    <w:rsid w:val="00552975"/>
    <w:rsid w:val="0056232B"/>
    <w:rsid w:val="00562FE8"/>
    <w:rsid w:val="00563136"/>
    <w:rsid w:val="00564328"/>
    <w:rsid w:val="005671DD"/>
    <w:rsid w:val="00572BF2"/>
    <w:rsid w:val="00573DFA"/>
    <w:rsid w:val="00575514"/>
    <w:rsid w:val="005761BA"/>
    <w:rsid w:val="005763E5"/>
    <w:rsid w:val="00576C3E"/>
    <w:rsid w:val="00576E3E"/>
    <w:rsid w:val="00580941"/>
    <w:rsid w:val="005812A4"/>
    <w:rsid w:val="00583C7D"/>
    <w:rsid w:val="00584811"/>
    <w:rsid w:val="00585A3E"/>
    <w:rsid w:val="00590239"/>
    <w:rsid w:val="0059035B"/>
    <w:rsid w:val="00591605"/>
    <w:rsid w:val="00593AA6"/>
    <w:rsid w:val="00594161"/>
    <w:rsid w:val="00594749"/>
    <w:rsid w:val="00597408"/>
    <w:rsid w:val="005A1701"/>
    <w:rsid w:val="005A41D8"/>
    <w:rsid w:val="005A48E7"/>
    <w:rsid w:val="005A62ED"/>
    <w:rsid w:val="005A738F"/>
    <w:rsid w:val="005A7CCA"/>
    <w:rsid w:val="005B2143"/>
    <w:rsid w:val="005B2EAD"/>
    <w:rsid w:val="005B3578"/>
    <w:rsid w:val="005B3A23"/>
    <w:rsid w:val="005B3E63"/>
    <w:rsid w:val="005B4067"/>
    <w:rsid w:val="005B5981"/>
    <w:rsid w:val="005B6850"/>
    <w:rsid w:val="005B6C76"/>
    <w:rsid w:val="005B7925"/>
    <w:rsid w:val="005B7F8A"/>
    <w:rsid w:val="005C0E02"/>
    <w:rsid w:val="005C2F8D"/>
    <w:rsid w:val="005C3F41"/>
    <w:rsid w:val="005C3FCA"/>
    <w:rsid w:val="005C4701"/>
    <w:rsid w:val="005C4D4F"/>
    <w:rsid w:val="005C532C"/>
    <w:rsid w:val="005D0A77"/>
    <w:rsid w:val="005D0AA6"/>
    <w:rsid w:val="005D310F"/>
    <w:rsid w:val="005D52FD"/>
    <w:rsid w:val="005E14FE"/>
    <w:rsid w:val="005E2195"/>
    <w:rsid w:val="005E27CF"/>
    <w:rsid w:val="005E38EC"/>
    <w:rsid w:val="005E434B"/>
    <w:rsid w:val="005E45F9"/>
    <w:rsid w:val="005E4E9C"/>
    <w:rsid w:val="005E5970"/>
    <w:rsid w:val="005F3EDF"/>
    <w:rsid w:val="00600219"/>
    <w:rsid w:val="00602CA2"/>
    <w:rsid w:val="00604CB6"/>
    <w:rsid w:val="00604D1C"/>
    <w:rsid w:val="0060534E"/>
    <w:rsid w:val="00605577"/>
    <w:rsid w:val="006061C5"/>
    <w:rsid w:val="00606289"/>
    <w:rsid w:val="00606805"/>
    <w:rsid w:val="006102D2"/>
    <w:rsid w:val="00610A78"/>
    <w:rsid w:val="00611F99"/>
    <w:rsid w:val="00612F54"/>
    <w:rsid w:val="00620F09"/>
    <w:rsid w:val="006230DA"/>
    <w:rsid w:val="0062400A"/>
    <w:rsid w:val="00627C0B"/>
    <w:rsid w:val="00627EC5"/>
    <w:rsid w:val="00635761"/>
    <w:rsid w:val="00637E87"/>
    <w:rsid w:val="00640147"/>
    <w:rsid w:val="006405BD"/>
    <w:rsid w:val="00640781"/>
    <w:rsid w:val="00640A55"/>
    <w:rsid w:val="00641F41"/>
    <w:rsid w:val="00642533"/>
    <w:rsid w:val="006427D1"/>
    <w:rsid w:val="00642C0A"/>
    <w:rsid w:val="006457A2"/>
    <w:rsid w:val="00646774"/>
    <w:rsid w:val="006501E5"/>
    <w:rsid w:val="00651E12"/>
    <w:rsid w:val="00652551"/>
    <w:rsid w:val="00653973"/>
    <w:rsid w:val="00656071"/>
    <w:rsid w:val="006570AD"/>
    <w:rsid w:val="00660A7E"/>
    <w:rsid w:val="00665193"/>
    <w:rsid w:val="00667E6C"/>
    <w:rsid w:val="00672286"/>
    <w:rsid w:val="006754CB"/>
    <w:rsid w:val="00675C9B"/>
    <w:rsid w:val="00677CC2"/>
    <w:rsid w:val="0068341C"/>
    <w:rsid w:val="00683D04"/>
    <w:rsid w:val="00683E55"/>
    <w:rsid w:val="00685249"/>
    <w:rsid w:val="00685F42"/>
    <w:rsid w:val="0068604D"/>
    <w:rsid w:val="006911F0"/>
    <w:rsid w:val="0069207B"/>
    <w:rsid w:val="00692323"/>
    <w:rsid w:val="0069343F"/>
    <w:rsid w:val="0069386A"/>
    <w:rsid w:val="006943CC"/>
    <w:rsid w:val="00696E0E"/>
    <w:rsid w:val="00697ACC"/>
    <w:rsid w:val="006B6491"/>
    <w:rsid w:val="006C0823"/>
    <w:rsid w:val="006C0E64"/>
    <w:rsid w:val="006C7B75"/>
    <w:rsid w:val="006C7F8C"/>
    <w:rsid w:val="006D0AE7"/>
    <w:rsid w:val="006D30E2"/>
    <w:rsid w:val="006D645A"/>
    <w:rsid w:val="006D6E23"/>
    <w:rsid w:val="006E0492"/>
    <w:rsid w:val="006E1DE9"/>
    <w:rsid w:val="006E5AAA"/>
    <w:rsid w:val="006E7109"/>
    <w:rsid w:val="006F21BD"/>
    <w:rsid w:val="006F3BD4"/>
    <w:rsid w:val="006F562F"/>
    <w:rsid w:val="006F5D4F"/>
    <w:rsid w:val="006F72D1"/>
    <w:rsid w:val="00700395"/>
    <w:rsid w:val="00700B2C"/>
    <w:rsid w:val="007019FF"/>
    <w:rsid w:val="00701A1E"/>
    <w:rsid w:val="00703EF0"/>
    <w:rsid w:val="00704495"/>
    <w:rsid w:val="00705052"/>
    <w:rsid w:val="00710209"/>
    <w:rsid w:val="007123E1"/>
    <w:rsid w:val="00713084"/>
    <w:rsid w:val="007130CA"/>
    <w:rsid w:val="00720C44"/>
    <w:rsid w:val="00721D60"/>
    <w:rsid w:val="00723AB7"/>
    <w:rsid w:val="0072405A"/>
    <w:rsid w:val="0072510B"/>
    <w:rsid w:val="00726DAB"/>
    <w:rsid w:val="00727B43"/>
    <w:rsid w:val="007316E6"/>
    <w:rsid w:val="007317EC"/>
    <w:rsid w:val="00731E00"/>
    <w:rsid w:val="00731FDF"/>
    <w:rsid w:val="0073447A"/>
    <w:rsid w:val="00735BF4"/>
    <w:rsid w:val="00736476"/>
    <w:rsid w:val="0073724A"/>
    <w:rsid w:val="00740659"/>
    <w:rsid w:val="00740E98"/>
    <w:rsid w:val="0074196E"/>
    <w:rsid w:val="00742116"/>
    <w:rsid w:val="007429D2"/>
    <w:rsid w:val="007438AF"/>
    <w:rsid w:val="00743C61"/>
    <w:rsid w:val="00743DB2"/>
    <w:rsid w:val="007440B7"/>
    <w:rsid w:val="007475E3"/>
    <w:rsid w:val="00752138"/>
    <w:rsid w:val="0075273D"/>
    <w:rsid w:val="00752D61"/>
    <w:rsid w:val="00754417"/>
    <w:rsid w:val="00754B1F"/>
    <w:rsid w:val="00755065"/>
    <w:rsid w:val="007561AA"/>
    <w:rsid w:val="00756C56"/>
    <w:rsid w:val="007572E9"/>
    <w:rsid w:val="007576E7"/>
    <w:rsid w:val="00760C53"/>
    <w:rsid w:val="00762EA7"/>
    <w:rsid w:val="007634AD"/>
    <w:rsid w:val="00765281"/>
    <w:rsid w:val="00765784"/>
    <w:rsid w:val="00767CEB"/>
    <w:rsid w:val="00767DBA"/>
    <w:rsid w:val="007715C9"/>
    <w:rsid w:val="0077165D"/>
    <w:rsid w:val="0077221C"/>
    <w:rsid w:val="00772E5E"/>
    <w:rsid w:val="0077324E"/>
    <w:rsid w:val="00773BD4"/>
    <w:rsid w:val="00774046"/>
    <w:rsid w:val="00774EDD"/>
    <w:rsid w:val="007757EC"/>
    <w:rsid w:val="00775A6F"/>
    <w:rsid w:val="00776979"/>
    <w:rsid w:val="00780E49"/>
    <w:rsid w:val="0078105B"/>
    <w:rsid w:val="007819FA"/>
    <w:rsid w:val="007846CC"/>
    <w:rsid w:val="00786595"/>
    <w:rsid w:val="00786EC8"/>
    <w:rsid w:val="00790A8B"/>
    <w:rsid w:val="00792795"/>
    <w:rsid w:val="007936B1"/>
    <w:rsid w:val="00797262"/>
    <w:rsid w:val="00797B35"/>
    <w:rsid w:val="007A336A"/>
    <w:rsid w:val="007A5512"/>
    <w:rsid w:val="007A7E12"/>
    <w:rsid w:val="007B23D7"/>
    <w:rsid w:val="007B2BD6"/>
    <w:rsid w:val="007B4116"/>
    <w:rsid w:val="007B4977"/>
    <w:rsid w:val="007B5E47"/>
    <w:rsid w:val="007B636E"/>
    <w:rsid w:val="007C126F"/>
    <w:rsid w:val="007C26FD"/>
    <w:rsid w:val="007C3E33"/>
    <w:rsid w:val="007C62C8"/>
    <w:rsid w:val="007D0B50"/>
    <w:rsid w:val="007D4916"/>
    <w:rsid w:val="007D65D6"/>
    <w:rsid w:val="007D779A"/>
    <w:rsid w:val="007D78ED"/>
    <w:rsid w:val="007E0084"/>
    <w:rsid w:val="007E238B"/>
    <w:rsid w:val="007E3D37"/>
    <w:rsid w:val="007E484D"/>
    <w:rsid w:val="007E5074"/>
    <w:rsid w:val="007E60AD"/>
    <w:rsid w:val="007E7D4A"/>
    <w:rsid w:val="007F07B5"/>
    <w:rsid w:val="007F169B"/>
    <w:rsid w:val="007F5BB5"/>
    <w:rsid w:val="00801F8A"/>
    <w:rsid w:val="00805365"/>
    <w:rsid w:val="008069D5"/>
    <w:rsid w:val="008070F6"/>
    <w:rsid w:val="008071FA"/>
    <w:rsid w:val="00807281"/>
    <w:rsid w:val="00807CBE"/>
    <w:rsid w:val="00811F61"/>
    <w:rsid w:val="00814B7E"/>
    <w:rsid w:val="00815623"/>
    <w:rsid w:val="008167BD"/>
    <w:rsid w:val="00817342"/>
    <w:rsid w:val="00817D72"/>
    <w:rsid w:val="00820090"/>
    <w:rsid w:val="0082087E"/>
    <w:rsid w:val="00820BBE"/>
    <w:rsid w:val="008213E1"/>
    <w:rsid w:val="00821A65"/>
    <w:rsid w:val="008232D1"/>
    <w:rsid w:val="0082452F"/>
    <w:rsid w:val="008305F0"/>
    <w:rsid w:val="00831F90"/>
    <w:rsid w:val="00834154"/>
    <w:rsid w:val="00834B11"/>
    <w:rsid w:val="00835C7A"/>
    <w:rsid w:val="00837040"/>
    <w:rsid w:val="00837AD7"/>
    <w:rsid w:val="00840497"/>
    <w:rsid w:val="008408AA"/>
    <w:rsid w:val="00840B91"/>
    <w:rsid w:val="00840F63"/>
    <w:rsid w:val="00841DE5"/>
    <w:rsid w:val="00845ACD"/>
    <w:rsid w:val="00846E87"/>
    <w:rsid w:val="00856A31"/>
    <w:rsid w:val="008570CA"/>
    <w:rsid w:val="00862018"/>
    <w:rsid w:val="00863484"/>
    <w:rsid w:val="00864872"/>
    <w:rsid w:val="00870BED"/>
    <w:rsid w:val="00870C94"/>
    <w:rsid w:val="008711AD"/>
    <w:rsid w:val="0087549E"/>
    <w:rsid w:val="008754D0"/>
    <w:rsid w:val="00875A59"/>
    <w:rsid w:val="0087696C"/>
    <w:rsid w:val="008779A5"/>
    <w:rsid w:val="00877CE2"/>
    <w:rsid w:val="00877D48"/>
    <w:rsid w:val="00877FCD"/>
    <w:rsid w:val="0088018C"/>
    <w:rsid w:val="00880BF4"/>
    <w:rsid w:val="00881530"/>
    <w:rsid w:val="00886C06"/>
    <w:rsid w:val="008969FC"/>
    <w:rsid w:val="00896D1C"/>
    <w:rsid w:val="00896D71"/>
    <w:rsid w:val="00897845"/>
    <w:rsid w:val="008A03B5"/>
    <w:rsid w:val="008A0DBC"/>
    <w:rsid w:val="008A1B7C"/>
    <w:rsid w:val="008A3212"/>
    <w:rsid w:val="008A36D0"/>
    <w:rsid w:val="008A3C2B"/>
    <w:rsid w:val="008B3520"/>
    <w:rsid w:val="008B3C94"/>
    <w:rsid w:val="008B5787"/>
    <w:rsid w:val="008B66BE"/>
    <w:rsid w:val="008B7B79"/>
    <w:rsid w:val="008C1741"/>
    <w:rsid w:val="008C1871"/>
    <w:rsid w:val="008C1F08"/>
    <w:rsid w:val="008C24D0"/>
    <w:rsid w:val="008C252C"/>
    <w:rsid w:val="008C25E3"/>
    <w:rsid w:val="008C4633"/>
    <w:rsid w:val="008C5451"/>
    <w:rsid w:val="008C58BB"/>
    <w:rsid w:val="008C6570"/>
    <w:rsid w:val="008C6F02"/>
    <w:rsid w:val="008C7FA7"/>
    <w:rsid w:val="008D0EE0"/>
    <w:rsid w:val="008D172C"/>
    <w:rsid w:val="008D30D5"/>
    <w:rsid w:val="008D437D"/>
    <w:rsid w:val="008E289A"/>
    <w:rsid w:val="008E4693"/>
    <w:rsid w:val="008E6817"/>
    <w:rsid w:val="008F18E5"/>
    <w:rsid w:val="008F1D56"/>
    <w:rsid w:val="008F38A3"/>
    <w:rsid w:val="008F4F1C"/>
    <w:rsid w:val="008F55A9"/>
    <w:rsid w:val="008F6403"/>
    <w:rsid w:val="008F6B52"/>
    <w:rsid w:val="008F721E"/>
    <w:rsid w:val="009012AF"/>
    <w:rsid w:val="00902187"/>
    <w:rsid w:val="009027BB"/>
    <w:rsid w:val="009032E4"/>
    <w:rsid w:val="009036F3"/>
    <w:rsid w:val="00904AC4"/>
    <w:rsid w:val="00911C76"/>
    <w:rsid w:val="009148D6"/>
    <w:rsid w:val="009170BB"/>
    <w:rsid w:val="00917666"/>
    <w:rsid w:val="009177C0"/>
    <w:rsid w:val="00920139"/>
    <w:rsid w:val="0092157E"/>
    <w:rsid w:val="009221F8"/>
    <w:rsid w:val="00924482"/>
    <w:rsid w:val="0092695C"/>
    <w:rsid w:val="00926FA0"/>
    <w:rsid w:val="00931549"/>
    <w:rsid w:val="00932377"/>
    <w:rsid w:val="0093568D"/>
    <w:rsid w:val="009358C2"/>
    <w:rsid w:val="00936A43"/>
    <w:rsid w:val="0094031B"/>
    <w:rsid w:val="009416D0"/>
    <w:rsid w:val="00945D5C"/>
    <w:rsid w:val="0094759E"/>
    <w:rsid w:val="00947C83"/>
    <w:rsid w:val="00950AB3"/>
    <w:rsid w:val="0095662D"/>
    <w:rsid w:val="00956766"/>
    <w:rsid w:val="00962586"/>
    <w:rsid w:val="009630EB"/>
    <w:rsid w:val="00963D89"/>
    <w:rsid w:val="00970584"/>
    <w:rsid w:val="0097103E"/>
    <w:rsid w:val="0097107F"/>
    <w:rsid w:val="00971346"/>
    <w:rsid w:val="00971424"/>
    <w:rsid w:val="00976098"/>
    <w:rsid w:val="00980853"/>
    <w:rsid w:val="00980E14"/>
    <w:rsid w:val="00982564"/>
    <w:rsid w:val="00984302"/>
    <w:rsid w:val="00984CF0"/>
    <w:rsid w:val="00992283"/>
    <w:rsid w:val="0099237E"/>
    <w:rsid w:val="0099338F"/>
    <w:rsid w:val="009945C3"/>
    <w:rsid w:val="009960C3"/>
    <w:rsid w:val="00996457"/>
    <w:rsid w:val="00996809"/>
    <w:rsid w:val="0099725F"/>
    <w:rsid w:val="009A1393"/>
    <w:rsid w:val="009A162E"/>
    <w:rsid w:val="009A23A0"/>
    <w:rsid w:val="009A263A"/>
    <w:rsid w:val="009A2EA9"/>
    <w:rsid w:val="009A3018"/>
    <w:rsid w:val="009B4444"/>
    <w:rsid w:val="009B44AA"/>
    <w:rsid w:val="009B6FAA"/>
    <w:rsid w:val="009C04A5"/>
    <w:rsid w:val="009C060B"/>
    <w:rsid w:val="009C2EB9"/>
    <w:rsid w:val="009C4682"/>
    <w:rsid w:val="009C5845"/>
    <w:rsid w:val="009C606C"/>
    <w:rsid w:val="009D03D6"/>
    <w:rsid w:val="009D157F"/>
    <w:rsid w:val="009D3D74"/>
    <w:rsid w:val="009D67C5"/>
    <w:rsid w:val="009D68F0"/>
    <w:rsid w:val="009D6D37"/>
    <w:rsid w:val="009D77C0"/>
    <w:rsid w:val="009E2BCA"/>
    <w:rsid w:val="009E2D80"/>
    <w:rsid w:val="009E4F0E"/>
    <w:rsid w:val="009E5F2A"/>
    <w:rsid w:val="009E6B16"/>
    <w:rsid w:val="009E6B1E"/>
    <w:rsid w:val="009E7595"/>
    <w:rsid w:val="009F01AC"/>
    <w:rsid w:val="009F1F6D"/>
    <w:rsid w:val="009F6C89"/>
    <w:rsid w:val="009F7476"/>
    <w:rsid w:val="00A02BAF"/>
    <w:rsid w:val="00A02FE2"/>
    <w:rsid w:val="00A03356"/>
    <w:rsid w:val="00A04C85"/>
    <w:rsid w:val="00A050BE"/>
    <w:rsid w:val="00A05EEF"/>
    <w:rsid w:val="00A06965"/>
    <w:rsid w:val="00A1007E"/>
    <w:rsid w:val="00A10BEF"/>
    <w:rsid w:val="00A10D8C"/>
    <w:rsid w:val="00A11904"/>
    <w:rsid w:val="00A11BEA"/>
    <w:rsid w:val="00A1296F"/>
    <w:rsid w:val="00A12A9F"/>
    <w:rsid w:val="00A14D75"/>
    <w:rsid w:val="00A1577B"/>
    <w:rsid w:val="00A2091C"/>
    <w:rsid w:val="00A2094A"/>
    <w:rsid w:val="00A231E2"/>
    <w:rsid w:val="00A239DF"/>
    <w:rsid w:val="00A247A5"/>
    <w:rsid w:val="00A24B6A"/>
    <w:rsid w:val="00A267BB"/>
    <w:rsid w:val="00A268A1"/>
    <w:rsid w:val="00A2692F"/>
    <w:rsid w:val="00A26B30"/>
    <w:rsid w:val="00A27124"/>
    <w:rsid w:val="00A273B9"/>
    <w:rsid w:val="00A32301"/>
    <w:rsid w:val="00A33F19"/>
    <w:rsid w:val="00A3596F"/>
    <w:rsid w:val="00A3619F"/>
    <w:rsid w:val="00A375FC"/>
    <w:rsid w:val="00A37842"/>
    <w:rsid w:val="00A4193C"/>
    <w:rsid w:val="00A43D67"/>
    <w:rsid w:val="00A44171"/>
    <w:rsid w:val="00A47E84"/>
    <w:rsid w:val="00A52B80"/>
    <w:rsid w:val="00A5726C"/>
    <w:rsid w:val="00A57BC0"/>
    <w:rsid w:val="00A609D7"/>
    <w:rsid w:val="00A61E55"/>
    <w:rsid w:val="00A62053"/>
    <w:rsid w:val="00A629A9"/>
    <w:rsid w:val="00A64912"/>
    <w:rsid w:val="00A6549E"/>
    <w:rsid w:val="00A66508"/>
    <w:rsid w:val="00A6668B"/>
    <w:rsid w:val="00A70A74"/>
    <w:rsid w:val="00A7111F"/>
    <w:rsid w:val="00A7187A"/>
    <w:rsid w:val="00A73894"/>
    <w:rsid w:val="00A73AE9"/>
    <w:rsid w:val="00A7583B"/>
    <w:rsid w:val="00A761E0"/>
    <w:rsid w:val="00A81EBC"/>
    <w:rsid w:val="00A87A51"/>
    <w:rsid w:val="00A91680"/>
    <w:rsid w:val="00A93266"/>
    <w:rsid w:val="00A96E5F"/>
    <w:rsid w:val="00AA40AC"/>
    <w:rsid w:val="00AA40B9"/>
    <w:rsid w:val="00AA520F"/>
    <w:rsid w:val="00AA54B8"/>
    <w:rsid w:val="00AA55FA"/>
    <w:rsid w:val="00AA6195"/>
    <w:rsid w:val="00AA66D2"/>
    <w:rsid w:val="00AA79CC"/>
    <w:rsid w:val="00AB2D43"/>
    <w:rsid w:val="00AB409D"/>
    <w:rsid w:val="00AB4A22"/>
    <w:rsid w:val="00AB579A"/>
    <w:rsid w:val="00AB7B16"/>
    <w:rsid w:val="00AB7E74"/>
    <w:rsid w:val="00AC012E"/>
    <w:rsid w:val="00AC3965"/>
    <w:rsid w:val="00AC39DF"/>
    <w:rsid w:val="00AC5757"/>
    <w:rsid w:val="00AC7092"/>
    <w:rsid w:val="00AC7B55"/>
    <w:rsid w:val="00AD5641"/>
    <w:rsid w:val="00AD7211"/>
    <w:rsid w:val="00AD75BD"/>
    <w:rsid w:val="00AD7F12"/>
    <w:rsid w:val="00AE34B5"/>
    <w:rsid w:val="00AE4D0A"/>
    <w:rsid w:val="00AE5331"/>
    <w:rsid w:val="00AE7BEC"/>
    <w:rsid w:val="00AF6898"/>
    <w:rsid w:val="00B01465"/>
    <w:rsid w:val="00B01B24"/>
    <w:rsid w:val="00B02C04"/>
    <w:rsid w:val="00B032D8"/>
    <w:rsid w:val="00B0374C"/>
    <w:rsid w:val="00B03882"/>
    <w:rsid w:val="00B04573"/>
    <w:rsid w:val="00B04B93"/>
    <w:rsid w:val="00B0611E"/>
    <w:rsid w:val="00B07322"/>
    <w:rsid w:val="00B07AA0"/>
    <w:rsid w:val="00B07D9B"/>
    <w:rsid w:val="00B1173E"/>
    <w:rsid w:val="00B1597E"/>
    <w:rsid w:val="00B16026"/>
    <w:rsid w:val="00B17E37"/>
    <w:rsid w:val="00B213AF"/>
    <w:rsid w:val="00B23863"/>
    <w:rsid w:val="00B24AD4"/>
    <w:rsid w:val="00B24DDC"/>
    <w:rsid w:val="00B26DA2"/>
    <w:rsid w:val="00B3147A"/>
    <w:rsid w:val="00B33B3C"/>
    <w:rsid w:val="00B34A11"/>
    <w:rsid w:val="00B34CEB"/>
    <w:rsid w:val="00B36A12"/>
    <w:rsid w:val="00B3757C"/>
    <w:rsid w:val="00B376AD"/>
    <w:rsid w:val="00B4269F"/>
    <w:rsid w:val="00B43ABA"/>
    <w:rsid w:val="00B4402A"/>
    <w:rsid w:val="00B4705A"/>
    <w:rsid w:val="00B476D0"/>
    <w:rsid w:val="00B50D22"/>
    <w:rsid w:val="00B56D5F"/>
    <w:rsid w:val="00B642D0"/>
    <w:rsid w:val="00B65694"/>
    <w:rsid w:val="00B65A21"/>
    <w:rsid w:val="00B65E0C"/>
    <w:rsid w:val="00B671B3"/>
    <w:rsid w:val="00B6784D"/>
    <w:rsid w:val="00B7079F"/>
    <w:rsid w:val="00B72947"/>
    <w:rsid w:val="00B72CA9"/>
    <w:rsid w:val="00B85538"/>
    <w:rsid w:val="00B85AD2"/>
    <w:rsid w:val="00B85AFC"/>
    <w:rsid w:val="00B861AA"/>
    <w:rsid w:val="00B9074C"/>
    <w:rsid w:val="00B90E1F"/>
    <w:rsid w:val="00B914BA"/>
    <w:rsid w:val="00B925CF"/>
    <w:rsid w:val="00B948D2"/>
    <w:rsid w:val="00B95D92"/>
    <w:rsid w:val="00B96B9F"/>
    <w:rsid w:val="00B970E4"/>
    <w:rsid w:val="00BA0E16"/>
    <w:rsid w:val="00BA1687"/>
    <w:rsid w:val="00BA1E19"/>
    <w:rsid w:val="00BA25D2"/>
    <w:rsid w:val="00BA25E1"/>
    <w:rsid w:val="00BA3C30"/>
    <w:rsid w:val="00BA5026"/>
    <w:rsid w:val="00BB120D"/>
    <w:rsid w:val="00BB2642"/>
    <w:rsid w:val="00BB2676"/>
    <w:rsid w:val="00BB2DB3"/>
    <w:rsid w:val="00BB54D3"/>
    <w:rsid w:val="00BC3BE7"/>
    <w:rsid w:val="00BC415C"/>
    <w:rsid w:val="00BC5846"/>
    <w:rsid w:val="00BD1145"/>
    <w:rsid w:val="00BD11C2"/>
    <w:rsid w:val="00BD1CBA"/>
    <w:rsid w:val="00BD2110"/>
    <w:rsid w:val="00BD4682"/>
    <w:rsid w:val="00BD62B1"/>
    <w:rsid w:val="00BD67E0"/>
    <w:rsid w:val="00BD7457"/>
    <w:rsid w:val="00BD7D28"/>
    <w:rsid w:val="00BE0049"/>
    <w:rsid w:val="00BE0EF9"/>
    <w:rsid w:val="00BE33E2"/>
    <w:rsid w:val="00BE3616"/>
    <w:rsid w:val="00BE69E6"/>
    <w:rsid w:val="00BE719A"/>
    <w:rsid w:val="00BE720A"/>
    <w:rsid w:val="00BE7FD4"/>
    <w:rsid w:val="00BF0E2E"/>
    <w:rsid w:val="00BF138D"/>
    <w:rsid w:val="00BF2FD5"/>
    <w:rsid w:val="00BF52D6"/>
    <w:rsid w:val="00BF67C3"/>
    <w:rsid w:val="00C00539"/>
    <w:rsid w:val="00C019EA"/>
    <w:rsid w:val="00C0604D"/>
    <w:rsid w:val="00C067E5"/>
    <w:rsid w:val="00C10898"/>
    <w:rsid w:val="00C12AA6"/>
    <w:rsid w:val="00C153D7"/>
    <w:rsid w:val="00C164CA"/>
    <w:rsid w:val="00C175C5"/>
    <w:rsid w:val="00C20119"/>
    <w:rsid w:val="00C20859"/>
    <w:rsid w:val="00C217A1"/>
    <w:rsid w:val="00C2202A"/>
    <w:rsid w:val="00C25FF8"/>
    <w:rsid w:val="00C26D7F"/>
    <w:rsid w:val="00C304CC"/>
    <w:rsid w:val="00C3092F"/>
    <w:rsid w:val="00C33225"/>
    <w:rsid w:val="00C34A2E"/>
    <w:rsid w:val="00C34E9B"/>
    <w:rsid w:val="00C3525C"/>
    <w:rsid w:val="00C35920"/>
    <w:rsid w:val="00C36BF4"/>
    <w:rsid w:val="00C42125"/>
    <w:rsid w:val="00C4277C"/>
    <w:rsid w:val="00C42BF8"/>
    <w:rsid w:val="00C460AE"/>
    <w:rsid w:val="00C47084"/>
    <w:rsid w:val="00C47E90"/>
    <w:rsid w:val="00C50043"/>
    <w:rsid w:val="00C53258"/>
    <w:rsid w:val="00C53A98"/>
    <w:rsid w:val="00C54289"/>
    <w:rsid w:val="00C6253A"/>
    <w:rsid w:val="00C62801"/>
    <w:rsid w:val="00C62FF7"/>
    <w:rsid w:val="00C64323"/>
    <w:rsid w:val="00C651FA"/>
    <w:rsid w:val="00C65A1B"/>
    <w:rsid w:val="00C737A6"/>
    <w:rsid w:val="00C746E5"/>
    <w:rsid w:val="00C7573B"/>
    <w:rsid w:val="00C75814"/>
    <w:rsid w:val="00C76CF3"/>
    <w:rsid w:val="00C7779C"/>
    <w:rsid w:val="00C80F10"/>
    <w:rsid w:val="00C821CA"/>
    <w:rsid w:val="00C82236"/>
    <w:rsid w:val="00C83751"/>
    <w:rsid w:val="00C842B7"/>
    <w:rsid w:val="00C85198"/>
    <w:rsid w:val="00C87AD6"/>
    <w:rsid w:val="00C87EB2"/>
    <w:rsid w:val="00C905D6"/>
    <w:rsid w:val="00C96B9C"/>
    <w:rsid w:val="00CA0146"/>
    <w:rsid w:val="00CA0B7E"/>
    <w:rsid w:val="00CA1238"/>
    <w:rsid w:val="00CA212A"/>
    <w:rsid w:val="00CB2837"/>
    <w:rsid w:val="00CB30B7"/>
    <w:rsid w:val="00CB35B5"/>
    <w:rsid w:val="00CB5BB0"/>
    <w:rsid w:val="00CB6E9A"/>
    <w:rsid w:val="00CB6F7B"/>
    <w:rsid w:val="00CB7A26"/>
    <w:rsid w:val="00CC122A"/>
    <w:rsid w:val="00CC1DB1"/>
    <w:rsid w:val="00CC2414"/>
    <w:rsid w:val="00CC5604"/>
    <w:rsid w:val="00CD078B"/>
    <w:rsid w:val="00CD07B3"/>
    <w:rsid w:val="00CD400E"/>
    <w:rsid w:val="00CD58F3"/>
    <w:rsid w:val="00CD7A64"/>
    <w:rsid w:val="00CE0E21"/>
    <w:rsid w:val="00CE18EE"/>
    <w:rsid w:val="00CE30B3"/>
    <w:rsid w:val="00CE45B5"/>
    <w:rsid w:val="00CE6134"/>
    <w:rsid w:val="00CE741A"/>
    <w:rsid w:val="00CF0A65"/>
    <w:rsid w:val="00CF0BB2"/>
    <w:rsid w:val="00CF4ED3"/>
    <w:rsid w:val="00CF51FC"/>
    <w:rsid w:val="00CF58A6"/>
    <w:rsid w:val="00CF5925"/>
    <w:rsid w:val="00CF73DA"/>
    <w:rsid w:val="00D036E0"/>
    <w:rsid w:val="00D0502C"/>
    <w:rsid w:val="00D1263A"/>
    <w:rsid w:val="00D12DF1"/>
    <w:rsid w:val="00D12F67"/>
    <w:rsid w:val="00D13441"/>
    <w:rsid w:val="00D13920"/>
    <w:rsid w:val="00D13C7D"/>
    <w:rsid w:val="00D1415A"/>
    <w:rsid w:val="00D17DDB"/>
    <w:rsid w:val="00D243A3"/>
    <w:rsid w:val="00D24425"/>
    <w:rsid w:val="00D25283"/>
    <w:rsid w:val="00D2537E"/>
    <w:rsid w:val="00D25A01"/>
    <w:rsid w:val="00D26B7C"/>
    <w:rsid w:val="00D302D7"/>
    <w:rsid w:val="00D30930"/>
    <w:rsid w:val="00D333E2"/>
    <w:rsid w:val="00D33A16"/>
    <w:rsid w:val="00D3474A"/>
    <w:rsid w:val="00D4067B"/>
    <w:rsid w:val="00D43562"/>
    <w:rsid w:val="00D45FC3"/>
    <w:rsid w:val="00D46AD5"/>
    <w:rsid w:val="00D5175C"/>
    <w:rsid w:val="00D52966"/>
    <w:rsid w:val="00D52C06"/>
    <w:rsid w:val="00D52EFE"/>
    <w:rsid w:val="00D52F50"/>
    <w:rsid w:val="00D53E9F"/>
    <w:rsid w:val="00D54359"/>
    <w:rsid w:val="00D60FA6"/>
    <w:rsid w:val="00D6105F"/>
    <w:rsid w:val="00D6127D"/>
    <w:rsid w:val="00D63EF6"/>
    <w:rsid w:val="00D644F0"/>
    <w:rsid w:val="00D6482D"/>
    <w:rsid w:val="00D656CE"/>
    <w:rsid w:val="00D65EEF"/>
    <w:rsid w:val="00D70117"/>
    <w:rsid w:val="00D70DFB"/>
    <w:rsid w:val="00D717BA"/>
    <w:rsid w:val="00D7368B"/>
    <w:rsid w:val="00D75086"/>
    <w:rsid w:val="00D766DF"/>
    <w:rsid w:val="00D772E1"/>
    <w:rsid w:val="00D80971"/>
    <w:rsid w:val="00D80C91"/>
    <w:rsid w:val="00D818FA"/>
    <w:rsid w:val="00D81FD5"/>
    <w:rsid w:val="00D837D1"/>
    <w:rsid w:val="00D8406D"/>
    <w:rsid w:val="00D84EF3"/>
    <w:rsid w:val="00D85D0E"/>
    <w:rsid w:val="00D85F8D"/>
    <w:rsid w:val="00D90848"/>
    <w:rsid w:val="00D91FC7"/>
    <w:rsid w:val="00D933B8"/>
    <w:rsid w:val="00D94C77"/>
    <w:rsid w:val="00D95DFB"/>
    <w:rsid w:val="00D9680E"/>
    <w:rsid w:val="00D96907"/>
    <w:rsid w:val="00DA282C"/>
    <w:rsid w:val="00DA2962"/>
    <w:rsid w:val="00DA29E4"/>
    <w:rsid w:val="00DA2FF4"/>
    <w:rsid w:val="00DA41FD"/>
    <w:rsid w:val="00DA509A"/>
    <w:rsid w:val="00DA63CF"/>
    <w:rsid w:val="00DA6BE8"/>
    <w:rsid w:val="00DA6D01"/>
    <w:rsid w:val="00DA7ED3"/>
    <w:rsid w:val="00DB0C5B"/>
    <w:rsid w:val="00DB5881"/>
    <w:rsid w:val="00DC025A"/>
    <w:rsid w:val="00DC4625"/>
    <w:rsid w:val="00DD0484"/>
    <w:rsid w:val="00DD2BB0"/>
    <w:rsid w:val="00DD3F7F"/>
    <w:rsid w:val="00DE6907"/>
    <w:rsid w:val="00DF169C"/>
    <w:rsid w:val="00DF203F"/>
    <w:rsid w:val="00DF2097"/>
    <w:rsid w:val="00DF2393"/>
    <w:rsid w:val="00DF23C4"/>
    <w:rsid w:val="00DF25A1"/>
    <w:rsid w:val="00DF693C"/>
    <w:rsid w:val="00E001D4"/>
    <w:rsid w:val="00E026DE"/>
    <w:rsid w:val="00E04DFE"/>
    <w:rsid w:val="00E05204"/>
    <w:rsid w:val="00E05704"/>
    <w:rsid w:val="00E07F65"/>
    <w:rsid w:val="00E16557"/>
    <w:rsid w:val="00E1683F"/>
    <w:rsid w:val="00E21BE7"/>
    <w:rsid w:val="00E221EB"/>
    <w:rsid w:val="00E223FF"/>
    <w:rsid w:val="00E22AFD"/>
    <w:rsid w:val="00E238D4"/>
    <w:rsid w:val="00E24D5A"/>
    <w:rsid w:val="00E262D1"/>
    <w:rsid w:val="00E30055"/>
    <w:rsid w:val="00E322EA"/>
    <w:rsid w:val="00E35A1F"/>
    <w:rsid w:val="00E3680F"/>
    <w:rsid w:val="00E41444"/>
    <w:rsid w:val="00E41782"/>
    <w:rsid w:val="00E4267E"/>
    <w:rsid w:val="00E42755"/>
    <w:rsid w:val="00E54292"/>
    <w:rsid w:val="00E543EB"/>
    <w:rsid w:val="00E54AB0"/>
    <w:rsid w:val="00E554EC"/>
    <w:rsid w:val="00E55FA4"/>
    <w:rsid w:val="00E6093E"/>
    <w:rsid w:val="00E64DB6"/>
    <w:rsid w:val="00E65C21"/>
    <w:rsid w:val="00E70972"/>
    <w:rsid w:val="00E720B0"/>
    <w:rsid w:val="00E74DC7"/>
    <w:rsid w:val="00E763F1"/>
    <w:rsid w:val="00E800F5"/>
    <w:rsid w:val="00E8254D"/>
    <w:rsid w:val="00E82F4D"/>
    <w:rsid w:val="00E852A5"/>
    <w:rsid w:val="00E87699"/>
    <w:rsid w:val="00E90714"/>
    <w:rsid w:val="00E909BD"/>
    <w:rsid w:val="00E922D8"/>
    <w:rsid w:val="00E97866"/>
    <w:rsid w:val="00EA3793"/>
    <w:rsid w:val="00EA53BD"/>
    <w:rsid w:val="00EA6A32"/>
    <w:rsid w:val="00EB460B"/>
    <w:rsid w:val="00EC1AF0"/>
    <w:rsid w:val="00EC2C6B"/>
    <w:rsid w:val="00EC590C"/>
    <w:rsid w:val="00EC5D78"/>
    <w:rsid w:val="00ED056F"/>
    <w:rsid w:val="00ED41D5"/>
    <w:rsid w:val="00EE22D7"/>
    <w:rsid w:val="00EE6F3E"/>
    <w:rsid w:val="00EE7F8D"/>
    <w:rsid w:val="00EF0A26"/>
    <w:rsid w:val="00EF2E3A"/>
    <w:rsid w:val="00EF3738"/>
    <w:rsid w:val="00EF437F"/>
    <w:rsid w:val="00EF5C29"/>
    <w:rsid w:val="00EF751B"/>
    <w:rsid w:val="00F01771"/>
    <w:rsid w:val="00F03006"/>
    <w:rsid w:val="00F047E2"/>
    <w:rsid w:val="00F078DC"/>
    <w:rsid w:val="00F107C1"/>
    <w:rsid w:val="00F109DA"/>
    <w:rsid w:val="00F1105A"/>
    <w:rsid w:val="00F122F7"/>
    <w:rsid w:val="00F13E86"/>
    <w:rsid w:val="00F14798"/>
    <w:rsid w:val="00F14960"/>
    <w:rsid w:val="00F14A74"/>
    <w:rsid w:val="00F15717"/>
    <w:rsid w:val="00F20F0D"/>
    <w:rsid w:val="00F236C3"/>
    <w:rsid w:val="00F2540F"/>
    <w:rsid w:val="00F27060"/>
    <w:rsid w:val="00F30619"/>
    <w:rsid w:val="00F3209B"/>
    <w:rsid w:val="00F32910"/>
    <w:rsid w:val="00F32F7E"/>
    <w:rsid w:val="00F4053A"/>
    <w:rsid w:val="00F44010"/>
    <w:rsid w:val="00F44673"/>
    <w:rsid w:val="00F52E6B"/>
    <w:rsid w:val="00F55E1A"/>
    <w:rsid w:val="00F610A7"/>
    <w:rsid w:val="00F627C8"/>
    <w:rsid w:val="00F63088"/>
    <w:rsid w:val="00F64030"/>
    <w:rsid w:val="00F674A9"/>
    <w:rsid w:val="00F677A9"/>
    <w:rsid w:val="00F70065"/>
    <w:rsid w:val="00F73511"/>
    <w:rsid w:val="00F75601"/>
    <w:rsid w:val="00F764FC"/>
    <w:rsid w:val="00F82F85"/>
    <w:rsid w:val="00F847D6"/>
    <w:rsid w:val="00F84CF5"/>
    <w:rsid w:val="00F8650B"/>
    <w:rsid w:val="00F868A2"/>
    <w:rsid w:val="00F86BDF"/>
    <w:rsid w:val="00F905FD"/>
    <w:rsid w:val="00F92617"/>
    <w:rsid w:val="00F947E4"/>
    <w:rsid w:val="00FA0859"/>
    <w:rsid w:val="00FA0B1F"/>
    <w:rsid w:val="00FA0C32"/>
    <w:rsid w:val="00FA2C7A"/>
    <w:rsid w:val="00FA420B"/>
    <w:rsid w:val="00FB3609"/>
    <w:rsid w:val="00FB46F7"/>
    <w:rsid w:val="00FC0711"/>
    <w:rsid w:val="00FC099B"/>
    <w:rsid w:val="00FC28C1"/>
    <w:rsid w:val="00FC3E8A"/>
    <w:rsid w:val="00FC575B"/>
    <w:rsid w:val="00FC6FD6"/>
    <w:rsid w:val="00FD1320"/>
    <w:rsid w:val="00FD1A70"/>
    <w:rsid w:val="00FD4710"/>
    <w:rsid w:val="00FD55AE"/>
    <w:rsid w:val="00FD571F"/>
    <w:rsid w:val="00FD67D6"/>
    <w:rsid w:val="00FE0396"/>
    <w:rsid w:val="00FE0E98"/>
    <w:rsid w:val="00FE1B44"/>
    <w:rsid w:val="00FE2358"/>
    <w:rsid w:val="00FE2EB6"/>
    <w:rsid w:val="00FE3994"/>
    <w:rsid w:val="00FE5851"/>
    <w:rsid w:val="00FF0722"/>
    <w:rsid w:val="00FF154A"/>
    <w:rsid w:val="00FF7535"/>
    <w:rsid w:val="00FF78C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54D3"/>
    <w:pPr>
      <w:spacing w:line="260" w:lineRule="atLeast"/>
    </w:pPr>
    <w:rPr>
      <w:sz w:val="22"/>
    </w:rPr>
  </w:style>
  <w:style w:type="paragraph" w:styleId="Heading1">
    <w:name w:val="heading 1"/>
    <w:basedOn w:val="Normal"/>
    <w:next w:val="Normal"/>
    <w:link w:val="Heading1Char"/>
    <w:uiPriority w:val="9"/>
    <w:qFormat/>
    <w:rsid w:val="000222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2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22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22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22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22A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2A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222A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54D3"/>
  </w:style>
  <w:style w:type="paragraph" w:customStyle="1" w:styleId="OPCParaBase">
    <w:name w:val="OPCParaBase"/>
    <w:link w:val="OPCParaBaseChar"/>
    <w:qFormat/>
    <w:rsid w:val="00BB54D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B54D3"/>
    <w:pPr>
      <w:spacing w:line="240" w:lineRule="auto"/>
    </w:pPr>
    <w:rPr>
      <w:b/>
      <w:sz w:val="40"/>
    </w:rPr>
  </w:style>
  <w:style w:type="paragraph" w:customStyle="1" w:styleId="ActHead1">
    <w:name w:val="ActHead 1"/>
    <w:aliases w:val="c"/>
    <w:basedOn w:val="OPCParaBase"/>
    <w:next w:val="Normal"/>
    <w:qFormat/>
    <w:rsid w:val="00BB54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54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54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54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54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54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54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54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54D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B54D3"/>
  </w:style>
  <w:style w:type="paragraph" w:customStyle="1" w:styleId="Blocks">
    <w:name w:val="Blocks"/>
    <w:aliases w:val="bb"/>
    <w:basedOn w:val="OPCParaBase"/>
    <w:qFormat/>
    <w:rsid w:val="00BB54D3"/>
    <w:pPr>
      <w:spacing w:line="240" w:lineRule="auto"/>
    </w:pPr>
    <w:rPr>
      <w:sz w:val="24"/>
    </w:rPr>
  </w:style>
  <w:style w:type="paragraph" w:customStyle="1" w:styleId="BoxText">
    <w:name w:val="BoxText"/>
    <w:aliases w:val="bt"/>
    <w:basedOn w:val="OPCParaBase"/>
    <w:qFormat/>
    <w:rsid w:val="00BB54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54D3"/>
    <w:rPr>
      <w:b/>
    </w:rPr>
  </w:style>
  <w:style w:type="paragraph" w:customStyle="1" w:styleId="BoxHeadItalic">
    <w:name w:val="BoxHeadItalic"/>
    <w:aliases w:val="bhi"/>
    <w:basedOn w:val="BoxText"/>
    <w:next w:val="BoxStep"/>
    <w:qFormat/>
    <w:rsid w:val="00BB54D3"/>
    <w:rPr>
      <w:i/>
    </w:rPr>
  </w:style>
  <w:style w:type="paragraph" w:customStyle="1" w:styleId="BoxList">
    <w:name w:val="BoxList"/>
    <w:aliases w:val="bl"/>
    <w:basedOn w:val="BoxText"/>
    <w:qFormat/>
    <w:rsid w:val="00BB54D3"/>
    <w:pPr>
      <w:ind w:left="1559" w:hanging="425"/>
    </w:pPr>
  </w:style>
  <w:style w:type="paragraph" w:customStyle="1" w:styleId="BoxNote">
    <w:name w:val="BoxNote"/>
    <w:aliases w:val="bn"/>
    <w:basedOn w:val="BoxText"/>
    <w:qFormat/>
    <w:rsid w:val="00BB54D3"/>
    <w:pPr>
      <w:tabs>
        <w:tab w:val="left" w:pos="1985"/>
      </w:tabs>
      <w:spacing w:before="122" w:line="198" w:lineRule="exact"/>
      <w:ind w:left="2948" w:hanging="1814"/>
    </w:pPr>
    <w:rPr>
      <w:sz w:val="18"/>
    </w:rPr>
  </w:style>
  <w:style w:type="paragraph" w:customStyle="1" w:styleId="BoxPara">
    <w:name w:val="BoxPara"/>
    <w:aliases w:val="bp"/>
    <w:basedOn w:val="BoxText"/>
    <w:qFormat/>
    <w:rsid w:val="00BB54D3"/>
    <w:pPr>
      <w:tabs>
        <w:tab w:val="right" w:pos="2268"/>
      </w:tabs>
      <w:ind w:left="2552" w:hanging="1418"/>
    </w:pPr>
  </w:style>
  <w:style w:type="paragraph" w:customStyle="1" w:styleId="BoxStep">
    <w:name w:val="BoxStep"/>
    <w:aliases w:val="bs"/>
    <w:basedOn w:val="BoxText"/>
    <w:qFormat/>
    <w:rsid w:val="00BB54D3"/>
    <w:pPr>
      <w:ind w:left="1985" w:hanging="851"/>
    </w:pPr>
  </w:style>
  <w:style w:type="character" w:customStyle="1" w:styleId="CharAmPartNo">
    <w:name w:val="CharAmPartNo"/>
    <w:basedOn w:val="OPCCharBase"/>
    <w:qFormat/>
    <w:rsid w:val="00BB54D3"/>
  </w:style>
  <w:style w:type="character" w:customStyle="1" w:styleId="CharAmPartText">
    <w:name w:val="CharAmPartText"/>
    <w:basedOn w:val="OPCCharBase"/>
    <w:qFormat/>
    <w:rsid w:val="00BB54D3"/>
  </w:style>
  <w:style w:type="character" w:customStyle="1" w:styleId="CharAmSchNo">
    <w:name w:val="CharAmSchNo"/>
    <w:basedOn w:val="OPCCharBase"/>
    <w:qFormat/>
    <w:rsid w:val="00BB54D3"/>
  </w:style>
  <w:style w:type="character" w:customStyle="1" w:styleId="CharAmSchText">
    <w:name w:val="CharAmSchText"/>
    <w:basedOn w:val="OPCCharBase"/>
    <w:qFormat/>
    <w:rsid w:val="00BB54D3"/>
  </w:style>
  <w:style w:type="character" w:customStyle="1" w:styleId="CharBoldItalic">
    <w:name w:val="CharBoldItalic"/>
    <w:basedOn w:val="OPCCharBase"/>
    <w:uiPriority w:val="1"/>
    <w:qFormat/>
    <w:rsid w:val="00BB54D3"/>
    <w:rPr>
      <w:b/>
      <w:i/>
    </w:rPr>
  </w:style>
  <w:style w:type="character" w:customStyle="1" w:styleId="CharChapNo">
    <w:name w:val="CharChapNo"/>
    <w:basedOn w:val="OPCCharBase"/>
    <w:uiPriority w:val="1"/>
    <w:qFormat/>
    <w:rsid w:val="00BB54D3"/>
  </w:style>
  <w:style w:type="character" w:customStyle="1" w:styleId="CharChapText">
    <w:name w:val="CharChapText"/>
    <w:basedOn w:val="OPCCharBase"/>
    <w:uiPriority w:val="1"/>
    <w:qFormat/>
    <w:rsid w:val="00BB54D3"/>
  </w:style>
  <w:style w:type="character" w:customStyle="1" w:styleId="CharDivNo">
    <w:name w:val="CharDivNo"/>
    <w:basedOn w:val="OPCCharBase"/>
    <w:uiPriority w:val="1"/>
    <w:qFormat/>
    <w:rsid w:val="00BB54D3"/>
  </w:style>
  <w:style w:type="character" w:customStyle="1" w:styleId="CharDivText">
    <w:name w:val="CharDivText"/>
    <w:basedOn w:val="OPCCharBase"/>
    <w:uiPriority w:val="1"/>
    <w:qFormat/>
    <w:rsid w:val="00BB54D3"/>
  </w:style>
  <w:style w:type="character" w:customStyle="1" w:styleId="CharItalic">
    <w:name w:val="CharItalic"/>
    <w:basedOn w:val="OPCCharBase"/>
    <w:uiPriority w:val="1"/>
    <w:qFormat/>
    <w:rsid w:val="00BB54D3"/>
    <w:rPr>
      <w:i/>
    </w:rPr>
  </w:style>
  <w:style w:type="character" w:customStyle="1" w:styleId="CharPartNo">
    <w:name w:val="CharPartNo"/>
    <w:basedOn w:val="OPCCharBase"/>
    <w:uiPriority w:val="1"/>
    <w:qFormat/>
    <w:rsid w:val="00BB54D3"/>
  </w:style>
  <w:style w:type="character" w:customStyle="1" w:styleId="CharPartText">
    <w:name w:val="CharPartText"/>
    <w:basedOn w:val="OPCCharBase"/>
    <w:uiPriority w:val="1"/>
    <w:qFormat/>
    <w:rsid w:val="00BB54D3"/>
  </w:style>
  <w:style w:type="character" w:customStyle="1" w:styleId="CharSectno">
    <w:name w:val="CharSectno"/>
    <w:basedOn w:val="OPCCharBase"/>
    <w:qFormat/>
    <w:rsid w:val="00BB54D3"/>
  </w:style>
  <w:style w:type="character" w:customStyle="1" w:styleId="CharSubdNo">
    <w:name w:val="CharSubdNo"/>
    <w:basedOn w:val="OPCCharBase"/>
    <w:uiPriority w:val="1"/>
    <w:qFormat/>
    <w:rsid w:val="00BB54D3"/>
  </w:style>
  <w:style w:type="character" w:customStyle="1" w:styleId="CharSubdText">
    <w:name w:val="CharSubdText"/>
    <w:basedOn w:val="OPCCharBase"/>
    <w:uiPriority w:val="1"/>
    <w:qFormat/>
    <w:rsid w:val="00BB54D3"/>
  </w:style>
  <w:style w:type="paragraph" w:customStyle="1" w:styleId="CTA--">
    <w:name w:val="CTA --"/>
    <w:basedOn w:val="OPCParaBase"/>
    <w:next w:val="Normal"/>
    <w:rsid w:val="00BB54D3"/>
    <w:pPr>
      <w:spacing w:before="60" w:line="240" w:lineRule="atLeast"/>
      <w:ind w:left="142" w:hanging="142"/>
    </w:pPr>
    <w:rPr>
      <w:sz w:val="20"/>
    </w:rPr>
  </w:style>
  <w:style w:type="paragraph" w:customStyle="1" w:styleId="CTA-">
    <w:name w:val="CTA -"/>
    <w:basedOn w:val="OPCParaBase"/>
    <w:rsid w:val="00BB54D3"/>
    <w:pPr>
      <w:spacing w:before="60" w:line="240" w:lineRule="atLeast"/>
      <w:ind w:left="85" w:hanging="85"/>
    </w:pPr>
    <w:rPr>
      <w:sz w:val="20"/>
    </w:rPr>
  </w:style>
  <w:style w:type="paragraph" w:customStyle="1" w:styleId="CTA---">
    <w:name w:val="CTA ---"/>
    <w:basedOn w:val="OPCParaBase"/>
    <w:next w:val="Normal"/>
    <w:rsid w:val="00BB54D3"/>
    <w:pPr>
      <w:spacing w:before="60" w:line="240" w:lineRule="atLeast"/>
      <w:ind w:left="198" w:hanging="198"/>
    </w:pPr>
    <w:rPr>
      <w:sz w:val="20"/>
    </w:rPr>
  </w:style>
  <w:style w:type="paragraph" w:customStyle="1" w:styleId="CTA----">
    <w:name w:val="CTA ----"/>
    <w:basedOn w:val="OPCParaBase"/>
    <w:next w:val="Normal"/>
    <w:rsid w:val="00BB54D3"/>
    <w:pPr>
      <w:spacing w:before="60" w:line="240" w:lineRule="atLeast"/>
      <w:ind w:left="255" w:hanging="255"/>
    </w:pPr>
    <w:rPr>
      <w:sz w:val="20"/>
    </w:rPr>
  </w:style>
  <w:style w:type="paragraph" w:customStyle="1" w:styleId="CTA1a">
    <w:name w:val="CTA 1(a)"/>
    <w:basedOn w:val="OPCParaBase"/>
    <w:rsid w:val="00BB54D3"/>
    <w:pPr>
      <w:tabs>
        <w:tab w:val="right" w:pos="414"/>
      </w:tabs>
      <w:spacing w:before="40" w:line="240" w:lineRule="atLeast"/>
      <w:ind w:left="675" w:hanging="675"/>
    </w:pPr>
    <w:rPr>
      <w:sz w:val="20"/>
    </w:rPr>
  </w:style>
  <w:style w:type="paragraph" w:customStyle="1" w:styleId="CTA1ai">
    <w:name w:val="CTA 1(a)(i)"/>
    <w:basedOn w:val="OPCParaBase"/>
    <w:rsid w:val="00BB54D3"/>
    <w:pPr>
      <w:tabs>
        <w:tab w:val="right" w:pos="1004"/>
      </w:tabs>
      <w:spacing w:before="40" w:line="240" w:lineRule="atLeast"/>
      <w:ind w:left="1253" w:hanging="1253"/>
    </w:pPr>
    <w:rPr>
      <w:sz w:val="20"/>
    </w:rPr>
  </w:style>
  <w:style w:type="paragraph" w:customStyle="1" w:styleId="CTA2a">
    <w:name w:val="CTA 2(a)"/>
    <w:basedOn w:val="OPCParaBase"/>
    <w:rsid w:val="00BB54D3"/>
    <w:pPr>
      <w:tabs>
        <w:tab w:val="right" w:pos="482"/>
      </w:tabs>
      <w:spacing w:before="40" w:line="240" w:lineRule="atLeast"/>
      <w:ind w:left="748" w:hanging="748"/>
    </w:pPr>
    <w:rPr>
      <w:sz w:val="20"/>
    </w:rPr>
  </w:style>
  <w:style w:type="paragraph" w:customStyle="1" w:styleId="CTA2ai">
    <w:name w:val="CTA 2(a)(i)"/>
    <w:basedOn w:val="OPCParaBase"/>
    <w:rsid w:val="00BB54D3"/>
    <w:pPr>
      <w:tabs>
        <w:tab w:val="right" w:pos="1089"/>
      </w:tabs>
      <w:spacing w:before="40" w:line="240" w:lineRule="atLeast"/>
      <w:ind w:left="1327" w:hanging="1327"/>
    </w:pPr>
    <w:rPr>
      <w:sz w:val="20"/>
    </w:rPr>
  </w:style>
  <w:style w:type="paragraph" w:customStyle="1" w:styleId="CTA3a">
    <w:name w:val="CTA 3(a)"/>
    <w:basedOn w:val="OPCParaBase"/>
    <w:rsid w:val="00BB54D3"/>
    <w:pPr>
      <w:tabs>
        <w:tab w:val="right" w:pos="556"/>
      </w:tabs>
      <w:spacing w:before="40" w:line="240" w:lineRule="atLeast"/>
      <w:ind w:left="805" w:hanging="805"/>
    </w:pPr>
    <w:rPr>
      <w:sz w:val="20"/>
    </w:rPr>
  </w:style>
  <w:style w:type="paragraph" w:customStyle="1" w:styleId="CTA3ai">
    <w:name w:val="CTA 3(a)(i)"/>
    <w:basedOn w:val="OPCParaBase"/>
    <w:rsid w:val="00BB54D3"/>
    <w:pPr>
      <w:tabs>
        <w:tab w:val="right" w:pos="1140"/>
      </w:tabs>
      <w:spacing w:before="40" w:line="240" w:lineRule="atLeast"/>
      <w:ind w:left="1361" w:hanging="1361"/>
    </w:pPr>
    <w:rPr>
      <w:sz w:val="20"/>
    </w:rPr>
  </w:style>
  <w:style w:type="paragraph" w:customStyle="1" w:styleId="CTA4a">
    <w:name w:val="CTA 4(a)"/>
    <w:basedOn w:val="OPCParaBase"/>
    <w:rsid w:val="00BB54D3"/>
    <w:pPr>
      <w:tabs>
        <w:tab w:val="right" w:pos="624"/>
      </w:tabs>
      <w:spacing w:before="40" w:line="240" w:lineRule="atLeast"/>
      <w:ind w:left="873" w:hanging="873"/>
    </w:pPr>
    <w:rPr>
      <w:sz w:val="20"/>
    </w:rPr>
  </w:style>
  <w:style w:type="paragraph" w:customStyle="1" w:styleId="CTA4ai">
    <w:name w:val="CTA 4(a)(i)"/>
    <w:basedOn w:val="OPCParaBase"/>
    <w:rsid w:val="00BB54D3"/>
    <w:pPr>
      <w:tabs>
        <w:tab w:val="right" w:pos="1213"/>
      </w:tabs>
      <w:spacing w:before="40" w:line="240" w:lineRule="atLeast"/>
      <w:ind w:left="1452" w:hanging="1452"/>
    </w:pPr>
    <w:rPr>
      <w:sz w:val="20"/>
    </w:rPr>
  </w:style>
  <w:style w:type="paragraph" w:customStyle="1" w:styleId="CTACAPS">
    <w:name w:val="CTA CAPS"/>
    <w:basedOn w:val="OPCParaBase"/>
    <w:rsid w:val="00BB54D3"/>
    <w:pPr>
      <w:spacing w:before="60" w:line="240" w:lineRule="atLeast"/>
    </w:pPr>
    <w:rPr>
      <w:sz w:val="20"/>
    </w:rPr>
  </w:style>
  <w:style w:type="paragraph" w:customStyle="1" w:styleId="CTAright">
    <w:name w:val="CTA right"/>
    <w:basedOn w:val="OPCParaBase"/>
    <w:rsid w:val="00BB54D3"/>
    <w:pPr>
      <w:spacing w:before="60" w:line="240" w:lineRule="auto"/>
      <w:jc w:val="right"/>
    </w:pPr>
    <w:rPr>
      <w:sz w:val="20"/>
    </w:rPr>
  </w:style>
  <w:style w:type="paragraph" w:customStyle="1" w:styleId="subsection">
    <w:name w:val="subsection"/>
    <w:aliases w:val="ss"/>
    <w:basedOn w:val="OPCParaBase"/>
    <w:link w:val="subsectionChar"/>
    <w:rsid w:val="00BB54D3"/>
    <w:pPr>
      <w:tabs>
        <w:tab w:val="right" w:pos="1021"/>
      </w:tabs>
      <w:spacing w:before="180" w:line="240" w:lineRule="auto"/>
      <w:ind w:left="1134" w:hanging="1134"/>
    </w:pPr>
  </w:style>
  <w:style w:type="paragraph" w:customStyle="1" w:styleId="Definition">
    <w:name w:val="Definition"/>
    <w:aliases w:val="dd"/>
    <w:basedOn w:val="OPCParaBase"/>
    <w:rsid w:val="00BB54D3"/>
    <w:pPr>
      <w:spacing w:before="180" w:line="240" w:lineRule="auto"/>
      <w:ind w:left="1134"/>
    </w:pPr>
  </w:style>
  <w:style w:type="paragraph" w:customStyle="1" w:styleId="ETAsubitem">
    <w:name w:val="ETA(subitem)"/>
    <w:basedOn w:val="OPCParaBase"/>
    <w:rsid w:val="00BB54D3"/>
    <w:pPr>
      <w:tabs>
        <w:tab w:val="right" w:pos="340"/>
      </w:tabs>
      <w:spacing w:before="60" w:line="240" w:lineRule="auto"/>
      <w:ind w:left="454" w:hanging="454"/>
    </w:pPr>
    <w:rPr>
      <w:sz w:val="20"/>
    </w:rPr>
  </w:style>
  <w:style w:type="paragraph" w:customStyle="1" w:styleId="ETApara">
    <w:name w:val="ETA(para)"/>
    <w:basedOn w:val="OPCParaBase"/>
    <w:rsid w:val="00BB54D3"/>
    <w:pPr>
      <w:tabs>
        <w:tab w:val="right" w:pos="754"/>
      </w:tabs>
      <w:spacing w:before="60" w:line="240" w:lineRule="auto"/>
      <w:ind w:left="828" w:hanging="828"/>
    </w:pPr>
    <w:rPr>
      <w:sz w:val="20"/>
    </w:rPr>
  </w:style>
  <w:style w:type="paragraph" w:customStyle="1" w:styleId="ETAsubpara">
    <w:name w:val="ETA(subpara)"/>
    <w:basedOn w:val="OPCParaBase"/>
    <w:rsid w:val="00BB54D3"/>
    <w:pPr>
      <w:tabs>
        <w:tab w:val="right" w:pos="1083"/>
      </w:tabs>
      <w:spacing w:before="60" w:line="240" w:lineRule="auto"/>
      <w:ind w:left="1191" w:hanging="1191"/>
    </w:pPr>
    <w:rPr>
      <w:sz w:val="20"/>
    </w:rPr>
  </w:style>
  <w:style w:type="paragraph" w:customStyle="1" w:styleId="ETAsub-subpara">
    <w:name w:val="ETA(sub-subpara)"/>
    <w:basedOn w:val="OPCParaBase"/>
    <w:rsid w:val="00BB54D3"/>
    <w:pPr>
      <w:tabs>
        <w:tab w:val="right" w:pos="1412"/>
      </w:tabs>
      <w:spacing w:before="60" w:line="240" w:lineRule="auto"/>
      <w:ind w:left="1525" w:hanging="1525"/>
    </w:pPr>
    <w:rPr>
      <w:sz w:val="20"/>
    </w:rPr>
  </w:style>
  <w:style w:type="paragraph" w:customStyle="1" w:styleId="Formula">
    <w:name w:val="Formula"/>
    <w:basedOn w:val="OPCParaBase"/>
    <w:rsid w:val="00BB54D3"/>
    <w:pPr>
      <w:spacing w:line="240" w:lineRule="auto"/>
      <w:ind w:left="1134"/>
    </w:pPr>
    <w:rPr>
      <w:sz w:val="20"/>
    </w:rPr>
  </w:style>
  <w:style w:type="paragraph" w:styleId="Header">
    <w:name w:val="header"/>
    <w:basedOn w:val="OPCParaBase"/>
    <w:link w:val="HeaderChar"/>
    <w:unhideWhenUsed/>
    <w:rsid w:val="00BB54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54D3"/>
    <w:rPr>
      <w:rFonts w:eastAsia="Times New Roman" w:cs="Times New Roman"/>
      <w:sz w:val="16"/>
      <w:lang w:eastAsia="en-AU"/>
    </w:rPr>
  </w:style>
  <w:style w:type="paragraph" w:customStyle="1" w:styleId="House">
    <w:name w:val="House"/>
    <w:basedOn w:val="OPCParaBase"/>
    <w:rsid w:val="00BB54D3"/>
    <w:pPr>
      <w:spacing w:line="240" w:lineRule="auto"/>
    </w:pPr>
    <w:rPr>
      <w:sz w:val="28"/>
    </w:rPr>
  </w:style>
  <w:style w:type="paragraph" w:customStyle="1" w:styleId="Item">
    <w:name w:val="Item"/>
    <w:aliases w:val="i"/>
    <w:basedOn w:val="OPCParaBase"/>
    <w:next w:val="ItemHead"/>
    <w:rsid w:val="00BB54D3"/>
    <w:pPr>
      <w:keepLines/>
      <w:spacing w:before="80" w:line="240" w:lineRule="auto"/>
      <w:ind w:left="709"/>
    </w:pPr>
  </w:style>
  <w:style w:type="paragraph" w:customStyle="1" w:styleId="ItemHead">
    <w:name w:val="ItemHead"/>
    <w:aliases w:val="ih"/>
    <w:basedOn w:val="OPCParaBase"/>
    <w:next w:val="Item"/>
    <w:link w:val="ItemHeadChar"/>
    <w:rsid w:val="00BB54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54D3"/>
    <w:pPr>
      <w:spacing w:line="240" w:lineRule="auto"/>
    </w:pPr>
    <w:rPr>
      <w:b/>
      <w:sz w:val="32"/>
    </w:rPr>
  </w:style>
  <w:style w:type="paragraph" w:customStyle="1" w:styleId="notedraft">
    <w:name w:val="note(draft)"/>
    <w:aliases w:val="nd"/>
    <w:basedOn w:val="OPCParaBase"/>
    <w:link w:val="notedraftChar"/>
    <w:rsid w:val="00BB54D3"/>
    <w:pPr>
      <w:spacing w:before="240" w:line="240" w:lineRule="auto"/>
      <w:ind w:left="284" w:hanging="284"/>
    </w:pPr>
    <w:rPr>
      <w:i/>
      <w:sz w:val="24"/>
    </w:rPr>
  </w:style>
  <w:style w:type="paragraph" w:customStyle="1" w:styleId="notemargin">
    <w:name w:val="note(margin)"/>
    <w:aliases w:val="nm"/>
    <w:basedOn w:val="OPCParaBase"/>
    <w:rsid w:val="00BB54D3"/>
    <w:pPr>
      <w:tabs>
        <w:tab w:val="left" w:pos="709"/>
      </w:tabs>
      <w:spacing w:before="122" w:line="198" w:lineRule="exact"/>
      <w:ind w:left="709" w:hanging="709"/>
    </w:pPr>
    <w:rPr>
      <w:sz w:val="18"/>
    </w:rPr>
  </w:style>
  <w:style w:type="paragraph" w:customStyle="1" w:styleId="noteToPara">
    <w:name w:val="noteToPara"/>
    <w:aliases w:val="ntp"/>
    <w:basedOn w:val="OPCParaBase"/>
    <w:rsid w:val="00BB54D3"/>
    <w:pPr>
      <w:spacing w:before="122" w:line="198" w:lineRule="exact"/>
      <w:ind w:left="2353" w:hanging="709"/>
    </w:pPr>
    <w:rPr>
      <w:sz w:val="18"/>
    </w:rPr>
  </w:style>
  <w:style w:type="paragraph" w:customStyle="1" w:styleId="noteParlAmend">
    <w:name w:val="note(ParlAmend)"/>
    <w:aliases w:val="npp"/>
    <w:basedOn w:val="OPCParaBase"/>
    <w:next w:val="ParlAmend"/>
    <w:rsid w:val="00BB54D3"/>
    <w:pPr>
      <w:spacing w:line="240" w:lineRule="auto"/>
      <w:jc w:val="right"/>
    </w:pPr>
    <w:rPr>
      <w:rFonts w:ascii="Arial" w:hAnsi="Arial"/>
      <w:b/>
      <w:i/>
    </w:rPr>
  </w:style>
  <w:style w:type="paragraph" w:customStyle="1" w:styleId="notetext">
    <w:name w:val="note(text)"/>
    <w:aliases w:val="n"/>
    <w:basedOn w:val="OPCParaBase"/>
    <w:rsid w:val="00BB54D3"/>
    <w:pPr>
      <w:spacing w:before="122" w:line="240" w:lineRule="auto"/>
      <w:ind w:left="1985" w:hanging="851"/>
    </w:pPr>
    <w:rPr>
      <w:sz w:val="18"/>
    </w:rPr>
  </w:style>
  <w:style w:type="paragraph" w:customStyle="1" w:styleId="Page1">
    <w:name w:val="Page1"/>
    <w:basedOn w:val="OPCParaBase"/>
    <w:rsid w:val="00BB54D3"/>
    <w:pPr>
      <w:spacing w:before="400" w:line="240" w:lineRule="auto"/>
    </w:pPr>
    <w:rPr>
      <w:b/>
      <w:sz w:val="32"/>
    </w:rPr>
  </w:style>
  <w:style w:type="paragraph" w:customStyle="1" w:styleId="PageBreak">
    <w:name w:val="PageBreak"/>
    <w:aliases w:val="pb"/>
    <w:basedOn w:val="OPCParaBase"/>
    <w:rsid w:val="00BB54D3"/>
    <w:pPr>
      <w:spacing w:line="240" w:lineRule="auto"/>
    </w:pPr>
    <w:rPr>
      <w:sz w:val="20"/>
    </w:rPr>
  </w:style>
  <w:style w:type="paragraph" w:customStyle="1" w:styleId="paragraphsub">
    <w:name w:val="paragraph(sub)"/>
    <w:aliases w:val="aa"/>
    <w:basedOn w:val="OPCParaBase"/>
    <w:rsid w:val="00BB54D3"/>
    <w:pPr>
      <w:tabs>
        <w:tab w:val="right" w:pos="1985"/>
      </w:tabs>
      <w:spacing w:before="40" w:line="240" w:lineRule="auto"/>
      <w:ind w:left="2098" w:hanging="2098"/>
    </w:pPr>
  </w:style>
  <w:style w:type="paragraph" w:customStyle="1" w:styleId="paragraphsub-sub">
    <w:name w:val="paragraph(sub-sub)"/>
    <w:aliases w:val="aaa"/>
    <w:basedOn w:val="OPCParaBase"/>
    <w:rsid w:val="00BB54D3"/>
    <w:pPr>
      <w:tabs>
        <w:tab w:val="right" w:pos="2722"/>
      </w:tabs>
      <w:spacing w:before="40" w:line="240" w:lineRule="auto"/>
      <w:ind w:left="2835" w:hanging="2835"/>
    </w:pPr>
  </w:style>
  <w:style w:type="paragraph" w:customStyle="1" w:styleId="paragraph">
    <w:name w:val="paragraph"/>
    <w:aliases w:val="a"/>
    <w:basedOn w:val="OPCParaBase"/>
    <w:link w:val="paragraphChar"/>
    <w:rsid w:val="00BB54D3"/>
    <w:pPr>
      <w:tabs>
        <w:tab w:val="right" w:pos="1531"/>
      </w:tabs>
      <w:spacing w:before="40" w:line="240" w:lineRule="auto"/>
      <w:ind w:left="1644" w:hanging="1644"/>
    </w:pPr>
  </w:style>
  <w:style w:type="paragraph" w:customStyle="1" w:styleId="ParlAmend">
    <w:name w:val="ParlAmend"/>
    <w:aliases w:val="pp"/>
    <w:basedOn w:val="OPCParaBase"/>
    <w:rsid w:val="00BB54D3"/>
    <w:pPr>
      <w:spacing w:before="240" w:line="240" w:lineRule="atLeast"/>
      <w:ind w:hanging="567"/>
    </w:pPr>
    <w:rPr>
      <w:sz w:val="24"/>
    </w:rPr>
  </w:style>
  <w:style w:type="paragraph" w:customStyle="1" w:styleId="Penalty">
    <w:name w:val="Penalty"/>
    <w:basedOn w:val="OPCParaBase"/>
    <w:rsid w:val="00BB54D3"/>
    <w:pPr>
      <w:tabs>
        <w:tab w:val="left" w:pos="2977"/>
      </w:tabs>
      <w:spacing w:before="180" w:line="240" w:lineRule="auto"/>
      <w:ind w:left="1985" w:hanging="851"/>
    </w:pPr>
  </w:style>
  <w:style w:type="paragraph" w:customStyle="1" w:styleId="Portfolio">
    <w:name w:val="Portfolio"/>
    <w:basedOn w:val="OPCParaBase"/>
    <w:rsid w:val="00BB54D3"/>
    <w:pPr>
      <w:spacing w:line="240" w:lineRule="auto"/>
    </w:pPr>
    <w:rPr>
      <w:i/>
      <w:sz w:val="20"/>
    </w:rPr>
  </w:style>
  <w:style w:type="paragraph" w:customStyle="1" w:styleId="Preamble">
    <w:name w:val="Preamble"/>
    <w:basedOn w:val="OPCParaBase"/>
    <w:next w:val="Normal"/>
    <w:rsid w:val="00BB54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54D3"/>
    <w:pPr>
      <w:spacing w:line="240" w:lineRule="auto"/>
    </w:pPr>
    <w:rPr>
      <w:i/>
      <w:sz w:val="20"/>
    </w:rPr>
  </w:style>
  <w:style w:type="paragraph" w:customStyle="1" w:styleId="Session">
    <w:name w:val="Session"/>
    <w:basedOn w:val="OPCParaBase"/>
    <w:rsid w:val="00BB54D3"/>
    <w:pPr>
      <w:spacing w:line="240" w:lineRule="auto"/>
    </w:pPr>
    <w:rPr>
      <w:sz w:val="28"/>
    </w:rPr>
  </w:style>
  <w:style w:type="paragraph" w:customStyle="1" w:styleId="Sponsor">
    <w:name w:val="Sponsor"/>
    <w:basedOn w:val="OPCParaBase"/>
    <w:rsid w:val="00BB54D3"/>
    <w:pPr>
      <w:spacing w:line="240" w:lineRule="auto"/>
    </w:pPr>
    <w:rPr>
      <w:i/>
    </w:rPr>
  </w:style>
  <w:style w:type="paragraph" w:customStyle="1" w:styleId="Subitem">
    <w:name w:val="Subitem"/>
    <w:aliases w:val="iss"/>
    <w:basedOn w:val="OPCParaBase"/>
    <w:rsid w:val="00BB54D3"/>
    <w:pPr>
      <w:spacing w:before="180" w:line="240" w:lineRule="auto"/>
      <w:ind w:left="709" w:hanging="709"/>
    </w:pPr>
  </w:style>
  <w:style w:type="paragraph" w:customStyle="1" w:styleId="SubitemHead">
    <w:name w:val="SubitemHead"/>
    <w:aliases w:val="issh"/>
    <w:basedOn w:val="OPCParaBase"/>
    <w:rsid w:val="00BB54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54D3"/>
    <w:pPr>
      <w:spacing w:before="40" w:line="240" w:lineRule="auto"/>
      <w:ind w:left="1134"/>
    </w:pPr>
  </w:style>
  <w:style w:type="paragraph" w:customStyle="1" w:styleId="SubsectionHead">
    <w:name w:val="SubsectionHead"/>
    <w:aliases w:val="ssh"/>
    <w:basedOn w:val="OPCParaBase"/>
    <w:next w:val="subsection"/>
    <w:rsid w:val="00BB54D3"/>
    <w:pPr>
      <w:keepNext/>
      <w:keepLines/>
      <w:spacing w:before="240" w:line="240" w:lineRule="auto"/>
      <w:ind w:left="1134"/>
    </w:pPr>
    <w:rPr>
      <w:i/>
    </w:rPr>
  </w:style>
  <w:style w:type="paragraph" w:customStyle="1" w:styleId="Tablea">
    <w:name w:val="Table(a)"/>
    <w:aliases w:val="ta"/>
    <w:basedOn w:val="OPCParaBase"/>
    <w:rsid w:val="00BB54D3"/>
    <w:pPr>
      <w:spacing w:before="60" w:line="240" w:lineRule="auto"/>
      <w:ind w:left="284" w:hanging="284"/>
    </w:pPr>
    <w:rPr>
      <w:sz w:val="20"/>
    </w:rPr>
  </w:style>
  <w:style w:type="paragraph" w:customStyle="1" w:styleId="TableAA">
    <w:name w:val="Table(AA)"/>
    <w:aliases w:val="taaa"/>
    <w:basedOn w:val="OPCParaBase"/>
    <w:rsid w:val="00BB54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54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54D3"/>
    <w:pPr>
      <w:spacing w:before="60" w:line="240" w:lineRule="atLeast"/>
    </w:pPr>
    <w:rPr>
      <w:sz w:val="20"/>
    </w:rPr>
  </w:style>
  <w:style w:type="paragraph" w:customStyle="1" w:styleId="TLPBoxTextnote">
    <w:name w:val="TLPBoxText(note"/>
    <w:aliases w:val="right)"/>
    <w:basedOn w:val="OPCParaBase"/>
    <w:rsid w:val="00BB54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54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54D3"/>
    <w:pPr>
      <w:spacing w:before="122" w:line="198" w:lineRule="exact"/>
      <w:ind w:left="1985" w:hanging="851"/>
      <w:jc w:val="right"/>
    </w:pPr>
    <w:rPr>
      <w:sz w:val="18"/>
    </w:rPr>
  </w:style>
  <w:style w:type="paragraph" w:customStyle="1" w:styleId="TLPTableBullet">
    <w:name w:val="TLPTableBullet"/>
    <w:aliases w:val="ttb"/>
    <w:basedOn w:val="OPCParaBase"/>
    <w:rsid w:val="00BB54D3"/>
    <w:pPr>
      <w:spacing w:line="240" w:lineRule="exact"/>
      <w:ind w:left="284" w:hanging="284"/>
    </w:pPr>
    <w:rPr>
      <w:sz w:val="20"/>
    </w:rPr>
  </w:style>
  <w:style w:type="paragraph" w:styleId="TOC1">
    <w:name w:val="toc 1"/>
    <w:basedOn w:val="OPCParaBase"/>
    <w:next w:val="Normal"/>
    <w:uiPriority w:val="39"/>
    <w:semiHidden/>
    <w:unhideWhenUsed/>
    <w:rsid w:val="00BB54D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B54D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B54D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B54D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B54D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B54D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54D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B54D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54D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54D3"/>
    <w:pPr>
      <w:keepLines/>
      <w:spacing w:before="240" w:after="120" w:line="240" w:lineRule="auto"/>
      <w:ind w:left="794"/>
    </w:pPr>
    <w:rPr>
      <w:b/>
      <w:kern w:val="28"/>
      <w:sz w:val="20"/>
    </w:rPr>
  </w:style>
  <w:style w:type="paragraph" w:customStyle="1" w:styleId="TofSectsHeading">
    <w:name w:val="TofSects(Heading)"/>
    <w:basedOn w:val="OPCParaBase"/>
    <w:rsid w:val="00BB54D3"/>
    <w:pPr>
      <w:spacing w:before="240" w:after="120" w:line="240" w:lineRule="auto"/>
    </w:pPr>
    <w:rPr>
      <w:b/>
      <w:sz w:val="24"/>
    </w:rPr>
  </w:style>
  <w:style w:type="paragraph" w:customStyle="1" w:styleId="TofSectsSection">
    <w:name w:val="TofSects(Section)"/>
    <w:basedOn w:val="OPCParaBase"/>
    <w:rsid w:val="00BB54D3"/>
    <w:pPr>
      <w:keepLines/>
      <w:spacing w:before="40" w:line="240" w:lineRule="auto"/>
      <w:ind w:left="1588" w:hanging="794"/>
    </w:pPr>
    <w:rPr>
      <w:kern w:val="28"/>
      <w:sz w:val="18"/>
    </w:rPr>
  </w:style>
  <w:style w:type="paragraph" w:customStyle="1" w:styleId="TofSectsSubdiv">
    <w:name w:val="TofSects(Subdiv)"/>
    <w:basedOn w:val="OPCParaBase"/>
    <w:rsid w:val="00BB54D3"/>
    <w:pPr>
      <w:keepLines/>
      <w:spacing w:before="80" w:line="240" w:lineRule="auto"/>
      <w:ind w:left="1588" w:hanging="794"/>
    </w:pPr>
    <w:rPr>
      <w:kern w:val="28"/>
    </w:rPr>
  </w:style>
  <w:style w:type="paragraph" w:customStyle="1" w:styleId="WRStyle">
    <w:name w:val="WR Style"/>
    <w:aliases w:val="WR"/>
    <w:basedOn w:val="OPCParaBase"/>
    <w:rsid w:val="00BB54D3"/>
    <w:pPr>
      <w:spacing w:before="240" w:line="240" w:lineRule="auto"/>
      <w:ind w:left="284" w:hanging="284"/>
    </w:pPr>
    <w:rPr>
      <w:b/>
      <w:i/>
      <w:kern w:val="28"/>
      <w:sz w:val="24"/>
    </w:rPr>
  </w:style>
  <w:style w:type="paragraph" w:customStyle="1" w:styleId="notepara">
    <w:name w:val="note(para)"/>
    <w:aliases w:val="na"/>
    <w:basedOn w:val="OPCParaBase"/>
    <w:rsid w:val="00BB54D3"/>
    <w:pPr>
      <w:spacing w:before="40" w:line="198" w:lineRule="exact"/>
      <w:ind w:left="2354" w:hanging="369"/>
    </w:pPr>
    <w:rPr>
      <w:sz w:val="18"/>
    </w:rPr>
  </w:style>
  <w:style w:type="paragraph" w:styleId="Footer">
    <w:name w:val="footer"/>
    <w:link w:val="FooterChar"/>
    <w:rsid w:val="00BB54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54D3"/>
    <w:rPr>
      <w:rFonts w:eastAsia="Times New Roman" w:cs="Times New Roman"/>
      <w:sz w:val="22"/>
      <w:szCs w:val="24"/>
      <w:lang w:eastAsia="en-AU"/>
    </w:rPr>
  </w:style>
  <w:style w:type="character" w:styleId="LineNumber">
    <w:name w:val="line number"/>
    <w:basedOn w:val="OPCCharBase"/>
    <w:uiPriority w:val="99"/>
    <w:semiHidden/>
    <w:unhideWhenUsed/>
    <w:rsid w:val="00BB54D3"/>
    <w:rPr>
      <w:sz w:val="16"/>
    </w:rPr>
  </w:style>
  <w:style w:type="table" w:customStyle="1" w:styleId="CFlag">
    <w:name w:val="CFlag"/>
    <w:basedOn w:val="TableNormal"/>
    <w:uiPriority w:val="99"/>
    <w:rsid w:val="00BB54D3"/>
    <w:rPr>
      <w:rFonts w:eastAsia="Times New Roman" w:cs="Times New Roman"/>
      <w:lang w:eastAsia="en-AU"/>
    </w:rPr>
    <w:tblPr/>
  </w:style>
  <w:style w:type="character" w:customStyle="1" w:styleId="subsectionChar">
    <w:name w:val="subsection Char"/>
    <w:aliases w:val="ss Char"/>
    <w:link w:val="subsection"/>
    <w:rsid w:val="0001727C"/>
    <w:rPr>
      <w:rFonts w:eastAsia="Times New Roman" w:cs="Times New Roman"/>
      <w:sz w:val="22"/>
      <w:lang w:eastAsia="en-AU"/>
    </w:rPr>
  </w:style>
  <w:style w:type="character" w:customStyle="1" w:styleId="paragraphChar">
    <w:name w:val="paragraph Char"/>
    <w:aliases w:val="a Char"/>
    <w:link w:val="paragraph"/>
    <w:rsid w:val="0001727C"/>
    <w:rPr>
      <w:rFonts w:eastAsia="Times New Roman" w:cs="Times New Roman"/>
      <w:sz w:val="22"/>
      <w:lang w:eastAsia="en-AU"/>
    </w:rPr>
  </w:style>
  <w:style w:type="character" w:customStyle="1" w:styleId="notedraftChar">
    <w:name w:val="note(draft) Char"/>
    <w:aliases w:val="nd Char"/>
    <w:basedOn w:val="DefaultParagraphFont"/>
    <w:link w:val="notedraft"/>
    <w:rsid w:val="00637E87"/>
    <w:rPr>
      <w:rFonts w:eastAsia="Times New Roman" w:cs="Times New Roman"/>
      <w:i/>
      <w:sz w:val="24"/>
      <w:lang w:eastAsia="en-AU"/>
    </w:rPr>
  </w:style>
  <w:style w:type="character" w:customStyle="1" w:styleId="Heading1Char">
    <w:name w:val="Heading 1 Char"/>
    <w:basedOn w:val="DefaultParagraphFont"/>
    <w:link w:val="Heading1"/>
    <w:uiPriority w:val="9"/>
    <w:rsid w:val="00022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2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2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222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222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222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222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22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222A5"/>
    <w:rPr>
      <w:rFonts w:asciiTheme="majorHAnsi" w:eastAsiaTheme="majorEastAsia" w:hAnsiTheme="majorHAnsi" w:cstheme="majorBidi"/>
      <w:i/>
      <w:iCs/>
      <w:color w:val="404040" w:themeColor="text1" w:themeTint="BF"/>
    </w:rPr>
  </w:style>
  <w:style w:type="paragraph" w:customStyle="1" w:styleId="NotesHeading1">
    <w:name w:val="NotesHeading 1"/>
    <w:basedOn w:val="OPCParaBase"/>
    <w:next w:val="Normal"/>
    <w:rsid w:val="00BB54D3"/>
    <w:rPr>
      <w:b/>
      <w:sz w:val="28"/>
      <w:szCs w:val="28"/>
    </w:rPr>
  </w:style>
  <w:style w:type="paragraph" w:customStyle="1" w:styleId="NotesHeading2">
    <w:name w:val="NotesHeading 2"/>
    <w:basedOn w:val="OPCParaBase"/>
    <w:next w:val="Normal"/>
    <w:rsid w:val="00BB54D3"/>
    <w:rPr>
      <w:b/>
      <w:sz w:val="28"/>
      <w:szCs w:val="28"/>
    </w:rPr>
  </w:style>
  <w:style w:type="paragraph" w:customStyle="1" w:styleId="SignCoverPageEnd">
    <w:name w:val="SignCoverPageEnd"/>
    <w:basedOn w:val="OPCParaBase"/>
    <w:next w:val="Normal"/>
    <w:rsid w:val="00BB54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54D3"/>
    <w:pPr>
      <w:pBdr>
        <w:top w:val="single" w:sz="4" w:space="1" w:color="auto"/>
      </w:pBdr>
      <w:spacing w:before="360"/>
      <w:ind w:right="397"/>
      <w:jc w:val="both"/>
    </w:pPr>
  </w:style>
  <w:style w:type="paragraph" w:customStyle="1" w:styleId="Paragraphsub-sub-sub">
    <w:name w:val="Paragraph(sub-sub-sub)"/>
    <w:aliases w:val="aaaa"/>
    <w:basedOn w:val="OPCParaBase"/>
    <w:rsid w:val="00BB54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54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54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54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54D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B54D3"/>
    <w:pPr>
      <w:spacing w:before="120"/>
    </w:pPr>
  </w:style>
  <w:style w:type="paragraph" w:customStyle="1" w:styleId="TableTextEndNotes">
    <w:name w:val="TableTextEndNotes"/>
    <w:aliases w:val="Tten"/>
    <w:basedOn w:val="Normal"/>
    <w:rsid w:val="00BB54D3"/>
    <w:pPr>
      <w:spacing w:before="60" w:line="240" w:lineRule="auto"/>
    </w:pPr>
    <w:rPr>
      <w:rFonts w:cs="Arial"/>
      <w:sz w:val="20"/>
      <w:szCs w:val="22"/>
    </w:rPr>
  </w:style>
  <w:style w:type="paragraph" w:customStyle="1" w:styleId="TableHeading">
    <w:name w:val="TableHeading"/>
    <w:aliases w:val="th"/>
    <w:basedOn w:val="OPCParaBase"/>
    <w:next w:val="Tabletext"/>
    <w:rsid w:val="00BB54D3"/>
    <w:pPr>
      <w:keepNext/>
      <w:spacing w:before="60" w:line="240" w:lineRule="atLeast"/>
    </w:pPr>
    <w:rPr>
      <w:b/>
      <w:sz w:val="20"/>
    </w:rPr>
  </w:style>
  <w:style w:type="paragraph" w:customStyle="1" w:styleId="NoteToSubpara">
    <w:name w:val="NoteToSubpara"/>
    <w:aliases w:val="nts"/>
    <w:basedOn w:val="OPCParaBase"/>
    <w:rsid w:val="00BB54D3"/>
    <w:pPr>
      <w:spacing w:before="40" w:line="198" w:lineRule="exact"/>
      <w:ind w:left="2835" w:hanging="709"/>
    </w:pPr>
    <w:rPr>
      <w:sz w:val="18"/>
    </w:rPr>
  </w:style>
  <w:style w:type="paragraph" w:customStyle="1" w:styleId="ENoteTableHeading">
    <w:name w:val="ENoteTableHeading"/>
    <w:aliases w:val="enth"/>
    <w:basedOn w:val="OPCParaBase"/>
    <w:rsid w:val="00BB54D3"/>
    <w:pPr>
      <w:keepNext/>
      <w:spacing w:before="60" w:line="240" w:lineRule="atLeast"/>
    </w:pPr>
    <w:rPr>
      <w:rFonts w:ascii="Arial" w:hAnsi="Arial"/>
      <w:b/>
      <w:sz w:val="16"/>
    </w:rPr>
  </w:style>
  <w:style w:type="paragraph" w:customStyle="1" w:styleId="ENoteTTi">
    <w:name w:val="ENoteTTi"/>
    <w:aliases w:val="entti"/>
    <w:basedOn w:val="OPCParaBase"/>
    <w:rsid w:val="00BB54D3"/>
    <w:pPr>
      <w:keepNext/>
      <w:spacing w:before="60" w:line="240" w:lineRule="atLeast"/>
      <w:ind w:left="170"/>
    </w:pPr>
    <w:rPr>
      <w:sz w:val="16"/>
    </w:rPr>
  </w:style>
  <w:style w:type="paragraph" w:customStyle="1" w:styleId="ENotesHeading1">
    <w:name w:val="ENotesHeading 1"/>
    <w:aliases w:val="Enh1"/>
    <w:basedOn w:val="OPCParaBase"/>
    <w:next w:val="Normal"/>
    <w:rsid w:val="00BB54D3"/>
    <w:pPr>
      <w:spacing w:before="120"/>
      <w:outlineLvl w:val="1"/>
    </w:pPr>
    <w:rPr>
      <w:b/>
      <w:sz w:val="28"/>
      <w:szCs w:val="28"/>
    </w:rPr>
  </w:style>
  <w:style w:type="paragraph" w:customStyle="1" w:styleId="ENotesHeading2">
    <w:name w:val="ENotesHeading 2"/>
    <w:aliases w:val="Enh2"/>
    <w:basedOn w:val="OPCParaBase"/>
    <w:next w:val="Normal"/>
    <w:rsid w:val="00BB54D3"/>
    <w:pPr>
      <w:spacing w:before="120" w:after="120"/>
      <w:outlineLvl w:val="2"/>
    </w:pPr>
    <w:rPr>
      <w:b/>
      <w:sz w:val="24"/>
      <w:szCs w:val="28"/>
    </w:rPr>
  </w:style>
  <w:style w:type="paragraph" w:customStyle="1" w:styleId="ENoteTTIndentHeading">
    <w:name w:val="ENoteTTIndentHeading"/>
    <w:aliases w:val="enTTHi"/>
    <w:basedOn w:val="OPCParaBase"/>
    <w:rsid w:val="00BB54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54D3"/>
    <w:pPr>
      <w:spacing w:before="60" w:line="240" w:lineRule="atLeast"/>
    </w:pPr>
    <w:rPr>
      <w:sz w:val="16"/>
    </w:rPr>
  </w:style>
  <w:style w:type="paragraph" w:customStyle="1" w:styleId="MadeunderText">
    <w:name w:val="MadeunderText"/>
    <w:basedOn w:val="OPCParaBase"/>
    <w:next w:val="Normal"/>
    <w:rsid w:val="00BB54D3"/>
    <w:pPr>
      <w:spacing w:before="240"/>
    </w:pPr>
    <w:rPr>
      <w:sz w:val="24"/>
      <w:szCs w:val="24"/>
    </w:rPr>
  </w:style>
  <w:style w:type="paragraph" w:customStyle="1" w:styleId="ENotesHeading3">
    <w:name w:val="ENotesHeading 3"/>
    <w:aliases w:val="Enh3"/>
    <w:basedOn w:val="OPCParaBase"/>
    <w:next w:val="Normal"/>
    <w:rsid w:val="00BB54D3"/>
    <w:pPr>
      <w:keepNext/>
      <w:spacing w:before="120" w:line="240" w:lineRule="auto"/>
      <w:outlineLvl w:val="4"/>
    </w:pPr>
    <w:rPr>
      <w:b/>
      <w:szCs w:val="24"/>
    </w:rPr>
  </w:style>
  <w:style w:type="paragraph" w:customStyle="1" w:styleId="SubPartCASA">
    <w:name w:val="SubPart(CASA)"/>
    <w:aliases w:val="csp"/>
    <w:basedOn w:val="OPCParaBase"/>
    <w:next w:val="ActHead3"/>
    <w:rsid w:val="00BB54D3"/>
    <w:pPr>
      <w:keepNext/>
      <w:keepLines/>
      <w:spacing w:before="280"/>
      <w:outlineLvl w:val="1"/>
    </w:pPr>
    <w:rPr>
      <w:b/>
      <w:kern w:val="28"/>
      <w:sz w:val="32"/>
    </w:rPr>
  </w:style>
  <w:style w:type="character" w:customStyle="1" w:styleId="CharSubPartTextCASA">
    <w:name w:val="CharSubPartText(CASA)"/>
    <w:basedOn w:val="OPCCharBase"/>
    <w:uiPriority w:val="1"/>
    <w:rsid w:val="00BB54D3"/>
  </w:style>
  <w:style w:type="character" w:customStyle="1" w:styleId="CharSubPartNoCASA">
    <w:name w:val="CharSubPartNo(CASA)"/>
    <w:basedOn w:val="OPCCharBase"/>
    <w:uiPriority w:val="1"/>
    <w:rsid w:val="00BB54D3"/>
  </w:style>
  <w:style w:type="paragraph" w:customStyle="1" w:styleId="ENoteTTIndentHeadingSub">
    <w:name w:val="ENoteTTIndentHeadingSub"/>
    <w:aliases w:val="enTTHis"/>
    <w:basedOn w:val="OPCParaBase"/>
    <w:rsid w:val="00BB54D3"/>
    <w:pPr>
      <w:keepNext/>
      <w:spacing w:before="60" w:line="240" w:lineRule="atLeast"/>
      <w:ind w:left="340"/>
    </w:pPr>
    <w:rPr>
      <w:b/>
      <w:sz w:val="16"/>
    </w:rPr>
  </w:style>
  <w:style w:type="paragraph" w:customStyle="1" w:styleId="ENoteTTiSub">
    <w:name w:val="ENoteTTiSub"/>
    <w:aliases w:val="enttis"/>
    <w:basedOn w:val="OPCParaBase"/>
    <w:rsid w:val="00BB54D3"/>
    <w:pPr>
      <w:keepNext/>
      <w:spacing w:before="60" w:line="240" w:lineRule="atLeast"/>
      <w:ind w:left="340"/>
    </w:pPr>
    <w:rPr>
      <w:sz w:val="16"/>
    </w:rPr>
  </w:style>
  <w:style w:type="paragraph" w:customStyle="1" w:styleId="SubDivisionMigration">
    <w:name w:val="SubDivisionMigration"/>
    <w:aliases w:val="sdm"/>
    <w:basedOn w:val="OPCParaBase"/>
    <w:rsid w:val="00BB54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54D3"/>
    <w:pPr>
      <w:keepNext/>
      <w:keepLines/>
      <w:spacing w:before="240" w:line="240" w:lineRule="auto"/>
      <w:ind w:left="1134" w:hanging="1134"/>
    </w:pPr>
    <w:rPr>
      <w:b/>
      <w:sz w:val="28"/>
    </w:rPr>
  </w:style>
  <w:style w:type="table" w:styleId="TableGrid">
    <w:name w:val="Table Grid"/>
    <w:basedOn w:val="TableNormal"/>
    <w:uiPriority w:val="59"/>
    <w:rsid w:val="00BB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B54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54D3"/>
    <w:rPr>
      <w:sz w:val="22"/>
    </w:rPr>
  </w:style>
  <w:style w:type="paragraph" w:customStyle="1" w:styleId="SOTextNote">
    <w:name w:val="SO TextNote"/>
    <w:aliases w:val="sont"/>
    <w:basedOn w:val="SOText"/>
    <w:qFormat/>
    <w:rsid w:val="00BB54D3"/>
    <w:pPr>
      <w:spacing w:before="122" w:line="198" w:lineRule="exact"/>
      <w:ind w:left="1843" w:hanging="709"/>
    </w:pPr>
    <w:rPr>
      <w:sz w:val="18"/>
    </w:rPr>
  </w:style>
  <w:style w:type="paragraph" w:customStyle="1" w:styleId="SOPara">
    <w:name w:val="SO Para"/>
    <w:aliases w:val="soa"/>
    <w:basedOn w:val="SOText"/>
    <w:link w:val="SOParaChar"/>
    <w:qFormat/>
    <w:rsid w:val="00BB54D3"/>
    <w:pPr>
      <w:tabs>
        <w:tab w:val="right" w:pos="1786"/>
      </w:tabs>
      <w:spacing w:before="40"/>
      <w:ind w:left="2070" w:hanging="936"/>
    </w:pPr>
  </w:style>
  <w:style w:type="character" w:customStyle="1" w:styleId="SOParaChar">
    <w:name w:val="SO Para Char"/>
    <w:aliases w:val="soa Char"/>
    <w:basedOn w:val="DefaultParagraphFont"/>
    <w:link w:val="SOPara"/>
    <w:rsid w:val="00BB54D3"/>
    <w:rPr>
      <w:sz w:val="22"/>
    </w:rPr>
  </w:style>
  <w:style w:type="paragraph" w:customStyle="1" w:styleId="FileName">
    <w:name w:val="FileName"/>
    <w:basedOn w:val="Normal"/>
    <w:rsid w:val="00BB54D3"/>
  </w:style>
  <w:style w:type="paragraph" w:customStyle="1" w:styleId="SOHeadBold">
    <w:name w:val="SO HeadBold"/>
    <w:aliases w:val="sohb"/>
    <w:basedOn w:val="SOText"/>
    <w:next w:val="SOText"/>
    <w:link w:val="SOHeadBoldChar"/>
    <w:qFormat/>
    <w:rsid w:val="00BB54D3"/>
    <w:rPr>
      <w:b/>
    </w:rPr>
  </w:style>
  <w:style w:type="character" w:customStyle="1" w:styleId="SOHeadBoldChar">
    <w:name w:val="SO HeadBold Char"/>
    <w:aliases w:val="sohb Char"/>
    <w:basedOn w:val="DefaultParagraphFont"/>
    <w:link w:val="SOHeadBold"/>
    <w:rsid w:val="00BB54D3"/>
    <w:rPr>
      <w:b/>
      <w:sz w:val="22"/>
    </w:rPr>
  </w:style>
  <w:style w:type="paragraph" w:customStyle="1" w:styleId="SOHeadItalic">
    <w:name w:val="SO HeadItalic"/>
    <w:aliases w:val="sohi"/>
    <w:basedOn w:val="SOText"/>
    <w:next w:val="SOText"/>
    <w:link w:val="SOHeadItalicChar"/>
    <w:qFormat/>
    <w:rsid w:val="00BB54D3"/>
    <w:rPr>
      <w:i/>
    </w:rPr>
  </w:style>
  <w:style w:type="character" w:customStyle="1" w:styleId="SOHeadItalicChar">
    <w:name w:val="SO HeadItalic Char"/>
    <w:aliases w:val="sohi Char"/>
    <w:basedOn w:val="DefaultParagraphFont"/>
    <w:link w:val="SOHeadItalic"/>
    <w:rsid w:val="00BB54D3"/>
    <w:rPr>
      <w:i/>
      <w:sz w:val="22"/>
    </w:rPr>
  </w:style>
  <w:style w:type="paragraph" w:customStyle="1" w:styleId="SOBullet">
    <w:name w:val="SO Bullet"/>
    <w:aliases w:val="sotb"/>
    <w:basedOn w:val="SOText"/>
    <w:link w:val="SOBulletChar"/>
    <w:qFormat/>
    <w:rsid w:val="00BB54D3"/>
    <w:pPr>
      <w:ind w:left="1559" w:hanging="425"/>
    </w:pPr>
  </w:style>
  <w:style w:type="character" w:customStyle="1" w:styleId="SOBulletChar">
    <w:name w:val="SO Bullet Char"/>
    <w:aliases w:val="sotb Char"/>
    <w:basedOn w:val="DefaultParagraphFont"/>
    <w:link w:val="SOBullet"/>
    <w:rsid w:val="00BB54D3"/>
    <w:rPr>
      <w:sz w:val="22"/>
    </w:rPr>
  </w:style>
  <w:style w:type="paragraph" w:customStyle="1" w:styleId="SOBulletNote">
    <w:name w:val="SO BulletNote"/>
    <w:aliases w:val="sonb"/>
    <w:basedOn w:val="SOTextNote"/>
    <w:link w:val="SOBulletNoteChar"/>
    <w:qFormat/>
    <w:rsid w:val="00BB54D3"/>
    <w:pPr>
      <w:tabs>
        <w:tab w:val="left" w:pos="1560"/>
      </w:tabs>
      <w:ind w:left="2268" w:hanging="1134"/>
    </w:pPr>
  </w:style>
  <w:style w:type="character" w:customStyle="1" w:styleId="SOBulletNoteChar">
    <w:name w:val="SO BulletNote Char"/>
    <w:aliases w:val="sonb Char"/>
    <w:basedOn w:val="DefaultParagraphFont"/>
    <w:link w:val="SOBulletNote"/>
    <w:rsid w:val="00BB54D3"/>
    <w:rPr>
      <w:sz w:val="18"/>
    </w:rPr>
  </w:style>
  <w:style w:type="paragraph" w:customStyle="1" w:styleId="SOText2">
    <w:name w:val="SO Text2"/>
    <w:aliases w:val="sot2"/>
    <w:basedOn w:val="Normal"/>
    <w:next w:val="SOText"/>
    <w:link w:val="SOText2Char"/>
    <w:rsid w:val="00BB54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54D3"/>
    <w:rPr>
      <w:sz w:val="22"/>
    </w:rPr>
  </w:style>
  <w:style w:type="character" w:customStyle="1" w:styleId="OPCParaBaseChar">
    <w:name w:val="OPCParaBase Char"/>
    <w:basedOn w:val="DefaultParagraphFont"/>
    <w:link w:val="OPCParaBase"/>
    <w:rsid w:val="00BA3C30"/>
    <w:rPr>
      <w:rFonts w:eastAsia="Times New Roman" w:cs="Times New Roman"/>
      <w:sz w:val="22"/>
      <w:lang w:eastAsia="en-AU"/>
    </w:rPr>
  </w:style>
  <w:style w:type="character" w:customStyle="1" w:styleId="ItemHeadChar">
    <w:name w:val="ItemHead Char"/>
    <w:aliases w:val="ih Char"/>
    <w:basedOn w:val="OPCParaBaseChar"/>
    <w:link w:val="ItemHead"/>
    <w:rsid w:val="00BA3C30"/>
    <w:rPr>
      <w:rFonts w:ascii="Arial" w:eastAsia="Times New Roman" w:hAnsi="Arial" w:cs="Times New Roman"/>
      <w:b/>
      <w:kern w:val="28"/>
      <w:sz w:val="24"/>
      <w:lang w:eastAsia="en-AU"/>
    </w:rPr>
  </w:style>
  <w:style w:type="paragraph" w:customStyle="1" w:styleId="ClerkBlock">
    <w:name w:val="ClerkBlock"/>
    <w:basedOn w:val="Normal"/>
    <w:rsid w:val="00E04DFE"/>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045F62"/>
    <w:rPr>
      <w:color w:val="0000FF" w:themeColor="hyperlink"/>
      <w:u w:val="single"/>
    </w:rPr>
  </w:style>
  <w:style w:type="character" w:styleId="FollowedHyperlink">
    <w:name w:val="FollowedHyperlink"/>
    <w:basedOn w:val="DefaultParagraphFont"/>
    <w:uiPriority w:val="99"/>
    <w:semiHidden/>
    <w:unhideWhenUsed/>
    <w:rsid w:val="00045F62"/>
    <w:rPr>
      <w:color w:val="0000FF" w:themeColor="hyperlink"/>
      <w:u w:val="single"/>
    </w:rPr>
  </w:style>
  <w:style w:type="paragraph" w:styleId="BalloonText">
    <w:name w:val="Balloon Text"/>
    <w:basedOn w:val="Normal"/>
    <w:link w:val="BalloonTextChar"/>
    <w:uiPriority w:val="99"/>
    <w:semiHidden/>
    <w:unhideWhenUsed/>
    <w:rsid w:val="005529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75"/>
    <w:rPr>
      <w:rFonts w:ascii="Tahoma" w:hAnsi="Tahoma" w:cs="Tahoma"/>
      <w:sz w:val="16"/>
      <w:szCs w:val="16"/>
    </w:rPr>
  </w:style>
  <w:style w:type="paragraph" w:customStyle="1" w:styleId="ShortTP1">
    <w:name w:val="ShortTP1"/>
    <w:basedOn w:val="ShortT"/>
    <w:link w:val="ShortTP1Char"/>
    <w:rsid w:val="007F169B"/>
    <w:pPr>
      <w:spacing w:before="800"/>
    </w:pPr>
  </w:style>
  <w:style w:type="character" w:customStyle="1" w:styleId="ShortTChar">
    <w:name w:val="ShortT Char"/>
    <w:basedOn w:val="OPCParaBaseChar"/>
    <w:link w:val="ShortT"/>
    <w:rsid w:val="007F169B"/>
    <w:rPr>
      <w:rFonts w:eastAsia="Times New Roman" w:cs="Times New Roman"/>
      <w:b/>
      <w:sz w:val="40"/>
      <w:lang w:eastAsia="en-AU"/>
    </w:rPr>
  </w:style>
  <w:style w:type="character" w:customStyle="1" w:styleId="ShortTP1Char">
    <w:name w:val="ShortTP1 Char"/>
    <w:basedOn w:val="ShortTChar"/>
    <w:link w:val="ShortTP1"/>
    <w:rsid w:val="007F169B"/>
    <w:rPr>
      <w:rFonts w:eastAsia="Times New Roman" w:cs="Times New Roman"/>
      <w:b/>
      <w:sz w:val="40"/>
      <w:lang w:eastAsia="en-AU"/>
    </w:rPr>
  </w:style>
  <w:style w:type="paragraph" w:customStyle="1" w:styleId="ActNoP1">
    <w:name w:val="ActNoP1"/>
    <w:basedOn w:val="Actno"/>
    <w:link w:val="ActNoP1Char"/>
    <w:rsid w:val="007F169B"/>
    <w:pPr>
      <w:spacing w:before="800"/>
    </w:pPr>
    <w:rPr>
      <w:sz w:val="28"/>
    </w:rPr>
  </w:style>
  <w:style w:type="character" w:customStyle="1" w:styleId="ActnoChar">
    <w:name w:val="Actno Char"/>
    <w:basedOn w:val="ShortTChar"/>
    <w:link w:val="Actno"/>
    <w:rsid w:val="007F169B"/>
    <w:rPr>
      <w:rFonts w:eastAsia="Times New Roman" w:cs="Times New Roman"/>
      <w:b/>
      <w:sz w:val="40"/>
      <w:lang w:eastAsia="en-AU"/>
    </w:rPr>
  </w:style>
  <w:style w:type="character" w:customStyle="1" w:styleId="ActNoP1Char">
    <w:name w:val="ActNoP1 Char"/>
    <w:basedOn w:val="ActnoChar"/>
    <w:link w:val="ActNoP1"/>
    <w:rsid w:val="007F169B"/>
    <w:rPr>
      <w:rFonts w:eastAsia="Times New Roman" w:cs="Times New Roman"/>
      <w:b/>
      <w:sz w:val="28"/>
      <w:lang w:eastAsia="en-AU"/>
    </w:rPr>
  </w:style>
  <w:style w:type="paragraph" w:customStyle="1" w:styleId="ShortTCP">
    <w:name w:val="ShortTCP"/>
    <w:basedOn w:val="ShortT"/>
    <w:link w:val="ShortTCPChar"/>
    <w:rsid w:val="007F169B"/>
  </w:style>
  <w:style w:type="character" w:customStyle="1" w:styleId="ShortTCPChar">
    <w:name w:val="ShortTCP Char"/>
    <w:basedOn w:val="ShortTChar"/>
    <w:link w:val="ShortTCP"/>
    <w:rsid w:val="007F169B"/>
    <w:rPr>
      <w:rFonts w:eastAsia="Times New Roman" w:cs="Times New Roman"/>
      <w:b/>
      <w:sz w:val="40"/>
      <w:lang w:eastAsia="en-AU"/>
    </w:rPr>
  </w:style>
  <w:style w:type="paragraph" w:customStyle="1" w:styleId="ActNoCP">
    <w:name w:val="ActNoCP"/>
    <w:basedOn w:val="Actno"/>
    <w:link w:val="ActNoCPChar"/>
    <w:rsid w:val="007F169B"/>
    <w:pPr>
      <w:spacing w:before="400"/>
    </w:pPr>
  </w:style>
  <w:style w:type="character" w:customStyle="1" w:styleId="ActNoCPChar">
    <w:name w:val="ActNoCP Char"/>
    <w:basedOn w:val="ActnoChar"/>
    <w:link w:val="ActNoCP"/>
    <w:rsid w:val="007F169B"/>
    <w:rPr>
      <w:rFonts w:eastAsia="Times New Roman" w:cs="Times New Roman"/>
      <w:b/>
      <w:sz w:val="40"/>
      <w:lang w:eastAsia="en-AU"/>
    </w:rPr>
  </w:style>
  <w:style w:type="paragraph" w:customStyle="1" w:styleId="AssentBk">
    <w:name w:val="AssentBk"/>
    <w:basedOn w:val="Normal"/>
    <w:rsid w:val="007F169B"/>
    <w:pPr>
      <w:spacing w:line="240" w:lineRule="auto"/>
    </w:pPr>
    <w:rPr>
      <w:rFonts w:eastAsia="Times New Roman" w:cs="Times New Roman"/>
      <w:sz w:val="20"/>
      <w:lang w:eastAsia="en-AU"/>
    </w:rPr>
  </w:style>
  <w:style w:type="paragraph" w:customStyle="1" w:styleId="AssentDt">
    <w:name w:val="AssentDt"/>
    <w:basedOn w:val="Normal"/>
    <w:rsid w:val="00805365"/>
    <w:pPr>
      <w:spacing w:line="240" w:lineRule="auto"/>
    </w:pPr>
    <w:rPr>
      <w:rFonts w:eastAsia="Times New Roman" w:cs="Times New Roman"/>
      <w:sz w:val="20"/>
      <w:lang w:eastAsia="en-AU"/>
    </w:rPr>
  </w:style>
  <w:style w:type="paragraph" w:customStyle="1" w:styleId="2ndRd">
    <w:name w:val="2ndRd"/>
    <w:basedOn w:val="Normal"/>
    <w:rsid w:val="00805365"/>
    <w:pPr>
      <w:spacing w:line="240" w:lineRule="auto"/>
    </w:pPr>
    <w:rPr>
      <w:rFonts w:eastAsia="Times New Roman" w:cs="Times New Roman"/>
      <w:sz w:val="20"/>
      <w:lang w:eastAsia="en-AU"/>
    </w:rPr>
  </w:style>
  <w:style w:type="paragraph" w:customStyle="1" w:styleId="ScalePlusRef">
    <w:name w:val="ScalePlusRef"/>
    <w:basedOn w:val="Normal"/>
    <w:rsid w:val="0080536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54D3"/>
    <w:pPr>
      <w:spacing w:line="260" w:lineRule="atLeast"/>
    </w:pPr>
    <w:rPr>
      <w:sz w:val="22"/>
    </w:rPr>
  </w:style>
  <w:style w:type="paragraph" w:styleId="Heading1">
    <w:name w:val="heading 1"/>
    <w:basedOn w:val="Normal"/>
    <w:next w:val="Normal"/>
    <w:link w:val="Heading1Char"/>
    <w:uiPriority w:val="9"/>
    <w:qFormat/>
    <w:rsid w:val="000222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2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22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22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22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22A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2A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222A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54D3"/>
  </w:style>
  <w:style w:type="paragraph" w:customStyle="1" w:styleId="OPCParaBase">
    <w:name w:val="OPCParaBase"/>
    <w:link w:val="OPCParaBaseChar"/>
    <w:qFormat/>
    <w:rsid w:val="00BB54D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B54D3"/>
    <w:pPr>
      <w:spacing w:line="240" w:lineRule="auto"/>
    </w:pPr>
    <w:rPr>
      <w:b/>
      <w:sz w:val="40"/>
    </w:rPr>
  </w:style>
  <w:style w:type="paragraph" w:customStyle="1" w:styleId="ActHead1">
    <w:name w:val="ActHead 1"/>
    <w:aliases w:val="c"/>
    <w:basedOn w:val="OPCParaBase"/>
    <w:next w:val="Normal"/>
    <w:qFormat/>
    <w:rsid w:val="00BB54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54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54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54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B54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54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54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54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54D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B54D3"/>
  </w:style>
  <w:style w:type="paragraph" w:customStyle="1" w:styleId="Blocks">
    <w:name w:val="Blocks"/>
    <w:aliases w:val="bb"/>
    <w:basedOn w:val="OPCParaBase"/>
    <w:qFormat/>
    <w:rsid w:val="00BB54D3"/>
    <w:pPr>
      <w:spacing w:line="240" w:lineRule="auto"/>
    </w:pPr>
    <w:rPr>
      <w:sz w:val="24"/>
    </w:rPr>
  </w:style>
  <w:style w:type="paragraph" w:customStyle="1" w:styleId="BoxText">
    <w:name w:val="BoxText"/>
    <w:aliases w:val="bt"/>
    <w:basedOn w:val="OPCParaBase"/>
    <w:qFormat/>
    <w:rsid w:val="00BB54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54D3"/>
    <w:rPr>
      <w:b/>
    </w:rPr>
  </w:style>
  <w:style w:type="paragraph" w:customStyle="1" w:styleId="BoxHeadItalic">
    <w:name w:val="BoxHeadItalic"/>
    <w:aliases w:val="bhi"/>
    <w:basedOn w:val="BoxText"/>
    <w:next w:val="BoxStep"/>
    <w:qFormat/>
    <w:rsid w:val="00BB54D3"/>
    <w:rPr>
      <w:i/>
    </w:rPr>
  </w:style>
  <w:style w:type="paragraph" w:customStyle="1" w:styleId="BoxList">
    <w:name w:val="BoxList"/>
    <w:aliases w:val="bl"/>
    <w:basedOn w:val="BoxText"/>
    <w:qFormat/>
    <w:rsid w:val="00BB54D3"/>
    <w:pPr>
      <w:ind w:left="1559" w:hanging="425"/>
    </w:pPr>
  </w:style>
  <w:style w:type="paragraph" w:customStyle="1" w:styleId="BoxNote">
    <w:name w:val="BoxNote"/>
    <w:aliases w:val="bn"/>
    <w:basedOn w:val="BoxText"/>
    <w:qFormat/>
    <w:rsid w:val="00BB54D3"/>
    <w:pPr>
      <w:tabs>
        <w:tab w:val="left" w:pos="1985"/>
      </w:tabs>
      <w:spacing w:before="122" w:line="198" w:lineRule="exact"/>
      <w:ind w:left="2948" w:hanging="1814"/>
    </w:pPr>
    <w:rPr>
      <w:sz w:val="18"/>
    </w:rPr>
  </w:style>
  <w:style w:type="paragraph" w:customStyle="1" w:styleId="BoxPara">
    <w:name w:val="BoxPara"/>
    <w:aliases w:val="bp"/>
    <w:basedOn w:val="BoxText"/>
    <w:qFormat/>
    <w:rsid w:val="00BB54D3"/>
    <w:pPr>
      <w:tabs>
        <w:tab w:val="right" w:pos="2268"/>
      </w:tabs>
      <w:ind w:left="2552" w:hanging="1418"/>
    </w:pPr>
  </w:style>
  <w:style w:type="paragraph" w:customStyle="1" w:styleId="BoxStep">
    <w:name w:val="BoxStep"/>
    <w:aliases w:val="bs"/>
    <w:basedOn w:val="BoxText"/>
    <w:qFormat/>
    <w:rsid w:val="00BB54D3"/>
    <w:pPr>
      <w:ind w:left="1985" w:hanging="851"/>
    </w:pPr>
  </w:style>
  <w:style w:type="character" w:customStyle="1" w:styleId="CharAmPartNo">
    <w:name w:val="CharAmPartNo"/>
    <w:basedOn w:val="OPCCharBase"/>
    <w:qFormat/>
    <w:rsid w:val="00BB54D3"/>
  </w:style>
  <w:style w:type="character" w:customStyle="1" w:styleId="CharAmPartText">
    <w:name w:val="CharAmPartText"/>
    <w:basedOn w:val="OPCCharBase"/>
    <w:qFormat/>
    <w:rsid w:val="00BB54D3"/>
  </w:style>
  <w:style w:type="character" w:customStyle="1" w:styleId="CharAmSchNo">
    <w:name w:val="CharAmSchNo"/>
    <w:basedOn w:val="OPCCharBase"/>
    <w:qFormat/>
    <w:rsid w:val="00BB54D3"/>
  </w:style>
  <w:style w:type="character" w:customStyle="1" w:styleId="CharAmSchText">
    <w:name w:val="CharAmSchText"/>
    <w:basedOn w:val="OPCCharBase"/>
    <w:qFormat/>
    <w:rsid w:val="00BB54D3"/>
  </w:style>
  <w:style w:type="character" w:customStyle="1" w:styleId="CharBoldItalic">
    <w:name w:val="CharBoldItalic"/>
    <w:basedOn w:val="OPCCharBase"/>
    <w:uiPriority w:val="1"/>
    <w:qFormat/>
    <w:rsid w:val="00BB54D3"/>
    <w:rPr>
      <w:b/>
      <w:i/>
    </w:rPr>
  </w:style>
  <w:style w:type="character" w:customStyle="1" w:styleId="CharChapNo">
    <w:name w:val="CharChapNo"/>
    <w:basedOn w:val="OPCCharBase"/>
    <w:uiPriority w:val="1"/>
    <w:qFormat/>
    <w:rsid w:val="00BB54D3"/>
  </w:style>
  <w:style w:type="character" w:customStyle="1" w:styleId="CharChapText">
    <w:name w:val="CharChapText"/>
    <w:basedOn w:val="OPCCharBase"/>
    <w:uiPriority w:val="1"/>
    <w:qFormat/>
    <w:rsid w:val="00BB54D3"/>
  </w:style>
  <w:style w:type="character" w:customStyle="1" w:styleId="CharDivNo">
    <w:name w:val="CharDivNo"/>
    <w:basedOn w:val="OPCCharBase"/>
    <w:uiPriority w:val="1"/>
    <w:qFormat/>
    <w:rsid w:val="00BB54D3"/>
  </w:style>
  <w:style w:type="character" w:customStyle="1" w:styleId="CharDivText">
    <w:name w:val="CharDivText"/>
    <w:basedOn w:val="OPCCharBase"/>
    <w:uiPriority w:val="1"/>
    <w:qFormat/>
    <w:rsid w:val="00BB54D3"/>
  </w:style>
  <w:style w:type="character" w:customStyle="1" w:styleId="CharItalic">
    <w:name w:val="CharItalic"/>
    <w:basedOn w:val="OPCCharBase"/>
    <w:uiPriority w:val="1"/>
    <w:qFormat/>
    <w:rsid w:val="00BB54D3"/>
    <w:rPr>
      <w:i/>
    </w:rPr>
  </w:style>
  <w:style w:type="character" w:customStyle="1" w:styleId="CharPartNo">
    <w:name w:val="CharPartNo"/>
    <w:basedOn w:val="OPCCharBase"/>
    <w:uiPriority w:val="1"/>
    <w:qFormat/>
    <w:rsid w:val="00BB54D3"/>
  </w:style>
  <w:style w:type="character" w:customStyle="1" w:styleId="CharPartText">
    <w:name w:val="CharPartText"/>
    <w:basedOn w:val="OPCCharBase"/>
    <w:uiPriority w:val="1"/>
    <w:qFormat/>
    <w:rsid w:val="00BB54D3"/>
  </w:style>
  <w:style w:type="character" w:customStyle="1" w:styleId="CharSectno">
    <w:name w:val="CharSectno"/>
    <w:basedOn w:val="OPCCharBase"/>
    <w:qFormat/>
    <w:rsid w:val="00BB54D3"/>
  </w:style>
  <w:style w:type="character" w:customStyle="1" w:styleId="CharSubdNo">
    <w:name w:val="CharSubdNo"/>
    <w:basedOn w:val="OPCCharBase"/>
    <w:uiPriority w:val="1"/>
    <w:qFormat/>
    <w:rsid w:val="00BB54D3"/>
  </w:style>
  <w:style w:type="character" w:customStyle="1" w:styleId="CharSubdText">
    <w:name w:val="CharSubdText"/>
    <w:basedOn w:val="OPCCharBase"/>
    <w:uiPriority w:val="1"/>
    <w:qFormat/>
    <w:rsid w:val="00BB54D3"/>
  </w:style>
  <w:style w:type="paragraph" w:customStyle="1" w:styleId="CTA--">
    <w:name w:val="CTA --"/>
    <w:basedOn w:val="OPCParaBase"/>
    <w:next w:val="Normal"/>
    <w:rsid w:val="00BB54D3"/>
    <w:pPr>
      <w:spacing w:before="60" w:line="240" w:lineRule="atLeast"/>
      <w:ind w:left="142" w:hanging="142"/>
    </w:pPr>
    <w:rPr>
      <w:sz w:val="20"/>
    </w:rPr>
  </w:style>
  <w:style w:type="paragraph" w:customStyle="1" w:styleId="CTA-">
    <w:name w:val="CTA -"/>
    <w:basedOn w:val="OPCParaBase"/>
    <w:rsid w:val="00BB54D3"/>
    <w:pPr>
      <w:spacing w:before="60" w:line="240" w:lineRule="atLeast"/>
      <w:ind w:left="85" w:hanging="85"/>
    </w:pPr>
    <w:rPr>
      <w:sz w:val="20"/>
    </w:rPr>
  </w:style>
  <w:style w:type="paragraph" w:customStyle="1" w:styleId="CTA---">
    <w:name w:val="CTA ---"/>
    <w:basedOn w:val="OPCParaBase"/>
    <w:next w:val="Normal"/>
    <w:rsid w:val="00BB54D3"/>
    <w:pPr>
      <w:spacing w:before="60" w:line="240" w:lineRule="atLeast"/>
      <w:ind w:left="198" w:hanging="198"/>
    </w:pPr>
    <w:rPr>
      <w:sz w:val="20"/>
    </w:rPr>
  </w:style>
  <w:style w:type="paragraph" w:customStyle="1" w:styleId="CTA----">
    <w:name w:val="CTA ----"/>
    <w:basedOn w:val="OPCParaBase"/>
    <w:next w:val="Normal"/>
    <w:rsid w:val="00BB54D3"/>
    <w:pPr>
      <w:spacing w:before="60" w:line="240" w:lineRule="atLeast"/>
      <w:ind w:left="255" w:hanging="255"/>
    </w:pPr>
    <w:rPr>
      <w:sz w:val="20"/>
    </w:rPr>
  </w:style>
  <w:style w:type="paragraph" w:customStyle="1" w:styleId="CTA1a">
    <w:name w:val="CTA 1(a)"/>
    <w:basedOn w:val="OPCParaBase"/>
    <w:rsid w:val="00BB54D3"/>
    <w:pPr>
      <w:tabs>
        <w:tab w:val="right" w:pos="414"/>
      </w:tabs>
      <w:spacing w:before="40" w:line="240" w:lineRule="atLeast"/>
      <w:ind w:left="675" w:hanging="675"/>
    </w:pPr>
    <w:rPr>
      <w:sz w:val="20"/>
    </w:rPr>
  </w:style>
  <w:style w:type="paragraph" w:customStyle="1" w:styleId="CTA1ai">
    <w:name w:val="CTA 1(a)(i)"/>
    <w:basedOn w:val="OPCParaBase"/>
    <w:rsid w:val="00BB54D3"/>
    <w:pPr>
      <w:tabs>
        <w:tab w:val="right" w:pos="1004"/>
      </w:tabs>
      <w:spacing w:before="40" w:line="240" w:lineRule="atLeast"/>
      <w:ind w:left="1253" w:hanging="1253"/>
    </w:pPr>
    <w:rPr>
      <w:sz w:val="20"/>
    </w:rPr>
  </w:style>
  <w:style w:type="paragraph" w:customStyle="1" w:styleId="CTA2a">
    <w:name w:val="CTA 2(a)"/>
    <w:basedOn w:val="OPCParaBase"/>
    <w:rsid w:val="00BB54D3"/>
    <w:pPr>
      <w:tabs>
        <w:tab w:val="right" w:pos="482"/>
      </w:tabs>
      <w:spacing w:before="40" w:line="240" w:lineRule="atLeast"/>
      <w:ind w:left="748" w:hanging="748"/>
    </w:pPr>
    <w:rPr>
      <w:sz w:val="20"/>
    </w:rPr>
  </w:style>
  <w:style w:type="paragraph" w:customStyle="1" w:styleId="CTA2ai">
    <w:name w:val="CTA 2(a)(i)"/>
    <w:basedOn w:val="OPCParaBase"/>
    <w:rsid w:val="00BB54D3"/>
    <w:pPr>
      <w:tabs>
        <w:tab w:val="right" w:pos="1089"/>
      </w:tabs>
      <w:spacing w:before="40" w:line="240" w:lineRule="atLeast"/>
      <w:ind w:left="1327" w:hanging="1327"/>
    </w:pPr>
    <w:rPr>
      <w:sz w:val="20"/>
    </w:rPr>
  </w:style>
  <w:style w:type="paragraph" w:customStyle="1" w:styleId="CTA3a">
    <w:name w:val="CTA 3(a)"/>
    <w:basedOn w:val="OPCParaBase"/>
    <w:rsid w:val="00BB54D3"/>
    <w:pPr>
      <w:tabs>
        <w:tab w:val="right" w:pos="556"/>
      </w:tabs>
      <w:spacing w:before="40" w:line="240" w:lineRule="atLeast"/>
      <w:ind w:left="805" w:hanging="805"/>
    </w:pPr>
    <w:rPr>
      <w:sz w:val="20"/>
    </w:rPr>
  </w:style>
  <w:style w:type="paragraph" w:customStyle="1" w:styleId="CTA3ai">
    <w:name w:val="CTA 3(a)(i)"/>
    <w:basedOn w:val="OPCParaBase"/>
    <w:rsid w:val="00BB54D3"/>
    <w:pPr>
      <w:tabs>
        <w:tab w:val="right" w:pos="1140"/>
      </w:tabs>
      <w:spacing w:before="40" w:line="240" w:lineRule="atLeast"/>
      <w:ind w:left="1361" w:hanging="1361"/>
    </w:pPr>
    <w:rPr>
      <w:sz w:val="20"/>
    </w:rPr>
  </w:style>
  <w:style w:type="paragraph" w:customStyle="1" w:styleId="CTA4a">
    <w:name w:val="CTA 4(a)"/>
    <w:basedOn w:val="OPCParaBase"/>
    <w:rsid w:val="00BB54D3"/>
    <w:pPr>
      <w:tabs>
        <w:tab w:val="right" w:pos="624"/>
      </w:tabs>
      <w:spacing w:before="40" w:line="240" w:lineRule="atLeast"/>
      <w:ind w:left="873" w:hanging="873"/>
    </w:pPr>
    <w:rPr>
      <w:sz w:val="20"/>
    </w:rPr>
  </w:style>
  <w:style w:type="paragraph" w:customStyle="1" w:styleId="CTA4ai">
    <w:name w:val="CTA 4(a)(i)"/>
    <w:basedOn w:val="OPCParaBase"/>
    <w:rsid w:val="00BB54D3"/>
    <w:pPr>
      <w:tabs>
        <w:tab w:val="right" w:pos="1213"/>
      </w:tabs>
      <w:spacing w:before="40" w:line="240" w:lineRule="atLeast"/>
      <w:ind w:left="1452" w:hanging="1452"/>
    </w:pPr>
    <w:rPr>
      <w:sz w:val="20"/>
    </w:rPr>
  </w:style>
  <w:style w:type="paragraph" w:customStyle="1" w:styleId="CTACAPS">
    <w:name w:val="CTA CAPS"/>
    <w:basedOn w:val="OPCParaBase"/>
    <w:rsid w:val="00BB54D3"/>
    <w:pPr>
      <w:spacing w:before="60" w:line="240" w:lineRule="atLeast"/>
    </w:pPr>
    <w:rPr>
      <w:sz w:val="20"/>
    </w:rPr>
  </w:style>
  <w:style w:type="paragraph" w:customStyle="1" w:styleId="CTAright">
    <w:name w:val="CTA right"/>
    <w:basedOn w:val="OPCParaBase"/>
    <w:rsid w:val="00BB54D3"/>
    <w:pPr>
      <w:spacing w:before="60" w:line="240" w:lineRule="auto"/>
      <w:jc w:val="right"/>
    </w:pPr>
    <w:rPr>
      <w:sz w:val="20"/>
    </w:rPr>
  </w:style>
  <w:style w:type="paragraph" w:customStyle="1" w:styleId="subsection">
    <w:name w:val="subsection"/>
    <w:aliases w:val="ss"/>
    <w:basedOn w:val="OPCParaBase"/>
    <w:link w:val="subsectionChar"/>
    <w:rsid w:val="00BB54D3"/>
    <w:pPr>
      <w:tabs>
        <w:tab w:val="right" w:pos="1021"/>
      </w:tabs>
      <w:spacing w:before="180" w:line="240" w:lineRule="auto"/>
      <w:ind w:left="1134" w:hanging="1134"/>
    </w:pPr>
  </w:style>
  <w:style w:type="paragraph" w:customStyle="1" w:styleId="Definition">
    <w:name w:val="Definition"/>
    <w:aliases w:val="dd"/>
    <w:basedOn w:val="OPCParaBase"/>
    <w:rsid w:val="00BB54D3"/>
    <w:pPr>
      <w:spacing w:before="180" w:line="240" w:lineRule="auto"/>
      <w:ind w:left="1134"/>
    </w:pPr>
  </w:style>
  <w:style w:type="paragraph" w:customStyle="1" w:styleId="ETAsubitem">
    <w:name w:val="ETA(subitem)"/>
    <w:basedOn w:val="OPCParaBase"/>
    <w:rsid w:val="00BB54D3"/>
    <w:pPr>
      <w:tabs>
        <w:tab w:val="right" w:pos="340"/>
      </w:tabs>
      <w:spacing w:before="60" w:line="240" w:lineRule="auto"/>
      <w:ind w:left="454" w:hanging="454"/>
    </w:pPr>
    <w:rPr>
      <w:sz w:val="20"/>
    </w:rPr>
  </w:style>
  <w:style w:type="paragraph" w:customStyle="1" w:styleId="ETApara">
    <w:name w:val="ETA(para)"/>
    <w:basedOn w:val="OPCParaBase"/>
    <w:rsid w:val="00BB54D3"/>
    <w:pPr>
      <w:tabs>
        <w:tab w:val="right" w:pos="754"/>
      </w:tabs>
      <w:spacing w:before="60" w:line="240" w:lineRule="auto"/>
      <w:ind w:left="828" w:hanging="828"/>
    </w:pPr>
    <w:rPr>
      <w:sz w:val="20"/>
    </w:rPr>
  </w:style>
  <w:style w:type="paragraph" w:customStyle="1" w:styleId="ETAsubpara">
    <w:name w:val="ETA(subpara)"/>
    <w:basedOn w:val="OPCParaBase"/>
    <w:rsid w:val="00BB54D3"/>
    <w:pPr>
      <w:tabs>
        <w:tab w:val="right" w:pos="1083"/>
      </w:tabs>
      <w:spacing w:before="60" w:line="240" w:lineRule="auto"/>
      <w:ind w:left="1191" w:hanging="1191"/>
    </w:pPr>
    <w:rPr>
      <w:sz w:val="20"/>
    </w:rPr>
  </w:style>
  <w:style w:type="paragraph" w:customStyle="1" w:styleId="ETAsub-subpara">
    <w:name w:val="ETA(sub-subpara)"/>
    <w:basedOn w:val="OPCParaBase"/>
    <w:rsid w:val="00BB54D3"/>
    <w:pPr>
      <w:tabs>
        <w:tab w:val="right" w:pos="1412"/>
      </w:tabs>
      <w:spacing w:before="60" w:line="240" w:lineRule="auto"/>
      <w:ind w:left="1525" w:hanging="1525"/>
    </w:pPr>
    <w:rPr>
      <w:sz w:val="20"/>
    </w:rPr>
  </w:style>
  <w:style w:type="paragraph" w:customStyle="1" w:styleId="Formula">
    <w:name w:val="Formula"/>
    <w:basedOn w:val="OPCParaBase"/>
    <w:rsid w:val="00BB54D3"/>
    <w:pPr>
      <w:spacing w:line="240" w:lineRule="auto"/>
      <w:ind w:left="1134"/>
    </w:pPr>
    <w:rPr>
      <w:sz w:val="20"/>
    </w:rPr>
  </w:style>
  <w:style w:type="paragraph" w:styleId="Header">
    <w:name w:val="header"/>
    <w:basedOn w:val="OPCParaBase"/>
    <w:link w:val="HeaderChar"/>
    <w:unhideWhenUsed/>
    <w:rsid w:val="00BB54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54D3"/>
    <w:rPr>
      <w:rFonts w:eastAsia="Times New Roman" w:cs="Times New Roman"/>
      <w:sz w:val="16"/>
      <w:lang w:eastAsia="en-AU"/>
    </w:rPr>
  </w:style>
  <w:style w:type="paragraph" w:customStyle="1" w:styleId="House">
    <w:name w:val="House"/>
    <w:basedOn w:val="OPCParaBase"/>
    <w:rsid w:val="00BB54D3"/>
    <w:pPr>
      <w:spacing w:line="240" w:lineRule="auto"/>
    </w:pPr>
    <w:rPr>
      <w:sz w:val="28"/>
    </w:rPr>
  </w:style>
  <w:style w:type="paragraph" w:customStyle="1" w:styleId="Item">
    <w:name w:val="Item"/>
    <w:aliases w:val="i"/>
    <w:basedOn w:val="OPCParaBase"/>
    <w:next w:val="ItemHead"/>
    <w:rsid w:val="00BB54D3"/>
    <w:pPr>
      <w:keepLines/>
      <w:spacing w:before="80" w:line="240" w:lineRule="auto"/>
      <w:ind w:left="709"/>
    </w:pPr>
  </w:style>
  <w:style w:type="paragraph" w:customStyle="1" w:styleId="ItemHead">
    <w:name w:val="ItemHead"/>
    <w:aliases w:val="ih"/>
    <w:basedOn w:val="OPCParaBase"/>
    <w:next w:val="Item"/>
    <w:link w:val="ItemHeadChar"/>
    <w:rsid w:val="00BB54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54D3"/>
    <w:pPr>
      <w:spacing w:line="240" w:lineRule="auto"/>
    </w:pPr>
    <w:rPr>
      <w:b/>
      <w:sz w:val="32"/>
    </w:rPr>
  </w:style>
  <w:style w:type="paragraph" w:customStyle="1" w:styleId="notedraft">
    <w:name w:val="note(draft)"/>
    <w:aliases w:val="nd"/>
    <w:basedOn w:val="OPCParaBase"/>
    <w:link w:val="notedraftChar"/>
    <w:rsid w:val="00BB54D3"/>
    <w:pPr>
      <w:spacing w:before="240" w:line="240" w:lineRule="auto"/>
      <w:ind w:left="284" w:hanging="284"/>
    </w:pPr>
    <w:rPr>
      <w:i/>
      <w:sz w:val="24"/>
    </w:rPr>
  </w:style>
  <w:style w:type="paragraph" w:customStyle="1" w:styleId="notemargin">
    <w:name w:val="note(margin)"/>
    <w:aliases w:val="nm"/>
    <w:basedOn w:val="OPCParaBase"/>
    <w:rsid w:val="00BB54D3"/>
    <w:pPr>
      <w:tabs>
        <w:tab w:val="left" w:pos="709"/>
      </w:tabs>
      <w:spacing w:before="122" w:line="198" w:lineRule="exact"/>
      <w:ind w:left="709" w:hanging="709"/>
    </w:pPr>
    <w:rPr>
      <w:sz w:val="18"/>
    </w:rPr>
  </w:style>
  <w:style w:type="paragraph" w:customStyle="1" w:styleId="noteToPara">
    <w:name w:val="noteToPara"/>
    <w:aliases w:val="ntp"/>
    <w:basedOn w:val="OPCParaBase"/>
    <w:rsid w:val="00BB54D3"/>
    <w:pPr>
      <w:spacing w:before="122" w:line="198" w:lineRule="exact"/>
      <w:ind w:left="2353" w:hanging="709"/>
    </w:pPr>
    <w:rPr>
      <w:sz w:val="18"/>
    </w:rPr>
  </w:style>
  <w:style w:type="paragraph" w:customStyle="1" w:styleId="noteParlAmend">
    <w:name w:val="note(ParlAmend)"/>
    <w:aliases w:val="npp"/>
    <w:basedOn w:val="OPCParaBase"/>
    <w:next w:val="ParlAmend"/>
    <w:rsid w:val="00BB54D3"/>
    <w:pPr>
      <w:spacing w:line="240" w:lineRule="auto"/>
      <w:jc w:val="right"/>
    </w:pPr>
    <w:rPr>
      <w:rFonts w:ascii="Arial" w:hAnsi="Arial"/>
      <w:b/>
      <w:i/>
    </w:rPr>
  </w:style>
  <w:style w:type="paragraph" w:customStyle="1" w:styleId="notetext">
    <w:name w:val="note(text)"/>
    <w:aliases w:val="n"/>
    <w:basedOn w:val="OPCParaBase"/>
    <w:rsid w:val="00BB54D3"/>
    <w:pPr>
      <w:spacing w:before="122" w:line="240" w:lineRule="auto"/>
      <w:ind w:left="1985" w:hanging="851"/>
    </w:pPr>
    <w:rPr>
      <w:sz w:val="18"/>
    </w:rPr>
  </w:style>
  <w:style w:type="paragraph" w:customStyle="1" w:styleId="Page1">
    <w:name w:val="Page1"/>
    <w:basedOn w:val="OPCParaBase"/>
    <w:rsid w:val="00BB54D3"/>
    <w:pPr>
      <w:spacing w:before="400" w:line="240" w:lineRule="auto"/>
    </w:pPr>
    <w:rPr>
      <w:b/>
      <w:sz w:val="32"/>
    </w:rPr>
  </w:style>
  <w:style w:type="paragraph" w:customStyle="1" w:styleId="PageBreak">
    <w:name w:val="PageBreak"/>
    <w:aliases w:val="pb"/>
    <w:basedOn w:val="OPCParaBase"/>
    <w:rsid w:val="00BB54D3"/>
    <w:pPr>
      <w:spacing w:line="240" w:lineRule="auto"/>
    </w:pPr>
    <w:rPr>
      <w:sz w:val="20"/>
    </w:rPr>
  </w:style>
  <w:style w:type="paragraph" w:customStyle="1" w:styleId="paragraphsub">
    <w:name w:val="paragraph(sub)"/>
    <w:aliases w:val="aa"/>
    <w:basedOn w:val="OPCParaBase"/>
    <w:rsid w:val="00BB54D3"/>
    <w:pPr>
      <w:tabs>
        <w:tab w:val="right" w:pos="1985"/>
      </w:tabs>
      <w:spacing w:before="40" w:line="240" w:lineRule="auto"/>
      <w:ind w:left="2098" w:hanging="2098"/>
    </w:pPr>
  </w:style>
  <w:style w:type="paragraph" w:customStyle="1" w:styleId="paragraphsub-sub">
    <w:name w:val="paragraph(sub-sub)"/>
    <w:aliases w:val="aaa"/>
    <w:basedOn w:val="OPCParaBase"/>
    <w:rsid w:val="00BB54D3"/>
    <w:pPr>
      <w:tabs>
        <w:tab w:val="right" w:pos="2722"/>
      </w:tabs>
      <w:spacing w:before="40" w:line="240" w:lineRule="auto"/>
      <w:ind w:left="2835" w:hanging="2835"/>
    </w:pPr>
  </w:style>
  <w:style w:type="paragraph" w:customStyle="1" w:styleId="paragraph">
    <w:name w:val="paragraph"/>
    <w:aliases w:val="a"/>
    <w:basedOn w:val="OPCParaBase"/>
    <w:link w:val="paragraphChar"/>
    <w:rsid w:val="00BB54D3"/>
    <w:pPr>
      <w:tabs>
        <w:tab w:val="right" w:pos="1531"/>
      </w:tabs>
      <w:spacing w:before="40" w:line="240" w:lineRule="auto"/>
      <w:ind w:left="1644" w:hanging="1644"/>
    </w:pPr>
  </w:style>
  <w:style w:type="paragraph" w:customStyle="1" w:styleId="ParlAmend">
    <w:name w:val="ParlAmend"/>
    <w:aliases w:val="pp"/>
    <w:basedOn w:val="OPCParaBase"/>
    <w:rsid w:val="00BB54D3"/>
    <w:pPr>
      <w:spacing w:before="240" w:line="240" w:lineRule="atLeast"/>
      <w:ind w:hanging="567"/>
    </w:pPr>
    <w:rPr>
      <w:sz w:val="24"/>
    </w:rPr>
  </w:style>
  <w:style w:type="paragraph" w:customStyle="1" w:styleId="Penalty">
    <w:name w:val="Penalty"/>
    <w:basedOn w:val="OPCParaBase"/>
    <w:rsid w:val="00BB54D3"/>
    <w:pPr>
      <w:tabs>
        <w:tab w:val="left" w:pos="2977"/>
      </w:tabs>
      <w:spacing w:before="180" w:line="240" w:lineRule="auto"/>
      <w:ind w:left="1985" w:hanging="851"/>
    </w:pPr>
  </w:style>
  <w:style w:type="paragraph" w:customStyle="1" w:styleId="Portfolio">
    <w:name w:val="Portfolio"/>
    <w:basedOn w:val="OPCParaBase"/>
    <w:rsid w:val="00BB54D3"/>
    <w:pPr>
      <w:spacing w:line="240" w:lineRule="auto"/>
    </w:pPr>
    <w:rPr>
      <w:i/>
      <w:sz w:val="20"/>
    </w:rPr>
  </w:style>
  <w:style w:type="paragraph" w:customStyle="1" w:styleId="Preamble">
    <w:name w:val="Preamble"/>
    <w:basedOn w:val="OPCParaBase"/>
    <w:next w:val="Normal"/>
    <w:rsid w:val="00BB54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54D3"/>
    <w:pPr>
      <w:spacing w:line="240" w:lineRule="auto"/>
    </w:pPr>
    <w:rPr>
      <w:i/>
      <w:sz w:val="20"/>
    </w:rPr>
  </w:style>
  <w:style w:type="paragraph" w:customStyle="1" w:styleId="Session">
    <w:name w:val="Session"/>
    <w:basedOn w:val="OPCParaBase"/>
    <w:rsid w:val="00BB54D3"/>
    <w:pPr>
      <w:spacing w:line="240" w:lineRule="auto"/>
    </w:pPr>
    <w:rPr>
      <w:sz w:val="28"/>
    </w:rPr>
  </w:style>
  <w:style w:type="paragraph" w:customStyle="1" w:styleId="Sponsor">
    <w:name w:val="Sponsor"/>
    <w:basedOn w:val="OPCParaBase"/>
    <w:rsid w:val="00BB54D3"/>
    <w:pPr>
      <w:spacing w:line="240" w:lineRule="auto"/>
    </w:pPr>
    <w:rPr>
      <w:i/>
    </w:rPr>
  </w:style>
  <w:style w:type="paragraph" w:customStyle="1" w:styleId="Subitem">
    <w:name w:val="Subitem"/>
    <w:aliases w:val="iss"/>
    <w:basedOn w:val="OPCParaBase"/>
    <w:rsid w:val="00BB54D3"/>
    <w:pPr>
      <w:spacing w:before="180" w:line="240" w:lineRule="auto"/>
      <w:ind w:left="709" w:hanging="709"/>
    </w:pPr>
  </w:style>
  <w:style w:type="paragraph" w:customStyle="1" w:styleId="SubitemHead">
    <w:name w:val="SubitemHead"/>
    <w:aliases w:val="issh"/>
    <w:basedOn w:val="OPCParaBase"/>
    <w:rsid w:val="00BB54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54D3"/>
    <w:pPr>
      <w:spacing w:before="40" w:line="240" w:lineRule="auto"/>
      <w:ind w:left="1134"/>
    </w:pPr>
  </w:style>
  <w:style w:type="paragraph" w:customStyle="1" w:styleId="SubsectionHead">
    <w:name w:val="SubsectionHead"/>
    <w:aliases w:val="ssh"/>
    <w:basedOn w:val="OPCParaBase"/>
    <w:next w:val="subsection"/>
    <w:rsid w:val="00BB54D3"/>
    <w:pPr>
      <w:keepNext/>
      <w:keepLines/>
      <w:spacing w:before="240" w:line="240" w:lineRule="auto"/>
      <w:ind w:left="1134"/>
    </w:pPr>
    <w:rPr>
      <w:i/>
    </w:rPr>
  </w:style>
  <w:style w:type="paragraph" w:customStyle="1" w:styleId="Tablea">
    <w:name w:val="Table(a)"/>
    <w:aliases w:val="ta"/>
    <w:basedOn w:val="OPCParaBase"/>
    <w:rsid w:val="00BB54D3"/>
    <w:pPr>
      <w:spacing w:before="60" w:line="240" w:lineRule="auto"/>
      <w:ind w:left="284" w:hanging="284"/>
    </w:pPr>
    <w:rPr>
      <w:sz w:val="20"/>
    </w:rPr>
  </w:style>
  <w:style w:type="paragraph" w:customStyle="1" w:styleId="TableAA">
    <w:name w:val="Table(AA)"/>
    <w:aliases w:val="taaa"/>
    <w:basedOn w:val="OPCParaBase"/>
    <w:rsid w:val="00BB54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54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54D3"/>
    <w:pPr>
      <w:spacing w:before="60" w:line="240" w:lineRule="atLeast"/>
    </w:pPr>
    <w:rPr>
      <w:sz w:val="20"/>
    </w:rPr>
  </w:style>
  <w:style w:type="paragraph" w:customStyle="1" w:styleId="TLPBoxTextnote">
    <w:name w:val="TLPBoxText(note"/>
    <w:aliases w:val="right)"/>
    <w:basedOn w:val="OPCParaBase"/>
    <w:rsid w:val="00BB54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54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54D3"/>
    <w:pPr>
      <w:spacing w:before="122" w:line="198" w:lineRule="exact"/>
      <w:ind w:left="1985" w:hanging="851"/>
      <w:jc w:val="right"/>
    </w:pPr>
    <w:rPr>
      <w:sz w:val="18"/>
    </w:rPr>
  </w:style>
  <w:style w:type="paragraph" w:customStyle="1" w:styleId="TLPTableBullet">
    <w:name w:val="TLPTableBullet"/>
    <w:aliases w:val="ttb"/>
    <w:basedOn w:val="OPCParaBase"/>
    <w:rsid w:val="00BB54D3"/>
    <w:pPr>
      <w:spacing w:line="240" w:lineRule="exact"/>
      <w:ind w:left="284" w:hanging="284"/>
    </w:pPr>
    <w:rPr>
      <w:sz w:val="20"/>
    </w:rPr>
  </w:style>
  <w:style w:type="paragraph" w:styleId="TOC1">
    <w:name w:val="toc 1"/>
    <w:basedOn w:val="OPCParaBase"/>
    <w:next w:val="Normal"/>
    <w:uiPriority w:val="39"/>
    <w:semiHidden/>
    <w:unhideWhenUsed/>
    <w:rsid w:val="00BB54D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B54D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B54D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B54D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B54D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B54D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B54D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B54D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B54D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B54D3"/>
    <w:pPr>
      <w:keepLines/>
      <w:spacing w:before="240" w:after="120" w:line="240" w:lineRule="auto"/>
      <w:ind w:left="794"/>
    </w:pPr>
    <w:rPr>
      <w:b/>
      <w:kern w:val="28"/>
      <w:sz w:val="20"/>
    </w:rPr>
  </w:style>
  <w:style w:type="paragraph" w:customStyle="1" w:styleId="TofSectsHeading">
    <w:name w:val="TofSects(Heading)"/>
    <w:basedOn w:val="OPCParaBase"/>
    <w:rsid w:val="00BB54D3"/>
    <w:pPr>
      <w:spacing w:before="240" w:after="120" w:line="240" w:lineRule="auto"/>
    </w:pPr>
    <w:rPr>
      <w:b/>
      <w:sz w:val="24"/>
    </w:rPr>
  </w:style>
  <w:style w:type="paragraph" w:customStyle="1" w:styleId="TofSectsSection">
    <w:name w:val="TofSects(Section)"/>
    <w:basedOn w:val="OPCParaBase"/>
    <w:rsid w:val="00BB54D3"/>
    <w:pPr>
      <w:keepLines/>
      <w:spacing w:before="40" w:line="240" w:lineRule="auto"/>
      <w:ind w:left="1588" w:hanging="794"/>
    </w:pPr>
    <w:rPr>
      <w:kern w:val="28"/>
      <w:sz w:val="18"/>
    </w:rPr>
  </w:style>
  <w:style w:type="paragraph" w:customStyle="1" w:styleId="TofSectsSubdiv">
    <w:name w:val="TofSects(Subdiv)"/>
    <w:basedOn w:val="OPCParaBase"/>
    <w:rsid w:val="00BB54D3"/>
    <w:pPr>
      <w:keepLines/>
      <w:spacing w:before="80" w:line="240" w:lineRule="auto"/>
      <w:ind w:left="1588" w:hanging="794"/>
    </w:pPr>
    <w:rPr>
      <w:kern w:val="28"/>
    </w:rPr>
  </w:style>
  <w:style w:type="paragraph" w:customStyle="1" w:styleId="WRStyle">
    <w:name w:val="WR Style"/>
    <w:aliases w:val="WR"/>
    <w:basedOn w:val="OPCParaBase"/>
    <w:rsid w:val="00BB54D3"/>
    <w:pPr>
      <w:spacing w:before="240" w:line="240" w:lineRule="auto"/>
      <w:ind w:left="284" w:hanging="284"/>
    </w:pPr>
    <w:rPr>
      <w:b/>
      <w:i/>
      <w:kern w:val="28"/>
      <w:sz w:val="24"/>
    </w:rPr>
  </w:style>
  <w:style w:type="paragraph" w:customStyle="1" w:styleId="notepara">
    <w:name w:val="note(para)"/>
    <w:aliases w:val="na"/>
    <w:basedOn w:val="OPCParaBase"/>
    <w:rsid w:val="00BB54D3"/>
    <w:pPr>
      <w:spacing w:before="40" w:line="198" w:lineRule="exact"/>
      <w:ind w:left="2354" w:hanging="369"/>
    </w:pPr>
    <w:rPr>
      <w:sz w:val="18"/>
    </w:rPr>
  </w:style>
  <w:style w:type="paragraph" w:styleId="Footer">
    <w:name w:val="footer"/>
    <w:link w:val="FooterChar"/>
    <w:rsid w:val="00BB54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54D3"/>
    <w:rPr>
      <w:rFonts w:eastAsia="Times New Roman" w:cs="Times New Roman"/>
      <w:sz w:val="22"/>
      <w:szCs w:val="24"/>
      <w:lang w:eastAsia="en-AU"/>
    </w:rPr>
  </w:style>
  <w:style w:type="character" w:styleId="LineNumber">
    <w:name w:val="line number"/>
    <w:basedOn w:val="OPCCharBase"/>
    <w:uiPriority w:val="99"/>
    <w:semiHidden/>
    <w:unhideWhenUsed/>
    <w:rsid w:val="00BB54D3"/>
    <w:rPr>
      <w:sz w:val="16"/>
    </w:rPr>
  </w:style>
  <w:style w:type="table" w:customStyle="1" w:styleId="CFlag">
    <w:name w:val="CFlag"/>
    <w:basedOn w:val="TableNormal"/>
    <w:uiPriority w:val="99"/>
    <w:rsid w:val="00BB54D3"/>
    <w:rPr>
      <w:rFonts w:eastAsia="Times New Roman" w:cs="Times New Roman"/>
      <w:lang w:eastAsia="en-AU"/>
    </w:rPr>
    <w:tblPr/>
  </w:style>
  <w:style w:type="character" w:customStyle="1" w:styleId="subsectionChar">
    <w:name w:val="subsection Char"/>
    <w:aliases w:val="ss Char"/>
    <w:link w:val="subsection"/>
    <w:rsid w:val="0001727C"/>
    <w:rPr>
      <w:rFonts w:eastAsia="Times New Roman" w:cs="Times New Roman"/>
      <w:sz w:val="22"/>
      <w:lang w:eastAsia="en-AU"/>
    </w:rPr>
  </w:style>
  <w:style w:type="character" w:customStyle="1" w:styleId="paragraphChar">
    <w:name w:val="paragraph Char"/>
    <w:aliases w:val="a Char"/>
    <w:link w:val="paragraph"/>
    <w:rsid w:val="0001727C"/>
    <w:rPr>
      <w:rFonts w:eastAsia="Times New Roman" w:cs="Times New Roman"/>
      <w:sz w:val="22"/>
      <w:lang w:eastAsia="en-AU"/>
    </w:rPr>
  </w:style>
  <w:style w:type="character" w:customStyle="1" w:styleId="notedraftChar">
    <w:name w:val="note(draft) Char"/>
    <w:aliases w:val="nd Char"/>
    <w:basedOn w:val="DefaultParagraphFont"/>
    <w:link w:val="notedraft"/>
    <w:rsid w:val="00637E87"/>
    <w:rPr>
      <w:rFonts w:eastAsia="Times New Roman" w:cs="Times New Roman"/>
      <w:i/>
      <w:sz w:val="24"/>
      <w:lang w:eastAsia="en-AU"/>
    </w:rPr>
  </w:style>
  <w:style w:type="character" w:customStyle="1" w:styleId="Heading1Char">
    <w:name w:val="Heading 1 Char"/>
    <w:basedOn w:val="DefaultParagraphFont"/>
    <w:link w:val="Heading1"/>
    <w:uiPriority w:val="9"/>
    <w:rsid w:val="00022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2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2A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222A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222A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222A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222A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22A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222A5"/>
    <w:rPr>
      <w:rFonts w:asciiTheme="majorHAnsi" w:eastAsiaTheme="majorEastAsia" w:hAnsiTheme="majorHAnsi" w:cstheme="majorBidi"/>
      <w:i/>
      <w:iCs/>
      <w:color w:val="404040" w:themeColor="text1" w:themeTint="BF"/>
    </w:rPr>
  </w:style>
  <w:style w:type="paragraph" w:customStyle="1" w:styleId="NotesHeading1">
    <w:name w:val="NotesHeading 1"/>
    <w:basedOn w:val="OPCParaBase"/>
    <w:next w:val="Normal"/>
    <w:rsid w:val="00BB54D3"/>
    <w:rPr>
      <w:b/>
      <w:sz w:val="28"/>
      <w:szCs w:val="28"/>
    </w:rPr>
  </w:style>
  <w:style w:type="paragraph" w:customStyle="1" w:styleId="NotesHeading2">
    <w:name w:val="NotesHeading 2"/>
    <w:basedOn w:val="OPCParaBase"/>
    <w:next w:val="Normal"/>
    <w:rsid w:val="00BB54D3"/>
    <w:rPr>
      <w:b/>
      <w:sz w:val="28"/>
      <w:szCs w:val="28"/>
    </w:rPr>
  </w:style>
  <w:style w:type="paragraph" w:customStyle="1" w:styleId="SignCoverPageEnd">
    <w:name w:val="SignCoverPageEnd"/>
    <w:basedOn w:val="OPCParaBase"/>
    <w:next w:val="Normal"/>
    <w:rsid w:val="00BB54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54D3"/>
    <w:pPr>
      <w:pBdr>
        <w:top w:val="single" w:sz="4" w:space="1" w:color="auto"/>
      </w:pBdr>
      <w:spacing w:before="360"/>
      <w:ind w:right="397"/>
      <w:jc w:val="both"/>
    </w:pPr>
  </w:style>
  <w:style w:type="paragraph" w:customStyle="1" w:styleId="Paragraphsub-sub-sub">
    <w:name w:val="Paragraph(sub-sub-sub)"/>
    <w:aliases w:val="aaaa"/>
    <w:basedOn w:val="OPCParaBase"/>
    <w:rsid w:val="00BB54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B54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54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54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54D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B54D3"/>
    <w:pPr>
      <w:spacing w:before="120"/>
    </w:pPr>
  </w:style>
  <w:style w:type="paragraph" w:customStyle="1" w:styleId="TableTextEndNotes">
    <w:name w:val="TableTextEndNotes"/>
    <w:aliases w:val="Tten"/>
    <w:basedOn w:val="Normal"/>
    <w:rsid w:val="00BB54D3"/>
    <w:pPr>
      <w:spacing w:before="60" w:line="240" w:lineRule="auto"/>
    </w:pPr>
    <w:rPr>
      <w:rFonts w:cs="Arial"/>
      <w:sz w:val="20"/>
      <w:szCs w:val="22"/>
    </w:rPr>
  </w:style>
  <w:style w:type="paragraph" w:customStyle="1" w:styleId="TableHeading">
    <w:name w:val="TableHeading"/>
    <w:aliases w:val="th"/>
    <w:basedOn w:val="OPCParaBase"/>
    <w:next w:val="Tabletext"/>
    <w:rsid w:val="00BB54D3"/>
    <w:pPr>
      <w:keepNext/>
      <w:spacing w:before="60" w:line="240" w:lineRule="atLeast"/>
    </w:pPr>
    <w:rPr>
      <w:b/>
      <w:sz w:val="20"/>
    </w:rPr>
  </w:style>
  <w:style w:type="paragraph" w:customStyle="1" w:styleId="NoteToSubpara">
    <w:name w:val="NoteToSubpara"/>
    <w:aliases w:val="nts"/>
    <w:basedOn w:val="OPCParaBase"/>
    <w:rsid w:val="00BB54D3"/>
    <w:pPr>
      <w:spacing w:before="40" w:line="198" w:lineRule="exact"/>
      <w:ind w:left="2835" w:hanging="709"/>
    </w:pPr>
    <w:rPr>
      <w:sz w:val="18"/>
    </w:rPr>
  </w:style>
  <w:style w:type="paragraph" w:customStyle="1" w:styleId="ENoteTableHeading">
    <w:name w:val="ENoteTableHeading"/>
    <w:aliases w:val="enth"/>
    <w:basedOn w:val="OPCParaBase"/>
    <w:rsid w:val="00BB54D3"/>
    <w:pPr>
      <w:keepNext/>
      <w:spacing w:before="60" w:line="240" w:lineRule="atLeast"/>
    </w:pPr>
    <w:rPr>
      <w:rFonts w:ascii="Arial" w:hAnsi="Arial"/>
      <w:b/>
      <w:sz w:val="16"/>
    </w:rPr>
  </w:style>
  <w:style w:type="paragraph" w:customStyle="1" w:styleId="ENoteTTi">
    <w:name w:val="ENoteTTi"/>
    <w:aliases w:val="entti"/>
    <w:basedOn w:val="OPCParaBase"/>
    <w:rsid w:val="00BB54D3"/>
    <w:pPr>
      <w:keepNext/>
      <w:spacing w:before="60" w:line="240" w:lineRule="atLeast"/>
      <w:ind w:left="170"/>
    </w:pPr>
    <w:rPr>
      <w:sz w:val="16"/>
    </w:rPr>
  </w:style>
  <w:style w:type="paragraph" w:customStyle="1" w:styleId="ENotesHeading1">
    <w:name w:val="ENotesHeading 1"/>
    <w:aliases w:val="Enh1"/>
    <w:basedOn w:val="OPCParaBase"/>
    <w:next w:val="Normal"/>
    <w:rsid w:val="00BB54D3"/>
    <w:pPr>
      <w:spacing w:before="120"/>
      <w:outlineLvl w:val="1"/>
    </w:pPr>
    <w:rPr>
      <w:b/>
      <w:sz w:val="28"/>
      <w:szCs w:val="28"/>
    </w:rPr>
  </w:style>
  <w:style w:type="paragraph" w:customStyle="1" w:styleId="ENotesHeading2">
    <w:name w:val="ENotesHeading 2"/>
    <w:aliases w:val="Enh2"/>
    <w:basedOn w:val="OPCParaBase"/>
    <w:next w:val="Normal"/>
    <w:rsid w:val="00BB54D3"/>
    <w:pPr>
      <w:spacing w:before="120" w:after="120"/>
      <w:outlineLvl w:val="2"/>
    </w:pPr>
    <w:rPr>
      <w:b/>
      <w:sz w:val="24"/>
      <w:szCs w:val="28"/>
    </w:rPr>
  </w:style>
  <w:style w:type="paragraph" w:customStyle="1" w:styleId="ENoteTTIndentHeading">
    <w:name w:val="ENoteTTIndentHeading"/>
    <w:aliases w:val="enTTHi"/>
    <w:basedOn w:val="OPCParaBase"/>
    <w:rsid w:val="00BB54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54D3"/>
    <w:pPr>
      <w:spacing w:before="60" w:line="240" w:lineRule="atLeast"/>
    </w:pPr>
    <w:rPr>
      <w:sz w:val="16"/>
    </w:rPr>
  </w:style>
  <w:style w:type="paragraph" w:customStyle="1" w:styleId="MadeunderText">
    <w:name w:val="MadeunderText"/>
    <w:basedOn w:val="OPCParaBase"/>
    <w:next w:val="Normal"/>
    <w:rsid w:val="00BB54D3"/>
    <w:pPr>
      <w:spacing w:before="240"/>
    </w:pPr>
    <w:rPr>
      <w:sz w:val="24"/>
      <w:szCs w:val="24"/>
    </w:rPr>
  </w:style>
  <w:style w:type="paragraph" w:customStyle="1" w:styleId="ENotesHeading3">
    <w:name w:val="ENotesHeading 3"/>
    <w:aliases w:val="Enh3"/>
    <w:basedOn w:val="OPCParaBase"/>
    <w:next w:val="Normal"/>
    <w:rsid w:val="00BB54D3"/>
    <w:pPr>
      <w:keepNext/>
      <w:spacing w:before="120" w:line="240" w:lineRule="auto"/>
      <w:outlineLvl w:val="4"/>
    </w:pPr>
    <w:rPr>
      <w:b/>
      <w:szCs w:val="24"/>
    </w:rPr>
  </w:style>
  <w:style w:type="paragraph" w:customStyle="1" w:styleId="SubPartCASA">
    <w:name w:val="SubPart(CASA)"/>
    <w:aliases w:val="csp"/>
    <w:basedOn w:val="OPCParaBase"/>
    <w:next w:val="ActHead3"/>
    <w:rsid w:val="00BB54D3"/>
    <w:pPr>
      <w:keepNext/>
      <w:keepLines/>
      <w:spacing w:before="280"/>
      <w:outlineLvl w:val="1"/>
    </w:pPr>
    <w:rPr>
      <w:b/>
      <w:kern w:val="28"/>
      <w:sz w:val="32"/>
    </w:rPr>
  </w:style>
  <w:style w:type="character" w:customStyle="1" w:styleId="CharSubPartTextCASA">
    <w:name w:val="CharSubPartText(CASA)"/>
    <w:basedOn w:val="OPCCharBase"/>
    <w:uiPriority w:val="1"/>
    <w:rsid w:val="00BB54D3"/>
  </w:style>
  <w:style w:type="character" w:customStyle="1" w:styleId="CharSubPartNoCASA">
    <w:name w:val="CharSubPartNo(CASA)"/>
    <w:basedOn w:val="OPCCharBase"/>
    <w:uiPriority w:val="1"/>
    <w:rsid w:val="00BB54D3"/>
  </w:style>
  <w:style w:type="paragraph" w:customStyle="1" w:styleId="ENoteTTIndentHeadingSub">
    <w:name w:val="ENoteTTIndentHeadingSub"/>
    <w:aliases w:val="enTTHis"/>
    <w:basedOn w:val="OPCParaBase"/>
    <w:rsid w:val="00BB54D3"/>
    <w:pPr>
      <w:keepNext/>
      <w:spacing w:before="60" w:line="240" w:lineRule="atLeast"/>
      <w:ind w:left="340"/>
    </w:pPr>
    <w:rPr>
      <w:b/>
      <w:sz w:val="16"/>
    </w:rPr>
  </w:style>
  <w:style w:type="paragraph" w:customStyle="1" w:styleId="ENoteTTiSub">
    <w:name w:val="ENoteTTiSub"/>
    <w:aliases w:val="enttis"/>
    <w:basedOn w:val="OPCParaBase"/>
    <w:rsid w:val="00BB54D3"/>
    <w:pPr>
      <w:keepNext/>
      <w:spacing w:before="60" w:line="240" w:lineRule="atLeast"/>
      <w:ind w:left="340"/>
    </w:pPr>
    <w:rPr>
      <w:sz w:val="16"/>
    </w:rPr>
  </w:style>
  <w:style w:type="paragraph" w:customStyle="1" w:styleId="SubDivisionMigration">
    <w:name w:val="SubDivisionMigration"/>
    <w:aliases w:val="sdm"/>
    <w:basedOn w:val="OPCParaBase"/>
    <w:rsid w:val="00BB54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54D3"/>
    <w:pPr>
      <w:keepNext/>
      <w:keepLines/>
      <w:spacing w:before="240" w:line="240" w:lineRule="auto"/>
      <w:ind w:left="1134" w:hanging="1134"/>
    </w:pPr>
    <w:rPr>
      <w:b/>
      <w:sz w:val="28"/>
    </w:rPr>
  </w:style>
  <w:style w:type="table" w:styleId="TableGrid">
    <w:name w:val="Table Grid"/>
    <w:basedOn w:val="TableNormal"/>
    <w:uiPriority w:val="59"/>
    <w:rsid w:val="00BB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B54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54D3"/>
    <w:rPr>
      <w:sz w:val="22"/>
    </w:rPr>
  </w:style>
  <w:style w:type="paragraph" w:customStyle="1" w:styleId="SOTextNote">
    <w:name w:val="SO TextNote"/>
    <w:aliases w:val="sont"/>
    <w:basedOn w:val="SOText"/>
    <w:qFormat/>
    <w:rsid w:val="00BB54D3"/>
    <w:pPr>
      <w:spacing w:before="122" w:line="198" w:lineRule="exact"/>
      <w:ind w:left="1843" w:hanging="709"/>
    </w:pPr>
    <w:rPr>
      <w:sz w:val="18"/>
    </w:rPr>
  </w:style>
  <w:style w:type="paragraph" w:customStyle="1" w:styleId="SOPara">
    <w:name w:val="SO Para"/>
    <w:aliases w:val="soa"/>
    <w:basedOn w:val="SOText"/>
    <w:link w:val="SOParaChar"/>
    <w:qFormat/>
    <w:rsid w:val="00BB54D3"/>
    <w:pPr>
      <w:tabs>
        <w:tab w:val="right" w:pos="1786"/>
      </w:tabs>
      <w:spacing w:before="40"/>
      <w:ind w:left="2070" w:hanging="936"/>
    </w:pPr>
  </w:style>
  <w:style w:type="character" w:customStyle="1" w:styleId="SOParaChar">
    <w:name w:val="SO Para Char"/>
    <w:aliases w:val="soa Char"/>
    <w:basedOn w:val="DefaultParagraphFont"/>
    <w:link w:val="SOPara"/>
    <w:rsid w:val="00BB54D3"/>
    <w:rPr>
      <w:sz w:val="22"/>
    </w:rPr>
  </w:style>
  <w:style w:type="paragraph" w:customStyle="1" w:styleId="FileName">
    <w:name w:val="FileName"/>
    <w:basedOn w:val="Normal"/>
    <w:rsid w:val="00BB54D3"/>
  </w:style>
  <w:style w:type="paragraph" w:customStyle="1" w:styleId="SOHeadBold">
    <w:name w:val="SO HeadBold"/>
    <w:aliases w:val="sohb"/>
    <w:basedOn w:val="SOText"/>
    <w:next w:val="SOText"/>
    <w:link w:val="SOHeadBoldChar"/>
    <w:qFormat/>
    <w:rsid w:val="00BB54D3"/>
    <w:rPr>
      <w:b/>
    </w:rPr>
  </w:style>
  <w:style w:type="character" w:customStyle="1" w:styleId="SOHeadBoldChar">
    <w:name w:val="SO HeadBold Char"/>
    <w:aliases w:val="sohb Char"/>
    <w:basedOn w:val="DefaultParagraphFont"/>
    <w:link w:val="SOHeadBold"/>
    <w:rsid w:val="00BB54D3"/>
    <w:rPr>
      <w:b/>
      <w:sz w:val="22"/>
    </w:rPr>
  </w:style>
  <w:style w:type="paragraph" w:customStyle="1" w:styleId="SOHeadItalic">
    <w:name w:val="SO HeadItalic"/>
    <w:aliases w:val="sohi"/>
    <w:basedOn w:val="SOText"/>
    <w:next w:val="SOText"/>
    <w:link w:val="SOHeadItalicChar"/>
    <w:qFormat/>
    <w:rsid w:val="00BB54D3"/>
    <w:rPr>
      <w:i/>
    </w:rPr>
  </w:style>
  <w:style w:type="character" w:customStyle="1" w:styleId="SOHeadItalicChar">
    <w:name w:val="SO HeadItalic Char"/>
    <w:aliases w:val="sohi Char"/>
    <w:basedOn w:val="DefaultParagraphFont"/>
    <w:link w:val="SOHeadItalic"/>
    <w:rsid w:val="00BB54D3"/>
    <w:rPr>
      <w:i/>
      <w:sz w:val="22"/>
    </w:rPr>
  </w:style>
  <w:style w:type="paragraph" w:customStyle="1" w:styleId="SOBullet">
    <w:name w:val="SO Bullet"/>
    <w:aliases w:val="sotb"/>
    <w:basedOn w:val="SOText"/>
    <w:link w:val="SOBulletChar"/>
    <w:qFormat/>
    <w:rsid w:val="00BB54D3"/>
    <w:pPr>
      <w:ind w:left="1559" w:hanging="425"/>
    </w:pPr>
  </w:style>
  <w:style w:type="character" w:customStyle="1" w:styleId="SOBulletChar">
    <w:name w:val="SO Bullet Char"/>
    <w:aliases w:val="sotb Char"/>
    <w:basedOn w:val="DefaultParagraphFont"/>
    <w:link w:val="SOBullet"/>
    <w:rsid w:val="00BB54D3"/>
    <w:rPr>
      <w:sz w:val="22"/>
    </w:rPr>
  </w:style>
  <w:style w:type="paragraph" w:customStyle="1" w:styleId="SOBulletNote">
    <w:name w:val="SO BulletNote"/>
    <w:aliases w:val="sonb"/>
    <w:basedOn w:val="SOTextNote"/>
    <w:link w:val="SOBulletNoteChar"/>
    <w:qFormat/>
    <w:rsid w:val="00BB54D3"/>
    <w:pPr>
      <w:tabs>
        <w:tab w:val="left" w:pos="1560"/>
      </w:tabs>
      <w:ind w:left="2268" w:hanging="1134"/>
    </w:pPr>
  </w:style>
  <w:style w:type="character" w:customStyle="1" w:styleId="SOBulletNoteChar">
    <w:name w:val="SO BulletNote Char"/>
    <w:aliases w:val="sonb Char"/>
    <w:basedOn w:val="DefaultParagraphFont"/>
    <w:link w:val="SOBulletNote"/>
    <w:rsid w:val="00BB54D3"/>
    <w:rPr>
      <w:sz w:val="18"/>
    </w:rPr>
  </w:style>
  <w:style w:type="paragraph" w:customStyle="1" w:styleId="SOText2">
    <w:name w:val="SO Text2"/>
    <w:aliases w:val="sot2"/>
    <w:basedOn w:val="Normal"/>
    <w:next w:val="SOText"/>
    <w:link w:val="SOText2Char"/>
    <w:rsid w:val="00BB54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54D3"/>
    <w:rPr>
      <w:sz w:val="22"/>
    </w:rPr>
  </w:style>
  <w:style w:type="character" w:customStyle="1" w:styleId="OPCParaBaseChar">
    <w:name w:val="OPCParaBase Char"/>
    <w:basedOn w:val="DefaultParagraphFont"/>
    <w:link w:val="OPCParaBase"/>
    <w:rsid w:val="00BA3C30"/>
    <w:rPr>
      <w:rFonts w:eastAsia="Times New Roman" w:cs="Times New Roman"/>
      <w:sz w:val="22"/>
      <w:lang w:eastAsia="en-AU"/>
    </w:rPr>
  </w:style>
  <w:style w:type="character" w:customStyle="1" w:styleId="ItemHeadChar">
    <w:name w:val="ItemHead Char"/>
    <w:aliases w:val="ih Char"/>
    <w:basedOn w:val="OPCParaBaseChar"/>
    <w:link w:val="ItemHead"/>
    <w:rsid w:val="00BA3C30"/>
    <w:rPr>
      <w:rFonts w:ascii="Arial" w:eastAsia="Times New Roman" w:hAnsi="Arial" w:cs="Times New Roman"/>
      <w:b/>
      <w:kern w:val="28"/>
      <w:sz w:val="24"/>
      <w:lang w:eastAsia="en-AU"/>
    </w:rPr>
  </w:style>
  <w:style w:type="paragraph" w:customStyle="1" w:styleId="ClerkBlock">
    <w:name w:val="ClerkBlock"/>
    <w:basedOn w:val="Normal"/>
    <w:rsid w:val="00E04DFE"/>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045F62"/>
    <w:rPr>
      <w:color w:val="0000FF" w:themeColor="hyperlink"/>
      <w:u w:val="single"/>
    </w:rPr>
  </w:style>
  <w:style w:type="character" w:styleId="FollowedHyperlink">
    <w:name w:val="FollowedHyperlink"/>
    <w:basedOn w:val="DefaultParagraphFont"/>
    <w:uiPriority w:val="99"/>
    <w:semiHidden/>
    <w:unhideWhenUsed/>
    <w:rsid w:val="00045F62"/>
    <w:rPr>
      <w:color w:val="0000FF" w:themeColor="hyperlink"/>
      <w:u w:val="single"/>
    </w:rPr>
  </w:style>
  <w:style w:type="paragraph" w:styleId="BalloonText">
    <w:name w:val="Balloon Text"/>
    <w:basedOn w:val="Normal"/>
    <w:link w:val="BalloonTextChar"/>
    <w:uiPriority w:val="99"/>
    <w:semiHidden/>
    <w:unhideWhenUsed/>
    <w:rsid w:val="005529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75"/>
    <w:rPr>
      <w:rFonts w:ascii="Tahoma" w:hAnsi="Tahoma" w:cs="Tahoma"/>
      <w:sz w:val="16"/>
      <w:szCs w:val="16"/>
    </w:rPr>
  </w:style>
  <w:style w:type="paragraph" w:customStyle="1" w:styleId="ShortTP1">
    <w:name w:val="ShortTP1"/>
    <w:basedOn w:val="ShortT"/>
    <w:link w:val="ShortTP1Char"/>
    <w:rsid w:val="007F169B"/>
    <w:pPr>
      <w:spacing w:before="800"/>
    </w:pPr>
  </w:style>
  <w:style w:type="character" w:customStyle="1" w:styleId="ShortTChar">
    <w:name w:val="ShortT Char"/>
    <w:basedOn w:val="OPCParaBaseChar"/>
    <w:link w:val="ShortT"/>
    <w:rsid w:val="007F169B"/>
    <w:rPr>
      <w:rFonts w:eastAsia="Times New Roman" w:cs="Times New Roman"/>
      <w:b/>
      <w:sz w:val="40"/>
      <w:lang w:eastAsia="en-AU"/>
    </w:rPr>
  </w:style>
  <w:style w:type="character" w:customStyle="1" w:styleId="ShortTP1Char">
    <w:name w:val="ShortTP1 Char"/>
    <w:basedOn w:val="ShortTChar"/>
    <w:link w:val="ShortTP1"/>
    <w:rsid w:val="007F169B"/>
    <w:rPr>
      <w:rFonts w:eastAsia="Times New Roman" w:cs="Times New Roman"/>
      <w:b/>
      <w:sz w:val="40"/>
      <w:lang w:eastAsia="en-AU"/>
    </w:rPr>
  </w:style>
  <w:style w:type="paragraph" w:customStyle="1" w:styleId="ActNoP1">
    <w:name w:val="ActNoP1"/>
    <w:basedOn w:val="Actno"/>
    <w:link w:val="ActNoP1Char"/>
    <w:rsid w:val="007F169B"/>
    <w:pPr>
      <w:spacing w:before="800"/>
    </w:pPr>
    <w:rPr>
      <w:sz w:val="28"/>
    </w:rPr>
  </w:style>
  <w:style w:type="character" w:customStyle="1" w:styleId="ActnoChar">
    <w:name w:val="Actno Char"/>
    <w:basedOn w:val="ShortTChar"/>
    <w:link w:val="Actno"/>
    <w:rsid w:val="007F169B"/>
    <w:rPr>
      <w:rFonts w:eastAsia="Times New Roman" w:cs="Times New Roman"/>
      <w:b/>
      <w:sz w:val="40"/>
      <w:lang w:eastAsia="en-AU"/>
    </w:rPr>
  </w:style>
  <w:style w:type="character" w:customStyle="1" w:styleId="ActNoP1Char">
    <w:name w:val="ActNoP1 Char"/>
    <w:basedOn w:val="ActnoChar"/>
    <w:link w:val="ActNoP1"/>
    <w:rsid w:val="007F169B"/>
    <w:rPr>
      <w:rFonts w:eastAsia="Times New Roman" w:cs="Times New Roman"/>
      <w:b/>
      <w:sz w:val="28"/>
      <w:lang w:eastAsia="en-AU"/>
    </w:rPr>
  </w:style>
  <w:style w:type="paragraph" w:customStyle="1" w:styleId="ShortTCP">
    <w:name w:val="ShortTCP"/>
    <w:basedOn w:val="ShortT"/>
    <w:link w:val="ShortTCPChar"/>
    <w:rsid w:val="007F169B"/>
  </w:style>
  <w:style w:type="character" w:customStyle="1" w:styleId="ShortTCPChar">
    <w:name w:val="ShortTCP Char"/>
    <w:basedOn w:val="ShortTChar"/>
    <w:link w:val="ShortTCP"/>
    <w:rsid w:val="007F169B"/>
    <w:rPr>
      <w:rFonts w:eastAsia="Times New Roman" w:cs="Times New Roman"/>
      <w:b/>
      <w:sz w:val="40"/>
      <w:lang w:eastAsia="en-AU"/>
    </w:rPr>
  </w:style>
  <w:style w:type="paragraph" w:customStyle="1" w:styleId="ActNoCP">
    <w:name w:val="ActNoCP"/>
    <w:basedOn w:val="Actno"/>
    <w:link w:val="ActNoCPChar"/>
    <w:rsid w:val="007F169B"/>
    <w:pPr>
      <w:spacing w:before="400"/>
    </w:pPr>
  </w:style>
  <w:style w:type="character" w:customStyle="1" w:styleId="ActNoCPChar">
    <w:name w:val="ActNoCP Char"/>
    <w:basedOn w:val="ActnoChar"/>
    <w:link w:val="ActNoCP"/>
    <w:rsid w:val="007F169B"/>
    <w:rPr>
      <w:rFonts w:eastAsia="Times New Roman" w:cs="Times New Roman"/>
      <w:b/>
      <w:sz w:val="40"/>
      <w:lang w:eastAsia="en-AU"/>
    </w:rPr>
  </w:style>
  <w:style w:type="paragraph" w:customStyle="1" w:styleId="AssentBk">
    <w:name w:val="AssentBk"/>
    <w:basedOn w:val="Normal"/>
    <w:rsid w:val="007F169B"/>
    <w:pPr>
      <w:spacing w:line="240" w:lineRule="auto"/>
    </w:pPr>
    <w:rPr>
      <w:rFonts w:eastAsia="Times New Roman" w:cs="Times New Roman"/>
      <w:sz w:val="20"/>
      <w:lang w:eastAsia="en-AU"/>
    </w:rPr>
  </w:style>
  <w:style w:type="paragraph" w:customStyle="1" w:styleId="AssentDt">
    <w:name w:val="AssentDt"/>
    <w:basedOn w:val="Normal"/>
    <w:rsid w:val="00805365"/>
    <w:pPr>
      <w:spacing w:line="240" w:lineRule="auto"/>
    </w:pPr>
    <w:rPr>
      <w:rFonts w:eastAsia="Times New Roman" w:cs="Times New Roman"/>
      <w:sz w:val="20"/>
      <w:lang w:eastAsia="en-AU"/>
    </w:rPr>
  </w:style>
  <w:style w:type="paragraph" w:customStyle="1" w:styleId="2ndRd">
    <w:name w:val="2ndRd"/>
    <w:basedOn w:val="Normal"/>
    <w:rsid w:val="00805365"/>
    <w:pPr>
      <w:spacing w:line="240" w:lineRule="auto"/>
    </w:pPr>
    <w:rPr>
      <w:rFonts w:eastAsia="Times New Roman" w:cs="Times New Roman"/>
      <w:sz w:val="20"/>
      <w:lang w:eastAsia="en-AU"/>
    </w:rPr>
  </w:style>
  <w:style w:type="paragraph" w:customStyle="1" w:styleId="ScalePlusRef">
    <w:name w:val="ScalePlusRef"/>
    <w:basedOn w:val="Normal"/>
    <w:rsid w:val="0080536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34</Pages>
  <Words>7369</Words>
  <Characters>36776</Characters>
  <Application>Microsoft Office Word</Application>
  <DocSecurity>0</DocSecurity>
  <PresentationFormat/>
  <Lines>919</Lines>
  <Paragraphs>882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2015-09-22T04:38:00Z</cp:lastPrinted>
  <dcterms:created xsi:type="dcterms:W3CDTF">2017-09-19T05:43:00Z</dcterms:created>
  <dcterms:modified xsi:type="dcterms:W3CDTF">2017-09-19T05:52:00Z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NotAsk">
    <vt:lpwstr>0</vt:lpwstr>
  </property>
  <property fmtid="{D5CDD505-2E9C-101B-9397-08002B2CF9AE}" pid="3" name="ChangedTitle">
    <vt:lpwstr/>
  </property>
  <property fmtid="{D5CDD505-2E9C-101B-9397-08002B2CF9AE}" pid="4" name="Classification">
    <vt:lpwstr> </vt:lpwstr>
  </property>
  <property fmtid="{D5CDD505-2E9C-101B-9397-08002B2CF9AE}" pid="5" name="ShortT">
    <vt:lpwstr>Telecommunications and Other Legislation Amendment Act 2017</vt:lpwstr>
  </property>
  <property fmtid="{D5CDD505-2E9C-101B-9397-08002B2CF9AE}" pid="6" name="Actno">
    <vt:lpwstr>No. 111, 2017</vt:lpwstr>
  </property>
  <property fmtid="{D5CDD505-2E9C-101B-9397-08002B2CF9AE}" pid="7" name="ID">
    <vt:lpwstr>OPC4720</vt:lpwstr>
  </property>
  <property fmtid="{D5CDD505-2E9C-101B-9397-08002B2CF9AE}" pid="8" name="DLM">
    <vt:lpwstr> </vt:lpwstr>
  </property>
  <property fmtid="{D5CDD505-2E9C-101B-9397-08002B2CF9AE}" pid="9" name="Class">
    <vt:lpwstr>BILL</vt:lpwstr>
  </property>
  <property fmtid="{D5CDD505-2E9C-101B-9397-08002B2CF9AE}" pid="10" name="Type">
    <vt:lpwstr>BILL</vt:lpwstr>
  </property>
  <property fmtid="{D5CDD505-2E9C-101B-9397-08002B2CF9AE}" pid="11" name="DocType">
    <vt:lpwstr>AMD</vt:lpwstr>
  </property>
</Properties>
</file>