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EAE3" w14:textId="77777777" w:rsidR="00C55306" w:rsidRDefault="00C55306" w:rsidP="002B4F08">
      <w:pPr>
        <w:jc w:val="center"/>
        <w:rPr>
          <w:b/>
          <w:bCs/>
        </w:rPr>
      </w:pPr>
    </w:p>
    <w:p w14:paraId="249F4FD3" w14:textId="77777777" w:rsidR="00952E01" w:rsidRPr="00AB592F" w:rsidRDefault="00952E01" w:rsidP="00952E01">
      <w:pPr>
        <w:jc w:val="center"/>
        <w:rPr>
          <w:rFonts w:ascii="Arial" w:hAnsi="Arial" w:cs="Arial"/>
          <w:b/>
          <w:bCs/>
        </w:rPr>
      </w:pPr>
      <w:r w:rsidRPr="00AB592F">
        <w:rPr>
          <w:rFonts w:ascii="Arial" w:hAnsi="Arial" w:cs="Arial"/>
          <w:b/>
          <w:bCs/>
        </w:rPr>
        <w:t>FIRST ASSISTANT SECRETARY, ENVIRONMENT STANDARDS DIVISION</w:t>
      </w:r>
    </w:p>
    <w:p w14:paraId="0EC61E9B" w14:textId="77777777" w:rsidR="00952E01" w:rsidRPr="00AB592F" w:rsidRDefault="00952E01" w:rsidP="00952E01">
      <w:pPr>
        <w:jc w:val="center"/>
        <w:rPr>
          <w:rFonts w:ascii="Arial" w:hAnsi="Arial" w:cs="Arial"/>
          <w:b/>
          <w:bCs/>
        </w:rPr>
      </w:pPr>
      <w:r w:rsidRPr="00AB592F">
        <w:rPr>
          <w:rFonts w:ascii="Arial" w:hAnsi="Arial" w:cs="Arial"/>
          <w:b/>
          <w:bCs/>
        </w:rPr>
        <w:t>DEPARTMENT OF THE ENVIRONMENT AND ENERGY</w:t>
      </w:r>
    </w:p>
    <w:p w14:paraId="6190E8B0" w14:textId="77777777" w:rsidR="00952E01" w:rsidRPr="00AB592F" w:rsidRDefault="00952E01" w:rsidP="00952E01">
      <w:pPr>
        <w:spacing w:after="0"/>
        <w:rPr>
          <w:rFonts w:ascii="Arial" w:hAnsi="Arial" w:cs="Arial"/>
          <w:b/>
          <w:bCs/>
        </w:rPr>
      </w:pPr>
      <w:r w:rsidRPr="00AB592F">
        <w:rPr>
          <w:rFonts w:ascii="Arial" w:hAnsi="Arial" w:cs="Arial"/>
          <w:b/>
          <w:bCs/>
        </w:rPr>
        <w:t xml:space="preserve">NOTICE UNDER SECTION 17 OF THE </w:t>
      </w:r>
      <w:r w:rsidRPr="00AB592F">
        <w:rPr>
          <w:rFonts w:ascii="Arial" w:hAnsi="Arial" w:cs="Arial"/>
          <w:b/>
          <w:bCs/>
          <w:i/>
        </w:rPr>
        <w:t>FUEL QUALITY STANDARDS ACT 2000</w:t>
      </w:r>
      <w:r w:rsidRPr="00AB592F">
        <w:rPr>
          <w:rFonts w:ascii="Arial" w:hAnsi="Arial" w:cs="Arial"/>
          <w:b/>
          <w:bCs/>
        </w:rPr>
        <w:t xml:space="preserve"> CONCERNING A DECISION TO VARY AN APPROVAL GRANTED UNDER SECTION 13 OF THAT ACT</w:t>
      </w:r>
    </w:p>
    <w:p w14:paraId="0F3B939D" w14:textId="77777777" w:rsidR="00952E01" w:rsidRPr="00AB592F" w:rsidRDefault="00952E01" w:rsidP="00952E01">
      <w:pPr>
        <w:spacing w:after="0"/>
        <w:jc w:val="center"/>
        <w:rPr>
          <w:rFonts w:ascii="Arial" w:hAnsi="Arial" w:cs="Arial"/>
          <w:b/>
          <w:bCs/>
          <w:iCs/>
          <w:sz w:val="20"/>
          <w:szCs w:val="20"/>
        </w:rPr>
      </w:pPr>
    </w:p>
    <w:p w14:paraId="7B9AA22F" w14:textId="77777777" w:rsidR="00952E01" w:rsidRPr="00AB592F" w:rsidRDefault="00952E01" w:rsidP="00952E01">
      <w:pPr>
        <w:rPr>
          <w:rFonts w:ascii="Arial" w:hAnsi="Arial" w:cs="Arial"/>
        </w:rPr>
      </w:pPr>
      <w:r w:rsidRPr="00AB592F">
        <w:rPr>
          <w:rFonts w:ascii="Arial" w:hAnsi="Arial" w:cs="Arial"/>
          <w:bCs/>
        </w:rPr>
        <w:t>I, Matt Cahill, First Assistant Secretary, Environment Standards Division, delegate of the Minister for the Environment and Energy, p</w:t>
      </w:r>
      <w:r w:rsidRPr="00AB592F">
        <w:rPr>
          <w:rFonts w:ascii="Arial" w:hAnsi="Arial" w:cs="Arial"/>
        </w:rPr>
        <w:t>rovide the following information concerning my decision to vary an approval under section 13 of the</w:t>
      </w:r>
      <w:r w:rsidRPr="00AB592F">
        <w:rPr>
          <w:rFonts w:ascii="Arial" w:hAnsi="Arial" w:cs="Arial"/>
          <w:i/>
        </w:rPr>
        <w:t xml:space="preserve"> Fuel Quality Standards Act 2000</w:t>
      </w:r>
      <w:r w:rsidRPr="00AB592F">
        <w:rPr>
          <w:rFonts w:ascii="Arial" w:hAnsi="Arial" w:cs="Arial"/>
        </w:rPr>
        <w:t>.</w:t>
      </w:r>
    </w:p>
    <w:p w14:paraId="764CCF18" w14:textId="77777777" w:rsidR="00952E01" w:rsidRPr="00E2294C" w:rsidRDefault="00952E01" w:rsidP="00952E01">
      <w:pPr>
        <w:rPr>
          <w:rFonts w:ascii="Arial" w:hAnsi="Arial" w:cs="Arial"/>
          <w:b/>
        </w:rPr>
      </w:pPr>
      <w:r w:rsidRPr="00E2294C">
        <w:rPr>
          <w:rFonts w:ascii="Arial" w:hAnsi="Arial" w:cs="Arial"/>
          <w:b/>
        </w:rPr>
        <w:t>Name of approval holder</w:t>
      </w:r>
    </w:p>
    <w:p w14:paraId="7BB1CCD1" w14:textId="77777777" w:rsidR="00952E01" w:rsidRPr="005D04C6" w:rsidRDefault="00952E01" w:rsidP="00952E01">
      <w:pPr>
        <w:ind w:right="84"/>
        <w:rPr>
          <w:rFonts w:ascii="Arial" w:hAnsi="Arial" w:cs="Arial"/>
        </w:rPr>
      </w:pPr>
      <w:r w:rsidRPr="005D04C6">
        <w:rPr>
          <w:rFonts w:ascii="Arial" w:hAnsi="Arial" w:cs="Arial"/>
        </w:rPr>
        <w:t xml:space="preserve">VP Racing Fuels Pty Ltd </w:t>
      </w:r>
    </w:p>
    <w:p w14:paraId="6F0B6CED" w14:textId="77777777" w:rsidR="00952E01" w:rsidRPr="005D04C6" w:rsidRDefault="00952E01" w:rsidP="00952E01">
      <w:pPr>
        <w:rPr>
          <w:rFonts w:ascii="Arial" w:hAnsi="Arial" w:cs="Arial"/>
          <w:b/>
        </w:rPr>
      </w:pPr>
      <w:r w:rsidRPr="005D04C6">
        <w:rPr>
          <w:rFonts w:ascii="Arial" w:hAnsi="Arial" w:cs="Arial"/>
          <w:b/>
        </w:rPr>
        <w:t xml:space="preserve">Details of the variation </w:t>
      </w:r>
    </w:p>
    <w:p w14:paraId="245EBBCE" w14:textId="00ED2A1A" w:rsidR="00952E01" w:rsidRPr="005D04C6" w:rsidRDefault="00952E01" w:rsidP="00952E01">
      <w:pPr>
        <w:ind w:right="84"/>
        <w:rPr>
          <w:rFonts w:ascii="Arial" w:eastAsia="Calibri" w:hAnsi="Arial"/>
        </w:rPr>
      </w:pPr>
      <w:r w:rsidRPr="005D04C6">
        <w:rPr>
          <w:rFonts w:ascii="Arial" w:eastAsia="Calibri" w:hAnsi="Arial"/>
        </w:rPr>
        <w:t xml:space="preserve">On 5 December 2014 an approval was granted to VP Racing Fuels Pty Ltd to vary the </w:t>
      </w:r>
      <w:r w:rsidRPr="005D04C6">
        <w:rPr>
          <w:rFonts w:ascii="Arial" w:eastAsia="Calibri" w:hAnsi="Arial"/>
          <w:i/>
        </w:rPr>
        <w:t>Fuel</w:t>
      </w:r>
      <w:r w:rsidRPr="005D04C6">
        <w:rPr>
          <w:rFonts w:ascii="Arial" w:eastAsia="Calibri" w:hAnsi="Arial"/>
        </w:rPr>
        <w:t xml:space="preserve"> </w:t>
      </w:r>
      <w:r w:rsidRPr="005D04C6">
        <w:rPr>
          <w:rFonts w:ascii="Arial" w:eastAsia="Calibri" w:hAnsi="Arial"/>
          <w:i/>
        </w:rPr>
        <w:t xml:space="preserve">Standard (Petrol) Determination 2001 </w:t>
      </w:r>
      <w:r w:rsidRPr="005D04C6">
        <w:rPr>
          <w:rFonts w:ascii="Arial" w:eastAsia="Calibri" w:hAnsi="Arial"/>
        </w:rPr>
        <w:t xml:space="preserve">to permit the supply of specialist unleaded racing fuel as specified in the approval. </w:t>
      </w:r>
    </w:p>
    <w:p w14:paraId="0BE6051B" w14:textId="67DCAEC9" w:rsidR="00952E01" w:rsidRPr="005D04C6" w:rsidRDefault="00952E01" w:rsidP="00952E01">
      <w:pPr>
        <w:ind w:right="84"/>
        <w:rPr>
          <w:rFonts w:ascii="Arial" w:eastAsia="Calibri" w:hAnsi="Arial"/>
        </w:rPr>
      </w:pPr>
      <w:r w:rsidRPr="005D04C6">
        <w:rPr>
          <w:rFonts w:ascii="Arial" w:eastAsia="Calibri" w:hAnsi="Arial"/>
        </w:rPr>
        <w:t>Pu</w:t>
      </w:r>
      <w:r w:rsidR="00BB715D" w:rsidRPr="005D04C6">
        <w:rPr>
          <w:rFonts w:ascii="Arial" w:eastAsia="Calibri" w:hAnsi="Arial"/>
        </w:rPr>
        <w:t>r</w:t>
      </w:r>
      <w:r w:rsidRPr="005D04C6">
        <w:rPr>
          <w:rFonts w:ascii="Arial" w:eastAsia="Calibri" w:hAnsi="Arial"/>
        </w:rPr>
        <w:t>suant to section 17 of the Act:</w:t>
      </w:r>
    </w:p>
    <w:p w14:paraId="0DF25AD6" w14:textId="3566518A" w:rsidR="00BB715D" w:rsidRPr="005D04C6" w:rsidRDefault="00952E01" w:rsidP="001F5BC4">
      <w:pPr>
        <w:pStyle w:val="ListParagraph"/>
        <w:numPr>
          <w:ilvl w:val="0"/>
          <w:numId w:val="15"/>
        </w:numPr>
        <w:ind w:left="426" w:right="84" w:hanging="426"/>
        <w:rPr>
          <w:rFonts w:ascii="Arial" w:eastAsia="Calibri" w:hAnsi="Arial"/>
        </w:rPr>
      </w:pPr>
      <w:r w:rsidRPr="005D04C6">
        <w:rPr>
          <w:rFonts w:ascii="Arial" w:eastAsia="Calibri" w:hAnsi="Arial"/>
        </w:rPr>
        <w:t xml:space="preserve">The period of operation of the approval has been extended until 30 June 2017. </w:t>
      </w:r>
    </w:p>
    <w:p w14:paraId="06BC14B9" w14:textId="77777777" w:rsidR="001F5BC4" w:rsidRPr="005D04C6" w:rsidRDefault="001F5BC4" w:rsidP="001F5BC4">
      <w:pPr>
        <w:pStyle w:val="ListParagraph"/>
        <w:ind w:left="426" w:right="84"/>
        <w:rPr>
          <w:rFonts w:ascii="Arial" w:eastAsia="Calibri" w:hAnsi="Arial"/>
        </w:rPr>
      </w:pPr>
    </w:p>
    <w:p w14:paraId="561DC2D4" w14:textId="2AC40A75" w:rsidR="00952E01" w:rsidRPr="005D04C6" w:rsidRDefault="00952E01" w:rsidP="001F5BC4">
      <w:pPr>
        <w:pStyle w:val="ListParagraph"/>
        <w:numPr>
          <w:ilvl w:val="0"/>
          <w:numId w:val="15"/>
        </w:numPr>
        <w:ind w:left="426" w:right="84" w:hanging="426"/>
        <w:rPr>
          <w:rFonts w:ascii="Arial" w:eastAsia="Calibri" w:hAnsi="Arial"/>
        </w:rPr>
      </w:pPr>
      <w:r w:rsidRPr="005D04C6">
        <w:rPr>
          <w:rFonts w:ascii="Arial" w:eastAsia="Calibri" w:hAnsi="Arial"/>
        </w:rPr>
        <w:t>The following parameter listed in the approval has been amended so that:</w:t>
      </w:r>
    </w:p>
    <w:p w14:paraId="6E4E9124" w14:textId="5279EBD5" w:rsidR="00952E01" w:rsidRPr="005D04C6" w:rsidRDefault="00952E01" w:rsidP="001F5BC4">
      <w:pPr>
        <w:pStyle w:val="ListBullet"/>
        <w:ind w:left="1276" w:hanging="426"/>
        <w:rPr>
          <w:rFonts w:eastAsiaTheme="minorHAnsi" w:cs="Arial"/>
        </w:rPr>
      </w:pPr>
      <w:r w:rsidRPr="005D04C6">
        <w:rPr>
          <w:rFonts w:eastAsiaTheme="minorHAnsi" w:cs="Arial"/>
        </w:rPr>
        <w:t xml:space="preserve">aromatics up to 95 per cent v/v </w:t>
      </w:r>
    </w:p>
    <w:p w14:paraId="5723034B" w14:textId="77777777" w:rsidR="00952E01" w:rsidRPr="005D04C6" w:rsidRDefault="00952E01" w:rsidP="001F5BC4">
      <w:pPr>
        <w:pStyle w:val="ListBullet"/>
        <w:numPr>
          <w:ilvl w:val="0"/>
          <w:numId w:val="0"/>
        </w:numPr>
        <w:ind w:left="426"/>
        <w:rPr>
          <w:rFonts w:eastAsiaTheme="minorHAnsi" w:cs="Arial"/>
        </w:rPr>
      </w:pPr>
      <w:r w:rsidRPr="005D04C6">
        <w:rPr>
          <w:rFonts w:eastAsiaTheme="minorHAnsi" w:cs="Arial"/>
        </w:rPr>
        <w:t xml:space="preserve">will be taken to comply with the relevant parameter specified in the </w:t>
      </w:r>
      <w:r w:rsidRPr="005D04C6">
        <w:rPr>
          <w:rFonts w:eastAsiaTheme="minorHAnsi" w:cs="Arial"/>
          <w:i/>
        </w:rPr>
        <w:t xml:space="preserve">Fuel Standard (Petrol) Determination 2001 </w:t>
      </w:r>
      <w:r w:rsidRPr="005D04C6">
        <w:rPr>
          <w:rFonts w:eastAsiaTheme="minorHAnsi" w:cs="Arial"/>
        </w:rPr>
        <w:t xml:space="preserve">in respect of the supply of the fuel for use in legitimate motor sport activities. </w:t>
      </w:r>
    </w:p>
    <w:p w14:paraId="75423FC4" w14:textId="7C34CEAE" w:rsidR="00952E01" w:rsidRPr="005D04C6" w:rsidRDefault="00952E01" w:rsidP="001F5BC4">
      <w:pPr>
        <w:pStyle w:val="ListBullet"/>
        <w:numPr>
          <w:ilvl w:val="0"/>
          <w:numId w:val="15"/>
        </w:numPr>
        <w:ind w:left="426" w:hanging="426"/>
        <w:rPr>
          <w:rFonts w:eastAsiaTheme="minorHAnsi" w:cs="Arial"/>
        </w:rPr>
      </w:pPr>
      <w:r w:rsidRPr="005D04C6">
        <w:rPr>
          <w:rFonts w:eastAsiaTheme="minorHAnsi" w:cs="Arial"/>
        </w:rPr>
        <w:t xml:space="preserve">The following regulated persons have been added to the approval: </w:t>
      </w:r>
    </w:p>
    <w:tbl>
      <w:tblPr>
        <w:tblStyle w:val="TableGrid1"/>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2972"/>
      </w:tblGrid>
      <w:tr w:rsidR="005D04C6" w:rsidRPr="005D04C6" w14:paraId="527A2786" w14:textId="77777777" w:rsidTr="00474E0D">
        <w:trPr>
          <w:cnfStyle w:val="100000000000" w:firstRow="1" w:lastRow="0" w:firstColumn="0" w:lastColumn="0" w:oddVBand="0" w:evenVBand="0" w:oddHBand="0" w:evenHBand="0" w:firstRowFirstColumn="0" w:firstRowLastColumn="0" w:lastRowFirstColumn="0" w:lastRowLastColumn="0"/>
        </w:trPr>
        <w:tc>
          <w:tcPr>
            <w:tcW w:w="4111" w:type="dxa"/>
            <w:hideMark/>
          </w:tcPr>
          <w:p w14:paraId="09953526" w14:textId="77777777" w:rsidR="00952E01" w:rsidRPr="005D04C6" w:rsidRDefault="00952E01" w:rsidP="001F5BC4">
            <w:pPr>
              <w:ind w:left="426" w:hanging="426"/>
              <w:rPr>
                <w:b/>
                <w:bCs/>
                <w:sz w:val="22"/>
                <w:szCs w:val="22"/>
              </w:rPr>
            </w:pPr>
            <w:r w:rsidRPr="005D04C6">
              <w:rPr>
                <w:b/>
                <w:bCs/>
                <w:sz w:val="22"/>
                <w:szCs w:val="22"/>
              </w:rPr>
              <w:t xml:space="preserve">Name </w:t>
            </w:r>
          </w:p>
        </w:tc>
        <w:tc>
          <w:tcPr>
            <w:tcW w:w="2410" w:type="dxa"/>
            <w:hideMark/>
          </w:tcPr>
          <w:p w14:paraId="3C24987F" w14:textId="77777777" w:rsidR="00952E01" w:rsidRPr="005D04C6" w:rsidRDefault="00952E01" w:rsidP="001F5BC4">
            <w:pPr>
              <w:ind w:left="426" w:hanging="426"/>
              <w:rPr>
                <w:b/>
                <w:bCs/>
                <w:sz w:val="22"/>
                <w:szCs w:val="22"/>
              </w:rPr>
            </w:pPr>
            <w:r w:rsidRPr="005D04C6">
              <w:rPr>
                <w:b/>
                <w:bCs/>
                <w:sz w:val="22"/>
                <w:szCs w:val="22"/>
              </w:rPr>
              <w:t>ABN</w:t>
            </w:r>
          </w:p>
        </w:tc>
        <w:tc>
          <w:tcPr>
            <w:tcW w:w="2972" w:type="dxa"/>
            <w:hideMark/>
          </w:tcPr>
          <w:p w14:paraId="62FB019F" w14:textId="77777777" w:rsidR="00952E01" w:rsidRPr="005D04C6" w:rsidRDefault="00952E01" w:rsidP="001F5BC4">
            <w:pPr>
              <w:spacing w:afterAutospacing="0" w:line="276" w:lineRule="auto"/>
              <w:ind w:left="426" w:hanging="426"/>
              <w:rPr>
                <w:b/>
                <w:bCs/>
                <w:sz w:val="22"/>
                <w:szCs w:val="22"/>
              </w:rPr>
            </w:pPr>
            <w:r w:rsidRPr="005D04C6">
              <w:rPr>
                <w:b/>
                <w:bCs/>
                <w:sz w:val="22"/>
                <w:szCs w:val="22"/>
              </w:rPr>
              <w:t>Street Address</w:t>
            </w:r>
          </w:p>
        </w:tc>
      </w:tr>
      <w:tr w:rsidR="005D04C6" w:rsidRPr="005D04C6" w14:paraId="1EFFA8DC" w14:textId="77777777" w:rsidTr="00474E0D">
        <w:trPr>
          <w:cnfStyle w:val="000000100000" w:firstRow="0" w:lastRow="0" w:firstColumn="0" w:lastColumn="0" w:oddVBand="0" w:evenVBand="0" w:oddHBand="1" w:evenHBand="0" w:firstRowFirstColumn="0" w:firstRowLastColumn="0" w:lastRowFirstColumn="0" w:lastRowLastColumn="0"/>
          <w:trHeight w:val="779"/>
        </w:trPr>
        <w:tc>
          <w:tcPr>
            <w:tcW w:w="4111" w:type="dxa"/>
            <w:hideMark/>
          </w:tcPr>
          <w:p w14:paraId="334B15B3" w14:textId="77777777" w:rsidR="00952E01" w:rsidRPr="005D04C6" w:rsidRDefault="00952E01" w:rsidP="001F5BC4">
            <w:pPr>
              <w:tabs>
                <w:tab w:val="left" w:pos="1305"/>
              </w:tabs>
              <w:spacing w:before="240" w:line="276" w:lineRule="auto"/>
              <w:ind w:left="426" w:hanging="426"/>
              <w:rPr>
                <w:sz w:val="22"/>
                <w:szCs w:val="22"/>
                <w:lang w:eastAsia="en-US"/>
              </w:rPr>
            </w:pPr>
            <w:r w:rsidRPr="005D04C6">
              <w:rPr>
                <w:sz w:val="22"/>
                <w:szCs w:val="22"/>
                <w:lang w:eastAsia="en-US"/>
              </w:rPr>
              <w:t>Raceline Performance Pty Ltd</w:t>
            </w:r>
            <w:r w:rsidRPr="005D04C6">
              <w:rPr>
                <w:sz w:val="22"/>
                <w:szCs w:val="22"/>
                <w:lang w:eastAsia="en-US"/>
              </w:rPr>
              <w:br/>
            </w:r>
          </w:p>
        </w:tc>
        <w:tc>
          <w:tcPr>
            <w:tcW w:w="2410" w:type="dxa"/>
            <w:shd w:val="clear" w:color="auto" w:fill="auto"/>
          </w:tcPr>
          <w:p w14:paraId="628C3B95" w14:textId="77777777" w:rsidR="00952E01" w:rsidRPr="005D04C6" w:rsidRDefault="00952E01" w:rsidP="001F5BC4">
            <w:pPr>
              <w:spacing w:before="240" w:after="200" w:line="276" w:lineRule="auto"/>
              <w:ind w:left="426" w:hanging="426"/>
              <w:rPr>
                <w:sz w:val="22"/>
                <w:szCs w:val="22"/>
                <w:lang w:eastAsia="en-US"/>
              </w:rPr>
            </w:pPr>
            <w:r w:rsidRPr="005D04C6">
              <w:rPr>
                <w:sz w:val="22"/>
                <w:szCs w:val="22"/>
                <w:lang w:eastAsia="en-US"/>
              </w:rPr>
              <w:t>11 610 566 928</w:t>
            </w:r>
          </w:p>
        </w:tc>
        <w:tc>
          <w:tcPr>
            <w:tcW w:w="2972" w:type="dxa"/>
            <w:shd w:val="clear" w:color="auto" w:fill="auto"/>
            <w:hideMark/>
          </w:tcPr>
          <w:p w14:paraId="38D6AEE0" w14:textId="77777777" w:rsidR="00952E01" w:rsidRPr="005D04C6" w:rsidRDefault="00952E01" w:rsidP="00474E0D">
            <w:pPr>
              <w:tabs>
                <w:tab w:val="left" w:pos="1305"/>
              </w:tabs>
              <w:spacing w:before="240" w:after="200" w:line="276" w:lineRule="auto"/>
              <w:rPr>
                <w:sz w:val="22"/>
                <w:szCs w:val="22"/>
              </w:rPr>
            </w:pPr>
            <w:r w:rsidRPr="005D04C6">
              <w:rPr>
                <w:sz w:val="22"/>
                <w:szCs w:val="22"/>
              </w:rPr>
              <w:t>1/5 Sandringham Avenue</w:t>
            </w:r>
            <w:r w:rsidRPr="005D04C6">
              <w:rPr>
                <w:sz w:val="22"/>
                <w:szCs w:val="22"/>
              </w:rPr>
              <w:br/>
              <w:t>THORNTON NSW 2322</w:t>
            </w:r>
          </w:p>
        </w:tc>
      </w:tr>
      <w:tr w:rsidR="005D04C6" w:rsidRPr="005D04C6" w14:paraId="5759DD3D" w14:textId="77777777" w:rsidTr="00474E0D">
        <w:trPr>
          <w:cnfStyle w:val="000000010000" w:firstRow="0" w:lastRow="0" w:firstColumn="0" w:lastColumn="0" w:oddVBand="0" w:evenVBand="0" w:oddHBand="0" w:evenHBand="1" w:firstRowFirstColumn="0" w:firstRowLastColumn="0" w:lastRowFirstColumn="0" w:lastRowLastColumn="0"/>
          <w:trHeight w:val="779"/>
        </w:trPr>
        <w:tc>
          <w:tcPr>
            <w:tcW w:w="4111" w:type="dxa"/>
          </w:tcPr>
          <w:p w14:paraId="50FDBF76" w14:textId="77777777" w:rsidR="00952E01" w:rsidRPr="005D04C6" w:rsidRDefault="00952E01" w:rsidP="001F5BC4">
            <w:pPr>
              <w:ind w:left="426" w:hanging="426"/>
              <w:rPr>
                <w:sz w:val="22"/>
                <w:szCs w:val="22"/>
              </w:rPr>
            </w:pPr>
            <w:r w:rsidRPr="005D04C6">
              <w:rPr>
                <w:sz w:val="22"/>
                <w:szCs w:val="22"/>
              </w:rPr>
              <w:lastRenderedPageBreak/>
              <w:t>Maxwill Racing Engines Pty Ltd</w:t>
            </w:r>
            <w:r w:rsidRPr="005D04C6">
              <w:rPr>
                <w:sz w:val="22"/>
                <w:szCs w:val="22"/>
              </w:rPr>
              <w:br/>
            </w:r>
          </w:p>
        </w:tc>
        <w:tc>
          <w:tcPr>
            <w:tcW w:w="2410" w:type="dxa"/>
            <w:shd w:val="clear" w:color="auto" w:fill="auto"/>
          </w:tcPr>
          <w:p w14:paraId="31A6ECE8" w14:textId="77777777" w:rsidR="00952E01" w:rsidRPr="005D04C6" w:rsidRDefault="00952E01" w:rsidP="001F5BC4">
            <w:pPr>
              <w:spacing w:before="240" w:after="200" w:line="276" w:lineRule="auto"/>
              <w:ind w:left="426" w:hanging="426"/>
              <w:rPr>
                <w:sz w:val="22"/>
                <w:szCs w:val="22"/>
                <w:lang w:eastAsia="en-US"/>
              </w:rPr>
            </w:pPr>
            <w:r w:rsidRPr="005D04C6">
              <w:rPr>
                <w:sz w:val="22"/>
                <w:szCs w:val="22"/>
                <w:lang w:eastAsia="en-US"/>
              </w:rPr>
              <w:t>83 105 576 396</w:t>
            </w:r>
          </w:p>
        </w:tc>
        <w:tc>
          <w:tcPr>
            <w:tcW w:w="2972" w:type="dxa"/>
            <w:shd w:val="clear" w:color="auto" w:fill="auto"/>
          </w:tcPr>
          <w:p w14:paraId="6BDB4E5B" w14:textId="77777777" w:rsidR="00952E01" w:rsidRPr="005D04C6" w:rsidRDefault="00952E01" w:rsidP="00474E0D">
            <w:pPr>
              <w:tabs>
                <w:tab w:val="left" w:pos="1305"/>
              </w:tabs>
              <w:spacing w:before="240" w:after="200" w:line="276" w:lineRule="auto"/>
              <w:rPr>
                <w:sz w:val="22"/>
                <w:szCs w:val="22"/>
              </w:rPr>
            </w:pPr>
            <w:r w:rsidRPr="005D04C6">
              <w:rPr>
                <w:sz w:val="22"/>
                <w:szCs w:val="22"/>
              </w:rPr>
              <w:t>1A St Peters Street</w:t>
            </w:r>
            <w:r w:rsidRPr="005D04C6">
              <w:rPr>
                <w:sz w:val="22"/>
                <w:szCs w:val="22"/>
              </w:rPr>
              <w:br/>
              <w:t>ST PETERS SA 5069</w:t>
            </w:r>
          </w:p>
        </w:tc>
      </w:tr>
      <w:tr w:rsidR="005D04C6" w:rsidRPr="005D04C6" w14:paraId="0A446F99" w14:textId="77777777" w:rsidTr="00474E0D">
        <w:trPr>
          <w:cnfStyle w:val="000000100000" w:firstRow="0" w:lastRow="0" w:firstColumn="0" w:lastColumn="0" w:oddVBand="0" w:evenVBand="0" w:oddHBand="1" w:evenHBand="0" w:firstRowFirstColumn="0" w:firstRowLastColumn="0" w:lastRowFirstColumn="0" w:lastRowLastColumn="0"/>
          <w:trHeight w:val="779"/>
        </w:trPr>
        <w:tc>
          <w:tcPr>
            <w:tcW w:w="4111" w:type="dxa"/>
          </w:tcPr>
          <w:p w14:paraId="2D894175" w14:textId="0FF04C0C" w:rsidR="00952E01" w:rsidRPr="005D04C6" w:rsidRDefault="00952E01" w:rsidP="00474E0D">
            <w:pPr>
              <w:spacing w:after="240" w:afterAutospacing="0"/>
              <w:ind w:left="33" w:hanging="33"/>
              <w:rPr>
                <w:sz w:val="22"/>
                <w:szCs w:val="22"/>
              </w:rPr>
            </w:pPr>
            <w:r w:rsidRPr="005D04C6">
              <w:rPr>
                <w:sz w:val="22"/>
                <w:szCs w:val="22"/>
              </w:rPr>
              <w:t>B</w:t>
            </w:r>
            <w:r w:rsidR="00474E0D" w:rsidRPr="005D04C6">
              <w:rPr>
                <w:sz w:val="22"/>
                <w:szCs w:val="22"/>
              </w:rPr>
              <w:t xml:space="preserve">eard Bros Motor Cycles Pty Ltd </w:t>
            </w:r>
            <w:r w:rsidRPr="005D04C6">
              <w:rPr>
                <w:sz w:val="22"/>
                <w:szCs w:val="22"/>
              </w:rPr>
              <w:t>(trading as Beard Brothers Motorcycles)</w:t>
            </w:r>
          </w:p>
        </w:tc>
        <w:tc>
          <w:tcPr>
            <w:tcW w:w="2410" w:type="dxa"/>
            <w:shd w:val="clear" w:color="auto" w:fill="auto"/>
          </w:tcPr>
          <w:p w14:paraId="05A0E63F" w14:textId="77777777" w:rsidR="00952E01" w:rsidRPr="005D04C6" w:rsidRDefault="00952E01" w:rsidP="001F5BC4">
            <w:pPr>
              <w:spacing w:before="240" w:after="200" w:line="276" w:lineRule="auto"/>
              <w:ind w:left="426" w:hanging="426"/>
              <w:rPr>
                <w:sz w:val="22"/>
                <w:szCs w:val="22"/>
                <w:lang w:eastAsia="en-US"/>
              </w:rPr>
            </w:pPr>
            <w:r w:rsidRPr="005D04C6">
              <w:rPr>
                <w:sz w:val="22"/>
                <w:szCs w:val="22"/>
                <w:lang w:eastAsia="en-US"/>
              </w:rPr>
              <w:t>50 120 734 518</w:t>
            </w:r>
          </w:p>
        </w:tc>
        <w:tc>
          <w:tcPr>
            <w:tcW w:w="2972" w:type="dxa"/>
            <w:shd w:val="clear" w:color="auto" w:fill="auto"/>
          </w:tcPr>
          <w:p w14:paraId="76EE6952" w14:textId="77777777" w:rsidR="00952E01" w:rsidRDefault="00952E01" w:rsidP="00474E0D">
            <w:pPr>
              <w:tabs>
                <w:tab w:val="left" w:pos="1305"/>
              </w:tabs>
              <w:spacing w:before="240" w:after="200" w:line="276" w:lineRule="auto"/>
              <w:rPr>
                <w:sz w:val="22"/>
                <w:szCs w:val="22"/>
              </w:rPr>
            </w:pPr>
            <w:r w:rsidRPr="005D04C6">
              <w:rPr>
                <w:sz w:val="22"/>
                <w:szCs w:val="22"/>
              </w:rPr>
              <w:t>123 Durham Street</w:t>
            </w:r>
            <w:r w:rsidRPr="005D04C6">
              <w:rPr>
                <w:sz w:val="22"/>
                <w:szCs w:val="22"/>
              </w:rPr>
              <w:br/>
              <w:t>BATHURST NSW 2795</w:t>
            </w:r>
          </w:p>
          <w:p w14:paraId="334B57B1" w14:textId="77777777" w:rsidR="00C81FA2" w:rsidRDefault="00C81FA2" w:rsidP="00474E0D">
            <w:pPr>
              <w:tabs>
                <w:tab w:val="left" w:pos="1305"/>
              </w:tabs>
              <w:spacing w:before="240" w:after="200" w:line="276" w:lineRule="auto"/>
              <w:rPr>
                <w:sz w:val="22"/>
                <w:szCs w:val="22"/>
              </w:rPr>
            </w:pPr>
          </w:p>
          <w:p w14:paraId="08ADAFF8" w14:textId="77777777" w:rsidR="00C81FA2" w:rsidRPr="005D04C6" w:rsidRDefault="00C81FA2" w:rsidP="00474E0D">
            <w:pPr>
              <w:tabs>
                <w:tab w:val="left" w:pos="1305"/>
              </w:tabs>
              <w:spacing w:before="240" w:after="200" w:line="276" w:lineRule="auto"/>
              <w:rPr>
                <w:sz w:val="22"/>
                <w:szCs w:val="22"/>
              </w:rPr>
            </w:pPr>
          </w:p>
        </w:tc>
      </w:tr>
      <w:tr w:rsidR="005D04C6" w:rsidRPr="005D04C6" w14:paraId="40940419" w14:textId="77777777" w:rsidTr="00474E0D">
        <w:trPr>
          <w:cnfStyle w:val="000000010000" w:firstRow="0" w:lastRow="0" w:firstColumn="0" w:lastColumn="0" w:oddVBand="0" w:evenVBand="0" w:oddHBand="0" w:evenHBand="1" w:firstRowFirstColumn="0" w:firstRowLastColumn="0" w:lastRowFirstColumn="0" w:lastRowLastColumn="0"/>
          <w:trHeight w:val="779"/>
        </w:trPr>
        <w:tc>
          <w:tcPr>
            <w:tcW w:w="4111" w:type="dxa"/>
          </w:tcPr>
          <w:p w14:paraId="7E7A0463" w14:textId="77777777" w:rsidR="00952E01" w:rsidRPr="005D04C6" w:rsidRDefault="00952E01" w:rsidP="00474E0D">
            <w:pPr>
              <w:ind w:left="-108"/>
              <w:rPr>
                <w:sz w:val="22"/>
                <w:szCs w:val="22"/>
              </w:rPr>
            </w:pPr>
            <w:r w:rsidRPr="005D04C6">
              <w:rPr>
                <w:sz w:val="22"/>
                <w:szCs w:val="22"/>
              </w:rPr>
              <w:t>The Trustee for West Family Trust (trading as S &amp; H West Auto Electrics)</w:t>
            </w:r>
          </w:p>
        </w:tc>
        <w:tc>
          <w:tcPr>
            <w:tcW w:w="2410" w:type="dxa"/>
            <w:shd w:val="clear" w:color="auto" w:fill="auto"/>
          </w:tcPr>
          <w:p w14:paraId="2A0758EE" w14:textId="77777777" w:rsidR="00952E01" w:rsidRPr="005D04C6" w:rsidRDefault="00952E01" w:rsidP="001F5BC4">
            <w:pPr>
              <w:spacing w:before="240" w:after="200" w:line="276" w:lineRule="auto"/>
              <w:ind w:left="426" w:hanging="426"/>
              <w:rPr>
                <w:sz w:val="22"/>
                <w:szCs w:val="22"/>
                <w:lang w:eastAsia="en-US"/>
              </w:rPr>
            </w:pPr>
            <w:r w:rsidRPr="005D04C6">
              <w:rPr>
                <w:sz w:val="22"/>
                <w:szCs w:val="22"/>
                <w:lang w:eastAsia="en-US"/>
              </w:rPr>
              <w:t>19 086 498 589</w:t>
            </w:r>
          </w:p>
        </w:tc>
        <w:tc>
          <w:tcPr>
            <w:tcW w:w="2972" w:type="dxa"/>
            <w:shd w:val="clear" w:color="auto" w:fill="auto"/>
          </w:tcPr>
          <w:p w14:paraId="76EB6BD0" w14:textId="77777777" w:rsidR="00952E01" w:rsidRPr="005D04C6" w:rsidRDefault="00952E01" w:rsidP="00474E0D">
            <w:pPr>
              <w:tabs>
                <w:tab w:val="left" w:pos="1305"/>
              </w:tabs>
              <w:spacing w:before="240" w:after="200" w:line="276" w:lineRule="auto"/>
              <w:rPr>
                <w:sz w:val="22"/>
                <w:szCs w:val="22"/>
              </w:rPr>
            </w:pPr>
            <w:r w:rsidRPr="005D04C6">
              <w:rPr>
                <w:sz w:val="22"/>
                <w:szCs w:val="22"/>
              </w:rPr>
              <w:t>Shed 4 Wilga Street</w:t>
            </w:r>
            <w:r w:rsidRPr="005D04C6">
              <w:rPr>
                <w:sz w:val="22"/>
                <w:szCs w:val="22"/>
              </w:rPr>
              <w:br/>
              <w:t>BLACKWATER QLD 4717</w:t>
            </w:r>
          </w:p>
        </w:tc>
      </w:tr>
    </w:tbl>
    <w:p w14:paraId="1D48A619" w14:textId="129D9772" w:rsidR="00952E01" w:rsidRPr="005D04C6" w:rsidRDefault="00952E01" w:rsidP="00CC7A16">
      <w:pPr>
        <w:pStyle w:val="ListParagraph"/>
        <w:numPr>
          <w:ilvl w:val="0"/>
          <w:numId w:val="15"/>
        </w:numPr>
        <w:ind w:left="426" w:right="84" w:hanging="426"/>
        <w:rPr>
          <w:rFonts w:ascii="Arial" w:eastAsia="Calibri" w:hAnsi="Arial"/>
        </w:rPr>
      </w:pPr>
      <w:r w:rsidRPr="005D04C6">
        <w:rPr>
          <w:rFonts w:ascii="Arial" w:eastAsia="Calibri" w:hAnsi="Arial"/>
        </w:rPr>
        <w:t>The following regulated persons have been removed from the approval:</w:t>
      </w:r>
    </w:p>
    <w:tbl>
      <w:tblPr>
        <w:tblStyle w:val="TableGrid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410"/>
        <w:gridCol w:w="3261"/>
      </w:tblGrid>
      <w:tr w:rsidR="005C1337" w:rsidRPr="00984C78" w14:paraId="3FABC032" w14:textId="77777777" w:rsidTr="005C1337">
        <w:trPr>
          <w:cnfStyle w:val="100000000000" w:firstRow="1" w:lastRow="0" w:firstColumn="0" w:lastColumn="0" w:oddVBand="0" w:evenVBand="0" w:oddHBand="0" w:evenHBand="0" w:firstRowFirstColumn="0" w:firstRowLastColumn="0" w:lastRowFirstColumn="0" w:lastRowLastColumn="0"/>
        </w:trPr>
        <w:tc>
          <w:tcPr>
            <w:tcW w:w="4252" w:type="dxa"/>
            <w:hideMark/>
          </w:tcPr>
          <w:p w14:paraId="04088D53" w14:textId="77777777" w:rsidR="005C1337" w:rsidRPr="00984C78" w:rsidRDefault="005C1337" w:rsidP="005C1337">
            <w:pPr>
              <w:ind w:left="317" w:hanging="283"/>
              <w:rPr>
                <w:b/>
                <w:bCs/>
                <w:sz w:val="22"/>
                <w:szCs w:val="22"/>
              </w:rPr>
            </w:pPr>
            <w:r w:rsidRPr="00984C78">
              <w:rPr>
                <w:b/>
                <w:bCs/>
                <w:sz w:val="22"/>
                <w:szCs w:val="22"/>
              </w:rPr>
              <w:t xml:space="preserve">Name </w:t>
            </w:r>
          </w:p>
        </w:tc>
        <w:tc>
          <w:tcPr>
            <w:tcW w:w="2410" w:type="dxa"/>
            <w:hideMark/>
          </w:tcPr>
          <w:p w14:paraId="5722622C" w14:textId="77777777" w:rsidR="005C1337" w:rsidRPr="00984C78" w:rsidRDefault="005C1337" w:rsidP="00487A09">
            <w:pPr>
              <w:rPr>
                <w:b/>
                <w:bCs/>
                <w:sz w:val="22"/>
                <w:szCs w:val="22"/>
              </w:rPr>
            </w:pPr>
            <w:r w:rsidRPr="00984C78">
              <w:rPr>
                <w:b/>
                <w:bCs/>
                <w:sz w:val="22"/>
                <w:szCs w:val="22"/>
              </w:rPr>
              <w:t>ABN</w:t>
            </w:r>
          </w:p>
        </w:tc>
        <w:tc>
          <w:tcPr>
            <w:tcW w:w="3261" w:type="dxa"/>
            <w:hideMark/>
          </w:tcPr>
          <w:p w14:paraId="5D1D1497" w14:textId="77777777" w:rsidR="005C1337" w:rsidRPr="00984C78" w:rsidRDefault="005C1337" w:rsidP="00487A09">
            <w:pPr>
              <w:spacing w:afterAutospacing="0" w:line="276" w:lineRule="auto"/>
              <w:rPr>
                <w:b/>
                <w:bCs/>
                <w:sz w:val="22"/>
                <w:szCs w:val="22"/>
              </w:rPr>
            </w:pPr>
            <w:r w:rsidRPr="00984C78">
              <w:rPr>
                <w:b/>
                <w:bCs/>
                <w:sz w:val="22"/>
                <w:szCs w:val="22"/>
              </w:rPr>
              <w:t>Street Address</w:t>
            </w:r>
          </w:p>
        </w:tc>
      </w:tr>
      <w:tr w:rsidR="005C1337" w:rsidRPr="00984C78" w14:paraId="19156F67" w14:textId="77777777" w:rsidTr="005C1337">
        <w:trPr>
          <w:cnfStyle w:val="000000100000" w:firstRow="0" w:lastRow="0" w:firstColumn="0" w:lastColumn="0" w:oddVBand="0" w:evenVBand="0" w:oddHBand="1" w:evenHBand="0" w:firstRowFirstColumn="0" w:firstRowLastColumn="0" w:lastRowFirstColumn="0" w:lastRowLastColumn="0"/>
          <w:trHeight w:val="779"/>
        </w:trPr>
        <w:tc>
          <w:tcPr>
            <w:tcW w:w="4252" w:type="dxa"/>
            <w:hideMark/>
          </w:tcPr>
          <w:p w14:paraId="3AF901C0" w14:textId="77777777" w:rsidR="005C1337" w:rsidRPr="00984C78" w:rsidRDefault="005C1337" w:rsidP="005C1337">
            <w:pPr>
              <w:tabs>
                <w:tab w:val="left" w:pos="1305"/>
              </w:tabs>
              <w:spacing w:before="240" w:line="276" w:lineRule="auto"/>
              <w:ind w:left="34"/>
              <w:rPr>
                <w:sz w:val="22"/>
                <w:szCs w:val="22"/>
                <w:lang w:eastAsia="en-US"/>
              </w:rPr>
            </w:pPr>
            <w:r w:rsidRPr="00984C78">
              <w:rPr>
                <w:sz w:val="22"/>
                <w:szCs w:val="22"/>
                <w:lang w:eastAsia="en-US"/>
              </w:rPr>
              <w:t>N Sassine &amp; T Sassine</w:t>
            </w:r>
          </w:p>
        </w:tc>
        <w:tc>
          <w:tcPr>
            <w:tcW w:w="2410" w:type="dxa"/>
            <w:shd w:val="clear" w:color="auto" w:fill="auto"/>
          </w:tcPr>
          <w:p w14:paraId="7DC4F671"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18 818 688 268</w:t>
            </w:r>
          </w:p>
        </w:tc>
        <w:tc>
          <w:tcPr>
            <w:tcW w:w="3261" w:type="dxa"/>
            <w:shd w:val="clear" w:color="auto" w:fill="auto"/>
            <w:hideMark/>
          </w:tcPr>
          <w:p w14:paraId="082F4923"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11A Harp Street</w:t>
            </w:r>
            <w:r w:rsidRPr="00984C78">
              <w:rPr>
                <w:sz w:val="22"/>
                <w:szCs w:val="22"/>
              </w:rPr>
              <w:br/>
              <w:t>CAMPSIE NSW 2194</w:t>
            </w:r>
          </w:p>
        </w:tc>
      </w:tr>
      <w:tr w:rsidR="005C1337" w:rsidRPr="00984C78" w14:paraId="2317D654" w14:textId="77777777" w:rsidTr="005C1337">
        <w:trPr>
          <w:cnfStyle w:val="000000010000" w:firstRow="0" w:lastRow="0" w:firstColumn="0" w:lastColumn="0" w:oddVBand="0" w:evenVBand="0" w:oddHBand="0" w:evenHBand="1" w:firstRowFirstColumn="0" w:firstRowLastColumn="0" w:lastRowFirstColumn="0" w:lastRowLastColumn="0"/>
          <w:trHeight w:val="779"/>
        </w:trPr>
        <w:tc>
          <w:tcPr>
            <w:tcW w:w="4252" w:type="dxa"/>
          </w:tcPr>
          <w:p w14:paraId="665F71EC" w14:textId="77777777" w:rsidR="005C1337" w:rsidRPr="00984C78" w:rsidRDefault="005C1337" w:rsidP="005C1337">
            <w:pPr>
              <w:ind w:left="34"/>
              <w:rPr>
                <w:sz w:val="22"/>
                <w:szCs w:val="22"/>
              </w:rPr>
            </w:pPr>
            <w:r w:rsidRPr="00984C78">
              <w:rPr>
                <w:sz w:val="22"/>
                <w:szCs w:val="22"/>
              </w:rPr>
              <w:t>GT Motor Group Pty Ltd</w:t>
            </w:r>
          </w:p>
        </w:tc>
        <w:tc>
          <w:tcPr>
            <w:tcW w:w="2410" w:type="dxa"/>
            <w:shd w:val="clear" w:color="auto" w:fill="auto"/>
          </w:tcPr>
          <w:p w14:paraId="76A24AB7"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33 113 624 267</w:t>
            </w:r>
          </w:p>
        </w:tc>
        <w:tc>
          <w:tcPr>
            <w:tcW w:w="3261" w:type="dxa"/>
            <w:shd w:val="clear" w:color="auto" w:fill="auto"/>
          </w:tcPr>
          <w:p w14:paraId="4B194278"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5/150 Edmonstone Street</w:t>
            </w:r>
            <w:r w:rsidRPr="00984C78">
              <w:rPr>
                <w:sz w:val="22"/>
                <w:szCs w:val="22"/>
              </w:rPr>
              <w:br/>
              <w:t>NEWMARKET QLD 4051</w:t>
            </w:r>
          </w:p>
        </w:tc>
      </w:tr>
      <w:tr w:rsidR="005C1337" w:rsidRPr="00984C78" w14:paraId="4A67B744" w14:textId="77777777" w:rsidTr="005C1337">
        <w:trPr>
          <w:cnfStyle w:val="000000100000" w:firstRow="0" w:lastRow="0" w:firstColumn="0" w:lastColumn="0" w:oddVBand="0" w:evenVBand="0" w:oddHBand="1" w:evenHBand="0" w:firstRowFirstColumn="0" w:firstRowLastColumn="0" w:lastRowFirstColumn="0" w:lastRowLastColumn="0"/>
          <w:trHeight w:val="779"/>
        </w:trPr>
        <w:tc>
          <w:tcPr>
            <w:tcW w:w="4252" w:type="dxa"/>
          </w:tcPr>
          <w:p w14:paraId="64861B19" w14:textId="77777777" w:rsidR="005C1337" w:rsidRPr="00984C78" w:rsidRDefault="005C1337" w:rsidP="005C1337">
            <w:pPr>
              <w:ind w:left="34"/>
              <w:rPr>
                <w:sz w:val="22"/>
                <w:szCs w:val="22"/>
              </w:rPr>
            </w:pPr>
            <w:r w:rsidRPr="00984C78">
              <w:rPr>
                <w:sz w:val="22"/>
                <w:szCs w:val="22"/>
              </w:rPr>
              <w:t>Superior Automotive Services Pty Ltd</w:t>
            </w:r>
          </w:p>
        </w:tc>
        <w:tc>
          <w:tcPr>
            <w:tcW w:w="2410" w:type="dxa"/>
            <w:shd w:val="clear" w:color="auto" w:fill="auto"/>
          </w:tcPr>
          <w:p w14:paraId="07CA6BF9"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67 062 718 361</w:t>
            </w:r>
          </w:p>
        </w:tc>
        <w:tc>
          <w:tcPr>
            <w:tcW w:w="3261" w:type="dxa"/>
            <w:shd w:val="clear" w:color="auto" w:fill="auto"/>
          </w:tcPr>
          <w:p w14:paraId="7B9CD36B"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79 Bassett Street</w:t>
            </w:r>
            <w:r w:rsidRPr="00984C78">
              <w:rPr>
                <w:sz w:val="22"/>
                <w:szCs w:val="22"/>
              </w:rPr>
              <w:br/>
              <w:t xml:space="preserve">MONA VALE NSW </w:t>
            </w:r>
          </w:p>
        </w:tc>
      </w:tr>
      <w:tr w:rsidR="005C1337" w:rsidRPr="00984C78" w14:paraId="6A4FC6D5" w14:textId="77777777" w:rsidTr="005C1337">
        <w:trPr>
          <w:cnfStyle w:val="000000010000" w:firstRow="0" w:lastRow="0" w:firstColumn="0" w:lastColumn="0" w:oddVBand="0" w:evenVBand="0" w:oddHBand="0" w:evenHBand="1" w:firstRowFirstColumn="0" w:firstRowLastColumn="0" w:lastRowFirstColumn="0" w:lastRowLastColumn="0"/>
          <w:trHeight w:val="779"/>
        </w:trPr>
        <w:tc>
          <w:tcPr>
            <w:tcW w:w="4252" w:type="dxa"/>
          </w:tcPr>
          <w:p w14:paraId="07EE8E3D" w14:textId="77777777" w:rsidR="005C1337" w:rsidRPr="00984C78" w:rsidRDefault="005C1337" w:rsidP="005C1337">
            <w:pPr>
              <w:spacing w:after="240" w:afterAutospacing="0"/>
              <w:ind w:left="34"/>
              <w:rPr>
                <w:sz w:val="22"/>
                <w:szCs w:val="22"/>
              </w:rPr>
            </w:pPr>
            <w:r w:rsidRPr="00984C78">
              <w:rPr>
                <w:sz w:val="22"/>
                <w:szCs w:val="22"/>
              </w:rPr>
              <w:t xml:space="preserve">Sant, Paul Charles </w:t>
            </w:r>
            <w:r w:rsidRPr="00984C78">
              <w:rPr>
                <w:sz w:val="22"/>
                <w:szCs w:val="22"/>
              </w:rPr>
              <w:br/>
              <w:t>(trading as Pro Flo Performance)</w:t>
            </w:r>
          </w:p>
        </w:tc>
        <w:tc>
          <w:tcPr>
            <w:tcW w:w="2410" w:type="dxa"/>
            <w:shd w:val="clear" w:color="auto" w:fill="auto"/>
          </w:tcPr>
          <w:p w14:paraId="65D3682A"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30 230 787 703</w:t>
            </w:r>
          </w:p>
        </w:tc>
        <w:tc>
          <w:tcPr>
            <w:tcW w:w="3261" w:type="dxa"/>
            <w:shd w:val="clear" w:color="auto" w:fill="auto"/>
          </w:tcPr>
          <w:p w14:paraId="7A500153"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115 Ramsay Road</w:t>
            </w:r>
            <w:r w:rsidRPr="00984C78">
              <w:rPr>
                <w:sz w:val="22"/>
                <w:szCs w:val="22"/>
              </w:rPr>
              <w:br/>
              <w:t>ROSSMORE NSW 2171</w:t>
            </w:r>
          </w:p>
        </w:tc>
      </w:tr>
      <w:tr w:rsidR="005C1337" w:rsidRPr="00984C78" w14:paraId="275161E4" w14:textId="77777777" w:rsidTr="005C1337">
        <w:trPr>
          <w:cnfStyle w:val="000000100000" w:firstRow="0" w:lastRow="0" w:firstColumn="0" w:lastColumn="0" w:oddVBand="0" w:evenVBand="0" w:oddHBand="1" w:evenHBand="0" w:firstRowFirstColumn="0" w:firstRowLastColumn="0" w:lastRowFirstColumn="0" w:lastRowLastColumn="0"/>
          <w:trHeight w:val="779"/>
        </w:trPr>
        <w:tc>
          <w:tcPr>
            <w:tcW w:w="4252" w:type="dxa"/>
          </w:tcPr>
          <w:p w14:paraId="118BD8FC" w14:textId="77777777" w:rsidR="005C1337" w:rsidRPr="00984C78" w:rsidRDefault="005C1337" w:rsidP="005C1337">
            <w:pPr>
              <w:ind w:left="34"/>
              <w:rPr>
                <w:sz w:val="22"/>
                <w:szCs w:val="22"/>
              </w:rPr>
            </w:pPr>
            <w:r w:rsidRPr="00984C78">
              <w:rPr>
                <w:sz w:val="22"/>
                <w:szCs w:val="22"/>
              </w:rPr>
              <w:t>Pac Parts Pty Ltd</w:t>
            </w:r>
          </w:p>
        </w:tc>
        <w:tc>
          <w:tcPr>
            <w:tcW w:w="2410" w:type="dxa"/>
            <w:shd w:val="clear" w:color="auto" w:fill="auto"/>
          </w:tcPr>
          <w:p w14:paraId="3D0FFBD6"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29 131 372 980</w:t>
            </w:r>
          </w:p>
        </w:tc>
        <w:tc>
          <w:tcPr>
            <w:tcW w:w="3261" w:type="dxa"/>
            <w:shd w:val="clear" w:color="auto" w:fill="auto"/>
          </w:tcPr>
          <w:p w14:paraId="293D14BD"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11/94 Bryant Street</w:t>
            </w:r>
            <w:r w:rsidRPr="00984C78">
              <w:rPr>
                <w:sz w:val="22"/>
                <w:szCs w:val="22"/>
              </w:rPr>
              <w:br/>
              <w:t>PADSTOW NSW 2211</w:t>
            </w:r>
          </w:p>
        </w:tc>
      </w:tr>
      <w:tr w:rsidR="005C1337" w:rsidRPr="00984C78" w14:paraId="419659FC" w14:textId="77777777" w:rsidTr="005C1337">
        <w:trPr>
          <w:cnfStyle w:val="000000010000" w:firstRow="0" w:lastRow="0" w:firstColumn="0" w:lastColumn="0" w:oddVBand="0" w:evenVBand="0" w:oddHBand="0" w:evenHBand="1" w:firstRowFirstColumn="0" w:firstRowLastColumn="0" w:lastRowFirstColumn="0" w:lastRowLastColumn="0"/>
          <w:trHeight w:val="779"/>
        </w:trPr>
        <w:tc>
          <w:tcPr>
            <w:tcW w:w="4252" w:type="dxa"/>
          </w:tcPr>
          <w:p w14:paraId="78252963" w14:textId="77777777" w:rsidR="005C1337" w:rsidRPr="00984C78" w:rsidRDefault="005C1337" w:rsidP="005C1337">
            <w:pPr>
              <w:ind w:left="34"/>
              <w:rPr>
                <w:sz w:val="22"/>
                <w:szCs w:val="22"/>
              </w:rPr>
            </w:pPr>
            <w:r w:rsidRPr="00984C78">
              <w:rPr>
                <w:sz w:val="22"/>
                <w:szCs w:val="22"/>
              </w:rPr>
              <w:t>Diff Technics Australia Pty Ltd</w:t>
            </w:r>
          </w:p>
        </w:tc>
        <w:tc>
          <w:tcPr>
            <w:tcW w:w="2410" w:type="dxa"/>
            <w:shd w:val="clear" w:color="auto" w:fill="auto"/>
          </w:tcPr>
          <w:p w14:paraId="44B1B8B2"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42 132 930 226</w:t>
            </w:r>
          </w:p>
        </w:tc>
        <w:tc>
          <w:tcPr>
            <w:tcW w:w="3261" w:type="dxa"/>
            <w:shd w:val="clear" w:color="auto" w:fill="auto"/>
          </w:tcPr>
          <w:p w14:paraId="710756B5"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27 Production Avenue</w:t>
            </w:r>
            <w:r w:rsidRPr="00984C78">
              <w:rPr>
                <w:sz w:val="22"/>
                <w:szCs w:val="22"/>
              </w:rPr>
              <w:br/>
              <w:t xml:space="preserve">KOGARAH NSW 2217 </w:t>
            </w:r>
          </w:p>
        </w:tc>
      </w:tr>
      <w:tr w:rsidR="005C1337" w:rsidRPr="00984C78" w14:paraId="0450A092" w14:textId="77777777" w:rsidTr="005C1337">
        <w:trPr>
          <w:cnfStyle w:val="000000100000" w:firstRow="0" w:lastRow="0" w:firstColumn="0" w:lastColumn="0" w:oddVBand="0" w:evenVBand="0" w:oddHBand="1" w:evenHBand="0" w:firstRowFirstColumn="0" w:firstRowLastColumn="0" w:lastRowFirstColumn="0" w:lastRowLastColumn="0"/>
          <w:trHeight w:val="779"/>
        </w:trPr>
        <w:tc>
          <w:tcPr>
            <w:tcW w:w="4252" w:type="dxa"/>
          </w:tcPr>
          <w:p w14:paraId="4006F8AE" w14:textId="77777777" w:rsidR="005C1337" w:rsidRPr="00984C78" w:rsidRDefault="005C1337" w:rsidP="005C1337">
            <w:pPr>
              <w:ind w:left="34"/>
              <w:rPr>
                <w:sz w:val="22"/>
                <w:szCs w:val="22"/>
              </w:rPr>
            </w:pPr>
            <w:r w:rsidRPr="00984C78">
              <w:rPr>
                <w:sz w:val="22"/>
                <w:szCs w:val="22"/>
              </w:rPr>
              <w:t xml:space="preserve">Opal Maze Pty Ltd </w:t>
            </w:r>
            <w:r w:rsidRPr="00984C78">
              <w:rPr>
                <w:sz w:val="22"/>
                <w:szCs w:val="22"/>
              </w:rPr>
              <w:br/>
              <w:t>(trading as Bio Race Fuel)</w:t>
            </w:r>
          </w:p>
        </w:tc>
        <w:tc>
          <w:tcPr>
            <w:tcW w:w="2410" w:type="dxa"/>
            <w:shd w:val="clear" w:color="auto" w:fill="auto"/>
          </w:tcPr>
          <w:p w14:paraId="667F06C5"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14 114 783 756</w:t>
            </w:r>
          </w:p>
        </w:tc>
        <w:tc>
          <w:tcPr>
            <w:tcW w:w="3261" w:type="dxa"/>
            <w:shd w:val="clear" w:color="auto" w:fill="auto"/>
          </w:tcPr>
          <w:p w14:paraId="3233B26C"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6-10 Meryla Street</w:t>
            </w:r>
            <w:r w:rsidRPr="00984C78">
              <w:rPr>
                <w:sz w:val="22"/>
                <w:szCs w:val="22"/>
              </w:rPr>
              <w:br/>
              <w:t>ROBERTSON NSW 2577</w:t>
            </w:r>
          </w:p>
        </w:tc>
      </w:tr>
      <w:tr w:rsidR="005C1337" w:rsidRPr="00984C78" w14:paraId="6CF35A11" w14:textId="77777777" w:rsidTr="005C1337">
        <w:trPr>
          <w:cnfStyle w:val="000000010000" w:firstRow="0" w:lastRow="0" w:firstColumn="0" w:lastColumn="0" w:oddVBand="0" w:evenVBand="0" w:oddHBand="0" w:evenHBand="1" w:firstRowFirstColumn="0" w:firstRowLastColumn="0" w:lastRowFirstColumn="0" w:lastRowLastColumn="0"/>
          <w:trHeight w:val="779"/>
        </w:trPr>
        <w:tc>
          <w:tcPr>
            <w:tcW w:w="4252" w:type="dxa"/>
          </w:tcPr>
          <w:p w14:paraId="242CB185" w14:textId="77777777" w:rsidR="005C1337" w:rsidRPr="00984C78" w:rsidRDefault="005C1337" w:rsidP="005C1337">
            <w:pPr>
              <w:spacing w:after="240" w:afterAutospacing="0"/>
              <w:ind w:left="34"/>
              <w:rPr>
                <w:sz w:val="22"/>
                <w:szCs w:val="22"/>
              </w:rPr>
            </w:pPr>
            <w:r w:rsidRPr="00984C78">
              <w:rPr>
                <w:sz w:val="22"/>
                <w:szCs w:val="22"/>
              </w:rPr>
              <w:t xml:space="preserve">Stapleton, Jason </w:t>
            </w:r>
            <w:r w:rsidRPr="00984C78">
              <w:rPr>
                <w:sz w:val="22"/>
                <w:szCs w:val="22"/>
              </w:rPr>
              <w:br/>
              <w:t>(trading as JS Mechanical Engineering)</w:t>
            </w:r>
          </w:p>
        </w:tc>
        <w:tc>
          <w:tcPr>
            <w:tcW w:w="2410" w:type="dxa"/>
            <w:shd w:val="clear" w:color="auto" w:fill="auto"/>
          </w:tcPr>
          <w:p w14:paraId="61A302CC"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80 642 371 160</w:t>
            </w:r>
          </w:p>
        </w:tc>
        <w:tc>
          <w:tcPr>
            <w:tcW w:w="3261" w:type="dxa"/>
            <w:shd w:val="clear" w:color="auto" w:fill="auto"/>
          </w:tcPr>
          <w:p w14:paraId="45AF30E3"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1/894 Stuart Highway</w:t>
            </w:r>
            <w:r w:rsidRPr="00984C78">
              <w:rPr>
                <w:sz w:val="22"/>
                <w:szCs w:val="22"/>
              </w:rPr>
              <w:br/>
              <w:t>PINELANDS NT 0829</w:t>
            </w:r>
          </w:p>
        </w:tc>
      </w:tr>
      <w:tr w:rsidR="005C1337" w:rsidRPr="00984C78" w14:paraId="37231D34" w14:textId="77777777" w:rsidTr="005C1337">
        <w:trPr>
          <w:cnfStyle w:val="000000100000" w:firstRow="0" w:lastRow="0" w:firstColumn="0" w:lastColumn="0" w:oddVBand="0" w:evenVBand="0" w:oddHBand="1" w:evenHBand="0" w:firstRowFirstColumn="0" w:firstRowLastColumn="0" w:lastRowFirstColumn="0" w:lastRowLastColumn="0"/>
          <w:trHeight w:val="779"/>
        </w:trPr>
        <w:tc>
          <w:tcPr>
            <w:tcW w:w="4252" w:type="dxa"/>
          </w:tcPr>
          <w:p w14:paraId="4ED323B4" w14:textId="77777777" w:rsidR="005C1337" w:rsidRPr="00984C78" w:rsidRDefault="005C1337" w:rsidP="005C1337">
            <w:pPr>
              <w:spacing w:after="240" w:afterAutospacing="0"/>
              <w:ind w:left="34"/>
              <w:rPr>
                <w:sz w:val="22"/>
                <w:szCs w:val="22"/>
              </w:rPr>
            </w:pPr>
            <w:r w:rsidRPr="00984C78">
              <w:rPr>
                <w:sz w:val="22"/>
                <w:szCs w:val="22"/>
              </w:rPr>
              <w:t xml:space="preserve">The Trustee for the Franko Cazzola Family Trust </w:t>
            </w:r>
            <w:r w:rsidRPr="00984C78">
              <w:rPr>
                <w:sz w:val="22"/>
                <w:szCs w:val="22"/>
              </w:rPr>
              <w:br/>
              <w:t>(trading as FCH Transport)</w:t>
            </w:r>
          </w:p>
        </w:tc>
        <w:tc>
          <w:tcPr>
            <w:tcW w:w="2410" w:type="dxa"/>
            <w:shd w:val="clear" w:color="auto" w:fill="auto"/>
          </w:tcPr>
          <w:p w14:paraId="150D8F07"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79 916 996 007</w:t>
            </w:r>
          </w:p>
        </w:tc>
        <w:tc>
          <w:tcPr>
            <w:tcW w:w="3261" w:type="dxa"/>
            <w:shd w:val="clear" w:color="auto" w:fill="auto"/>
          </w:tcPr>
          <w:p w14:paraId="4434C2D4"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Lot 1 Moorland Drive</w:t>
            </w:r>
            <w:r w:rsidRPr="00984C78">
              <w:rPr>
                <w:sz w:val="22"/>
                <w:szCs w:val="22"/>
              </w:rPr>
              <w:br/>
              <w:t>ROSELLA QLD 4740</w:t>
            </w:r>
          </w:p>
        </w:tc>
      </w:tr>
      <w:tr w:rsidR="005C1337" w:rsidRPr="00984C78" w14:paraId="544C81E4" w14:textId="77777777" w:rsidTr="005C1337">
        <w:trPr>
          <w:cnfStyle w:val="000000010000" w:firstRow="0" w:lastRow="0" w:firstColumn="0" w:lastColumn="0" w:oddVBand="0" w:evenVBand="0" w:oddHBand="0" w:evenHBand="1" w:firstRowFirstColumn="0" w:firstRowLastColumn="0" w:lastRowFirstColumn="0" w:lastRowLastColumn="0"/>
          <w:trHeight w:val="779"/>
        </w:trPr>
        <w:tc>
          <w:tcPr>
            <w:tcW w:w="4252" w:type="dxa"/>
          </w:tcPr>
          <w:p w14:paraId="592413BA" w14:textId="77777777" w:rsidR="005C1337" w:rsidRPr="00984C78" w:rsidRDefault="005C1337" w:rsidP="005C1337">
            <w:pPr>
              <w:ind w:left="34"/>
              <w:rPr>
                <w:sz w:val="22"/>
                <w:szCs w:val="22"/>
              </w:rPr>
            </w:pPr>
            <w:r w:rsidRPr="00984C78">
              <w:rPr>
                <w:sz w:val="22"/>
                <w:szCs w:val="22"/>
              </w:rPr>
              <w:t>Morel, Paul Christopher (trading as Whitehouse St Service &amp; Repairs)</w:t>
            </w:r>
          </w:p>
        </w:tc>
        <w:tc>
          <w:tcPr>
            <w:tcW w:w="2410" w:type="dxa"/>
            <w:shd w:val="clear" w:color="auto" w:fill="auto"/>
          </w:tcPr>
          <w:p w14:paraId="5815BD7B" w14:textId="77777777" w:rsidR="005C1337" w:rsidRPr="00984C78" w:rsidRDefault="005C1337" w:rsidP="005C1337">
            <w:pPr>
              <w:spacing w:before="240" w:after="200" w:line="276" w:lineRule="auto"/>
              <w:ind w:left="34"/>
              <w:rPr>
                <w:sz w:val="22"/>
                <w:szCs w:val="22"/>
                <w:lang w:eastAsia="en-US"/>
              </w:rPr>
            </w:pPr>
            <w:r w:rsidRPr="00984C78">
              <w:rPr>
                <w:sz w:val="22"/>
                <w:szCs w:val="22"/>
                <w:lang w:eastAsia="en-US"/>
              </w:rPr>
              <w:t>77 641 490 859</w:t>
            </w:r>
          </w:p>
        </w:tc>
        <w:tc>
          <w:tcPr>
            <w:tcW w:w="3261" w:type="dxa"/>
            <w:shd w:val="clear" w:color="auto" w:fill="auto"/>
          </w:tcPr>
          <w:p w14:paraId="5512FBA3" w14:textId="77777777" w:rsidR="005C1337" w:rsidRPr="00984C78" w:rsidRDefault="005C1337" w:rsidP="005C1337">
            <w:pPr>
              <w:tabs>
                <w:tab w:val="left" w:pos="1305"/>
              </w:tabs>
              <w:spacing w:before="240" w:after="200" w:line="276" w:lineRule="auto"/>
              <w:ind w:left="34"/>
              <w:rPr>
                <w:sz w:val="22"/>
                <w:szCs w:val="22"/>
              </w:rPr>
            </w:pPr>
            <w:r w:rsidRPr="00984C78">
              <w:rPr>
                <w:sz w:val="22"/>
                <w:szCs w:val="22"/>
              </w:rPr>
              <w:t>6 Whitehouse Street</w:t>
            </w:r>
            <w:r w:rsidRPr="00984C78">
              <w:rPr>
                <w:sz w:val="22"/>
                <w:szCs w:val="22"/>
              </w:rPr>
              <w:br/>
              <w:t xml:space="preserve">GARBUTT QLD 4814 </w:t>
            </w:r>
          </w:p>
        </w:tc>
      </w:tr>
    </w:tbl>
    <w:p w14:paraId="0718CBA7" w14:textId="77777777" w:rsidR="00952E01" w:rsidRPr="00AB592F" w:rsidRDefault="00952E01" w:rsidP="00952E01">
      <w:pPr>
        <w:spacing w:before="240"/>
        <w:rPr>
          <w:rFonts w:ascii="Arial" w:hAnsi="Arial" w:cs="Arial"/>
          <w:b/>
        </w:rPr>
      </w:pPr>
      <w:r w:rsidRPr="00AB592F">
        <w:rPr>
          <w:rFonts w:ascii="Arial" w:hAnsi="Arial" w:cs="Arial"/>
          <w:b/>
        </w:rPr>
        <w:t>Period of operation</w:t>
      </w:r>
    </w:p>
    <w:p w14:paraId="5D496C7B" w14:textId="77777777" w:rsidR="00952E01" w:rsidRPr="00AB592F" w:rsidRDefault="00952E01" w:rsidP="00952E01">
      <w:pPr>
        <w:rPr>
          <w:rFonts w:ascii="Arial" w:hAnsi="Arial" w:cs="Arial"/>
        </w:rPr>
      </w:pPr>
      <w:r w:rsidRPr="00AB592F">
        <w:rPr>
          <w:rFonts w:ascii="Arial" w:hAnsi="Arial" w:cs="Arial"/>
        </w:rPr>
        <w:t>The variation comes into force on the date of signing and remains in force until 30 June 2017.</w:t>
      </w:r>
    </w:p>
    <w:p w14:paraId="64D387F8" w14:textId="77777777" w:rsidR="00952E01" w:rsidRPr="00AB592F" w:rsidRDefault="00952E01" w:rsidP="00952E01">
      <w:pPr>
        <w:spacing w:before="240"/>
        <w:rPr>
          <w:rFonts w:ascii="Arial" w:hAnsi="Arial" w:cs="Arial"/>
          <w:b/>
        </w:rPr>
      </w:pPr>
      <w:r w:rsidRPr="00AB592F">
        <w:rPr>
          <w:rFonts w:ascii="Arial" w:hAnsi="Arial" w:cs="Arial"/>
          <w:b/>
        </w:rPr>
        <w:lastRenderedPageBreak/>
        <w:t>Summary of reasons for the variation</w:t>
      </w:r>
    </w:p>
    <w:p w14:paraId="22141468" w14:textId="77777777" w:rsidR="00952E01" w:rsidRPr="00AB592F" w:rsidRDefault="00952E01" w:rsidP="00952E01">
      <w:pPr>
        <w:rPr>
          <w:rFonts w:ascii="Arial" w:hAnsi="Arial" w:cs="Arial"/>
        </w:rPr>
      </w:pPr>
      <w:r w:rsidRPr="00AB592F">
        <w:rPr>
          <w:rFonts w:ascii="Arial" w:hAnsi="Arial" w:cs="Arial"/>
        </w:rPr>
        <w:t xml:space="preserve">Having consulted with the Fuel Standards Consultative Committee as required by section 17D(3) of the Act, I grant the variation as provided for in section 15 of the Act for the following reasons: </w:t>
      </w:r>
    </w:p>
    <w:p w14:paraId="775F8F0D" w14:textId="77777777" w:rsidR="00952E01" w:rsidRPr="00AB592F" w:rsidRDefault="00952E01" w:rsidP="00952E01">
      <w:pPr>
        <w:pStyle w:val="ListParagraph"/>
        <w:numPr>
          <w:ilvl w:val="0"/>
          <w:numId w:val="9"/>
        </w:numPr>
        <w:ind w:left="709"/>
        <w:rPr>
          <w:rFonts w:ascii="Arial" w:hAnsi="Arial" w:cs="Arial"/>
        </w:rPr>
      </w:pPr>
      <w:r w:rsidRPr="00AB592F">
        <w:rPr>
          <w:rFonts w:ascii="Arial" w:hAnsi="Arial" w:cs="Arial"/>
        </w:rPr>
        <w:t>The protection of the environment</w:t>
      </w:r>
    </w:p>
    <w:p w14:paraId="27FFEB8C" w14:textId="0D5A25E6" w:rsidR="00952E01" w:rsidRPr="00AB592F" w:rsidRDefault="00114A79" w:rsidP="00952E01">
      <w:pPr>
        <w:pStyle w:val="ListBullet"/>
        <w:numPr>
          <w:ilvl w:val="0"/>
          <w:numId w:val="0"/>
        </w:numPr>
        <w:ind w:left="709"/>
      </w:pPr>
      <w:r>
        <w:t xml:space="preserve">The </w:t>
      </w:r>
      <w:r w:rsidR="00952E01" w:rsidRPr="00AB592F">
        <w:t>Minister f</w:t>
      </w:r>
      <w:r>
        <w:t>or the Environment and Energy is currently considering</w:t>
      </w:r>
      <w:r w:rsidR="00952E01" w:rsidRPr="00AB592F">
        <w:t xml:space="preserve"> the future use of lead in racing fuel. </w:t>
      </w:r>
    </w:p>
    <w:p w14:paraId="16A9CA09" w14:textId="6C4A117D" w:rsidR="00C81FA2" w:rsidRPr="00AB592F" w:rsidRDefault="00952E01" w:rsidP="00C81FA2">
      <w:pPr>
        <w:pStyle w:val="ListBullet"/>
        <w:numPr>
          <w:ilvl w:val="0"/>
          <w:numId w:val="0"/>
        </w:numPr>
        <w:ind w:left="709"/>
      </w:pPr>
      <w:r w:rsidRPr="00AB592F">
        <w:t xml:space="preserve">The fuel subject to this recommendation is supplied and used in small quantities for motor sport activities. </w:t>
      </w:r>
    </w:p>
    <w:p w14:paraId="25F9D280" w14:textId="77777777" w:rsidR="00952E01" w:rsidRPr="00AB592F" w:rsidRDefault="00952E01" w:rsidP="00952E01">
      <w:pPr>
        <w:pStyle w:val="ListBullet"/>
        <w:numPr>
          <w:ilvl w:val="0"/>
          <w:numId w:val="0"/>
        </w:numPr>
        <w:ind w:left="709"/>
      </w:pPr>
      <w:r w:rsidRPr="00AB592F">
        <w:t>The consequences of even a small amount of MTBE contaminating water sources can be significant. It is a standard condition of section 13 approvals for fuel containing MTBE above the limit specified in the petrol standard that the fuel not be permitted in activities occurring on freshwater lakes and waterways.</w:t>
      </w:r>
    </w:p>
    <w:p w14:paraId="7C0D3437" w14:textId="77777777" w:rsidR="00952E01" w:rsidRPr="00AB592F" w:rsidRDefault="00952E01" w:rsidP="00952E01">
      <w:pPr>
        <w:pStyle w:val="ListBullet"/>
        <w:numPr>
          <w:ilvl w:val="0"/>
          <w:numId w:val="0"/>
        </w:numPr>
        <w:ind w:left="709"/>
      </w:pPr>
      <w:r w:rsidRPr="00AB592F">
        <w:t>The fuel is expensive compared with normal fuels and the price provides a disincentive for any waste, misuse or spillage.</w:t>
      </w:r>
    </w:p>
    <w:p w14:paraId="21991945" w14:textId="219F2F1C" w:rsidR="00952E01" w:rsidRPr="00AB592F" w:rsidRDefault="00AC1864" w:rsidP="00952E01">
      <w:pPr>
        <w:pStyle w:val="ListBullet"/>
        <w:numPr>
          <w:ilvl w:val="0"/>
          <w:numId w:val="0"/>
        </w:numPr>
        <w:ind w:left="709"/>
      </w:pPr>
      <w:r>
        <w:t>I</w:t>
      </w:r>
      <w:r w:rsidR="00952E01" w:rsidRPr="00AB592F">
        <w:t>t is not expected that permitting the supply of the fuels covered by this approval for motor sport activities will have an irreversible effect on the environment.</w:t>
      </w:r>
    </w:p>
    <w:p w14:paraId="096B2624" w14:textId="77777777" w:rsidR="00952E01" w:rsidRPr="00AB592F" w:rsidRDefault="00952E01" w:rsidP="00952E01">
      <w:pPr>
        <w:pStyle w:val="ListBullet"/>
        <w:numPr>
          <w:ilvl w:val="0"/>
          <w:numId w:val="0"/>
        </w:numPr>
        <w:ind w:left="709"/>
      </w:pPr>
      <w:r w:rsidRPr="00AB592F">
        <w:t xml:space="preserve">These considerations are not altered by a six month extension of the original approval. </w:t>
      </w:r>
    </w:p>
    <w:p w14:paraId="6EA2DDC9" w14:textId="77777777" w:rsidR="00952E01" w:rsidRPr="00AB592F" w:rsidRDefault="00952E01" w:rsidP="00952E01">
      <w:pPr>
        <w:pStyle w:val="ListNumber"/>
        <w:numPr>
          <w:ilvl w:val="0"/>
          <w:numId w:val="9"/>
        </w:numPr>
        <w:ind w:left="709"/>
      </w:pPr>
      <w:r w:rsidRPr="00AB592F">
        <w:t>The protection of occupational and public health and safety</w:t>
      </w:r>
    </w:p>
    <w:p w14:paraId="79235663" w14:textId="77777777" w:rsidR="00952E01" w:rsidRPr="00AB592F" w:rsidRDefault="00952E01" w:rsidP="00952E01">
      <w:pPr>
        <w:ind w:left="709"/>
        <w:rPr>
          <w:rFonts w:ascii="Arial" w:hAnsi="Arial" w:cs="Arial"/>
        </w:rPr>
      </w:pPr>
      <w:r w:rsidRPr="00AB592F">
        <w:rPr>
          <w:rFonts w:ascii="Arial" w:hAnsi="Arial" w:cs="Arial"/>
        </w:rPr>
        <w:t xml:space="preserve">Exposure to certain substances in petrol and vehicle exhaust can be toxic. The risks associated with exposure to racing fuels may be higher than for petrol because of the additional substances contained in them. A variety of negative health effects can occur, depending upon the substance, the level and duration of exposure. At venues that use racing fuels, exposure may extend to drivers, team members, race officials, spectators and the immediate environment. </w:t>
      </w:r>
    </w:p>
    <w:p w14:paraId="70A6E498" w14:textId="77777777" w:rsidR="00952E01" w:rsidRPr="00AB592F" w:rsidRDefault="00952E01" w:rsidP="00952E01">
      <w:pPr>
        <w:ind w:left="709"/>
        <w:rPr>
          <w:rFonts w:ascii="Arial" w:hAnsi="Arial" w:cs="Arial"/>
        </w:rPr>
      </w:pPr>
      <w:r w:rsidRPr="00AB592F">
        <w:rPr>
          <w:rFonts w:ascii="Arial" w:hAnsi="Arial" w:cs="Arial"/>
        </w:rPr>
        <w:t xml:space="preserve">Specialist leaded and unleaded racing fuels are supplied in sealed containers of up to 200 litres capacity (except for use in pre-1986 built racing vehicles which may be dispensed from a bowser) and are used in small quantities, primarily in off-road activities, and in widely dispersed locations. Safe handling information will be provided with the fuel. </w:t>
      </w:r>
    </w:p>
    <w:p w14:paraId="4D9C8637" w14:textId="77777777" w:rsidR="00952E01" w:rsidRPr="00AB592F" w:rsidRDefault="00952E01" w:rsidP="00952E01">
      <w:pPr>
        <w:ind w:left="709"/>
        <w:rPr>
          <w:rFonts w:ascii="Arial" w:hAnsi="Arial" w:cs="Arial"/>
        </w:rPr>
      </w:pPr>
      <w:r w:rsidRPr="00AB592F">
        <w:rPr>
          <w:rFonts w:ascii="Arial" w:hAnsi="Arial" w:cs="Arial"/>
        </w:rPr>
        <w:lastRenderedPageBreak/>
        <w:t xml:space="preserve">These considerations are not altered by a six month extension of the original approval. </w:t>
      </w:r>
    </w:p>
    <w:p w14:paraId="08D5D482" w14:textId="77777777" w:rsidR="00952E01" w:rsidRPr="00AB592F" w:rsidRDefault="00952E01" w:rsidP="00952E01">
      <w:pPr>
        <w:pStyle w:val="ListParagraph"/>
        <w:numPr>
          <w:ilvl w:val="0"/>
          <w:numId w:val="9"/>
        </w:numPr>
        <w:ind w:left="709"/>
        <w:rPr>
          <w:rFonts w:ascii="Arial" w:hAnsi="Arial" w:cs="Arial"/>
        </w:rPr>
      </w:pPr>
      <w:r w:rsidRPr="00AB592F">
        <w:rPr>
          <w:rFonts w:ascii="Arial" w:hAnsi="Arial" w:cs="Arial"/>
        </w:rPr>
        <w:t>The interests of consumers</w:t>
      </w:r>
    </w:p>
    <w:p w14:paraId="0E46419E" w14:textId="4EA7EBE1" w:rsidR="00952E01" w:rsidRPr="00AB592F" w:rsidRDefault="00952E01" w:rsidP="00952E01">
      <w:pPr>
        <w:ind w:left="709"/>
        <w:rPr>
          <w:rFonts w:ascii="Arial" w:hAnsi="Arial" w:cs="Arial"/>
        </w:rPr>
      </w:pPr>
      <w:r w:rsidRPr="00AB592F">
        <w:rPr>
          <w:rFonts w:ascii="Arial" w:hAnsi="Arial" w:cs="Arial"/>
        </w:rPr>
        <w:t xml:space="preserve">Specialist </w:t>
      </w:r>
      <w:r w:rsidR="00ED7C16">
        <w:rPr>
          <w:rFonts w:ascii="Arial" w:hAnsi="Arial" w:cs="Arial"/>
        </w:rPr>
        <w:t>un</w:t>
      </w:r>
      <w:r w:rsidRPr="00AB592F">
        <w:rPr>
          <w:rFonts w:ascii="Arial" w:hAnsi="Arial" w:cs="Arial"/>
        </w:rPr>
        <w:t>leaded racing fuels meet the needs of a niche market for specific classes of motor racing. The consumers using these fuels seek the performance and operability characteristics provided by these fuels. Without them, motor sport competitors may not be able to operate their vehicles effectively with currently employed technology.</w:t>
      </w:r>
    </w:p>
    <w:p w14:paraId="384FFB54" w14:textId="77777777" w:rsidR="00952E01" w:rsidRPr="00AB592F" w:rsidRDefault="00952E01" w:rsidP="00952E01">
      <w:pPr>
        <w:ind w:left="709"/>
        <w:rPr>
          <w:rFonts w:ascii="Arial" w:hAnsi="Arial" w:cs="Arial"/>
        </w:rPr>
      </w:pPr>
      <w:r w:rsidRPr="00AB592F">
        <w:rPr>
          <w:rFonts w:ascii="Arial" w:hAnsi="Arial" w:cs="Arial"/>
        </w:rPr>
        <w:t xml:space="preserve">These considerations are not altered by a six month extension of the original approval. </w:t>
      </w:r>
    </w:p>
    <w:p w14:paraId="6F699071" w14:textId="77777777" w:rsidR="00952E01" w:rsidRPr="00AB592F" w:rsidRDefault="00952E01" w:rsidP="00952E01">
      <w:pPr>
        <w:pStyle w:val="ListParagraph"/>
        <w:numPr>
          <w:ilvl w:val="0"/>
          <w:numId w:val="9"/>
        </w:numPr>
        <w:ind w:left="709"/>
        <w:rPr>
          <w:rFonts w:ascii="Arial" w:hAnsi="Arial" w:cs="Arial"/>
        </w:rPr>
      </w:pPr>
      <w:r w:rsidRPr="00AB592F">
        <w:rPr>
          <w:rFonts w:ascii="Arial" w:hAnsi="Arial" w:cs="Arial"/>
        </w:rPr>
        <w:t xml:space="preserve">The impact on economic and regional development </w:t>
      </w:r>
    </w:p>
    <w:p w14:paraId="3FD73177" w14:textId="77777777" w:rsidR="00952E01" w:rsidRPr="00AB592F" w:rsidRDefault="00952E01" w:rsidP="00952E01">
      <w:pPr>
        <w:spacing w:after="320"/>
        <w:ind w:left="709"/>
        <w:rPr>
          <w:rFonts w:ascii="Arial" w:hAnsi="Arial" w:cs="Arial"/>
          <w:lang w:val="en-US"/>
        </w:rPr>
      </w:pPr>
      <w:r w:rsidRPr="00AB592F">
        <w:rPr>
          <w:rFonts w:ascii="Arial" w:hAnsi="Arial" w:cs="Arial"/>
          <w:lang w:val="en-US"/>
        </w:rPr>
        <w:t xml:space="preserve">Many racing venues are located outside major population areas. Motor and water sport events provide an ongoing financial benefit to these regional communities. A decision to disallow the continued and controlled supply of specialist </w:t>
      </w:r>
      <w:r w:rsidRPr="00AB592F">
        <w:rPr>
          <w:rFonts w:ascii="Arial" w:hAnsi="Arial" w:cs="Arial"/>
        </w:rPr>
        <w:t xml:space="preserve">leaded </w:t>
      </w:r>
      <w:r w:rsidRPr="00AB592F">
        <w:rPr>
          <w:rFonts w:ascii="Arial" w:hAnsi="Arial" w:cs="Arial"/>
          <w:lang w:val="en-US"/>
        </w:rPr>
        <w:t>racing fuels suddenly may have an adverse impact on national motor sport competitions and the economic benefits that flow from them.</w:t>
      </w:r>
    </w:p>
    <w:p w14:paraId="3D918A28" w14:textId="77777777" w:rsidR="00952E01" w:rsidRPr="00AB592F" w:rsidRDefault="00952E01" w:rsidP="00952E01">
      <w:pPr>
        <w:ind w:left="709"/>
        <w:rPr>
          <w:rFonts w:ascii="Arial" w:hAnsi="Arial" w:cs="Arial"/>
        </w:rPr>
      </w:pPr>
      <w:r w:rsidRPr="00AB592F">
        <w:rPr>
          <w:rFonts w:ascii="Arial" w:hAnsi="Arial" w:cs="Arial"/>
        </w:rPr>
        <w:t xml:space="preserve">These considerations are not altered by a six month extension of the original approval. </w:t>
      </w:r>
    </w:p>
    <w:p w14:paraId="7CCC0473" w14:textId="77777777" w:rsidR="00952E01" w:rsidRPr="00AB592F" w:rsidRDefault="00952E01" w:rsidP="00952E01">
      <w:pPr>
        <w:spacing w:after="0"/>
        <w:rPr>
          <w:rFonts w:ascii="Arial" w:hAnsi="Arial" w:cs="Arial"/>
          <w:b/>
        </w:rPr>
      </w:pPr>
      <w:r w:rsidRPr="00AB592F">
        <w:rPr>
          <w:rFonts w:ascii="Arial" w:eastAsia="Calibri" w:hAnsi="Arial"/>
        </w:rPr>
        <w:t>The variation is granted subject to the conditions specified in section 17 of the Act.</w:t>
      </w:r>
    </w:p>
    <w:p w14:paraId="0E6A27D8" w14:textId="77777777" w:rsidR="00C26B01" w:rsidRDefault="00C26B01" w:rsidP="00952E01">
      <w:pPr>
        <w:spacing w:after="0"/>
        <w:rPr>
          <w:rFonts w:ascii="Arial" w:hAnsi="Arial" w:cs="Arial"/>
          <w:b/>
        </w:rPr>
      </w:pPr>
    </w:p>
    <w:p w14:paraId="2834ABD0" w14:textId="77777777" w:rsidR="00C81FA2" w:rsidRDefault="00C81FA2" w:rsidP="00952E01">
      <w:pPr>
        <w:spacing w:after="0"/>
        <w:rPr>
          <w:rFonts w:ascii="Arial" w:hAnsi="Arial" w:cs="Arial"/>
          <w:b/>
        </w:rPr>
      </w:pPr>
      <w:bookmarkStart w:id="0" w:name="_GoBack"/>
      <w:bookmarkEnd w:id="0"/>
    </w:p>
    <w:p w14:paraId="2A163874" w14:textId="77777777" w:rsidR="00C81FA2" w:rsidRDefault="00C81FA2" w:rsidP="00952E01">
      <w:pPr>
        <w:spacing w:after="0"/>
        <w:rPr>
          <w:rFonts w:ascii="Arial" w:hAnsi="Arial" w:cs="Arial"/>
          <w:b/>
        </w:rPr>
      </w:pPr>
    </w:p>
    <w:p w14:paraId="5599A151" w14:textId="77777777" w:rsidR="00952E01" w:rsidRPr="00AB592F" w:rsidRDefault="00952E01" w:rsidP="00952E01">
      <w:pPr>
        <w:spacing w:after="0"/>
        <w:rPr>
          <w:rFonts w:ascii="Arial" w:hAnsi="Arial" w:cs="Arial"/>
          <w:b/>
        </w:rPr>
      </w:pPr>
      <w:r w:rsidRPr="00AB592F">
        <w:rPr>
          <w:rFonts w:ascii="Arial" w:hAnsi="Arial" w:cs="Arial"/>
          <w:b/>
        </w:rPr>
        <w:t xml:space="preserve">Matt Cahill  </w:t>
      </w:r>
    </w:p>
    <w:p w14:paraId="01CE88CE" w14:textId="77777777" w:rsidR="00952E01" w:rsidRPr="00AB592F" w:rsidRDefault="00952E01" w:rsidP="00952E01">
      <w:pPr>
        <w:spacing w:after="0"/>
        <w:rPr>
          <w:rFonts w:ascii="Arial" w:hAnsi="Arial" w:cs="Arial"/>
          <w:bCs/>
        </w:rPr>
      </w:pPr>
      <w:r w:rsidRPr="00AB592F">
        <w:rPr>
          <w:rFonts w:ascii="Arial" w:hAnsi="Arial" w:cs="Arial"/>
          <w:b/>
          <w:bCs/>
        </w:rPr>
        <w:t xml:space="preserve">First Assistant Secretary, Environment Standards Division  </w:t>
      </w:r>
    </w:p>
    <w:p w14:paraId="651EEB0E" w14:textId="2C3038A7" w:rsidR="004A378B" w:rsidRPr="00C81FA2" w:rsidRDefault="00A54D9A" w:rsidP="00533CC9">
      <w:pPr>
        <w:spacing w:after="0"/>
        <w:rPr>
          <w:rFonts w:ascii="Arial" w:hAnsi="Arial" w:cs="Arial"/>
          <w:b/>
          <w:bCs/>
        </w:rPr>
      </w:pPr>
      <w:r>
        <w:rPr>
          <w:rFonts w:ascii="Arial" w:hAnsi="Arial" w:cs="Arial"/>
          <w:b/>
          <w:bCs/>
        </w:rPr>
        <w:t xml:space="preserve">19 </w:t>
      </w:r>
      <w:r w:rsidR="00952E01" w:rsidRPr="00AB592F">
        <w:rPr>
          <w:rFonts w:ascii="Arial" w:hAnsi="Arial" w:cs="Arial"/>
          <w:b/>
          <w:bCs/>
        </w:rPr>
        <w:t>December 2016</w:t>
      </w:r>
    </w:p>
    <w:sectPr w:rsidR="004A378B" w:rsidRPr="00C81FA2" w:rsidSect="00C81FA2">
      <w:headerReference w:type="first" r:id="rId13"/>
      <w:type w:val="continuous"/>
      <w:pgSz w:w="11906" w:h="16838" w:code="9"/>
      <w:pgMar w:top="1134" w:right="1134" w:bottom="709" w:left="1134" w:header="1134"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EB11" w14:textId="77777777" w:rsidR="003E64FC" w:rsidRDefault="003E64FC" w:rsidP="003A707F">
      <w:pPr>
        <w:spacing w:after="0" w:line="240" w:lineRule="auto"/>
      </w:pPr>
      <w:r>
        <w:separator/>
      </w:r>
    </w:p>
  </w:endnote>
  <w:endnote w:type="continuationSeparator" w:id="0">
    <w:p w14:paraId="651EEB12" w14:textId="77777777" w:rsidR="003E64FC" w:rsidRDefault="003E64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EEB0F" w14:textId="77777777" w:rsidR="003E64FC" w:rsidRDefault="003E64FC" w:rsidP="003A707F">
      <w:pPr>
        <w:spacing w:after="0" w:line="240" w:lineRule="auto"/>
      </w:pPr>
      <w:r>
        <w:separator/>
      </w:r>
    </w:p>
  </w:footnote>
  <w:footnote w:type="continuationSeparator" w:id="0">
    <w:p w14:paraId="651EEB10" w14:textId="77777777" w:rsidR="003E64FC" w:rsidRDefault="003E64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3E64FC" w:rsidRPr="00CE796A" w14:paraId="651EEB1A" w14:textId="77777777" w:rsidTr="000E41D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51EEB17" w14:textId="77777777" w:rsidR="003E64FC" w:rsidRPr="00CE796A" w:rsidRDefault="003E64FC"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51EEB21" wp14:editId="651EEB22">
                <wp:extent cx="702945" cy="5441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51EEB18" w14:textId="77777777" w:rsidR="003E64FC" w:rsidRPr="00CE796A" w:rsidRDefault="003E64F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51EEB19" w14:textId="77777777" w:rsidR="003E64FC" w:rsidRPr="00CE796A" w:rsidRDefault="003E64F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3E64FC" w:rsidRPr="00CE796A" w14:paraId="651EEB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51EEB1B" w14:textId="77777777" w:rsidR="003E64FC" w:rsidRPr="00CE796A" w:rsidRDefault="003E64FC"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51EEB1C" w14:textId="77777777" w:rsidR="003E64FC" w:rsidRPr="00840A06" w:rsidRDefault="003E64F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651EEB1E" w14:textId="77777777" w:rsidR="003E64FC" w:rsidRPr="003A707F" w:rsidRDefault="003E64FC" w:rsidP="00F40885">
    <w:pPr>
      <w:pStyle w:val="Header"/>
      <w:rPr>
        <w:sz w:val="2"/>
        <w:szCs w:val="2"/>
      </w:rPr>
    </w:pPr>
  </w:p>
  <w:p w14:paraId="651EEB1F" w14:textId="77777777" w:rsidR="003E64FC" w:rsidRPr="00F40885" w:rsidRDefault="003E64F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31A332E"/>
    <w:multiLevelType w:val="hybridMultilevel"/>
    <w:tmpl w:val="722A4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745BC2"/>
    <w:multiLevelType w:val="multilevel"/>
    <w:tmpl w:val="E5E89F92"/>
    <w:numStyleLink w:val="BulletList"/>
  </w:abstractNum>
  <w:abstractNum w:abstractNumId="4" w15:restartNumberingAfterBreak="0">
    <w:nsid w:val="45E46EFD"/>
    <w:multiLevelType w:val="hybridMultilevel"/>
    <w:tmpl w:val="41C2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016DFF"/>
    <w:multiLevelType w:val="hybridMultilevel"/>
    <w:tmpl w:val="54D8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5077BC"/>
    <w:multiLevelType w:val="hybridMultilevel"/>
    <w:tmpl w:val="68667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9A25AA"/>
    <w:multiLevelType w:val="hybridMultilevel"/>
    <w:tmpl w:val="65D61F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E898CC72"/>
    <w:numStyleLink w:val="KeyPoints"/>
  </w:abstractNum>
  <w:abstractNum w:abstractNumId="9" w15:restartNumberingAfterBreak="0">
    <w:nsid w:val="673F321E"/>
    <w:multiLevelType w:val="hybridMultilevel"/>
    <w:tmpl w:val="E67CCE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CF5880"/>
    <w:multiLevelType w:val="multilevel"/>
    <w:tmpl w:val="F128537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1" w15:restartNumberingAfterBreak="0">
    <w:nsid w:val="707E5561"/>
    <w:multiLevelType w:val="hybridMultilevel"/>
    <w:tmpl w:val="83582C1A"/>
    <w:lvl w:ilvl="0" w:tplc="AB3EFF46">
      <w:start w:val="1"/>
      <w:numFmt w:val="bullet"/>
      <w:lvlText w:val=""/>
      <w:lvlJc w:val="center"/>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76A6127E"/>
    <w:multiLevelType w:val="hybridMultilevel"/>
    <w:tmpl w:val="A31E5ED8"/>
    <w:lvl w:ilvl="0" w:tplc="0DE8CE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924F86"/>
    <w:multiLevelType w:val="multilevel"/>
    <w:tmpl w:val="363C2270"/>
    <w:lvl w:ilvl="0">
      <w:start w:val="1"/>
      <w:numFmt w:val="lowerLetter"/>
      <w:lvlText w:val="%1)"/>
      <w:lvlJc w:val="left"/>
      <w:pPr>
        <w:ind w:left="369" w:hanging="369"/>
      </w:pPr>
      <w:rPr>
        <w:rFonts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8"/>
  </w:num>
  <w:num w:numId="3">
    <w:abstractNumId w:val="3"/>
  </w:num>
  <w:num w:numId="4">
    <w:abstractNumId w:val="0"/>
  </w:num>
  <w:num w:numId="5">
    <w:abstractNumId w:val="11"/>
  </w:num>
  <w:num w:numId="6">
    <w:abstractNumId w:val="10"/>
  </w:num>
  <w:num w:numId="7">
    <w:abstractNumId w:val="4"/>
  </w:num>
  <w:num w:numId="8">
    <w:abstractNumId w:val="5"/>
  </w:num>
  <w:num w:numId="9">
    <w:abstractNumId w:val="13"/>
  </w:num>
  <w:num w:numId="10">
    <w:abstractNumId w:val="14"/>
  </w:num>
  <w:num w:numId="11">
    <w:abstractNumId w:val="6"/>
  </w:num>
  <w:num w:numId="12">
    <w:abstractNumId w:val="7"/>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04B8"/>
    <w:rsid w:val="0003759E"/>
    <w:rsid w:val="00040BD4"/>
    <w:rsid w:val="00043AC4"/>
    <w:rsid w:val="000A04E9"/>
    <w:rsid w:val="000D0540"/>
    <w:rsid w:val="000E1F2B"/>
    <w:rsid w:val="000E41DD"/>
    <w:rsid w:val="00100B0D"/>
    <w:rsid w:val="00106028"/>
    <w:rsid w:val="00114A79"/>
    <w:rsid w:val="0015289A"/>
    <w:rsid w:val="00153CD3"/>
    <w:rsid w:val="001720E4"/>
    <w:rsid w:val="00193CF5"/>
    <w:rsid w:val="001B28BD"/>
    <w:rsid w:val="001C2AAD"/>
    <w:rsid w:val="001C466D"/>
    <w:rsid w:val="001C6776"/>
    <w:rsid w:val="001F5BC4"/>
    <w:rsid w:val="001F6E54"/>
    <w:rsid w:val="00241ED1"/>
    <w:rsid w:val="00244E0F"/>
    <w:rsid w:val="00280BCD"/>
    <w:rsid w:val="00287CEC"/>
    <w:rsid w:val="002B4F08"/>
    <w:rsid w:val="00356FA7"/>
    <w:rsid w:val="003A707F"/>
    <w:rsid w:val="003B0EC1"/>
    <w:rsid w:val="003B573B"/>
    <w:rsid w:val="003D5D53"/>
    <w:rsid w:val="003E64FC"/>
    <w:rsid w:val="003F2CBD"/>
    <w:rsid w:val="003F41B4"/>
    <w:rsid w:val="00424B97"/>
    <w:rsid w:val="00455E22"/>
    <w:rsid w:val="004674D4"/>
    <w:rsid w:val="00474E0D"/>
    <w:rsid w:val="00484611"/>
    <w:rsid w:val="004A378B"/>
    <w:rsid w:val="004B2753"/>
    <w:rsid w:val="004D415F"/>
    <w:rsid w:val="004E4B47"/>
    <w:rsid w:val="00520873"/>
    <w:rsid w:val="00533CC9"/>
    <w:rsid w:val="00573D44"/>
    <w:rsid w:val="005840D3"/>
    <w:rsid w:val="005C1337"/>
    <w:rsid w:val="005C2ABA"/>
    <w:rsid w:val="005D04C6"/>
    <w:rsid w:val="00644922"/>
    <w:rsid w:val="00660E5C"/>
    <w:rsid w:val="006959EA"/>
    <w:rsid w:val="006B72B1"/>
    <w:rsid w:val="006D3E27"/>
    <w:rsid w:val="007104F1"/>
    <w:rsid w:val="00734065"/>
    <w:rsid w:val="0073619D"/>
    <w:rsid w:val="007879B1"/>
    <w:rsid w:val="007F0921"/>
    <w:rsid w:val="007F09CA"/>
    <w:rsid w:val="00831BC6"/>
    <w:rsid w:val="00831BD0"/>
    <w:rsid w:val="00840A06"/>
    <w:rsid w:val="008439B7"/>
    <w:rsid w:val="0087253F"/>
    <w:rsid w:val="00894187"/>
    <w:rsid w:val="00896DA3"/>
    <w:rsid w:val="008D2381"/>
    <w:rsid w:val="008E4F6C"/>
    <w:rsid w:val="00942AEC"/>
    <w:rsid w:val="00952E01"/>
    <w:rsid w:val="009539C7"/>
    <w:rsid w:val="00955C0A"/>
    <w:rsid w:val="00983B45"/>
    <w:rsid w:val="00990048"/>
    <w:rsid w:val="009A693B"/>
    <w:rsid w:val="009D231F"/>
    <w:rsid w:val="009D7AA6"/>
    <w:rsid w:val="009F05F2"/>
    <w:rsid w:val="00A00F21"/>
    <w:rsid w:val="00A03998"/>
    <w:rsid w:val="00A17709"/>
    <w:rsid w:val="00A21983"/>
    <w:rsid w:val="00A5447D"/>
    <w:rsid w:val="00A54D9A"/>
    <w:rsid w:val="00A773A6"/>
    <w:rsid w:val="00A87077"/>
    <w:rsid w:val="00AC1864"/>
    <w:rsid w:val="00B11F79"/>
    <w:rsid w:val="00B16FE5"/>
    <w:rsid w:val="00B35E28"/>
    <w:rsid w:val="00B63AE4"/>
    <w:rsid w:val="00B719BC"/>
    <w:rsid w:val="00B84226"/>
    <w:rsid w:val="00B94224"/>
    <w:rsid w:val="00B94BC2"/>
    <w:rsid w:val="00BB715D"/>
    <w:rsid w:val="00BC34A0"/>
    <w:rsid w:val="00BF5DB4"/>
    <w:rsid w:val="00C01A35"/>
    <w:rsid w:val="00C1490A"/>
    <w:rsid w:val="00C26B01"/>
    <w:rsid w:val="00C53B51"/>
    <w:rsid w:val="00C55306"/>
    <w:rsid w:val="00C63C4E"/>
    <w:rsid w:val="00C655D5"/>
    <w:rsid w:val="00C72C30"/>
    <w:rsid w:val="00C81FA2"/>
    <w:rsid w:val="00CC7A16"/>
    <w:rsid w:val="00D05B00"/>
    <w:rsid w:val="00D229E5"/>
    <w:rsid w:val="00D26539"/>
    <w:rsid w:val="00D55F9A"/>
    <w:rsid w:val="00D77A88"/>
    <w:rsid w:val="00D95227"/>
    <w:rsid w:val="00DA7353"/>
    <w:rsid w:val="00DE7CC0"/>
    <w:rsid w:val="00E1329E"/>
    <w:rsid w:val="00E41ED7"/>
    <w:rsid w:val="00E557E9"/>
    <w:rsid w:val="00E616EA"/>
    <w:rsid w:val="00E85277"/>
    <w:rsid w:val="00E96300"/>
    <w:rsid w:val="00EB064C"/>
    <w:rsid w:val="00EB10DC"/>
    <w:rsid w:val="00ED7C16"/>
    <w:rsid w:val="00F40885"/>
    <w:rsid w:val="00F60A80"/>
    <w:rsid w:val="00F8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51EEAE3"/>
  <w15:docId w15:val="{F41B0082-A0BB-485F-8791-77186116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D0"/>
  </w:style>
  <w:style w:type="paragraph" w:styleId="Heading1">
    <w:name w:val="heading 1"/>
    <w:aliases w:val="H-1"/>
    <w:basedOn w:val="Heading2"/>
    <w:next w:val="Normal"/>
    <w:link w:val="Heading1Char"/>
    <w:qFormat/>
    <w:rsid w:val="009F05F2"/>
    <w:pPr>
      <w:numPr>
        <w:ilvl w:val="0"/>
      </w:numPr>
      <w:outlineLvl w:val="0"/>
    </w:pPr>
    <w:rPr>
      <w:sz w:val="32"/>
    </w:rPr>
  </w:style>
  <w:style w:type="paragraph" w:styleId="Heading2">
    <w:name w:val="heading 2"/>
    <w:aliases w:val="H-2"/>
    <w:basedOn w:val="Normal"/>
    <w:next w:val="Normal"/>
    <w:link w:val="Heading2Char"/>
    <w:qFormat/>
    <w:rsid w:val="009F05F2"/>
    <w:pPr>
      <w:keepNext/>
      <w:numPr>
        <w:ilvl w:val="1"/>
        <w:numId w:val="6"/>
      </w:numPr>
      <w:spacing w:before="240" w:after="60" w:line="240" w:lineRule="auto"/>
      <w:jc w:val="center"/>
      <w:outlineLvl w:val="1"/>
    </w:pPr>
    <w:rPr>
      <w:rFonts w:ascii="Palatino" w:eastAsia="Times New Roman" w:hAnsi="Palatino" w:cs="Times New Roman"/>
      <w:b/>
      <w:sz w:val="28"/>
      <w:szCs w:val="20"/>
    </w:rPr>
  </w:style>
  <w:style w:type="paragraph" w:styleId="Heading3">
    <w:name w:val="heading 3"/>
    <w:aliases w:val="H-3,d"/>
    <w:basedOn w:val="Normal"/>
    <w:next w:val="Normal"/>
    <w:link w:val="Heading3Char"/>
    <w:qFormat/>
    <w:rsid w:val="009F05F2"/>
    <w:pPr>
      <w:keepNext/>
      <w:numPr>
        <w:ilvl w:val="2"/>
        <w:numId w:val="6"/>
      </w:numPr>
      <w:spacing w:after="0" w:line="240" w:lineRule="auto"/>
      <w:jc w:val="center"/>
      <w:outlineLvl w:val="2"/>
    </w:pPr>
    <w:rPr>
      <w:rFonts w:ascii="Palatino" w:eastAsia="Times New Roman" w:hAnsi="Palatino" w:cs="Times New Roman"/>
      <w:b/>
      <w:sz w:val="24"/>
      <w:szCs w:val="20"/>
    </w:rPr>
  </w:style>
  <w:style w:type="paragraph" w:styleId="Heading4">
    <w:name w:val="heading 4"/>
    <w:basedOn w:val="Normal"/>
    <w:next w:val="Normal"/>
    <w:link w:val="Heading4Char"/>
    <w:qFormat/>
    <w:rsid w:val="009F05F2"/>
    <w:pPr>
      <w:keepNext/>
      <w:numPr>
        <w:ilvl w:val="3"/>
        <w:numId w:val="6"/>
      </w:numPr>
      <w:spacing w:after="0" w:line="240" w:lineRule="auto"/>
      <w:jc w:val="center"/>
      <w:outlineLvl w:val="3"/>
    </w:pPr>
    <w:rPr>
      <w:rFonts w:ascii="Palatino" w:eastAsia="Times New Roman" w:hAnsi="Palatino" w:cs="Times New Roman"/>
      <w:i/>
      <w:sz w:val="24"/>
      <w:szCs w:val="20"/>
    </w:rPr>
  </w:style>
  <w:style w:type="paragraph" w:styleId="Heading5">
    <w:name w:val="heading 5"/>
    <w:aliases w:val="s"/>
    <w:basedOn w:val="Normal"/>
    <w:next w:val="Normal"/>
    <w:link w:val="Heading5Char"/>
    <w:qFormat/>
    <w:rsid w:val="009F05F2"/>
    <w:pPr>
      <w:keepNext/>
      <w:numPr>
        <w:ilvl w:val="4"/>
        <w:numId w:val="6"/>
      </w:numPr>
      <w:spacing w:after="0" w:line="240" w:lineRule="auto"/>
      <w:jc w:val="center"/>
      <w:outlineLvl w:val="4"/>
    </w:pPr>
    <w:rPr>
      <w:rFonts w:ascii="Palatino" w:eastAsia="Times New Roman" w:hAnsi="Palatino" w:cs="Times New Roman"/>
      <w:b/>
      <w:sz w:val="24"/>
      <w:szCs w:val="20"/>
    </w:rPr>
  </w:style>
  <w:style w:type="paragraph" w:styleId="Heading6">
    <w:name w:val="heading 6"/>
    <w:basedOn w:val="Normal"/>
    <w:next w:val="Normal"/>
    <w:link w:val="Heading6Char"/>
    <w:qFormat/>
    <w:rsid w:val="009F05F2"/>
    <w:pPr>
      <w:keepNext/>
      <w:numPr>
        <w:ilvl w:val="5"/>
        <w:numId w:val="6"/>
      </w:numPr>
      <w:spacing w:after="0" w:line="240" w:lineRule="auto"/>
      <w:jc w:val="center"/>
      <w:outlineLvl w:val="5"/>
    </w:pPr>
    <w:rPr>
      <w:rFonts w:ascii="Palatino" w:eastAsia="Times New Roman" w:hAnsi="Palatino" w:cs="Times New Roman"/>
      <w:b/>
      <w:sz w:val="24"/>
      <w:szCs w:val="20"/>
      <w:u w:val="single"/>
    </w:rPr>
  </w:style>
  <w:style w:type="paragraph" w:styleId="Heading7">
    <w:name w:val="heading 7"/>
    <w:basedOn w:val="Normal"/>
    <w:next w:val="Normal"/>
    <w:link w:val="Heading7Char"/>
    <w:qFormat/>
    <w:rsid w:val="009F05F2"/>
    <w:pPr>
      <w:keepNext/>
      <w:numPr>
        <w:ilvl w:val="6"/>
        <w:numId w:val="6"/>
      </w:numPr>
      <w:spacing w:after="0" w:line="240" w:lineRule="auto"/>
      <w:jc w:val="center"/>
      <w:outlineLvl w:val="6"/>
    </w:pPr>
    <w:rPr>
      <w:rFonts w:ascii="Palatino" w:eastAsia="Times New Roman" w:hAnsi="Palatino" w:cs="Times New Roman"/>
      <w:i/>
      <w:sz w:val="24"/>
      <w:szCs w:val="20"/>
    </w:rPr>
  </w:style>
  <w:style w:type="paragraph" w:styleId="Heading8">
    <w:name w:val="heading 8"/>
    <w:basedOn w:val="Normal"/>
    <w:next w:val="Normal"/>
    <w:link w:val="Heading8Char"/>
    <w:qFormat/>
    <w:rsid w:val="009F05F2"/>
    <w:pPr>
      <w:keepNext/>
      <w:numPr>
        <w:ilvl w:val="7"/>
        <w:numId w:val="6"/>
      </w:numPr>
      <w:spacing w:after="0" w:line="240" w:lineRule="auto"/>
      <w:jc w:val="center"/>
      <w:outlineLvl w:val="7"/>
    </w:pPr>
    <w:rPr>
      <w:rFonts w:ascii="Palatino" w:eastAsia="Times New Roman" w:hAnsi="Palatino" w:cs="Times New Roman"/>
      <w:b/>
      <w:i/>
      <w:sz w:val="24"/>
      <w:szCs w:val="20"/>
    </w:rPr>
  </w:style>
  <w:style w:type="paragraph" w:styleId="Heading9">
    <w:name w:val="heading 9"/>
    <w:basedOn w:val="Normal"/>
    <w:next w:val="Normal"/>
    <w:link w:val="Heading9Char"/>
    <w:qFormat/>
    <w:rsid w:val="009F05F2"/>
    <w:pPr>
      <w:keepNext/>
      <w:numPr>
        <w:ilvl w:val="8"/>
        <w:numId w:val="6"/>
      </w:numPr>
      <w:spacing w:after="0" w:line="240" w:lineRule="auto"/>
      <w:jc w:val="center"/>
      <w:outlineLvl w:val="8"/>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customStyle="1" w:styleId="KeyPoints">
    <w:name w:val="Key Points"/>
    <w:basedOn w:val="NoList"/>
    <w:uiPriority w:val="99"/>
    <w:rsid w:val="002B4F08"/>
    <w:pPr>
      <w:numPr>
        <w:numId w:val="1"/>
      </w:numPr>
    </w:pPr>
  </w:style>
  <w:style w:type="paragraph" w:styleId="ListNumber">
    <w:name w:val="List Number"/>
    <w:basedOn w:val="Normal"/>
    <w:uiPriority w:val="99"/>
    <w:qFormat/>
    <w:rsid w:val="002B4F08"/>
    <w:pPr>
      <w:numPr>
        <w:numId w:val="2"/>
      </w:numPr>
    </w:pPr>
    <w:rPr>
      <w:rFonts w:ascii="Arial" w:eastAsia="Calibri" w:hAnsi="Arial" w:cs="Times New Roman"/>
    </w:rPr>
  </w:style>
  <w:style w:type="paragraph" w:styleId="ListNumber2">
    <w:name w:val="List Number 2"/>
    <w:basedOn w:val="Normal"/>
    <w:uiPriority w:val="99"/>
    <w:rsid w:val="002B4F08"/>
    <w:pPr>
      <w:numPr>
        <w:ilvl w:val="1"/>
        <w:numId w:val="2"/>
      </w:numPr>
    </w:pPr>
    <w:rPr>
      <w:rFonts w:ascii="Arial" w:eastAsia="Calibri" w:hAnsi="Arial" w:cs="Times New Roman"/>
      <w:sz w:val="20"/>
      <w:szCs w:val="20"/>
    </w:rPr>
  </w:style>
  <w:style w:type="paragraph" w:styleId="ListNumber3">
    <w:name w:val="List Number 3"/>
    <w:basedOn w:val="Normal"/>
    <w:uiPriority w:val="99"/>
    <w:rsid w:val="002B4F08"/>
    <w:pPr>
      <w:numPr>
        <w:ilvl w:val="2"/>
        <w:numId w:val="2"/>
      </w:numPr>
    </w:pPr>
    <w:rPr>
      <w:rFonts w:ascii="Arial" w:eastAsia="Calibri" w:hAnsi="Arial" w:cs="Times New Roman"/>
      <w:sz w:val="20"/>
      <w:szCs w:val="20"/>
    </w:rPr>
  </w:style>
  <w:style w:type="paragraph" w:styleId="ListNumber4">
    <w:name w:val="List Number 4"/>
    <w:basedOn w:val="Normal"/>
    <w:uiPriority w:val="99"/>
    <w:rsid w:val="002B4F08"/>
    <w:pPr>
      <w:numPr>
        <w:ilvl w:val="3"/>
        <w:numId w:val="2"/>
      </w:numPr>
    </w:pPr>
    <w:rPr>
      <w:rFonts w:ascii="Arial" w:eastAsia="Calibri" w:hAnsi="Arial" w:cs="Times New Roman"/>
      <w:sz w:val="20"/>
      <w:szCs w:val="20"/>
    </w:rPr>
  </w:style>
  <w:style w:type="paragraph" w:styleId="ListNumber5">
    <w:name w:val="List Number 5"/>
    <w:basedOn w:val="Normal"/>
    <w:uiPriority w:val="99"/>
    <w:rsid w:val="002B4F08"/>
    <w:pPr>
      <w:numPr>
        <w:ilvl w:val="4"/>
        <w:numId w:val="2"/>
      </w:numPr>
    </w:pPr>
    <w:rPr>
      <w:rFonts w:ascii="Arial" w:eastAsia="Calibri" w:hAnsi="Arial" w:cs="Times New Roman"/>
      <w:sz w:val="20"/>
      <w:szCs w:val="20"/>
    </w:rPr>
  </w:style>
  <w:style w:type="paragraph" w:styleId="ListBullet">
    <w:name w:val="List Bullet"/>
    <w:basedOn w:val="Normal"/>
    <w:uiPriority w:val="99"/>
    <w:unhideWhenUsed/>
    <w:qFormat/>
    <w:rsid w:val="002B4F08"/>
    <w:pPr>
      <w:numPr>
        <w:numId w:val="4"/>
      </w:numPr>
    </w:pPr>
    <w:rPr>
      <w:rFonts w:ascii="Arial" w:eastAsia="Calibri" w:hAnsi="Arial" w:cs="Times New Roman"/>
    </w:rPr>
  </w:style>
  <w:style w:type="numbering" w:customStyle="1" w:styleId="BulletList">
    <w:name w:val="Bullet List"/>
    <w:uiPriority w:val="99"/>
    <w:rsid w:val="002B4F08"/>
    <w:pPr>
      <w:numPr>
        <w:numId w:val="4"/>
      </w:numPr>
    </w:pPr>
  </w:style>
  <w:style w:type="paragraph" w:styleId="ListBullet2">
    <w:name w:val="List Bullet 2"/>
    <w:basedOn w:val="Normal"/>
    <w:uiPriority w:val="99"/>
    <w:unhideWhenUsed/>
    <w:rsid w:val="002B4F08"/>
    <w:pPr>
      <w:numPr>
        <w:ilvl w:val="1"/>
        <w:numId w:val="4"/>
      </w:numPr>
      <w:spacing w:line="276" w:lineRule="exact"/>
    </w:pPr>
    <w:rPr>
      <w:rFonts w:ascii="Arial" w:eastAsia="Times New Roman" w:hAnsi="Arial" w:cs="Times New Roman"/>
      <w:szCs w:val="24"/>
      <w:lang w:eastAsia="en-AU"/>
    </w:rPr>
  </w:style>
  <w:style w:type="paragraph" w:styleId="ListBullet3">
    <w:name w:val="List Bullet 3"/>
    <w:basedOn w:val="Normal"/>
    <w:uiPriority w:val="99"/>
    <w:unhideWhenUsed/>
    <w:rsid w:val="002B4F08"/>
    <w:pPr>
      <w:numPr>
        <w:ilvl w:val="2"/>
        <w:numId w:val="4"/>
      </w:numPr>
      <w:spacing w:line="276" w:lineRule="exact"/>
    </w:pPr>
    <w:rPr>
      <w:rFonts w:ascii="Arial" w:eastAsia="Times New Roman" w:hAnsi="Arial" w:cs="Times New Roman"/>
      <w:szCs w:val="24"/>
      <w:lang w:eastAsia="en-AU"/>
    </w:rPr>
  </w:style>
  <w:style w:type="paragraph" w:styleId="ListBullet4">
    <w:name w:val="List Bullet 4"/>
    <w:basedOn w:val="Normal"/>
    <w:uiPriority w:val="99"/>
    <w:unhideWhenUsed/>
    <w:rsid w:val="002B4F08"/>
    <w:pPr>
      <w:numPr>
        <w:ilvl w:val="3"/>
        <w:numId w:val="4"/>
      </w:numPr>
      <w:spacing w:line="276" w:lineRule="exact"/>
    </w:pPr>
    <w:rPr>
      <w:rFonts w:ascii="Arial" w:eastAsia="Times New Roman" w:hAnsi="Arial" w:cs="Times New Roman"/>
      <w:szCs w:val="24"/>
      <w:lang w:eastAsia="en-AU"/>
    </w:rPr>
  </w:style>
  <w:style w:type="paragraph" w:styleId="ListBullet5">
    <w:name w:val="List Bullet 5"/>
    <w:basedOn w:val="Normal"/>
    <w:uiPriority w:val="99"/>
    <w:unhideWhenUsed/>
    <w:rsid w:val="002B4F08"/>
    <w:pPr>
      <w:numPr>
        <w:ilvl w:val="4"/>
        <w:numId w:val="4"/>
      </w:numPr>
      <w:spacing w:line="276" w:lineRule="exact"/>
    </w:pPr>
    <w:rPr>
      <w:rFonts w:ascii="Arial" w:eastAsia="Times New Roman" w:hAnsi="Arial" w:cs="Times New Roman"/>
      <w:szCs w:val="24"/>
      <w:lang w:eastAsia="en-AU"/>
    </w:rPr>
  </w:style>
  <w:style w:type="character" w:customStyle="1" w:styleId="Heading1Char">
    <w:name w:val="Heading 1 Char"/>
    <w:aliases w:val="H-1 Char"/>
    <w:basedOn w:val="DefaultParagraphFont"/>
    <w:link w:val="Heading1"/>
    <w:rsid w:val="009F05F2"/>
    <w:rPr>
      <w:rFonts w:ascii="Palatino" w:eastAsia="Times New Roman" w:hAnsi="Palatino" w:cs="Times New Roman"/>
      <w:b/>
      <w:sz w:val="32"/>
      <w:szCs w:val="20"/>
    </w:rPr>
  </w:style>
  <w:style w:type="character" w:customStyle="1" w:styleId="Heading2Char">
    <w:name w:val="Heading 2 Char"/>
    <w:aliases w:val="H-2 Char"/>
    <w:basedOn w:val="DefaultParagraphFont"/>
    <w:link w:val="Heading2"/>
    <w:rsid w:val="009F05F2"/>
    <w:rPr>
      <w:rFonts w:ascii="Palatino" w:eastAsia="Times New Roman" w:hAnsi="Palatino" w:cs="Times New Roman"/>
      <w:b/>
      <w:sz w:val="28"/>
      <w:szCs w:val="20"/>
    </w:rPr>
  </w:style>
  <w:style w:type="character" w:customStyle="1" w:styleId="Heading3Char">
    <w:name w:val="Heading 3 Char"/>
    <w:aliases w:val="H-3 Char,d Char"/>
    <w:basedOn w:val="DefaultParagraphFont"/>
    <w:link w:val="Heading3"/>
    <w:rsid w:val="009F05F2"/>
    <w:rPr>
      <w:rFonts w:ascii="Palatino" w:eastAsia="Times New Roman" w:hAnsi="Palatino" w:cs="Times New Roman"/>
      <w:b/>
      <w:sz w:val="24"/>
      <w:szCs w:val="20"/>
    </w:rPr>
  </w:style>
  <w:style w:type="character" w:customStyle="1" w:styleId="Heading4Char">
    <w:name w:val="Heading 4 Char"/>
    <w:basedOn w:val="DefaultParagraphFont"/>
    <w:link w:val="Heading4"/>
    <w:rsid w:val="009F05F2"/>
    <w:rPr>
      <w:rFonts w:ascii="Palatino" w:eastAsia="Times New Roman" w:hAnsi="Palatino" w:cs="Times New Roman"/>
      <w:i/>
      <w:sz w:val="24"/>
      <w:szCs w:val="20"/>
    </w:rPr>
  </w:style>
  <w:style w:type="character" w:customStyle="1" w:styleId="Heading5Char">
    <w:name w:val="Heading 5 Char"/>
    <w:aliases w:val="s Char"/>
    <w:basedOn w:val="DefaultParagraphFont"/>
    <w:link w:val="Heading5"/>
    <w:rsid w:val="009F05F2"/>
    <w:rPr>
      <w:rFonts w:ascii="Palatino" w:eastAsia="Times New Roman" w:hAnsi="Palatino" w:cs="Times New Roman"/>
      <w:b/>
      <w:sz w:val="24"/>
      <w:szCs w:val="20"/>
    </w:rPr>
  </w:style>
  <w:style w:type="character" w:customStyle="1" w:styleId="Heading6Char">
    <w:name w:val="Heading 6 Char"/>
    <w:basedOn w:val="DefaultParagraphFont"/>
    <w:link w:val="Heading6"/>
    <w:rsid w:val="009F05F2"/>
    <w:rPr>
      <w:rFonts w:ascii="Palatino" w:eastAsia="Times New Roman" w:hAnsi="Palatino" w:cs="Times New Roman"/>
      <w:b/>
      <w:sz w:val="24"/>
      <w:szCs w:val="20"/>
      <w:u w:val="single"/>
    </w:rPr>
  </w:style>
  <w:style w:type="character" w:customStyle="1" w:styleId="Heading7Char">
    <w:name w:val="Heading 7 Char"/>
    <w:basedOn w:val="DefaultParagraphFont"/>
    <w:link w:val="Heading7"/>
    <w:rsid w:val="009F05F2"/>
    <w:rPr>
      <w:rFonts w:ascii="Palatino" w:eastAsia="Times New Roman" w:hAnsi="Palatino" w:cs="Times New Roman"/>
      <w:i/>
      <w:sz w:val="24"/>
      <w:szCs w:val="20"/>
    </w:rPr>
  </w:style>
  <w:style w:type="character" w:customStyle="1" w:styleId="Heading8Char">
    <w:name w:val="Heading 8 Char"/>
    <w:basedOn w:val="DefaultParagraphFont"/>
    <w:link w:val="Heading8"/>
    <w:rsid w:val="009F05F2"/>
    <w:rPr>
      <w:rFonts w:ascii="Palatino" w:eastAsia="Times New Roman" w:hAnsi="Palatino" w:cs="Times New Roman"/>
      <w:b/>
      <w:i/>
      <w:sz w:val="24"/>
      <w:szCs w:val="20"/>
    </w:rPr>
  </w:style>
  <w:style w:type="character" w:customStyle="1" w:styleId="Heading9Char">
    <w:name w:val="Heading 9 Char"/>
    <w:basedOn w:val="DefaultParagraphFont"/>
    <w:link w:val="Heading9"/>
    <w:rsid w:val="009F05F2"/>
    <w:rPr>
      <w:rFonts w:ascii="Palatino" w:eastAsia="Times New Roman" w:hAnsi="Palatino" w:cs="Times New Roman"/>
      <w:sz w:val="24"/>
      <w:szCs w:val="20"/>
    </w:rPr>
  </w:style>
  <w:style w:type="paragraph" w:styleId="BodyText3">
    <w:name w:val="Body Text 3"/>
    <w:basedOn w:val="Normal"/>
    <w:link w:val="BodyText3Char"/>
    <w:rsid w:val="009F05F2"/>
    <w:pPr>
      <w:spacing w:before="240" w:line="240" w:lineRule="auto"/>
      <w:ind w:right="-45"/>
    </w:pPr>
    <w:rPr>
      <w:rFonts w:ascii="Palatino" w:eastAsia="Times New Roman" w:hAnsi="Palatino" w:cs="Times New Roman"/>
      <w:b/>
      <w:sz w:val="23"/>
      <w:szCs w:val="20"/>
    </w:rPr>
  </w:style>
  <w:style w:type="character" w:customStyle="1" w:styleId="BodyText3Char">
    <w:name w:val="Body Text 3 Char"/>
    <w:basedOn w:val="DefaultParagraphFont"/>
    <w:link w:val="BodyText3"/>
    <w:rsid w:val="009F05F2"/>
    <w:rPr>
      <w:rFonts w:ascii="Palatino" w:eastAsia="Times New Roman" w:hAnsi="Palatino" w:cs="Times New Roman"/>
      <w:b/>
      <w:sz w:val="23"/>
      <w:szCs w:val="20"/>
    </w:rPr>
  </w:style>
  <w:style w:type="paragraph" w:customStyle="1" w:styleId="BodyText1">
    <w:name w:val="Body Text1"/>
    <w:basedOn w:val="Normal"/>
    <w:rsid w:val="009F05F2"/>
    <w:pPr>
      <w:spacing w:before="120" w:after="0" w:line="240" w:lineRule="auto"/>
    </w:pPr>
    <w:rPr>
      <w:rFonts w:ascii="Palatino" w:eastAsia="Times New Roman" w:hAnsi="Palatino" w:cs="Times New Roman"/>
      <w:sz w:val="24"/>
      <w:szCs w:val="20"/>
    </w:rPr>
  </w:style>
  <w:style w:type="character" w:styleId="Hyperlink">
    <w:name w:val="Hyperlink"/>
    <w:basedOn w:val="DefaultParagraphFont"/>
    <w:uiPriority w:val="99"/>
    <w:rsid w:val="009F05F2"/>
    <w:rPr>
      <w:color w:val="0000FF" w:themeColor="hyperlink"/>
      <w:u w:val="single"/>
    </w:rPr>
  </w:style>
  <w:style w:type="paragraph" w:styleId="ListParagraph">
    <w:name w:val="List Paragraph"/>
    <w:basedOn w:val="Normal"/>
    <w:uiPriority w:val="34"/>
    <w:qFormat/>
    <w:rsid w:val="00106028"/>
    <w:pPr>
      <w:ind w:left="720"/>
      <w:contextualSpacing/>
    </w:pPr>
  </w:style>
  <w:style w:type="paragraph" w:customStyle="1" w:styleId="BodyText2">
    <w:name w:val="Body Text2"/>
    <w:basedOn w:val="Normal"/>
    <w:rsid w:val="00EB064C"/>
    <w:pPr>
      <w:spacing w:before="120"/>
    </w:pPr>
    <w:rPr>
      <w:rFonts w:ascii="Palatino" w:eastAsia="Calibri" w:hAnsi="Palatino" w:cs="Times New Roman"/>
      <w:sz w:val="24"/>
    </w:rPr>
  </w:style>
  <w:style w:type="paragraph" w:customStyle="1" w:styleId="Bullet">
    <w:name w:val="Bullet"/>
    <w:basedOn w:val="Normal"/>
    <w:uiPriority w:val="99"/>
    <w:rsid w:val="00990048"/>
    <w:pPr>
      <w:numPr>
        <w:numId w:val="14"/>
      </w:numPr>
      <w:spacing w:after="240" w:line="240" w:lineRule="auto"/>
    </w:pPr>
    <w:rPr>
      <w:rFonts w:ascii="Times New Roman" w:eastAsia="Times New Roman" w:hAnsi="Times New Roman" w:cs="Times New Roman"/>
      <w:sz w:val="24"/>
      <w:szCs w:val="24"/>
    </w:rPr>
  </w:style>
  <w:style w:type="paragraph" w:customStyle="1" w:styleId="Dash">
    <w:name w:val="Dash"/>
    <w:basedOn w:val="Normal"/>
    <w:uiPriority w:val="99"/>
    <w:rsid w:val="00990048"/>
    <w:pPr>
      <w:numPr>
        <w:ilvl w:val="1"/>
        <w:numId w:val="14"/>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uiPriority w:val="99"/>
    <w:rsid w:val="00990048"/>
    <w:pPr>
      <w:numPr>
        <w:ilvl w:val="2"/>
        <w:numId w:val="14"/>
      </w:numPr>
      <w:spacing w:after="24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90048"/>
    <w:pPr>
      <w:spacing w:after="0" w:line="240" w:lineRule="auto"/>
    </w:pPr>
    <w:rPr>
      <w:rFonts w:ascii="Arial" w:eastAsia="Calibri" w:hAnsi="Arial" w:cs="Times New Roman"/>
      <w:sz w:val="20"/>
      <w:szCs w:val="20"/>
      <w:lang w:eastAsia="en-AU"/>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rFonts w:ascii="Arial" w:hAnsi="Arial" w:cs="Arial" w:hint="default"/>
        <w:sz w:val="20"/>
        <w:szCs w:val="20"/>
      </w:rPr>
    </w:tblStylePr>
    <w:tblStylePr w:type="lastRow">
      <w:pPr>
        <w:wordWrap/>
        <w:spacing w:beforeLines="0" w:before="100" w:beforeAutospacing="1" w:afterLines="0" w:after="100" w:afterAutospacing="1"/>
      </w:pPr>
      <w:rPr>
        <w:rFonts w:ascii="Arial" w:hAnsi="Arial" w:cs="Arial" w:hint="default"/>
        <w:sz w:val="20"/>
        <w:szCs w:val="20"/>
      </w:rPr>
    </w:tblStylePr>
    <w:tblStylePr w:type="band1Horz">
      <w:pPr>
        <w:wordWrap/>
        <w:spacing w:beforeLines="0" w:before="100" w:beforeAutospacing="1" w:afterLines="0" w:after="100" w:afterAutospacing="1" w:line="240" w:lineRule="auto"/>
        <w:mirrorIndents w:val="0"/>
      </w:pPr>
      <w:rPr>
        <w:rFonts w:ascii="Arial" w:hAnsi="Arial" w:cs="Arial" w:hint="default"/>
        <w:sz w:val="20"/>
        <w:szCs w:val="20"/>
      </w:rPr>
    </w:tblStylePr>
    <w:tblStylePr w:type="band2Horz">
      <w:pPr>
        <w:wordWrap/>
        <w:spacing w:beforeLines="0" w:before="100" w:beforeAutospacing="1" w:afterLines="0" w:after="100" w:afterAutospacing="1"/>
        <w:mirrorIndents w:val="0"/>
      </w:pPr>
      <w:rPr>
        <w:rFonts w:ascii="Arial" w:hAnsi="Arial" w:cs="Arial" w:hint="default"/>
        <w:sz w:val="20"/>
        <w:szCs w:val="20"/>
      </w:rPr>
    </w:tblStylePr>
  </w:style>
  <w:style w:type="table" w:styleId="TableGrid">
    <w:name w:val="Table Grid"/>
    <w:basedOn w:val="TableNormal"/>
    <w:uiPriority w:val="59"/>
    <w:rsid w:val="0099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cordNumber xmlns="1201fbac-4e05-4e09-943f-b1daffa0ea6b">001460777</RecordNumber>
    <IconOverlay xmlns="http://schemas.microsoft.com/sharepoint/v4" xsi:nil="true"/>
    <DocumentDescription xmlns="1201fbac-4e05-4e09-943f-b1daffa0ea6b">Variation notice for extending VP Racing's 2015 unleaded racing fuel approval until 30 June 2017 </DocumentDescription>
    <Approval xmlns="1201fbac-4e05-4e09-943f-b1daffa0ea6b" xsi:nil="true"/>
    <Function xmlns="1201fbac-4e05-4e09-943f-b1daffa0ea6b">Regulation</Function>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64FA65CB4E6024D8C58AAC2133947FA" ma:contentTypeVersion="7" ma:contentTypeDescription="SPIRE Document" ma:contentTypeScope="" ma:versionID="563a367194361fe8a89c466edd5553d2">
  <xsd:schema xmlns:xsd="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2C94-C905-4A17-B8FE-BC67661E94B3}"/>
</file>

<file path=customXml/itemProps2.xml><?xml version="1.0" encoding="utf-8"?>
<ds:datastoreItem xmlns:ds="http://schemas.openxmlformats.org/officeDocument/2006/customXml" ds:itemID="{CEB068FE-6F42-43B7-A5E8-1741AC0FAB23}"/>
</file>

<file path=customXml/itemProps3.xml><?xml version="1.0" encoding="utf-8"?>
<ds:datastoreItem xmlns:ds="http://schemas.openxmlformats.org/officeDocument/2006/customXml" ds:itemID="{31EA2B3D-8F15-4037-BC14-2DF4666CB449}"/>
</file>

<file path=customXml/itemProps4.xml><?xml version="1.0" encoding="utf-8"?>
<ds:datastoreItem xmlns:ds="http://schemas.openxmlformats.org/officeDocument/2006/customXml" ds:itemID="{93C9BBA0-4F8F-49AD-A63A-0FD8DCE7F4E4}"/>
</file>

<file path=customXml/itemProps5.xml><?xml version="1.0" encoding="utf-8"?>
<ds:datastoreItem xmlns:ds="http://schemas.openxmlformats.org/officeDocument/2006/customXml" ds:itemID="{3E59BCB4-FF2E-47AB-9936-49ED4F4C506F}"/>
</file>

<file path=customXml/itemProps6.xml><?xml version="1.0" encoding="utf-8"?>
<ds:datastoreItem xmlns:ds="http://schemas.openxmlformats.org/officeDocument/2006/customXml" ds:itemID="{7570804F-E98D-4B01-9BE6-629C1E68A614}"/>
</file>

<file path=docProps/app.xml><?xml version="1.0" encoding="utf-8"?>
<Properties xmlns="http://schemas.openxmlformats.org/officeDocument/2006/extended-properties" xmlns:vt="http://schemas.openxmlformats.org/officeDocument/2006/docPropsVTypes">
  <Template>2BE5212B</Template>
  <TotalTime>27</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2017 - Extension - Notice - VP - Unleaded</vt:lpstr>
    </vt:vector>
  </TitlesOfParts>
  <Company>Office of Parliamentary Counsel</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 Extension - Notice - VP - Unleaded</dc:title>
  <dc:creator>Miller, Kelli</dc:creator>
  <cp:lastModifiedBy>Hunt, Kelly</cp:lastModifiedBy>
  <cp:revision>19</cp:revision>
  <cp:lastPrinted>2016-11-03T00:55:00Z</cp:lastPrinted>
  <dcterms:created xsi:type="dcterms:W3CDTF">2016-12-01T00:34:00Z</dcterms:created>
  <dcterms:modified xsi:type="dcterms:W3CDTF">2017-01-16T23:46:00Z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0x01010087E80B6A94CF17418D78389AE32387B500764FA65CB4E6024D8C58AAC2133947FA</vt:lpwstr>
  </property>
  <property fmtid="{D5CDD505-2E9C-101B-9397-08002B2CF9AE}" pid="3" name="RecordPoint_ActiveItemUniqueId">
    <vt:lpwstr>{ae5aa4c5-a843-471b-b289-985eb5127d59}</vt:lpwstr>
  </property>
  <property fmtid="{D5CDD505-2E9C-101B-9397-08002B2CF9AE}" pid="4" name="RecordPoint_WorkflowType">
    <vt:lpwstr>ActiveSubmitStub</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ListId">
    <vt:lpwstr>{46256027-1457-4824-841a-1e2669a35ff5}</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WebId">
    <vt:lpwstr>{89914817-ee47-4868-ab72-54fc7a805407}</vt:lpwstr>
  </property>
  <property fmtid="{D5CDD505-2E9C-101B-9397-08002B2CF9AE}" pid="12" name="RecordPoint_ActiveItemSiteId">
    <vt:lpwstr>{1385f4fc-5717-4abf-b566-e69ec52ac4b2}</vt:lpwstr>
  </property>
</Properties>
</file>