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A8E" w:rsidRDefault="00147A8E" w:rsidP="00147A8E">
      <w:pPr>
        <w:spacing w:after="0" w:line="240" w:lineRule="auto"/>
        <w:rPr>
          <w:rFonts w:ascii="Arial" w:eastAsia="Times New Roman" w:hAnsi="Arial" w:cs="Arial"/>
          <w:b/>
          <w:sz w:val="20"/>
          <w:szCs w:val="20"/>
        </w:rPr>
      </w:pPr>
    </w:p>
    <w:p w:rsidR="00147A8E" w:rsidRPr="00147A8E" w:rsidRDefault="00147A8E" w:rsidP="00147A8E">
      <w:pPr>
        <w:spacing w:after="0" w:line="240" w:lineRule="auto"/>
        <w:rPr>
          <w:rFonts w:ascii="Arial" w:eastAsia="Times New Roman" w:hAnsi="Arial" w:cs="Arial"/>
          <w:b/>
          <w:sz w:val="20"/>
          <w:szCs w:val="20"/>
        </w:rPr>
      </w:pPr>
      <w:bookmarkStart w:id="0" w:name="_GoBack"/>
      <w:r w:rsidRPr="00147A8E">
        <w:rPr>
          <w:rFonts w:ascii="Arial" w:eastAsia="Times New Roman" w:hAnsi="Arial" w:cs="Arial"/>
          <w:b/>
          <w:sz w:val="20"/>
          <w:szCs w:val="20"/>
        </w:rPr>
        <w:t>NOTICE OF INTENTION TO APPLY TO THE FEDERAL COURT OF AUSTRALIA</w:t>
      </w:r>
      <w:bookmarkEnd w:id="0"/>
      <w:r w:rsidRPr="00147A8E">
        <w:rPr>
          <w:rFonts w:ascii="Arial" w:eastAsia="Times New Roman" w:hAnsi="Arial" w:cs="Arial"/>
          <w:b/>
          <w:sz w:val="20"/>
          <w:szCs w:val="20"/>
        </w:rPr>
        <w:t xml:space="preserve"> FOR CONFIRMATION OF SCHEMES UNDER DIVISION 3A OF PART III OF THE INSURANCE ACT 1973 (CTH) FOR THE TRANSFER OF THE INSURANCE BUSINESSES OF CGU INSURANCE LIMITED, WFI INSURANCE LIMITED, CGU-VACC INSURANCE LIMITED, IAG RE AUSTRALIA LIMITED, SWANN INSURANCE (AUST) PTY LTD, MUTUAL COMMUNITY GENERAL INSURANCE PROPRIETARY LIMITED AND HBF INSURANCE PTY LTD TO INSURANCE AUSTRALIA LIMITED</w:t>
      </w:r>
    </w:p>
    <w:p w:rsidR="00147A8E" w:rsidRPr="00147A8E" w:rsidRDefault="00147A8E" w:rsidP="00147A8E">
      <w:pPr>
        <w:spacing w:after="0" w:line="240" w:lineRule="auto"/>
        <w:jc w:val="both"/>
        <w:rPr>
          <w:rFonts w:ascii="Arial" w:eastAsia="Times New Roman" w:hAnsi="Arial" w:cs="Arial"/>
          <w:sz w:val="20"/>
          <w:szCs w:val="20"/>
        </w:rPr>
      </w:pPr>
    </w:p>
    <w:p w:rsidR="00147A8E" w:rsidRPr="00147A8E" w:rsidRDefault="00147A8E" w:rsidP="00147A8E">
      <w:pPr>
        <w:spacing w:after="0" w:line="240" w:lineRule="auto"/>
        <w:jc w:val="both"/>
        <w:rPr>
          <w:rFonts w:ascii="Arial" w:eastAsia="Times New Roman" w:hAnsi="Arial" w:cs="Arial"/>
          <w:sz w:val="20"/>
          <w:szCs w:val="20"/>
        </w:rPr>
      </w:pPr>
      <w:r w:rsidRPr="00147A8E">
        <w:rPr>
          <w:rFonts w:ascii="Arial" w:eastAsia="Times New Roman" w:hAnsi="Arial" w:cs="Arial"/>
          <w:sz w:val="20"/>
          <w:szCs w:val="20"/>
        </w:rPr>
        <w:t>Notice is given that Insurance Australia Limited ABN 11 000 016 722 (</w:t>
      </w:r>
      <w:r w:rsidRPr="00147A8E">
        <w:rPr>
          <w:rFonts w:ascii="Arial" w:eastAsia="Times New Roman" w:hAnsi="Arial" w:cs="Arial"/>
          <w:b/>
          <w:sz w:val="20"/>
          <w:szCs w:val="20"/>
        </w:rPr>
        <w:t>IAL</w:t>
      </w:r>
      <w:r w:rsidRPr="00147A8E">
        <w:rPr>
          <w:rFonts w:ascii="Arial" w:eastAsia="Times New Roman" w:hAnsi="Arial" w:cs="Arial"/>
          <w:sz w:val="20"/>
          <w:szCs w:val="20"/>
        </w:rPr>
        <w:t xml:space="preserve">) intends to make an application to the Federal Court of Australia at Sydney for orders confirming seven separate but concurrent schemes under Division 3A of Part III of the </w:t>
      </w:r>
      <w:r w:rsidRPr="00147A8E">
        <w:rPr>
          <w:rFonts w:ascii="Arial" w:eastAsia="Times New Roman" w:hAnsi="Arial" w:cs="Arial"/>
          <w:i/>
          <w:sz w:val="20"/>
          <w:szCs w:val="20"/>
        </w:rPr>
        <w:t>Insurance Act 1973</w:t>
      </w:r>
      <w:r w:rsidRPr="00147A8E">
        <w:rPr>
          <w:rFonts w:ascii="Arial" w:eastAsia="Times New Roman" w:hAnsi="Arial" w:cs="Arial"/>
          <w:sz w:val="20"/>
          <w:szCs w:val="20"/>
        </w:rPr>
        <w:t xml:space="preserve"> (Cth) (</w:t>
      </w:r>
      <w:r w:rsidRPr="00147A8E">
        <w:rPr>
          <w:rFonts w:ascii="Arial" w:eastAsia="Times New Roman" w:hAnsi="Arial" w:cs="Arial"/>
          <w:b/>
          <w:sz w:val="20"/>
          <w:szCs w:val="20"/>
        </w:rPr>
        <w:t>Act</w:t>
      </w:r>
      <w:r w:rsidRPr="00147A8E">
        <w:rPr>
          <w:rFonts w:ascii="Arial" w:eastAsia="Times New Roman" w:hAnsi="Arial" w:cs="Arial"/>
          <w:sz w:val="20"/>
          <w:szCs w:val="20"/>
        </w:rPr>
        <w:t>) to transfer the Australian general insurance business and reinsurance businesses of each of the following companies to IAL:</w:t>
      </w:r>
    </w:p>
    <w:p w:rsidR="00147A8E" w:rsidRPr="00147A8E" w:rsidRDefault="00147A8E" w:rsidP="00147A8E">
      <w:pPr>
        <w:spacing w:after="0" w:line="240" w:lineRule="auto"/>
        <w:jc w:val="both"/>
        <w:rPr>
          <w:rFonts w:ascii="Arial" w:eastAsia="Times New Roman" w:hAnsi="Arial" w:cs="Arial"/>
          <w:sz w:val="20"/>
          <w:szCs w:val="20"/>
        </w:rPr>
      </w:pPr>
    </w:p>
    <w:p w:rsidR="00147A8E" w:rsidRPr="00147A8E" w:rsidRDefault="00147A8E" w:rsidP="00147A8E">
      <w:pPr>
        <w:numPr>
          <w:ilvl w:val="0"/>
          <w:numId w:val="1"/>
        </w:numPr>
        <w:spacing w:after="0" w:line="240" w:lineRule="auto"/>
        <w:rPr>
          <w:rFonts w:ascii="Arial" w:eastAsia="Times New Roman" w:hAnsi="Arial" w:cs="Arial"/>
          <w:szCs w:val="20"/>
        </w:rPr>
      </w:pPr>
      <w:r w:rsidRPr="00147A8E">
        <w:rPr>
          <w:rFonts w:ascii="Arial" w:eastAsia="Times New Roman" w:hAnsi="Arial" w:cs="Arial"/>
          <w:sz w:val="20"/>
          <w:szCs w:val="20"/>
        </w:rPr>
        <w:t>CGU Insurance Limited ABN 27 004 478 371;</w:t>
      </w:r>
    </w:p>
    <w:p w:rsidR="00147A8E" w:rsidRPr="00147A8E" w:rsidRDefault="00147A8E" w:rsidP="00147A8E">
      <w:pPr>
        <w:numPr>
          <w:ilvl w:val="0"/>
          <w:numId w:val="1"/>
        </w:numPr>
        <w:spacing w:after="0" w:line="240" w:lineRule="auto"/>
        <w:rPr>
          <w:rFonts w:ascii="Arial" w:eastAsia="Times New Roman" w:hAnsi="Arial" w:cs="Arial"/>
          <w:szCs w:val="20"/>
        </w:rPr>
      </w:pPr>
      <w:r w:rsidRPr="00147A8E">
        <w:rPr>
          <w:rFonts w:ascii="Arial" w:eastAsia="Times New Roman" w:hAnsi="Arial" w:cs="Arial"/>
          <w:sz w:val="20"/>
          <w:szCs w:val="20"/>
        </w:rPr>
        <w:t>WFI Insurance Limited ABN 24 000 036 279 (which currently underwrites Coles Car, Home &amp; Landlords Insurance, Lumley and WFI insurance policies);</w:t>
      </w:r>
    </w:p>
    <w:p w:rsidR="00147A8E" w:rsidRPr="00147A8E" w:rsidRDefault="00147A8E" w:rsidP="00147A8E">
      <w:pPr>
        <w:numPr>
          <w:ilvl w:val="0"/>
          <w:numId w:val="1"/>
        </w:numPr>
        <w:spacing w:after="0" w:line="240" w:lineRule="auto"/>
        <w:rPr>
          <w:rFonts w:ascii="Arial" w:eastAsia="Times New Roman" w:hAnsi="Arial" w:cs="Arial"/>
          <w:szCs w:val="20"/>
        </w:rPr>
      </w:pPr>
      <w:r w:rsidRPr="00147A8E">
        <w:rPr>
          <w:rFonts w:ascii="Arial" w:eastAsia="Times New Roman" w:hAnsi="Arial" w:cs="Arial"/>
          <w:sz w:val="20"/>
          <w:szCs w:val="20"/>
        </w:rPr>
        <w:t xml:space="preserve">CGU-VACC Insurance Limited ABN 73 004 167 953; </w:t>
      </w:r>
    </w:p>
    <w:p w:rsidR="00147A8E" w:rsidRPr="00147A8E" w:rsidRDefault="00147A8E" w:rsidP="00147A8E">
      <w:pPr>
        <w:numPr>
          <w:ilvl w:val="0"/>
          <w:numId w:val="1"/>
        </w:numPr>
        <w:spacing w:after="0" w:line="240" w:lineRule="auto"/>
        <w:rPr>
          <w:rFonts w:ascii="Arial" w:eastAsia="Times New Roman" w:hAnsi="Arial" w:cs="Arial"/>
          <w:szCs w:val="20"/>
        </w:rPr>
      </w:pPr>
      <w:r w:rsidRPr="00147A8E">
        <w:rPr>
          <w:rFonts w:ascii="Arial" w:eastAsia="Times New Roman" w:hAnsi="Arial" w:cs="Arial"/>
          <w:sz w:val="20"/>
          <w:szCs w:val="20"/>
        </w:rPr>
        <w:t xml:space="preserve">IAG Re Australia Limited ABN 96 001 948 278; </w:t>
      </w:r>
    </w:p>
    <w:p w:rsidR="00147A8E" w:rsidRPr="00147A8E" w:rsidRDefault="00147A8E" w:rsidP="00147A8E">
      <w:pPr>
        <w:numPr>
          <w:ilvl w:val="0"/>
          <w:numId w:val="1"/>
        </w:numPr>
        <w:spacing w:after="0" w:line="240" w:lineRule="auto"/>
        <w:rPr>
          <w:rFonts w:ascii="Arial" w:eastAsia="Times New Roman" w:hAnsi="Arial" w:cs="Arial"/>
          <w:szCs w:val="20"/>
        </w:rPr>
      </w:pPr>
      <w:r w:rsidRPr="00147A8E">
        <w:rPr>
          <w:rFonts w:ascii="Arial" w:eastAsia="Times New Roman" w:hAnsi="Arial" w:cs="Arial"/>
          <w:sz w:val="20"/>
          <w:szCs w:val="20"/>
        </w:rPr>
        <w:t xml:space="preserve">Swann Insurance (Aust) Pty Ltd ABN 80 000 886 680; </w:t>
      </w:r>
    </w:p>
    <w:p w:rsidR="00147A8E" w:rsidRPr="00147A8E" w:rsidRDefault="00147A8E" w:rsidP="00147A8E">
      <w:pPr>
        <w:numPr>
          <w:ilvl w:val="0"/>
          <w:numId w:val="1"/>
        </w:numPr>
        <w:spacing w:after="0" w:line="240" w:lineRule="auto"/>
        <w:rPr>
          <w:rFonts w:ascii="Arial" w:eastAsia="Times New Roman" w:hAnsi="Arial" w:cs="Arial"/>
          <w:szCs w:val="20"/>
        </w:rPr>
      </w:pPr>
      <w:r w:rsidRPr="00147A8E">
        <w:rPr>
          <w:rFonts w:ascii="Arial" w:eastAsia="Times New Roman" w:hAnsi="Arial" w:cs="Arial"/>
          <w:sz w:val="20"/>
          <w:szCs w:val="20"/>
        </w:rPr>
        <w:t>Mutual Community General Insurance Proprietary Limited ABN 59 007 895 543; and</w:t>
      </w:r>
    </w:p>
    <w:p w:rsidR="00147A8E" w:rsidRPr="00147A8E" w:rsidRDefault="00147A8E" w:rsidP="00147A8E">
      <w:pPr>
        <w:numPr>
          <w:ilvl w:val="0"/>
          <w:numId w:val="1"/>
        </w:numPr>
        <w:spacing w:after="0" w:line="240" w:lineRule="auto"/>
        <w:rPr>
          <w:rFonts w:ascii="Arial" w:eastAsia="Times New Roman" w:hAnsi="Arial" w:cs="Arial"/>
          <w:szCs w:val="20"/>
        </w:rPr>
      </w:pPr>
      <w:r w:rsidRPr="00147A8E">
        <w:rPr>
          <w:rFonts w:ascii="Arial" w:eastAsia="Times New Roman" w:hAnsi="Arial" w:cs="Arial"/>
          <w:sz w:val="20"/>
          <w:szCs w:val="20"/>
        </w:rPr>
        <w:t xml:space="preserve">HBF Insurance Pty Ltd ABN 11 009 268 277; </w:t>
      </w:r>
    </w:p>
    <w:p w:rsidR="00147A8E" w:rsidRPr="00147A8E" w:rsidRDefault="00147A8E" w:rsidP="00147A8E">
      <w:pPr>
        <w:spacing w:after="0" w:line="240" w:lineRule="auto"/>
        <w:jc w:val="both"/>
        <w:rPr>
          <w:rFonts w:ascii="Arial" w:eastAsia="Times New Roman" w:hAnsi="Arial" w:cs="Arial"/>
          <w:sz w:val="20"/>
          <w:szCs w:val="20"/>
        </w:rPr>
      </w:pPr>
    </w:p>
    <w:p w:rsidR="00147A8E" w:rsidRPr="00147A8E" w:rsidRDefault="00147A8E" w:rsidP="00147A8E">
      <w:pPr>
        <w:spacing w:after="0" w:line="240" w:lineRule="auto"/>
        <w:jc w:val="both"/>
        <w:rPr>
          <w:rFonts w:ascii="Arial" w:eastAsia="Times New Roman" w:hAnsi="Arial" w:cs="Arial"/>
          <w:sz w:val="20"/>
          <w:szCs w:val="20"/>
        </w:rPr>
      </w:pPr>
      <w:r w:rsidRPr="00147A8E">
        <w:rPr>
          <w:rFonts w:ascii="Arial" w:eastAsia="Times New Roman" w:hAnsi="Arial" w:cs="Arial"/>
          <w:sz w:val="20"/>
          <w:szCs w:val="20"/>
        </w:rPr>
        <w:t xml:space="preserve">collectively known as the </w:t>
      </w:r>
      <w:r w:rsidRPr="00147A8E">
        <w:rPr>
          <w:rFonts w:ascii="Arial" w:eastAsia="Times New Roman" w:hAnsi="Arial" w:cs="Arial"/>
          <w:b/>
          <w:sz w:val="20"/>
          <w:szCs w:val="20"/>
        </w:rPr>
        <w:t>Transferring Insurers</w:t>
      </w:r>
      <w:r w:rsidRPr="00147A8E">
        <w:rPr>
          <w:rFonts w:ascii="Arial" w:eastAsia="Times New Roman" w:hAnsi="Arial" w:cs="Arial"/>
          <w:sz w:val="20"/>
          <w:szCs w:val="20"/>
        </w:rPr>
        <w:t>.</w:t>
      </w:r>
    </w:p>
    <w:p w:rsidR="00147A8E" w:rsidRPr="00147A8E" w:rsidRDefault="00147A8E" w:rsidP="00147A8E">
      <w:pPr>
        <w:spacing w:after="0" w:line="240" w:lineRule="auto"/>
        <w:jc w:val="both"/>
        <w:rPr>
          <w:rFonts w:ascii="Arial" w:eastAsia="Times New Roman" w:hAnsi="Arial" w:cs="Arial"/>
          <w:sz w:val="20"/>
          <w:szCs w:val="20"/>
        </w:rPr>
      </w:pPr>
    </w:p>
    <w:p w:rsidR="00147A8E" w:rsidRPr="00147A8E" w:rsidRDefault="00147A8E" w:rsidP="00147A8E">
      <w:pPr>
        <w:spacing w:after="0" w:line="240" w:lineRule="auto"/>
        <w:jc w:val="both"/>
        <w:rPr>
          <w:rFonts w:ascii="Arial" w:eastAsia="Times New Roman" w:hAnsi="Arial" w:cs="Arial"/>
          <w:sz w:val="20"/>
          <w:szCs w:val="20"/>
        </w:rPr>
      </w:pPr>
      <w:r w:rsidRPr="00147A8E">
        <w:rPr>
          <w:rFonts w:ascii="Arial" w:eastAsia="Times New Roman" w:hAnsi="Arial" w:cs="Times New Roman"/>
          <w:sz w:val="20"/>
          <w:szCs w:val="24"/>
        </w:rPr>
        <w:t>Insurance Australia Group Limited ABN 60 090 739 923 (</w:t>
      </w:r>
      <w:r w:rsidRPr="00147A8E">
        <w:rPr>
          <w:rFonts w:ascii="Arial" w:eastAsia="Times New Roman" w:hAnsi="Arial" w:cs="Times New Roman"/>
          <w:b/>
          <w:sz w:val="20"/>
          <w:szCs w:val="24"/>
        </w:rPr>
        <w:t>IAG</w:t>
      </w:r>
      <w:r w:rsidRPr="00147A8E">
        <w:rPr>
          <w:rFonts w:ascii="Arial" w:eastAsia="Times New Roman" w:hAnsi="Arial" w:cs="Times New Roman"/>
          <w:sz w:val="20"/>
          <w:szCs w:val="24"/>
        </w:rPr>
        <w:t>) is the ultimate holding company of the IAG group of companies (</w:t>
      </w:r>
      <w:r w:rsidRPr="00147A8E">
        <w:rPr>
          <w:rFonts w:ascii="Arial" w:eastAsia="Times New Roman" w:hAnsi="Arial" w:cs="Times New Roman"/>
          <w:b/>
          <w:sz w:val="20"/>
          <w:szCs w:val="24"/>
        </w:rPr>
        <w:t>IAG Group</w:t>
      </w:r>
      <w:r w:rsidRPr="00147A8E">
        <w:rPr>
          <w:rFonts w:ascii="Arial" w:eastAsia="Times New Roman" w:hAnsi="Arial" w:cs="Times New Roman"/>
          <w:sz w:val="20"/>
          <w:szCs w:val="24"/>
        </w:rPr>
        <w:t xml:space="preserve">). </w:t>
      </w:r>
      <w:r w:rsidRPr="00147A8E">
        <w:rPr>
          <w:rFonts w:ascii="Arial" w:eastAsia="Times New Roman" w:hAnsi="Arial" w:cs="Arial"/>
          <w:sz w:val="20"/>
          <w:szCs w:val="20"/>
        </w:rPr>
        <w:t xml:space="preserve">Each of the Transferring Insurers is part of the IAG Group and the schemes are being undertaken as part of an internal reorganisation of the group.  All companies are incorporated in Australia, regulated under the </w:t>
      </w:r>
      <w:r w:rsidRPr="00147A8E">
        <w:rPr>
          <w:rFonts w:ascii="Arial" w:eastAsia="Times New Roman" w:hAnsi="Arial" w:cs="Arial"/>
          <w:i/>
          <w:sz w:val="20"/>
          <w:szCs w:val="20"/>
        </w:rPr>
        <w:t>Corporations Act</w:t>
      </w:r>
      <w:r w:rsidRPr="00147A8E">
        <w:rPr>
          <w:rFonts w:ascii="Arial" w:eastAsia="Times New Roman" w:hAnsi="Arial" w:cs="Arial"/>
          <w:sz w:val="20"/>
          <w:szCs w:val="20"/>
        </w:rPr>
        <w:t xml:space="preserve"> </w:t>
      </w:r>
      <w:r w:rsidRPr="00147A8E">
        <w:rPr>
          <w:rFonts w:ascii="Arial" w:eastAsia="Times New Roman" w:hAnsi="Arial" w:cs="Arial"/>
          <w:i/>
          <w:sz w:val="20"/>
          <w:szCs w:val="20"/>
        </w:rPr>
        <w:t>2001</w:t>
      </w:r>
      <w:r w:rsidRPr="00147A8E">
        <w:rPr>
          <w:rFonts w:ascii="Arial" w:eastAsia="Times New Roman" w:hAnsi="Arial" w:cs="Arial"/>
          <w:sz w:val="20"/>
          <w:szCs w:val="20"/>
        </w:rPr>
        <w:t xml:space="preserve"> (Cth) and authorised under the Act to carry on general insurance and reinsurance business in Australia.</w:t>
      </w:r>
    </w:p>
    <w:p w:rsidR="00147A8E" w:rsidRPr="00147A8E" w:rsidRDefault="00147A8E" w:rsidP="00147A8E">
      <w:pPr>
        <w:spacing w:after="0" w:line="240" w:lineRule="auto"/>
        <w:jc w:val="both"/>
        <w:rPr>
          <w:rFonts w:ascii="Arial" w:eastAsia="Times New Roman" w:hAnsi="Arial" w:cs="Arial"/>
          <w:sz w:val="20"/>
          <w:szCs w:val="20"/>
        </w:rPr>
      </w:pPr>
    </w:p>
    <w:p w:rsidR="00147A8E" w:rsidRPr="00147A8E" w:rsidRDefault="00147A8E" w:rsidP="00147A8E">
      <w:pPr>
        <w:spacing w:after="0" w:line="240" w:lineRule="auto"/>
        <w:jc w:val="both"/>
        <w:rPr>
          <w:rFonts w:ascii="Arial" w:eastAsia="Times New Roman" w:hAnsi="Arial" w:cs="Arial"/>
          <w:sz w:val="20"/>
          <w:szCs w:val="20"/>
        </w:rPr>
      </w:pPr>
      <w:r w:rsidRPr="00147A8E">
        <w:rPr>
          <w:rFonts w:ascii="Arial" w:eastAsia="Times New Roman" w:hAnsi="Arial" w:cs="Arial"/>
          <w:sz w:val="20"/>
          <w:szCs w:val="20"/>
        </w:rPr>
        <w:t>Should the schemes be confirmed by the Federal Court of Australia, IAL will be substituted for each of the Transferring Insurers under policies issued or underwritten by each of the Transferring Insurers.</w:t>
      </w:r>
    </w:p>
    <w:p w:rsidR="00147A8E" w:rsidRPr="00147A8E" w:rsidRDefault="00147A8E" w:rsidP="00147A8E">
      <w:pPr>
        <w:spacing w:after="0" w:line="240" w:lineRule="auto"/>
        <w:jc w:val="both"/>
        <w:rPr>
          <w:rFonts w:ascii="Arial" w:eastAsia="Times New Roman" w:hAnsi="Arial" w:cs="Arial"/>
          <w:sz w:val="20"/>
          <w:szCs w:val="20"/>
        </w:rPr>
      </w:pPr>
    </w:p>
    <w:p w:rsidR="00147A8E" w:rsidRPr="00147A8E" w:rsidRDefault="00147A8E" w:rsidP="00147A8E">
      <w:pPr>
        <w:spacing w:after="0" w:line="240" w:lineRule="auto"/>
        <w:jc w:val="both"/>
        <w:rPr>
          <w:rFonts w:ascii="Arial" w:eastAsia="Times New Roman" w:hAnsi="Arial" w:cs="Times New Roman"/>
          <w:sz w:val="20"/>
          <w:szCs w:val="24"/>
        </w:rPr>
      </w:pPr>
      <w:r w:rsidRPr="00147A8E">
        <w:rPr>
          <w:rFonts w:ascii="Arial" w:eastAsia="Times New Roman" w:hAnsi="Arial" w:cs="Times New Roman"/>
          <w:sz w:val="20"/>
          <w:szCs w:val="24"/>
        </w:rPr>
        <w:t>Any person who holds a policy affected by any of the schemes has the right to:</w:t>
      </w:r>
    </w:p>
    <w:p w:rsidR="00147A8E" w:rsidRPr="00147A8E" w:rsidRDefault="00147A8E" w:rsidP="00147A8E">
      <w:pPr>
        <w:spacing w:after="0" w:line="240" w:lineRule="auto"/>
        <w:jc w:val="both"/>
        <w:rPr>
          <w:rFonts w:ascii="Arial" w:eastAsia="Times New Roman" w:hAnsi="Arial" w:cs="Times New Roman"/>
          <w:sz w:val="20"/>
          <w:szCs w:val="24"/>
        </w:rPr>
      </w:pPr>
    </w:p>
    <w:p w:rsidR="00147A8E" w:rsidRPr="00147A8E" w:rsidRDefault="00147A8E" w:rsidP="00147A8E">
      <w:pPr>
        <w:numPr>
          <w:ilvl w:val="0"/>
          <w:numId w:val="2"/>
        </w:numPr>
        <w:spacing w:after="0" w:line="240" w:lineRule="auto"/>
        <w:jc w:val="both"/>
        <w:rPr>
          <w:rFonts w:ascii="Arial" w:eastAsia="Times New Roman" w:hAnsi="Arial" w:cs="Times New Roman"/>
          <w:sz w:val="20"/>
          <w:szCs w:val="24"/>
        </w:rPr>
      </w:pPr>
      <w:r w:rsidRPr="00147A8E">
        <w:rPr>
          <w:rFonts w:ascii="Arial" w:eastAsia="Times New Roman" w:hAnsi="Arial" w:cs="Times New Roman"/>
          <w:sz w:val="20"/>
          <w:szCs w:val="24"/>
        </w:rPr>
        <w:t>obtain a copy of the schemes free of charge on request; and</w:t>
      </w:r>
    </w:p>
    <w:p w:rsidR="00147A8E" w:rsidRPr="00147A8E" w:rsidRDefault="00147A8E" w:rsidP="00147A8E">
      <w:pPr>
        <w:numPr>
          <w:ilvl w:val="0"/>
          <w:numId w:val="2"/>
        </w:numPr>
        <w:spacing w:after="0" w:line="240" w:lineRule="auto"/>
        <w:jc w:val="both"/>
        <w:rPr>
          <w:rFonts w:ascii="Arial" w:eastAsia="Times New Roman" w:hAnsi="Arial" w:cs="Times New Roman"/>
          <w:sz w:val="20"/>
          <w:szCs w:val="24"/>
        </w:rPr>
      </w:pPr>
      <w:r w:rsidRPr="00147A8E">
        <w:rPr>
          <w:rFonts w:ascii="Arial" w:eastAsia="Times New Roman" w:hAnsi="Arial" w:cs="Times New Roman"/>
          <w:sz w:val="20"/>
          <w:szCs w:val="24"/>
        </w:rPr>
        <w:t>attend the Court hearing and request to be heard on the application for confirmation of the schemes.</w:t>
      </w:r>
    </w:p>
    <w:p w:rsidR="00147A8E" w:rsidRPr="00147A8E" w:rsidRDefault="00147A8E" w:rsidP="00147A8E">
      <w:pPr>
        <w:spacing w:after="0" w:line="240" w:lineRule="auto"/>
        <w:jc w:val="both"/>
        <w:rPr>
          <w:rFonts w:ascii="Arial" w:eastAsia="Times New Roman" w:hAnsi="Arial" w:cs="Arial"/>
          <w:sz w:val="20"/>
          <w:szCs w:val="20"/>
        </w:rPr>
      </w:pPr>
    </w:p>
    <w:p w:rsidR="00147A8E" w:rsidRPr="00147A8E" w:rsidRDefault="00147A8E" w:rsidP="00147A8E">
      <w:pPr>
        <w:spacing w:after="0" w:line="240" w:lineRule="auto"/>
        <w:jc w:val="both"/>
        <w:rPr>
          <w:rFonts w:ascii="Arial" w:eastAsia="Times New Roman" w:hAnsi="Arial" w:cs="Arial"/>
          <w:sz w:val="20"/>
          <w:szCs w:val="20"/>
        </w:rPr>
      </w:pPr>
      <w:r w:rsidRPr="00147A8E">
        <w:rPr>
          <w:rFonts w:ascii="Arial" w:eastAsia="Times New Roman" w:hAnsi="Arial" w:cs="Times New Roman"/>
          <w:sz w:val="20"/>
          <w:szCs w:val="24"/>
        </w:rPr>
        <w:t xml:space="preserve">An application by IAL for confirmation of the schemes will be made to the Court in Sydney in or about July 2017 (the exact date will be published on the website </w:t>
      </w:r>
      <w:hyperlink r:id="rId9" w:history="1">
        <w:r w:rsidRPr="00147A8E">
          <w:rPr>
            <w:rFonts w:ascii="Arial" w:eastAsia="Times New Roman" w:hAnsi="Arial" w:cs="Times New Roman"/>
            <w:color w:val="0000FF"/>
            <w:sz w:val="20"/>
            <w:szCs w:val="24"/>
            <w:u w:val="single"/>
          </w:rPr>
          <w:t>www.iag.com.au/licences</w:t>
        </w:r>
      </w:hyperlink>
      <w:r w:rsidRPr="00147A8E">
        <w:rPr>
          <w:rFonts w:ascii="Arial" w:eastAsia="Times New Roman" w:hAnsi="Arial" w:cs="Times New Roman"/>
          <w:sz w:val="20"/>
          <w:szCs w:val="24"/>
        </w:rPr>
        <w:t xml:space="preserve"> when available).  </w:t>
      </w:r>
      <w:r w:rsidRPr="00147A8E">
        <w:rPr>
          <w:rFonts w:ascii="Arial" w:eastAsia="Times New Roman" w:hAnsi="Arial" w:cs="Arial"/>
          <w:sz w:val="20"/>
          <w:szCs w:val="20"/>
        </w:rPr>
        <w:t xml:space="preserve">If you wish to appear at the hearing, it would assist if you could first contact our lawyer, </w:t>
      </w:r>
      <w:r>
        <w:rPr>
          <w:rFonts w:ascii="Arial" w:eastAsia="Times New Roman" w:hAnsi="Arial" w:cs="Arial"/>
          <w:sz w:val="20"/>
          <w:szCs w:val="20"/>
        </w:rPr>
        <w:t>Mr</w:t>
      </w:r>
      <w:r w:rsidRPr="00147A8E">
        <w:rPr>
          <w:rFonts w:ascii="Arial" w:eastAsia="Times New Roman" w:hAnsi="Arial" w:cs="Arial"/>
          <w:sz w:val="20"/>
          <w:szCs w:val="20"/>
        </w:rPr>
        <w:t xml:space="preserve"> </w:t>
      </w:r>
      <w:r>
        <w:rPr>
          <w:rFonts w:ascii="Arial" w:eastAsia="Times New Roman" w:hAnsi="Arial" w:cs="Arial"/>
          <w:sz w:val="20"/>
          <w:szCs w:val="20"/>
        </w:rPr>
        <w:t>Kemsley Brennan</w:t>
      </w:r>
      <w:r w:rsidRPr="00147A8E">
        <w:rPr>
          <w:rFonts w:ascii="Arial" w:eastAsia="Times New Roman" w:hAnsi="Arial" w:cs="Arial"/>
          <w:sz w:val="20"/>
          <w:szCs w:val="20"/>
        </w:rPr>
        <w:t xml:space="preserve"> of MinterEllison, Level 40, Governor Macquarie Tower, 1 Farrer Place, Sydney NSW 2000 (telephone (02) 9921 8888), at least </w:t>
      </w:r>
      <w:r>
        <w:rPr>
          <w:rFonts w:ascii="Arial" w:eastAsia="Times New Roman" w:hAnsi="Arial" w:cs="Arial"/>
          <w:sz w:val="20"/>
          <w:szCs w:val="20"/>
        </w:rPr>
        <w:t>three</w:t>
      </w:r>
      <w:r w:rsidRPr="00147A8E">
        <w:rPr>
          <w:rFonts w:ascii="Arial" w:eastAsia="Times New Roman" w:hAnsi="Arial" w:cs="Arial"/>
          <w:sz w:val="20"/>
          <w:szCs w:val="20"/>
        </w:rPr>
        <w:t xml:space="preserve"> days before the hearing date.</w:t>
      </w:r>
    </w:p>
    <w:p w:rsidR="00147A8E" w:rsidRPr="00147A8E" w:rsidRDefault="00147A8E" w:rsidP="00147A8E">
      <w:pPr>
        <w:spacing w:after="0" w:line="240" w:lineRule="auto"/>
        <w:jc w:val="both"/>
        <w:rPr>
          <w:rFonts w:ascii="Arial" w:eastAsia="Times New Roman" w:hAnsi="Arial" w:cs="Arial"/>
          <w:sz w:val="20"/>
          <w:szCs w:val="20"/>
        </w:rPr>
      </w:pPr>
    </w:p>
    <w:p w:rsidR="00147A8E" w:rsidRPr="00147A8E" w:rsidRDefault="00147A8E" w:rsidP="00147A8E">
      <w:pPr>
        <w:spacing w:after="0" w:line="240" w:lineRule="auto"/>
        <w:jc w:val="both"/>
        <w:rPr>
          <w:rFonts w:ascii="Arial" w:eastAsia="Times New Roman" w:hAnsi="Arial" w:cs="Arial"/>
          <w:sz w:val="20"/>
          <w:szCs w:val="20"/>
        </w:rPr>
      </w:pPr>
      <w:r w:rsidRPr="00147A8E">
        <w:rPr>
          <w:rFonts w:ascii="Arial" w:eastAsia="Times New Roman" w:hAnsi="Arial" w:cs="Arial"/>
          <w:sz w:val="20"/>
          <w:szCs w:val="20"/>
        </w:rPr>
        <w:t xml:space="preserve">Copies of this notice, the schemes, a summary of the schemes and the actuarial report on which the schemes are based are available on </w:t>
      </w:r>
      <w:hyperlink r:id="rId10" w:history="1">
        <w:r w:rsidRPr="00147A8E">
          <w:rPr>
            <w:rFonts w:ascii="Arial" w:eastAsia="Times New Roman" w:hAnsi="Arial" w:cs="Arial"/>
            <w:color w:val="0000FF"/>
            <w:sz w:val="20"/>
            <w:szCs w:val="20"/>
            <w:u w:val="single"/>
          </w:rPr>
          <w:t>www.iag.com.au/licences</w:t>
        </w:r>
      </w:hyperlink>
      <w:r w:rsidRPr="00147A8E">
        <w:rPr>
          <w:rFonts w:ascii="Arial" w:eastAsia="Times New Roman" w:hAnsi="Arial" w:cs="Arial"/>
          <w:sz w:val="20"/>
          <w:szCs w:val="20"/>
        </w:rPr>
        <w:t xml:space="preserve">.  Policyholders may obtain or inspect a copy of these documents at the places set out below during the hours of 9:00am to 5:00 pm each day (other than weekends and public holidays) from 8 May 2017 until 31 May 2017. </w:t>
      </w:r>
    </w:p>
    <w:p w:rsidR="00147A8E" w:rsidRPr="00147A8E" w:rsidRDefault="00147A8E" w:rsidP="00147A8E">
      <w:pPr>
        <w:spacing w:after="0" w:line="240" w:lineRule="auto"/>
        <w:rPr>
          <w:rFonts w:ascii="Arial" w:eastAsia="Times New Roman" w:hAnsi="Arial" w:cs="Arial"/>
          <w:sz w:val="20"/>
          <w:szCs w:val="20"/>
        </w:rPr>
      </w:pPr>
      <w:r w:rsidRPr="00147A8E">
        <w:rPr>
          <w:rFonts w:ascii="Arial" w:eastAsia="Times New Roman" w:hAnsi="Arial" w:cs="Arial"/>
          <w:sz w:val="20"/>
          <w:szCs w:val="20"/>
        </w:rPr>
        <w:br w:type="page"/>
      </w:r>
    </w:p>
    <w:p w:rsidR="00147A8E" w:rsidRPr="00147A8E" w:rsidRDefault="00147A8E" w:rsidP="00147A8E">
      <w:pPr>
        <w:spacing w:after="0" w:line="240" w:lineRule="auto"/>
        <w:jc w:val="both"/>
        <w:rPr>
          <w:rFonts w:ascii="Arial" w:eastAsia="Times New Roman" w:hAnsi="Arial" w:cs="Arial"/>
          <w:sz w:val="20"/>
          <w:szCs w:val="20"/>
        </w:rPr>
      </w:pPr>
    </w:p>
    <w:tbl>
      <w:tblPr>
        <w:tblStyle w:val="TableGrid"/>
        <w:tblW w:w="0" w:type="auto"/>
        <w:tblLayout w:type="fixed"/>
        <w:tblLook w:val="04A0" w:firstRow="1" w:lastRow="0" w:firstColumn="1" w:lastColumn="0" w:noHBand="0" w:noVBand="1"/>
      </w:tblPr>
      <w:tblGrid>
        <w:gridCol w:w="4785"/>
        <w:gridCol w:w="4785"/>
      </w:tblGrid>
      <w:tr w:rsidR="00147A8E" w:rsidRPr="00147A8E" w:rsidTr="002527EC">
        <w:tc>
          <w:tcPr>
            <w:tcW w:w="4785" w:type="dxa"/>
          </w:tcPr>
          <w:p w:rsidR="00147A8E" w:rsidRPr="00147A8E" w:rsidRDefault="00147A8E" w:rsidP="00147A8E">
            <w:pPr>
              <w:rPr>
                <w:rFonts w:ascii="Arial" w:eastAsia="Times New Roman" w:hAnsi="Arial" w:cs="Arial"/>
                <w:b/>
                <w:sz w:val="20"/>
                <w:szCs w:val="20"/>
              </w:rPr>
            </w:pPr>
            <w:r w:rsidRPr="00147A8E">
              <w:rPr>
                <w:rFonts w:ascii="Arial" w:eastAsia="Times New Roman" w:hAnsi="Arial" w:cs="Arial"/>
                <w:b/>
                <w:sz w:val="20"/>
                <w:szCs w:val="20"/>
              </w:rPr>
              <w:t>New South Wales</w:t>
            </w:r>
          </w:p>
          <w:p w:rsidR="00147A8E" w:rsidRPr="00147A8E" w:rsidRDefault="00147A8E" w:rsidP="00147A8E">
            <w:pPr>
              <w:rPr>
                <w:rFonts w:ascii="Arial" w:eastAsia="Times New Roman" w:hAnsi="Arial" w:cs="Arial"/>
                <w:sz w:val="20"/>
                <w:szCs w:val="20"/>
              </w:rPr>
            </w:pPr>
            <w:r w:rsidRPr="00147A8E">
              <w:rPr>
                <w:rFonts w:ascii="Arial" w:eastAsia="Times New Roman" w:hAnsi="Arial" w:cs="Arial"/>
                <w:sz w:val="20"/>
                <w:szCs w:val="20"/>
              </w:rPr>
              <w:t>MinterEllison</w:t>
            </w:r>
          </w:p>
          <w:p w:rsidR="00147A8E" w:rsidRPr="00147A8E" w:rsidRDefault="00147A8E" w:rsidP="00147A8E">
            <w:pPr>
              <w:rPr>
                <w:rFonts w:ascii="Arial" w:eastAsia="Times New Roman" w:hAnsi="Arial" w:cs="Arial"/>
                <w:sz w:val="20"/>
                <w:szCs w:val="20"/>
              </w:rPr>
            </w:pPr>
            <w:r w:rsidRPr="00147A8E">
              <w:rPr>
                <w:rFonts w:ascii="Arial" w:eastAsia="Times New Roman" w:hAnsi="Arial" w:cs="Arial"/>
                <w:sz w:val="20"/>
                <w:szCs w:val="20"/>
              </w:rPr>
              <w:t>Level 40, Governor Macquarie Tower</w:t>
            </w:r>
          </w:p>
          <w:p w:rsidR="00147A8E" w:rsidRPr="00147A8E" w:rsidRDefault="00147A8E" w:rsidP="00147A8E">
            <w:pPr>
              <w:rPr>
                <w:rFonts w:ascii="Arial" w:eastAsia="Times New Roman" w:hAnsi="Arial" w:cs="Arial"/>
                <w:sz w:val="20"/>
                <w:szCs w:val="20"/>
              </w:rPr>
            </w:pPr>
            <w:r w:rsidRPr="00147A8E">
              <w:rPr>
                <w:rFonts w:ascii="Arial" w:eastAsia="Times New Roman" w:hAnsi="Arial" w:cs="Arial"/>
                <w:sz w:val="20"/>
                <w:szCs w:val="20"/>
              </w:rPr>
              <w:t>1 Farrer Place</w:t>
            </w:r>
          </w:p>
          <w:p w:rsidR="00147A8E" w:rsidRPr="00147A8E" w:rsidRDefault="00147A8E" w:rsidP="00147A8E">
            <w:pPr>
              <w:rPr>
                <w:rFonts w:ascii="Arial" w:eastAsia="Times New Roman" w:hAnsi="Arial" w:cs="Arial"/>
                <w:sz w:val="20"/>
                <w:szCs w:val="20"/>
              </w:rPr>
            </w:pPr>
            <w:r w:rsidRPr="00147A8E">
              <w:rPr>
                <w:rFonts w:ascii="Arial" w:eastAsia="Times New Roman" w:hAnsi="Arial" w:cs="Arial"/>
                <w:sz w:val="20"/>
                <w:szCs w:val="20"/>
              </w:rPr>
              <w:t>Sydney  NSW  2000</w:t>
            </w:r>
          </w:p>
          <w:p w:rsidR="00147A8E" w:rsidRPr="00147A8E" w:rsidRDefault="00147A8E" w:rsidP="00147A8E">
            <w:pPr>
              <w:rPr>
                <w:rFonts w:ascii="Arial" w:eastAsia="Times New Roman" w:hAnsi="Arial" w:cs="Arial"/>
                <w:sz w:val="20"/>
                <w:szCs w:val="20"/>
              </w:rPr>
            </w:pPr>
          </w:p>
        </w:tc>
        <w:tc>
          <w:tcPr>
            <w:tcW w:w="4785" w:type="dxa"/>
          </w:tcPr>
          <w:p w:rsidR="00147A8E" w:rsidRPr="00147A8E" w:rsidRDefault="00147A8E" w:rsidP="00147A8E">
            <w:pPr>
              <w:rPr>
                <w:rFonts w:ascii="Arial" w:eastAsia="Times New Roman" w:hAnsi="Arial" w:cs="Arial"/>
                <w:b/>
                <w:sz w:val="20"/>
                <w:szCs w:val="20"/>
              </w:rPr>
            </w:pPr>
            <w:r w:rsidRPr="00147A8E">
              <w:rPr>
                <w:rFonts w:ascii="Arial" w:eastAsia="Times New Roman" w:hAnsi="Arial" w:cs="Arial"/>
                <w:b/>
                <w:sz w:val="20"/>
                <w:szCs w:val="20"/>
              </w:rPr>
              <w:t>Queensland</w:t>
            </w:r>
          </w:p>
          <w:p w:rsidR="00147A8E" w:rsidRPr="00147A8E" w:rsidRDefault="00147A8E" w:rsidP="00147A8E">
            <w:pPr>
              <w:rPr>
                <w:rFonts w:ascii="Arial" w:eastAsia="Times New Roman" w:hAnsi="Arial" w:cs="Arial"/>
                <w:sz w:val="20"/>
                <w:szCs w:val="20"/>
              </w:rPr>
            </w:pPr>
            <w:r w:rsidRPr="00147A8E">
              <w:rPr>
                <w:rFonts w:ascii="Arial" w:eastAsia="Times New Roman" w:hAnsi="Arial" w:cs="Arial"/>
                <w:sz w:val="20"/>
                <w:szCs w:val="20"/>
              </w:rPr>
              <w:t>MinterEllison</w:t>
            </w:r>
          </w:p>
          <w:p w:rsidR="00147A8E" w:rsidRPr="00147A8E" w:rsidRDefault="00147A8E" w:rsidP="00147A8E">
            <w:pPr>
              <w:rPr>
                <w:rFonts w:ascii="Arial" w:eastAsia="Times New Roman" w:hAnsi="Arial" w:cs="Arial"/>
                <w:sz w:val="20"/>
                <w:szCs w:val="20"/>
              </w:rPr>
            </w:pPr>
            <w:r w:rsidRPr="00147A8E">
              <w:rPr>
                <w:rFonts w:ascii="Arial" w:eastAsia="Times New Roman" w:hAnsi="Arial" w:cs="Arial"/>
                <w:sz w:val="20"/>
                <w:szCs w:val="20"/>
              </w:rPr>
              <w:t>Level 22, Waterfront Place</w:t>
            </w:r>
          </w:p>
          <w:p w:rsidR="00147A8E" w:rsidRPr="00147A8E" w:rsidRDefault="00147A8E" w:rsidP="00147A8E">
            <w:pPr>
              <w:rPr>
                <w:rFonts w:ascii="Arial" w:eastAsia="Times New Roman" w:hAnsi="Arial" w:cs="Arial"/>
                <w:sz w:val="20"/>
                <w:szCs w:val="20"/>
              </w:rPr>
            </w:pPr>
            <w:r w:rsidRPr="00147A8E">
              <w:rPr>
                <w:rFonts w:ascii="Arial" w:eastAsia="Times New Roman" w:hAnsi="Arial" w:cs="Arial"/>
                <w:sz w:val="20"/>
                <w:szCs w:val="20"/>
              </w:rPr>
              <w:t>1 Eagle Street</w:t>
            </w:r>
          </w:p>
          <w:p w:rsidR="00147A8E" w:rsidRPr="00147A8E" w:rsidRDefault="00147A8E" w:rsidP="00147A8E">
            <w:pPr>
              <w:rPr>
                <w:rFonts w:ascii="Arial" w:eastAsia="Times New Roman" w:hAnsi="Arial" w:cs="Arial"/>
                <w:sz w:val="20"/>
                <w:szCs w:val="20"/>
              </w:rPr>
            </w:pPr>
            <w:r w:rsidRPr="00147A8E">
              <w:rPr>
                <w:rFonts w:ascii="Arial" w:eastAsia="Times New Roman" w:hAnsi="Arial" w:cs="Arial"/>
                <w:sz w:val="20"/>
                <w:szCs w:val="20"/>
              </w:rPr>
              <w:t>Brisbane  QLD  4000</w:t>
            </w:r>
          </w:p>
          <w:p w:rsidR="00147A8E" w:rsidRPr="00147A8E" w:rsidRDefault="00147A8E" w:rsidP="00147A8E">
            <w:pPr>
              <w:rPr>
                <w:rFonts w:ascii="Arial" w:eastAsia="Times New Roman" w:hAnsi="Arial" w:cs="Arial"/>
                <w:sz w:val="20"/>
                <w:szCs w:val="20"/>
              </w:rPr>
            </w:pPr>
          </w:p>
        </w:tc>
      </w:tr>
      <w:tr w:rsidR="00147A8E" w:rsidRPr="00147A8E" w:rsidTr="002527EC">
        <w:tc>
          <w:tcPr>
            <w:tcW w:w="4785" w:type="dxa"/>
          </w:tcPr>
          <w:p w:rsidR="00147A8E" w:rsidRPr="00147A8E" w:rsidRDefault="00147A8E" w:rsidP="00147A8E">
            <w:pPr>
              <w:rPr>
                <w:rFonts w:ascii="Arial" w:eastAsia="Times New Roman" w:hAnsi="Arial" w:cs="Arial"/>
                <w:b/>
                <w:sz w:val="20"/>
                <w:szCs w:val="20"/>
              </w:rPr>
            </w:pPr>
            <w:r w:rsidRPr="00147A8E">
              <w:rPr>
                <w:rFonts w:ascii="Arial" w:eastAsia="Times New Roman" w:hAnsi="Arial" w:cs="Arial"/>
                <w:b/>
                <w:sz w:val="20"/>
                <w:szCs w:val="20"/>
              </w:rPr>
              <w:t>Victoria</w:t>
            </w:r>
          </w:p>
          <w:p w:rsidR="00147A8E" w:rsidRPr="00147A8E" w:rsidRDefault="00147A8E" w:rsidP="00147A8E">
            <w:pPr>
              <w:rPr>
                <w:rFonts w:ascii="Arial" w:eastAsia="Times New Roman" w:hAnsi="Arial" w:cs="Arial"/>
                <w:sz w:val="20"/>
                <w:szCs w:val="20"/>
              </w:rPr>
            </w:pPr>
            <w:r w:rsidRPr="00147A8E">
              <w:rPr>
                <w:rFonts w:ascii="Arial" w:eastAsia="Times New Roman" w:hAnsi="Arial" w:cs="Arial"/>
                <w:sz w:val="20"/>
                <w:szCs w:val="20"/>
              </w:rPr>
              <w:t>MinterEllison</w:t>
            </w:r>
          </w:p>
          <w:p w:rsidR="00147A8E" w:rsidRPr="00147A8E" w:rsidRDefault="00147A8E" w:rsidP="00147A8E">
            <w:pPr>
              <w:rPr>
                <w:rFonts w:ascii="Arial" w:eastAsia="Times New Roman" w:hAnsi="Arial" w:cs="Arial"/>
                <w:sz w:val="20"/>
                <w:szCs w:val="20"/>
              </w:rPr>
            </w:pPr>
            <w:r w:rsidRPr="00147A8E">
              <w:rPr>
                <w:rFonts w:ascii="Arial" w:eastAsia="Times New Roman" w:hAnsi="Arial" w:cs="Arial"/>
                <w:sz w:val="20"/>
                <w:szCs w:val="20"/>
              </w:rPr>
              <w:t>Level 23, Rialto Towers</w:t>
            </w:r>
          </w:p>
          <w:p w:rsidR="00147A8E" w:rsidRPr="00147A8E" w:rsidRDefault="00147A8E" w:rsidP="00147A8E">
            <w:pPr>
              <w:rPr>
                <w:rFonts w:ascii="Arial" w:eastAsia="Times New Roman" w:hAnsi="Arial" w:cs="Arial"/>
                <w:sz w:val="20"/>
                <w:szCs w:val="20"/>
              </w:rPr>
            </w:pPr>
            <w:r w:rsidRPr="00147A8E">
              <w:rPr>
                <w:rFonts w:ascii="Arial" w:eastAsia="Times New Roman" w:hAnsi="Arial" w:cs="Arial"/>
                <w:sz w:val="20"/>
                <w:szCs w:val="20"/>
              </w:rPr>
              <w:t>525 Collins Street</w:t>
            </w:r>
          </w:p>
          <w:p w:rsidR="00147A8E" w:rsidRPr="00147A8E" w:rsidRDefault="00147A8E" w:rsidP="00147A8E">
            <w:pPr>
              <w:rPr>
                <w:rFonts w:ascii="Arial" w:eastAsia="Times New Roman" w:hAnsi="Arial" w:cs="Arial"/>
                <w:sz w:val="20"/>
                <w:szCs w:val="20"/>
              </w:rPr>
            </w:pPr>
            <w:r w:rsidRPr="00147A8E">
              <w:rPr>
                <w:rFonts w:ascii="Arial" w:eastAsia="Times New Roman" w:hAnsi="Arial" w:cs="Arial"/>
                <w:sz w:val="20"/>
                <w:szCs w:val="20"/>
              </w:rPr>
              <w:t>Melbourne  VIC  3000</w:t>
            </w:r>
          </w:p>
          <w:p w:rsidR="00147A8E" w:rsidRPr="00147A8E" w:rsidRDefault="00147A8E" w:rsidP="00147A8E">
            <w:pPr>
              <w:rPr>
                <w:rFonts w:ascii="Arial" w:eastAsia="Times New Roman" w:hAnsi="Arial" w:cs="Arial"/>
                <w:b/>
                <w:sz w:val="20"/>
                <w:szCs w:val="20"/>
              </w:rPr>
            </w:pPr>
          </w:p>
        </w:tc>
        <w:tc>
          <w:tcPr>
            <w:tcW w:w="4785" w:type="dxa"/>
          </w:tcPr>
          <w:p w:rsidR="00147A8E" w:rsidRPr="00147A8E" w:rsidRDefault="00147A8E" w:rsidP="00147A8E">
            <w:pPr>
              <w:rPr>
                <w:rFonts w:ascii="Arial" w:eastAsia="Times New Roman" w:hAnsi="Arial" w:cs="Arial"/>
                <w:b/>
                <w:sz w:val="20"/>
                <w:szCs w:val="20"/>
              </w:rPr>
            </w:pPr>
            <w:r w:rsidRPr="00147A8E">
              <w:rPr>
                <w:rFonts w:ascii="Arial" w:eastAsia="Times New Roman" w:hAnsi="Arial" w:cs="Arial"/>
                <w:b/>
                <w:sz w:val="20"/>
                <w:szCs w:val="20"/>
              </w:rPr>
              <w:t>Australian Capital Territory</w:t>
            </w:r>
          </w:p>
          <w:p w:rsidR="00147A8E" w:rsidRPr="00147A8E" w:rsidRDefault="00147A8E" w:rsidP="00147A8E">
            <w:pPr>
              <w:rPr>
                <w:rFonts w:ascii="Arial" w:eastAsia="Times New Roman" w:hAnsi="Arial" w:cs="Arial"/>
                <w:sz w:val="20"/>
                <w:szCs w:val="20"/>
              </w:rPr>
            </w:pPr>
            <w:r w:rsidRPr="00147A8E">
              <w:rPr>
                <w:rFonts w:ascii="Arial" w:eastAsia="Times New Roman" w:hAnsi="Arial" w:cs="Arial"/>
                <w:sz w:val="20"/>
                <w:szCs w:val="20"/>
              </w:rPr>
              <w:t>MinterEllison</w:t>
            </w:r>
          </w:p>
          <w:p w:rsidR="00147A8E" w:rsidRPr="00147A8E" w:rsidRDefault="00147A8E" w:rsidP="00147A8E">
            <w:pPr>
              <w:rPr>
                <w:rFonts w:ascii="Arial" w:eastAsia="Times New Roman" w:hAnsi="Arial" w:cs="Arial"/>
                <w:sz w:val="20"/>
                <w:szCs w:val="20"/>
              </w:rPr>
            </w:pPr>
            <w:r w:rsidRPr="00147A8E">
              <w:rPr>
                <w:rFonts w:ascii="Arial" w:eastAsia="Times New Roman" w:hAnsi="Arial" w:cs="Arial"/>
                <w:sz w:val="20"/>
                <w:szCs w:val="20"/>
              </w:rPr>
              <w:t>Level 3, 25 National Circuit</w:t>
            </w:r>
          </w:p>
          <w:p w:rsidR="00147A8E" w:rsidRPr="00147A8E" w:rsidRDefault="00147A8E" w:rsidP="00147A8E">
            <w:pPr>
              <w:rPr>
                <w:rFonts w:ascii="Arial" w:eastAsia="Times New Roman" w:hAnsi="Arial" w:cs="Arial"/>
                <w:sz w:val="20"/>
                <w:szCs w:val="20"/>
              </w:rPr>
            </w:pPr>
            <w:r w:rsidRPr="00147A8E">
              <w:rPr>
                <w:rFonts w:ascii="Arial" w:eastAsia="Times New Roman" w:hAnsi="Arial" w:cs="Arial"/>
                <w:sz w:val="20"/>
                <w:szCs w:val="20"/>
              </w:rPr>
              <w:t>Forrest  ACT  2603</w:t>
            </w:r>
          </w:p>
          <w:p w:rsidR="00147A8E" w:rsidRPr="00147A8E" w:rsidRDefault="00147A8E" w:rsidP="00147A8E">
            <w:pPr>
              <w:rPr>
                <w:rFonts w:ascii="Arial" w:eastAsia="Times New Roman" w:hAnsi="Arial" w:cs="Arial"/>
                <w:b/>
                <w:sz w:val="20"/>
                <w:szCs w:val="20"/>
              </w:rPr>
            </w:pPr>
          </w:p>
        </w:tc>
      </w:tr>
      <w:tr w:rsidR="00147A8E" w:rsidRPr="00147A8E" w:rsidTr="002527EC">
        <w:tc>
          <w:tcPr>
            <w:tcW w:w="4785" w:type="dxa"/>
          </w:tcPr>
          <w:p w:rsidR="00147A8E" w:rsidRPr="00147A8E" w:rsidRDefault="00147A8E" w:rsidP="00147A8E">
            <w:pPr>
              <w:rPr>
                <w:rFonts w:ascii="Arial" w:eastAsia="Times New Roman" w:hAnsi="Arial" w:cs="Arial"/>
                <w:b/>
                <w:sz w:val="20"/>
                <w:szCs w:val="20"/>
              </w:rPr>
            </w:pPr>
            <w:r w:rsidRPr="00147A8E">
              <w:rPr>
                <w:rFonts w:ascii="Arial" w:eastAsia="Times New Roman" w:hAnsi="Arial" w:cs="Arial"/>
                <w:b/>
                <w:sz w:val="20"/>
                <w:szCs w:val="20"/>
              </w:rPr>
              <w:t>Western Australia</w:t>
            </w:r>
          </w:p>
          <w:p w:rsidR="00147A8E" w:rsidRPr="00147A8E" w:rsidRDefault="00147A8E" w:rsidP="00147A8E">
            <w:pPr>
              <w:rPr>
                <w:rFonts w:ascii="Arial" w:eastAsia="Times New Roman" w:hAnsi="Arial" w:cs="Arial"/>
                <w:sz w:val="20"/>
                <w:szCs w:val="20"/>
              </w:rPr>
            </w:pPr>
            <w:r w:rsidRPr="00147A8E">
              <w:rPr>
                <w:rFonts w:ascii="Arial" w:eastAsia="Times New Roman" w:hAnsi="Arial" w:cs="Arial"/>
                <w:sz w:val="20"/>
                <w:szCs w:val="20"/>
              </w:rPr>
              <w:t>MinterEllison</w:t>
            </w:r>
          </w:p>
          <w:p w:rsidR="00147A8E" w:rsidRPr="00147A8E" w:rsidRDefault="00147A8E" w:rsidP="00147A8E">
            <w:pPr>
              <w:rPr>
                <w:rFonts w:ascii="Arial" w:eastAsia="Times New Roman" w:hAnsi="Arial" w:cs="Arial"/>
                <w:sz w:val="20"/>
                <w:szCs w:val="20"/>
              </w:rPr>
            </w:pPr>
            <w:r w:rsidRPr="00147A8E">
              <w:rPr>
                <w:rFonts w:ascii="Arial" w:eastAsia="Times New Roman" w:hAnsi="Arial" w:cs="Arial"/>
                <w:sz w:val="20"/>
                <w:szCs w:val="20"/>
              </w:rPr>
              <w:t>Level 4, Allendale Square</w:t>
            </w:r>
          </w:p>
          <w:p w:rsidR="00147A8E" w:rsidRPr="00147A8E" w:rsidRDefault="00147A8E" w:rsidP="00147A8E">
            <w:pPr>
              <w:rPr>
                <w:rFonts w:ascii="Arial" w:eastAsia="Times New Roman" w:hAnsi="Arial" w:cs="Arial"/>
                <w:sz w:val="20"/>
                <w:szCs w:val="20"/>
              </w:rPr>
            </w:pPr>
            <w:r w:rsidRPr="00147A8E">
              <w:rPr>
                <w:rFonts w:ascii="Arial" w:eastAsia="Times New Roman" w:hAnsi="Arial" w:cs="Arial"/>
                <w:sz w:val="20"/>
                <w:szCs w:val="20"/>
              </w:rPr>
              <w:t>77 St Georges Terrace</w:t>
            </w:r>
          </w:p>
          <w:p w:rsidR="00147A8E" w:rsidRPr="00147A8E" w:rsidRDefault="00147A8E" w:rsidP="00147A8E">
            <w:pPr>
              <w:rPr>
                <w:rFonts w:ascii="Arial" w:eastAsia="Times New Roman" w:hAnsi="Arial" w:cs="Arial"/>
                <w:sz w:val="20"/>
                <w:szCs w:val="20"/>
              </w:rPr>
            </w:pPr>
            <w:r w:rsidRPr="00147A8E">
              <w:rPr>
                <w:rFonts w:ascii="Arial" w:eastAsia="Times New Roman" w:hAnsi="Arial" w:cs="Arial"/>
                <w:sz w:val="20"/>
                <w:szCs w:val="20"/>
              </w:rPr>
              <w:t>Perth  WA  6000</w:t>
            </w:r>
          </w:p>
          <w:p w:rsidR="00147A8E" w:rsidRPr="00147A8E" w:rsidRDefault="00147A8E" w:rsidP="00147A8E">
            <w:pPr>
              <w:rPr>
                <w:rFonts w:ascii="Arial" w:eastAsia="Times New Roman" w:hAnsi="Arial" w:cs="Arial"/>
                <w:b/>
                <w:sz w:val="20"/>
                <w:szCs w:val="20"/>
              </w:rPr>
            </w:pPr>
          </w:p>
        </w:tc>
        <w:tc>
          <w:tcPr>
            <w:tcW w:w="4785" w:type="dxa"/>
          </w:tcPr>
          <w:p w:rsidR="00147A8E" w:rsidRPr="00147A8E" w:rsidRDefault="00147A8E" w:rsidP="00147A8E">
            <w:pPr>
              <w:rPr>
                <w:rFonts w:ascii="Arial" w:eastAsia="Times New Roman" w:hAnsi="Arial"/>
                <w:b/>
                <w:sz w:val="20"/>
              </w:rPr>
            </w:pPr>
            <w:r w:rsidRPr="00147A8E">
              <w:rPr>
                <w:rFonts w:ascii="Arial" w:eastAsia="Times New Roman" w:hAnsi="Arial"/>
                <w:b/>
                <w:sz w:val="20"/>
              </w:rPr>
              <w:t>Northern Territory</w:t>
            </w:r>
          </w:p>
          <w:p w:rsidR="00147A8E" w:rsidRPr="00147A8E" w:rsidRDefault="00147A8E" w:rsidP="00147A8E">
            <w:pPr>
              <w:rPr>
                <w:rFonts w:ascii="Arial" w:eastAsia="Times New Roman" w:hAnsi="Arial"/>
                <w:sz w:val="20"/>
              </w:rPr>
            </w:pPr>
            <w:r w:rsidRPr="00147A8E">
              <w:rPr>
                <w:rFonts w:ascii="Arial" w:eastAsia="Times New Roman" w:hAnsi="Arial"/>
                <w:sz w:val="20"/>
              </w:rPr>
              <w:t>MinterEllison</w:t>
            </w:r>
          </w:p>
          <w:p w:rsidR="00147A8E" w:rsidRPr="00147A8E" w:rsidRDefault="00147A8E" w:rsidP="00147A8E">
            <w:pPr>
              <w:rPr>
                <w:rFonts w:ascii="Arial" w:eastAsia="Times New Roman" w:hAnsi="Arial"/>
                <w:sz w:val="20"/>
              </w:rPr>
            </w:pPr>
            <w:r w:rsidRPr="00147A8E">
              <w:rPr>
                <w:rFonts w:ascii="Arial" w:eastAsia="Times New Roman" w:hAnsi="Arial"/>
                <w:sz w:val="20"/>
              </w:rPr>
              <w:t>Level 1, 60 Smith Street</w:t>
            </w:r>
          </w:p>
          <w:p w:rsidR="00147A8E" w:rsidRPr="00147A8E" w:rsidRDefault="00147A8E" w:rsidP="00147A8E">
            <w:pPr>
              <w:rPr>
                <w:rFonts w:ascii="Arial" w:eastAsia="Times New Roman" w:hAnsi="Arial"/>
                <w:sz w:val="20"/>
              </w:rPr>
            </w:pPr>
            <w:r w:rsidRPr="00147A8E">
              <w:rPr>
                <w:rFonts w:ascii="Arial" w:eastAsia="Times New Roman" w:hAnsi="Arial"/>
                <w:sz w:val="20"/>
              </w:rPr>
              <w:t>Darwin  NT  0800</w:t>
            </w:r>
          </w:p>
          <w:p w:rsidR="00147A8E" w:rsidRPr="00147A8E" w:rsidRDefault="00147A8E" w:rsidP="00147A8E">
            <w:pPr>
              <w:rPr>
                <w:rFonts w:ascii="Arial" w:eastAsia="Times New Roman" w:hAnsi="Arial"/>
                <w:sz w:val="20"/>
              </w:rPr>
            </w:pPr>
          </w:p>
        </w:tc>
      </w:tr>
      <w:tr w:rsidR="00147A8E" w:rsidRPr="00147A8E" w:rsidTr="002527EC">
        <w:tc>
          <w:tcPr>
            <w:tcW w:w="4785" w:type="dxa"/>
          </w:tcPr>
          <w:p w:rsidR="00147A8E" w:rsidRPr="00147A8E" w:rsidRDefault="00147A8E" w:rsidP="00147A8E">
            <w:pPr>
              <w:rPr>
                <w:rFonts w:ascii="Arial" w:eastAsia="Times New Roman" w:hAnsi="Arial" w:cs="Arial"/>
                <w:b/>
                <w:sz w:val="20"/>
                <w:szCs w:val="20"/>
              </w:rPr>
            </w:pPr>
            <w:r w:rsidRPr="00147A8E">
              <w:rPr>
                <w:rFonts w:ascii="Arial" w:eastAsia="Times New Roman" w:hAnsi="Arial" w:cs="Arial"/>
                <w:b/>
                <w:sz w:val="20"/>
                <w:szCs w:val="20"/>
              </w:rPr>
              <w:t>South Australia</w:t>
            </w:r>
          </w:p>
          <w:p w:rsidR="00147A8E" w:rsidRPr="00147A8E" w:rsidRDefault="00147A8E" w:rsidP="00147A8E">
            <w:pPr>
              <w:rPr>
                <w:rFonts w:ascii="Arial" w:eastAsia="Times New Roman" w:hAnsi="Arial" w:cs="Arial"/>
                <w:sz w:val="20"/>
                <w:szCs w:val="20"/>
              </w:rPr>
            </w:pPr>
            <w:r w:rsidRPr="00147A8E">
              <w:rPr>
                <w:rFonts w:ascii="Arial" w:eastAsia="Times New Roman" w:hAnsi="Arial" w:cs="Arial"/>
                <w:sz w:val="20"/>
                <w:szCs w:val="20"/>
              </w:rPr>
              <w:t>MinterEllison</w:t>
            </w:r>
          </w:p>
          <w:p w:rsidR="00147A8E" w:rsidRPr="00147A8E" w:rsidRDefault="00147A8E" w:rsidP="00147A8E">
            <w:pPr>
              <w:rPr>
                <w:rFonts w:ascii="Arial" w:eastAsia="Times New Roman" w:hAnsi="Arial" w:cs="Arial"/>
                <w:sz w:val="20"/>
                <w:szCs w:val="20"/>
              </w:rPr>
            </w:pPr>
            <w:r w:rsidRPr="00147A8E">
              <w:rPr>
                <w:rFonts w:ascii="Arial" w:eastAsia="Times New Roman" w:hAnsi="Arial" w:cs="Arial"/>
                <w:sz w:val="20"/>
                <w:szCs w:val="20"/>
              </w:rPr>
              <w:t>Level 10, Grenfell Centre</w:t>
            </w:r>
          </w:p>
          <w:p w:rsidR="00147A8E" w:rsidRPr="00147A8E" w:rsidRDefault="00147A8E" w:rsidP="00147A8E">
            <w:pPr>
              <w:rPr>
                <w:rFonts w:ascii="Arial" w:eastAsia="Times New Roman" w:hAnsi="Arial" w:cs="Arial"/>
                <w:sz w:val="20"/>
                <w:szCs w:val="20"/>
              </w:rPr>
            </w:pPr>
            <w:r w:rsidRPr="00147A8E">
              <w:rPr>
                <w:rFonts w:ascii="Arial" w:eastAsia="Times New Roman" w:hAnsi="Arial" w:cs="Arial"/>
                <w:sz w:val="20"/>
                <w:szCs w:val="20"/>
              </w:rPr>
              <w:t>25 Grenfell Street</w:t>
            </w:r>
          </w:p>
          <w:p w:rsidR="00147A8E" w:rsidRPr="00147A8E" w:rsidRDefault="00147A8E" w:rsidP="00147A8E">
            <w:pPr>
              <w:rPr>
                <w:rFonts w:ascii="Arial" w:eastAsia="Times New Roman" w:hAnsi="Arial" w:cs="Arial"/>
                <w:sz w:val="20"/>
                <w:szCs w:val="20"/>
              </w:rPr>
            </w:pPr>
            <w:r w:rsidRPr="00147A8E">
              <w:rPr>
                <w:rFonts w:ascii="Arial" w:eastAsia="Times New Roman" w:hAnsi="Arial" w:cs="Arial"/>
                <w:sz w:val="20"/>
                <w:szCs w:val="20"/>
              </w:rPr>
              <w:t>Adelaide  SA  5000</w:t>
            </w:r>
          </w:p>
          <w:p w:rsidR="00147A8E" w:rsidRPr="00147A8E" w:rsidRDefault="00147A8E" w:rsidP="00147A8E">
            <w:pPr>
              <w:rPr>
                <w:rFonts w:ascii="Arial" w:eastAsia="Times New Roman" w:hAnsi="Arial" w:cs="Arial"/>
                <w:sz w:val="20"/>
                <w:szCs w:val="20"/>
              </w:rPr>
            </w:pPr>
          </w:p>
        </w:tc>
        <w:tc>
          <w:tcPr>
            <w:tcW w:w="4785" w:type="dxa"/>
          </w:tcPr>
          <w:p w:rsidR="00147A8E" w:rsidRPr="00147A8E" w:rsidRDefault="00147A8E" w:rsidP="00147A8E">
            <w:pPr>
              <w:rPr>
                <w:rFonts w:ascii="Arial" w:eastAsia="Times New Roman" w:hAnsi="Arial" w:cs="Arial"/>
                <w:b/>
                <w:sz w:val="20"/>
                <w:szCs w:val="20"/>
              </w:rPr>
            </w:pPr>
            <w:r w:rsidRPr="00147A8E">
              <w:rPr>
                <w:rFonts w:ascii="Arial" w:eastAsia="Times New Roman" w:hAnsi="Arial" w:cs="Arial"/>
                <w:b/>
                <w:sz w:val="20"/>
                <w:szCs w:val="20"/>
              </w:rPr>
              <w:t>Tasmania</w:t>
            </w:r>
          </w:p>
          <w:p w:rsidR="00147A8E" w:rsidRPr="00147A8E" w:rsidRDefault="00147A8E" w:rsidP="00147A8E">
            <w:pPr>
              <w:rPr>
                <w:rFonts w:ascii="Arial" w:eastAsia="Times New Roman" w:hAnsi="Arial" w:cs="Arial"/>
                <w:sz w:val="20"/>
                <w:szCs w:val="20"/>
              </w:rPr>
            </w:pPr>
            <w:r w:rsidRPr="00147A8E">
              <w:rPr>
                <w:rFonts w:ascii="Arial" w:eastAsia="Times New Roman" w:hAnsi="Arial" w:cs="Arial"/>
                <w:sz w:val="20"/>
                <w:szCs w:val="20"/>
              </w:rPr>
              <w:t>Dobson Mitchell Allport</w:t>
            </w:r>
          </w:p>
          <w:p w:rsidR="00147A8E" w:rsidRPr="00147A8E" w:rsidRDefault="00147A8E" w:rsidP="00147A8E">
            <w:pPr>
              <w:rPr>
                <w:rFonts w:ascii="Arial" w:eastAsia="Times New Roman" w:hAnsi="Arial" w:cs="Arial"/>
                <w:sz w:val="20"/>
                <w:szCs w:val="20"/>
              </w:rPr>
            </w:pPr>
            <w:r w:rsidRPr="00147A8E">
              <w:rPr>
                <w:rFonts w:ascii="Arial" w:eastAsia="Times New Roman" w:hAnsi="Arial" w:cs="Arial"/>
                <w:sz w:val="20"/>
                <w:szCs w:val="20"/>
              </w:rPr>
              <w:t>59 Harrington Street</w:t>
            </w:r>
          </w:p>
          <w:p w:rsidR="00147A8E" w:rsidRPr="00147A8E" w:rsidRDefault="00147A8E" w:rsidP="00147A8E">
            <w:pPr>
              <w:rPr>
                <w:rFonts w:ascii="Arial" w:eastAsia="Times New Roman" w:hAnsi="Arial" w:cs="Arial"/>
                <w:sz w:val="20"/>
                <w:szCs w:val="20"/>
              </w:rPr>
            </w:pPr>
            <w:r w:rsidRPr="00147A8E">
              <w:rPr>
                <w:rFonts w:ascii="Arial" w:eastAsia="Times New Roman" w:hAnsi="Arial" w:cs="Arial"/>
                <w:sz w:val="20"/>
                <w:szCs w:val="20"/>
              </w:rPr>
              <w:t>Hobart  TAS  7000</w:t>
            </w:r>
          </w:p>
          <w:p w:rsidR="00147A8E" w:rsidRPr="00147A8E" w:rsidRDefault="00147A8E" w:rsidP="00147A8E">
            <w:pPr>
              <w:rPr>
                <w:rFonts w:ascii="Arial" w:eastAsia="Times New Roman" w:hAnsi="Arial" w:cs="Arial"/>
                <w:sz w:val="20"/>
                <w:szCs w:val="20"/>
              </w:rPr>
            </w:pPr>
          </w:p>
        </w:tc>
      </w:tr>
    </w:tbl>
    <w:p w:rsidR="00147A8E" w:rsidRPr="00147A8E" w:rsidRDefault="00147A8E" w:rsidP="00147A8E">
      <w:pPr>
        <w:spacing w:after="0" w:line="240" w:lineRule="auto"/>
        <w:rPr>
          <w:rFonts w:ascii="Arial" w:eastAsia="Times New Roman" w:hAnsi="Arial" w:cs="Arial"/>
          <w:sz w:val="20"/>
          <w:szCs w:val="20"/>
        </w:rPr>
      </w:pPr>
    </w:p>
    <w:p w:rsidR="00147A8E" w:rsidRPr="00147A8E" w:rsidRDefault="00147A8E" w:rsidP="00147A8E">
      <w:pPr>
        <w:spacing w:after="0" w:line="240" w:lineRule="auto"/>
        <w:jc w:val="both"/>
        <w:rPr>
          <w:rFonts w:ascii="Arial" w:eastAsia="Times New Roman" w:hAnsi="Arial" w:cs="Arial"/>
          <w:sz w:val="20"/>
          <w:szCs w:val="20"/>
        </w:rPr>
      </w:pPr>
      <w:r w:rsidRPr="00147A8E">
        <w:rPr>
          <w:rFonts w:ascii="Arial" w:eastAsia="Times New Roman" w:hAnsi="Arial" w:cs="Arial"/>
          <w:sz w:val="20"/>
          <w:szCs w:val="20"/>
        </w:rPr>
        <w:t xml:space="preserve">If a policyholder has any questions in relation to the schemes or any information contained in this notice, please contact IAG’s dedicated scheme hotline by calling 1800 907 424 or email </w:t>
      </w:r>
      <w:hyperlink r:id="rId11" w:history="1">
        <w:r w:rsidRPr="00147A8E">
          <w:rPr>
            <w:rFonts w:ascii="Arial" w:eastAsia="Times New Roman" w:hAnsi="Arial" w:cs="Arial"/>
            <w:color w:val="0000FF"/>
            <w:sz w:val="20"/>
            <w:szCs w:val="20"/>
            <w:u w:val="single"/>
          </w:rPr>
          <w:t>licences@iag.com.au</w:t>
        </w:r>
      </w:hyperlink>
      <w:r w:rsidRPr="00147A8E">
        <w:rPr>
          <w:rFonts w:ascii="Arial" w:eastAsia="Times New Roman" w:hAnsi="Arial" w:cs="Arial"/>
          <w:sz w:val="20"/>
          <w:szCs w:val="20"/>
        </w:rPr>
        <w:t>.</w:t>
      </w:r>
    </w:p>
    <w:p w:rsidR="00147A8E" w:rsidRPr="00147A8E" w:rsidRDefault="00147A8E" w:rsidP="00147A8E">
      <w:pPr>
        <w:spacing w:after="0" w:line="240" w:lineRule="auto"/>
        <w:rPr>
          <w:rFonts w:ascii="Arial" w:eastAsia="Times New Roman" w:hAnsi="Arial" w:cs="Arial"/>
          <w:sz w:val="20"/>
          <w:szCs w:val="20"/>
        </w:rPr>
      </w:pPr>
    </w:p>
    <w:p w:rsidR="004B2753" w:rsidRPr="00424B97" w:rsidRDefault="004B2753" w:rsidP="00424B97"/>
    <w:sectPr w:rsidR="004B2753" w:rsidRPr="00424B97" w:rsidSect="008E4F6C">
      <w:footerReference w:type="even" r:id="rId12"/>
      <w:footerReference w:type="default" r:id="rId13"/>
      <w:headerReference w:type="first" r:id="rId14"/>
      <w:footerReference w:type="first" r:id="rId15"/>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W1)">
    <w:altName w:val="Times New Roman"/>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B94E62">
    <w:pPr>
      <w:pStyle w:val="Footer"/>
    </w:pPr>
    <w:r>
      <w:fldChar w:fldCharType="begin"/>
    </w:r>
    <w:r>
      <w:instrText xml:space="preserve"> DOCPROPERTY DocumentID \* MERGEFORMAT </w:instrText>
    </w:r>
    <w:r>
      <w:fldChar w:fldCharType="separate"/>
    </w:r>
    <w:r w:rsidR="00147A8E" w:rsidRPr="00147A8E">
      <w:rPr>
        <w:color w:val="191919"/>
        <w:sz w:val="13"/>
      </w:rPr>
      <w:t>ME_136961833_1</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B94E62">
    <w:pPr>
      <w:pStyle w:val="Footer"/>
    </w:pPr>
    <w:r>
      <w:fldChar w:fldCharType="begin"/>
    </w:r>
    <w:r>
      <w:instrText xml:space="preserve"> DOCPROPERTY DocumentID \* MERGEFORMAT </w:instrText>
    </w:r>
    <w:r>
      <w:fldChar w:fldCharType="separate"/>
    </w:r>
    <w:r w:rsidR="00147A8E" w:rsidRPr="00147A8E">
      <w:rPr>
        <w:color w:val="191919"/>
        <w:sz w:val="13"/>
      </w:rPr>
      <w:t>ME_136961833_1</w:t>
    </w:r>
    <w:r>
      <w:rPr>
        <w:color w:val="191919"/>
        <w:sz w:val="1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B94E62">
    <w:pPr>
      <w:pStyle w:val="Footer"/>
    </w:pPr>
    <w:r>
      <w:fldChar w:fldCharType="begin"/>
    </w:r>
    <w:r>
      <w:instrText xml:space="preserve"> DOCPROPERTY DocumentID \* MERGEFORMAT </w:instrText>
    </w:r>
    <w:r>
      <w:fldChar w:fldCharType="separate"/>
    </w:r>
    <w:r w:rsidR="00147A8E" w:rsidRPr="00147A8E">
      <w:rPr>
        <w:color w:val="191919"/>
        <w:sz w:val="13"/>
      </w:rPr>
      <w:t>ME_136961833_1</w:t>
    </w:r>
    <w:r>
      <w:rPr>
        <w:color w:val="191919"/>
        <w:sz w:val="1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ED352B"/>
    <w:multiLevelType w:val="singleLevel"/>
    <w:tmpl w:val="892865E0"/>
    <w:lvl w:ilvl="0">
      <w:start w:val="1"/>
      <w:numFmt w:val="bullet"/>
      <w:lvlText w:val=""/>
      <w:lvlJc w:val="left"/>
      <w:pPr>
        <w:tabs>
          <w:tab w:val="num" w:pos="680"/>
        </w:tabs>
        <w:ind w:left="680" w:hanging="680"/>
      </w:pPr>
      <w:rPr>
        <w:rFonts w:ascii="Wingdings" w:hAnsi="Wingdings" w:hint="default"/>
      </w:rPr>
    </w:lvl>
  </w:abstractNum>
  <w:abstractNum w:abstractNumId="1">
    <w:nsid w:val="7DCF399F"/>
    <w:multiLevelType w:val="singleLevel"/>
    <w:tmpl w:val="F47AB032"/>
    <w:lvl w:ilvl="0">
      <w:start w:val="1"/>
      <w:numFmt w:val="bullet"/>
      <w:lvlText w:val=""/>
      <w:lvlJc w:val="left"/>
      <w:pPr>
        <w:tabs>
          <w:tab w:val="num" w:pos="680"/>
        </w:tabs>
        <w:ind w:left="680" w:hanging="6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47A8E"/>
    <w:rsid w:val="001C2AAD"/>
    <w:rsid w:val="001F6E54"/>
    <w:rsid w:val="00280BCD"/>
    <w:rsid w:val="003A707F"/>
    <w:rsid w:val="003B0EC1"/>
    <w:rsid w:val="003B573B"/>
    <w:rsid w:val="003F2CBD"/>
    <w:rsid w:val="00424B97"/>
    <w:rsid w:val="004B2753"/>
    <w:rsid w:val="00520873"/>
    <w:rsid w:val="00573D44"/>
    <w:rsid w:val="00840A06"/>
    <w:rsid w:val="008439B7"/>
    <w:rsid w:val="0087253F"/>
    <w:rsid w:val="008E4F6C"/>
    <w:rsid w:val="009539C7"/>
    <w:rsid w:val="00A00F21"/>
    <w:rsid w:val="00B84226"/>
    <w:rsid w:val="00B94E62"/>
    <w:rsid w:val="00C63C4E"/>
    <w:rsid w:val="00C72C30"/>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table" w:styleId="TableGrid">
    <w:name w:val="Table Grid"/>
    <w:basedOn w:val="TableNormal"/>
    <w:uiPriority w:val="59"/>
    <w:rsid w:val="00147A8E"/>
    <w:pPr>
      <w:spacing w:after="0" w:line="240" w:lineRule="auto"/>
    </w:pPr>
    <w:rPr>
      <w:rFonts w:ascii="Times New (W1)" w:hAnsi="Times New (W1)"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table" w:styleId="TableGrid">
    <w:name w:val="Table Grid"/>
    <w:basedOn w:val="TableNormal"/>
    <w:uiPriority w:val="59"/>
    <w:rsid w:val="00147A8E"/>
    <w:pPr>
      <w:spacing w:after="0" w:line="240" w:lineRule="auto"/>
    </w:pPr>
    <w:rPr>
      <w:rFonts w:ascii="Times New (W1)" w:hAnsi="Times New (W1)"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ences@iag.com.au"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iag.com.au/licences" TargetMode="External"/><Relationship Id="rId4" Type="http://schemas.microsoft.com/office/2007/relationships/stylesWithEffects" Target="stylesWithEffects.xml"/><Relationship Id="rId9" Type="http://schemas.openxmlformats.org/officeDocument/2006/relationships/hyperlink" Target="http://www.iag.com.au/licenc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3AB62-DF96-4851-82D4-8BACAEEA0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717</Words>
  <Characters>3474</Characters>
  <Application>Microsoft Office Word</Application>
  <DocSecurity>4</DocSecurity>
  <Lines>93</Lines>
  <Paragraphs>104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Luke Robert</cp:lastModifiedBy>
  <cp:revision>2</cp:revision>
  <cp:lastPrinted>2017-03-16T06:49:00Z</cp:lastPrinted>
  <dcterms:created xsi:type="dcterms:W3CDTF">2017-03-30T04:55:00Z</dcterms:created>
  <dcterms:modified xsi:type="dcterms:W3CDTF">2017-03-30T04:55:00Z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ME_136961833_1</vt:lpwstr>
  </property>
</Properties>
</file>