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F3" w:rsidRDefault="007D24F3" w:rsidP="007D24F3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85.1pt;height:71.5pt;mso-position-horizontal-relative:char;mso-position-vertical-relative:line" coordsize="9702,1430">
            <v:line id="_x0000_s1048" style="position:absolute" from="19,80" to="1284,80" strokeweight=".48pt"/>
            <v:line id="_x0000_s1049" style="position:absolute" from="1284,80" to="1294,80" strokeweight=".48pt"/>
            <v:line id="_x0000_s1050" style="position:absolute" from="1294,80" to="5719,80" strokeweight=".48pt"/>
            <v:line id="_x0000_s1051" style="position:absolute" from="5719,80" to="5729,80" strokeweight=".48pt"/>
            <v:line id="_x0000_s1052" style="position:absolute" from="5729,80" to="9696,80" strokeweight=".48pt"/>
            <v:rect id="_x0000_s1053" style="position:absolute;left:5719;top:1081;width:3979;height:338" fillcolor="black" stroked="f"/>
            <v:rect id="_x0000_s1054" style="position:absolute;left:5827;top:1103;width:3763;height:317" fillcolor="black" stroked="f"/>
            <v:line id="_x0000_s1055" style="position:absolute" from="19,1074" to="1284,1074" strokeweight=".48pt"/>
            <v:line id="_x0000_s1056" style="position:absolute" from="1284,1074" to="1294,1074" strokeweight=".48pt"/>
            <v:line id="_x0000_s1057" style="position:absolute" from="1294,1074" to="5719,1074" strokeweight=".48pt"/>
            <v:line id="_x0000_s1058" style="position:absolute" from="5719,1074" to="5729,1074" strokeweight=".48pt"/>
            <v:line id="_x0000_s1059" style="position:absolute" from="5729,1074" to="9696,1074" strokeweight=".48pt"/>
            <v:line id="_x0000_s1060" style="position:absolute" from="5,1424" to="5719,1424" strokeweight=".48pt"/>
            <v:line id="_x0000_s1061" style="position:absolute" from="5705,1424" to="5715,1424" strokeweight=".48pt"/>
            <v:line id="_x0000_s1062" style="position:absolute" from="5715,1424" to="9696,1424" strokeweight=".48pt"/>
            <v:shape id="_x0000_s1063" type="#_x0000_t75" style="position:absolute;left:78;top:146;width:1065;height:85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5719;top:1075;width:3980;height:350" filled="f" stroked="f">
              <v:textbox inset="0,0,0,0">
                <w:txbxContent>
                  <w:p w:rsidR="007D24F3" w:rsidRDefault="007D24F3" w:rsidP="007D24F3">
                    <w:pPr>
                      <w:spacing w:before="25"/>
                      <w:ind w:left="1017"/>
                      <w:rPr>
                        <w:b/>
                        <w:sz w:val="24"/>
                      </w:rPr>
                    </w:pPr>
                    <w:bookmarkStart w:id="0" w:name="Australian_Corrections_Medal_-__Gazette_"/>
                    <w:bookmarkEnd w:id="0"/>
                    <w:r>
                      <w:rPr>
                        <w:b/>
                        <w:color w:val="FFFFFF"/>
                        <w:sz w:val="24"/>
                      </w:rPr>
                      <w:t>GOVERNMENT NOTICES</w:t>
                    </w:r>
                  </w:p>
                </w:txbxContent>
              </v:textbox>
            </v:shape>
            <v:shape id="_x0000_s1065" type="#_x0000_t202" style="position:absolute;left:79;top:115;width:4585;height:1280" filled="f" stroked="f">
              <v:textbox inset="0,0,0,0">
                <w:txbxContent>
                  <w:p w:rsidR="007D24F3" w:rsidRDefault="007D24F3" w:rsidP="007D24F3">
                    <w:pPr>
                      <w:spacing w:before="29" w:line="460" w:lineRule="exact"/>
                      <w:ind w:left="1312" w:right="1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pacing w:val="-2"/>
                        <w:sz w:val="44"/>
                      </w:rPr>
                      <w:t xml:space="preserve">Commonwealth </w:t>
                    </w:r>
                    <w:r>
                      <w:rPr>
                        <w:b/>
                        <w:sz w:val="44"/>
                      </w:rPr>
                      <w:t>of Australia</w:t>
                    </w:r>
                  </w:p>
                  <w:p w:rsidR="007D24F3" w:rsidRDefault="007D24F3" w:rsidP="007D24F3">
                    <w:pPr>
                      <w:spacing w:before="16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Published by the Commonwealth of Australia</w:t>
                    </w:r>
                  </w:p>
                </w:txbxContent>
              </v:textbox>
            </v:shape>
            <v:shape id="_x0000_s1066" type="#_x0000_t202" style="position:absolute;left:5979;width:3634;height:1119" filled="f" stroked="f">
              <v:textbox inset="0,0,0,0">
                <w:txbxContent>
                  <w:p w:rsidR="007D24F3" w:rsidRDefault="007D24F3" w:rsidP="007D24F3">
                    <w:pPr>
                      <w:spacing w:line="1118" w:lineRule="exact"/>
                      <w:rPr>
                        <w:b/>
                        <w:sz w:val="100"/>
                      </w:rPr>
                    </w:pPr>
                    <w:r>
                      <w:rPr>
                        <w:b/>
                        <w:sz w:val="100"/>
                      </w:rPr>
                      <w:t>Gazette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E7E" w:rsidRDefault="001F5E7E">
      <w:pPr>
        <w:pStyle w:val="BodyText"/>
        <w:spacing w:line="20" w:lineRule="exact"/>
        <w:ind w:left="113"/>
        <w:rPr>
          <w:sz w:val="2"/>
        </w:rPr>
      </w:pPr>
    </w:p>
    <w:p w:rsidR="001F5E7E" w:rsidRDefault="001F5E7E">
      <w:pPr>
        <w:pStyle w:val="BodyText"/>
        <w:rPr>
          <w:b/>
          <w:sz w:val="20"/>
        </w:rPr>
      </w:pPr>
    </w:p>
    <w:p w:rsidR="001F5E7E" w:rsidRDefault="001F5E7E">
      <w:pPr>
        <w:pStyle w:val="BodyText"/>
        <w:rPr>
          <w:b/>
          <w:sz w:val="20"/>
        </w:rPr>
      </w:pPr>
    </w:p>
    <w:p w:rsidR="001F5E7E" w:rsidRDefault="001F5E7E">
      <w:pPr>
        <w:pStyle w:val="BodyText"/>
        <w:rPr>
          <w:b/>
          <w:sz w:val="20"/>
        </w:rPr>
      </w:pPr>
    </w:p>
    <w:p w:rsidR="001F5E7E" w:rsidRDefault="003001D2">
      <w:pPr>
        <w:pStyle w:val="BodyText"/>
        <w:spacing w:before="4"/>
        <w:rPr>
          <w:b/>
          <w:sz w:val="28"/>
        </w:rPr>
      </w:pPr>
      <w:r>
        <w:rPr>
          <w:noProof/>
          <w:lang w:val="en-AU" w:eastAsia="en-A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231935</wp:posOffset>
            </wp:positionV>
            <wp:extent cx="414528" cy="85344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E7E" w:rsidRDefault="001F5E7E">
      <w:pPr>
        <w:pStyle w:val="BodyText"/>
        <w:spacing w:before="8"/>
        <w:rPr>
          <w:b/>
          <w:sz w:val="25"/>
        </w:rPr>
      </w:pPr>
    </w:p>
    <w:p w:rsidR="001F5E7E" w:rsidRDefault="003001D2">
      <w:pPr>
        <w:spacing w:line="290" w:lineRule="auto"/>
        <w:ind w:left="7746" w:right="140" w:firstLine="263"/>
        <w:jc w:val="right"/>
        <w:rPr>
          <w:b/>
          <w:sz w:val="19"/>
        </w:rPr>
      </w:pPr>
      <w:r>
        <w:rPr>
          <w:b/>
          <w:w w:val="105"/>
          <w:sz w:val="19"/>
        </w:rPr>
        <w:t>Government House</w:t>
      </w:r>
      <w:r>
        <w:rPr>
          <w:b/>
          <w:w w:val="104"/>
          <w:sz w:val="19"/>
        </w:rPr>
        <w:t xml:space="preserve"> </w:t>
      </w:r>
      <w:r>
        <w:rPr>
          <w:b/>
          <w:w w:val="105"/>
          <w:sz w:val="19"/>
        </w:rPr>
        <w:t>CANBERRA ACT 2600</w:t>
      </w:r>
    </w:p>
    <w:p w:rsidR="001F5E7E" w:rsidRDefault="003001D2">
      <w:pPr>
        <w:ind w:left="8426"/>
        <w:rPr>
          <w:b/>
          <w:sz w:val="19"/>
        </w:rPr>
      </w:pPr>
      <w:r>
        <w:rPr>
          <w:b/>
          <w:w w:val="105"/>
          <w:sz w:val="19"/>
        </w:rPr>
        <w:t>22 August 2017</w:t>
      </w:r>
    </w:p>
    <w:p w:rsidR="001F5E7E" w:rsidRDefault="001F5E7E">
      <w:pPr>
        <w:pStyle w:val="BodyText"/>
        <w:rPr>
          <w:b/>
          <w:sz w:val="20"/>
        </w:rPr>
      </w:pPr>
    </w:p>
    <w:p w:rsidR="001F5E7E" w:rsidRDefault="001F5E7E">
      <w:pPr>
        <w:pStyle w:val="BodyText"/>
        <w:spacing w:before="5"/>
        <w:rPr>
          <w:b/>
          <w:sz w:val="26"/>
        </w:rPr>
      </w:pPr>
    </w:p>
    <w:p w:rsidR="001F5E7E" w:rsidRDefault="003001D2">
      <w:pPr>
        <w:pStyle w:val="Heading1"/>
        <w:ind w:left="1885"/>
      </w:pPr>
      <w:r>
        <w:rPr>
          <w:w w:val="105"/>
        </w:rPr>
        <w:t>VICTORIA CROSS FOR AUSTRALIA DETERMINATION 2017</w:t>
      </w:r>
    </w:p>
    <w:p w:rsidR="001F5E7E" w:rsidRDefault="001F5E7E">
      <w:pPr>
        <w:pStyle w:val="BodyText"/>
        <w:rPr>
          <w:b/>
          <w:sz w:val="22"/>
        </w:rPr>
      </w:pPr>
    </w:p>
    <w:p w:rsidR="001F5E7E" w:rsidRDefault="001F5E7E">
      <w:pPr>
        <w:pStyle w:val="BodyText"/>
        <w:rPr>
          <w:b/>
          <w:sz w:val="22"/>
        </w:rPr>
      </w:pPr>
    </w:p>
    <w:p w:rsidR="001F5E7E" w:rsidRDefault="001F5E7E">
      <w:pPr>
        <w:pStyle w:val="BodyText"/>
        <w:rPr>
          <w:b/>
          <w:sz w:val="22"/>
        </w:rPr>
      </w:pPr>
    </w:p>
    <w:p w:rsidR="001F5E7E" w:rsidRDefault="001F5E7E">
      <w:pPr>
        <w:pStyle w:val="BodyText"/>
        <w:spacing w:before="9"/>
        <w:rPr>
          <w:b/>
          <w:sz w:val="23"/>
        </w:rPr>
      </w:pPr>
    </w:p>
    <w:p w:rsidR="001F5E7E" w:rsidRDefault="003001D2">
      <w:pPr>
        <w:spacing w:line="254" w:lineRule="auto"/>
        <w:ind w:left="146" w:right="192" w:firstLine="4"/>
        <w:jc w:val="both"/>
        <w:rPr>
          <w:sz w:val="21"/>
        </w:rPr>
      </w:pPr>
      <w:r>
        <w:rPr>
          <w:w w:val="105"/>
          <w:sz w:val="21"/>
        </w:rPr>
        <w:t xml:space="preserve">I, </w:t>
      </w:r>
      <w:r>
        <w:rPr>
          <w:b/>
          <w:w w:val="105"/>
          <w:sz w:val="21"/>
        </w:rPr>
        <w:t xml:space="preserve">SIR PETER COSGROVE, </w:t>
      </w:r>
      <w:r>
        <w:rPr>
          <w:w w:val="105"/>
          <w:sz w:val="21"/>
        </w:rPr>
        <w:t xml:space="preserve">Governor-General of the Commonwealth of Australia, acting in pursuance of regulations 9 and 10 of the </w:t>
      </w:r>
      <w:r>
        <w:rPr>
          <w:i/>
          <w:w w:val="105"/>
          <w:sz w:val="21"/>
        </w:rPr>
        <w:t xml:space="preserve">Victoria Cross Regulations, </w:t>
      </w:r>
      <w:r>
        <w:rPr>
          <w:w w:val="105"/>
          <w:sz w:val="21"/>
        </w:rPr>
        <w:t xml:space="preserve">revoke the </w:t>
      </w:r>
      <w:r>
        <w:rPr>
          <w:i/>
          <w:w w:val="105"/>
          <w:sz w:val="21"/>
        </w:rPr>
        <w:t xml:space="preserve">Victoria Cross Determination </w:t>
      </w:r>
      <w:r>
        <w:rPr>
          <w:w w:val="105"/>
          <w:sz w:val="21"/>
        </w:rPr>
        <w:t>made on the eleventh day of November 1991, and hereby determine as follows:</w:t>
      </w:r>
    </w:p>
    <w:p w:rsidR="001F5E7E" w:rsidRDefault="001F5E7E">
      <w:pPr>
        <w:pStyle w:val="BodyText"/>
        <w:rPr>
          <w:sz w:val="22"/>
        </w:rPr>
      </w:pPr>
    </w:p>
    <w:p w:rsidR="001F5E7E" w:rsidRDefault="001F5E7E">
      <w:pPr>
        <w:pStyle w:val="BodyText"/>
        <w:rPr>
          <w:sz w:val="22"/>
        </w:rPr>
      </w:pPr>
    </w:p>
    <w:p w:rsidR="001F5E7E" w:rsidRDefault="003001D2">
      <w:pPr>
        <w:pStyle w:val="Heading1"/>
        <w:spacing w:before="182"/>
        <w:ind w:left="146"/>
        <w:jc w:val="both"/>
      </w:pPr>
      <w:r>
        <w:rPr>
          <w:w w:val="105"/>
        </w:rPr>
        <w:t>Medal Design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870"/>
        </w:tabs>
        <w:spacing w:before="166" w:line="290" w:lineRule="auto"/>
        <w:ind w:right="342" w:hanging="362"/>
        <w:jc w:val="left"/>
        <w:rPr>
          <w:sz w:val="21"/>
        </w:rPr>
      </w:pPr>
      <w:r>
        <w:rPr>
          <w:w w:val="105"/>
          <w:sz w:val="21"/>
        </w:rPr>
        <w:t>The Victoria Cross is a bronze cross with each axis measuring 35 millimetres. The arms of the cross have raised edges. The obverse bears a Crowned Lion standing on the Royal Crown with the words 'FOR VALOUR' inscribed on a semi-circular scroll</w:t>
      </w:r>
      <w:r>
        <w:rPr>
          <w:w w:val="105"/>
          <w:sz w:val="21"/>
        </w:rPr>
        <w:t xml:space="preserve"> below the Crown. The reverse bears raised edges on the arms of the cross and the date of the act for which the Cross is awarded is engraved within a circle in the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centre.</w:t>
      </w:r>
    </w:p>
    <w:p w:rsidR="001F5E7E" w:rsidRDefault="001F5E7E">
      <w:pPr>
        <w:pStyle w:val="BodyText"/>
        <w:spacing w:before="2"/>
        <w:rPr>
          <w:sz w:val="17"/>
        </w:rPr>
      </w:pPr>
    </w:p>
    <w:p w:rsidR="001F5E7E" w:rsidRDefault="003001D2">
      <w:pPr>
        <w:pStyle w:val="Heading1"/>
        <w:spacing w:before="1"/>
        <w:jc w:val="both"/>
      </w:pPr>
      <w:r>
        <w:rPr>
          <w:w w:val="105"/>
        </w:rPr>
        <w:t>Medal Ribbon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866"/>
        </w:tabs>
        <w:spacing w:before="171"/>
        <w:ind w:left="865" w:right="0" w:hanging="361"/>
        <w:jc w:val="left"/>
        <w:rPr>
          <w:sz w:val="21"/>
        </w:rPr>
      </w:pPr>
      <w:r>
        <w:rPr>
          <w:w w:val="105"/>
          <w:sz w:val="21"/>
        </w:rPr>
        <w:t>The Victoria Cross is suspended from a crimson ribbon 38.5 millimetres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wide.</w:t>
      </w:r>
    </w:p>
    <w:p w:rsidR="001F5E7E" w:rsidRDefault="001F5E7E">
      <w:pPr>
        <w:pStyle w:val="BodyText"/>
        <w:spacing w:before="6"/>
      </w:pPr>
    </w:p>
    <w:p w:rsidR="001F5E7E" w:rsidRDefault="003001D2">
      <w:pPr>
        <w:pStyle w:val="Heading1"/>
        <w:ind w:left="136"/>
        <w:jc w:val="both"/>
      </w:pPr>
      <w:r>
        <w:rPr>
          <w:w w:val="105"/>
        </w:rPr>
        <w:t>Medal Miniature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866"/>
        </w:tabs>
        <w:spacing w:before="175" w:line="285" w:lineRule="auto"/>
        <w:ind w:left="866" w:right="686" w:hanging="364"/>
        <w:jc w:val="left"/>
        <w:rPr>
          <w:sz w:val="21"/>
        </w:rPr>
      </w:pPr>
      <w:r>
        <w:rPr>
          <w:w w:val="105"/>
          <w:sz w:val="21"/>
        </w:rPr>
        <w:t>The miniature of the Victoria Cross is a half-size replica of the Cross suspended from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a crimson miniature ribbon 16 millimetres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wide.</w:t>
      </w:r>
    </w:p>
    <w:p w:rsidR="001F5E7E" w:rsidRDefault="001F5E7E">
      <w:pPr>
        <w:pStyle w:val="BodyText"/>
        <w:rPr>
          <w:sz w:val="18"/>
        </w:rPr>
      </w:pPr>
    </w:p>
    <w:p w:rsidR="001F5E7E" w:rsidRDefault="003001D2">
      <w:pPr>
        <w:pStyle w:val="Heading1"/>
        <w:jc w:val="both"/>
      </w:pPr>
      <w:r>
        <w:rPr>
          <w:w w:val="105"/>
        </w:rPr>
        <w:t>Ribbon Bar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866"/>
        </w:tabs>
        <w:spacing w:before="170" w:line="288" w:lineRule="auto"/>
        <w:ind w:left="864" w:right="407" w:hanging="361"/>
        <w:jc w:val="left"/>
        <w:rPr>
          <w:sz w:val="21"/>
        </w:rPr>
      </w:pPr>
      <w:r>
        <w:rPr>
          <w:w w:val="105"/>
          <w:sz w:val="21"/>
        </w:rPr>
        <w:t>The ribbon bar of the Victoria Cross consists of a strip of full-size ribbon, 41 millimetres wide and 10 millimetres high, and is worn with an emblem which is a representation of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the Cross, each axis measuring 9</w:t>
      </w:r>
      <w:r>
        <w:rPr>
          <w:spacing w:val="-42"/>
          <w:w w:val="105"/>
          <w:sz w:val="21"/>
        </w:rPr>
        <w:t xml:space="preserve"> </w:t>
      </w:r>
      <w:r>
        <w:rPr>
          <w:w w:val="105"/>
          <w:sz w:val="21"/>
        </w:rPr>
        <w:t>millimetres.</w:t>
      </w:r>
    </w:p>
    <w:p w:rsidR="001F5E7E" w:rsidRDefault="001F5E7E">
      <w:pPr>
        <w:spacing w:line="288" w:lineRule="auto"/>
        <w:rPr>
          <w:sz w:val="21"/>
        </w:rPr>
        <w:sectPr w:rsidR="001F5E7E">
          <w:type w:val="continuous"/>
          <w:pgSz w:w="11920" w:h="16850"/>
          <w:pgMar w:top="520" w:right="960" w:bottom="280" w:left="940" w:header="720" w:footer="720" w:gutter="0"/>
          <w:cols w:space="720"/>
        </w:sectPr>
      </w:pPr>
    </w:p>
    <w:p w:rsidR="001F5E7E" w:rsidRDefault="003001D2">
      <w:pPr>
        <w:pStyle w:val="Heading1"/>
        <w:spacing w:before="78"/>
        <w:ind w:left="1021"/>
      </w:pPr>
      <w:r>
        <w:rPr>
          <w:w w:val="105"/>
        </w:rPr>
        <w:lastRenderedPageBreak/>
        <w:t>Lapel Badge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1735"/>
        </w:tabs>
        <w:spacing w:line="290" w:lineRule="auto"/>
        <w:ind w:left="1735" w:right="1561" w:hanging="358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lapel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badge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Victoria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Cross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replica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Cross, 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axis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measuring 10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millimetres.</w:t>
      </w:r>
    </w:p>
    <w:p w:rsidR="001F5E7E" w:rsidRDefault="003001D2">
      <w:pPr>
        <w:pStyle w:val="Heading1"/>
        <w:spacing w:before="197"/>
        <w:ind w:left="1022"/>
      </w:pPr>
      <w:r>
        <w:rPr>
          <w:w w:val="105"/>
        </w:rPr>
        <w:t>Further Awards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1735"/>
        </w:tabs>
        <w:spacing w:line="290" w:lineRule="auto"/>
        <w:ind w:left="1732" w:hanging="359"/>
        <w:jc w:val="left"/>
        <w:rPr>
          <w:sz w:val="21"/>
        </w:rPr>
      </w:pPr>
      <w:r>
        <w:rPr>
          <w:w w:val="105"/>
          <w:sz w:val="21"/>
        </w:rPr>
        <w:t>Second and subsequent awards are recognised by the presentation of a bar, the dimensions of which are 38.5 millimetres wide and 6 millimetres high, worn attached to the ribbon of the full-size Cross. A half-size replica of the bar is worn attached to the r</w:t>
      </w:r>
      <w:r>
        <w:rPr>
          <w:w w:val="105"/>
          <w:sz w:val="21"/>
        </w:rPr>
        <w:t>ibbon of 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miniature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Cross.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emblem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worn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ribbon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bar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further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award.</w:t>
      </w:r>
    </w:p>
    <w:p w:rsidR="001F5E7E" w:rsidRDefault="003001D2">
      <w:pPr>
        <w:pStyle w:val="Heading1"/>
        <w:spacing w:before="120"/>
        <w:ind w:left="1017"/>
      </w:pPr>
      <w:r>
        <w:rPr>
          <w:w w:val="105"/>
        </w:rPr>
        <w:t>Wearing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1730"/>
        </w:tabs>
        <w:spacing w:line="288" w:lineRule="auto"/>
        <w:ind w:left="1725" w:hanging="359"/>
        <w:jc w:val="left"/>
        <w:rPr>
          <w:sz w:val="21"/>
        </w:rPr>
      </w:pPr>
      <w:r>
        <w:rPr>
          <w:w w:val="105"/>
          <w:sz w:val="21"/>
        </w:rPr>
        <w:t>The Victoria Cross is worn on the left breast whenever full-size orders, decorations and medals are worn. The miniature Cross is worn whenever miniatures of orders, decorations 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medals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worn.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ribbon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dress.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lapel badge may be worn at any time with civilian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dress.</w:t>
      </w:r>
    </w:p>
    <w:p w:rsidR="001F5E7E" w:rsidRDefault="001F5E7E">
      <w:pPr>
        <w:pStyle w:val="BodyText"/>
        <w:spacing w:before="9"/>
        <w:rPr>
          <w:sz w:val="17"/>
        </w:rPr>
      </w:pPr>
    </w:p>
    <w:p w:rsidR="001F5E7E" w:rsidRDefault="003001D2">
      <w:pPr>
        <w:pStyle w:val="Heading1"/>
        <w:ind w:left="1013"/>
      </w:pPr>
      <w:r>
        <w:rPr>
          <w:w w:val="105"/>
        </w:rPr>
        <w:t>Order of Wear</w:t>
      </w:r>
    </w:p>
    <w:p w:rsidR="001F5E7E" w:rsidRDefault="003001D2">
      <w:pPr>
        <w:pStyle w:val="ListParagraph"/>
        <w:numPr>
          <w:ilvl w:val="0"/>
          <w:numId w:val="1"/>
        </w:numPr>
        <w:tabs>
          <w:tab w:val="left" w:pos="1725"/>
        </w:tabs>
        <w:spacing w:line="290" w:lineRule="auto"/>
        <w:ind w:left="1725" w:right="1643" w:hanging="358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Victoria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Cross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worn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Order</w:t>
      </w:r>
      <w:r>
        <w:rPr>
          <w:i/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of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Wearing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Australian</w:t>
      </w:r>
      <w:r>
        <w:rPr>
          <w:i/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Honours and Awards </w:t>
      </w:r>
      <w:r>
        <w:rPr>
          <w:w w:val="105"/>
          <w:sz w:val="21"/>
        </w:rPr>
        <w:t>as approved by The</w:t>
      </w:r>
      <w:r>
        <w:rPr>
          <w:spacing w:val="-41"/>
          <w:w w:val="105"/>
          <w:sz w:val="21"/>
        </w:rPr>
        <w:t xml:space="preserve"> </w:t>
      </w:r>
      <w:r>
        <w:rPr>
          <w:w w:val="105"/>
          <w:sz w:val="21"/>
        </w:rPr>
        <w:t>Sovereign.</w:t>
      </w: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3001D2">
      <w:pPr>
        <w:pStyle w:val="BodyText"/>
        <w:spacing w:before="4"/>
        <w:rPr>
          <w:sz w:val="1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B8F2732" wp14:editId="7DDF8BFE">
            <wp:simplePos x="0" y="0"/>
            <wp:positionH relativeFrom="column">
              <wp:posOffset>1483360</wp:posOffset>
            </wp:positionH>
            <wp:positionV relativeFrom="paragraph">
              <wp:posOffset>334645</wp:posOffset>
            </wp:positionV>
            <wp:extent cx="765810" cy="4051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>
        <w:pict>
          <v:group id="_x0000_s1026" style="position:absolute;margin-left:36.5pt;margin-top:10.2pt;width:377.3pt;height:300.45pt;z-index:1216;mso-wrap-distance-left:0;mso-wrap-distance-right:0;mso-position-horizontal-relative:page;mso-position-vertical-relative:text" coordorigin="730,204" coordsize="7546,6009">
            <v:shape id="_x0000_s1030" type="#_x0000_t75" style="position:absolute;left:730;top:415;width:7546;height:5798">
              <v:imagedata r:id="rId9" o:title=""/>
            </v:shape>
            <v:shape id="_x0000_s1029" type="#_x0000_t202" style="position:absolute;left:1087;top:989;width:4025;height:235" filled="f" stroked="f">
              <v:textbox style="mso-next-textbox:#_x0000_s1029" inset="0,0,0,0">
                <w:txbxContent>
                  <w:p w:rsidR="001F5E7E" w:rsidRDefault="003001D2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Dated this........................day of.........</w:t>
                    </w:r>
                  </w:p>
                </w:txbxContent>
              </v:textbox>
            </v:shape>
            <v:shape id="_x0000_s1028" type="#_x0000_t202" style="position:absolute;left:2304;top:204;width:1179;height:861" filled="f" stroked="f">
              <v:textbox style="mso-next-textbox:#_x0000_s1028" inset="0,0,0,0">
                <w:txbxContent>
                  <w:p w:rsidR="001F5E7E" w:rsidRDefault="00475E02">
                    <w:pPr>
                      <w:spacing w:line="860" w:lineRule="exact"/>
                      <w:rPr>
                        <w:i/>
                        <w:sz w:val="77"/>
                      </w:rPr>
                    </w:pPr>
                    <w:r w:rsidRPr="00475E02">
                      <w:rPr>
                        <w:i/>
                        <w:w w:val="110"/>
                        <w:sz w:val="77"/>
                      </w:rPr>
                      <w:t xml:space="preserve"> </w:t>
                    </w:r>
                    <w:proofErr w:type="spellStart"/>
                    <w:proofErr w:type="gramStart"/>
                    <w:r w:rsidRPr="00475E02">
                      <w:rPr>
                        <w:i/>
                        <w:w w:val="110"/>
                        <w:sz w:val="77"/>
                      </w:rPr>
                      <w:t>df</w:t>
                    </w:r>
                    <w:proofErr w:type="spellEnd"/>
                    <w:r w:rsidRPr="00475E02">
                      <w:rPr>
                        <w:i/>
                        <w:w w:val="110"/>
                        <w:sz w:val="77"/>
                      </w:rPr>
                      <w:t>/l</w:t>
                    </w:r>
                    <w:proofErr w:type="gramEnd"/>
                    <w:r w:rsidRPr="00475E02">
                      <w:rPr>
                        <w:i/>
                        <w:w w:val="110"/>
                        <w:sz w:val="77"/>
                      </w:rPr>
                      <w:t xml:space="preserve"> EDWARDS Grant per ELDRIDGE Heather - QB17 Investiture - new Entree Cards - address confirmation and age of guest - reply</w:t>
                    </w:r>
                  </w:p>
                </w:txbxContent>
              </v:textbox>
            </v:shape>
            <v:shape id="_x0000_s1027" type="#_x0000_t202" style="position:absolute;left:4738;top:204;width:148;height:861" filled="f" stroked="f">
              <v:textbox style="mso-next-textbox:#_x0000_s1027" inset="0,0,0,0">
                <w:txbxContent>
                  <w:p w:rsidR="001F5E7E" w:rsidRDefault="001F5E7E">
                    <w:pPr>
                      <w:spacing w:line="860" w:lineRule="exact"/>
                      <w:rPr>
                        <w:sz w:val="7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bookmarkEnd w:id="1"/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1F5E7E">
      <w:pPr>
        <w:pStyle w:val="BodyText"/>
        <w:rPr>
          <w:sz w:val="20"/>
        </w:rPr>
      </w:pPr>
    </w:p>
    <w:p w:rsidR="001F5E7E" w:rsidRDefault="003001D2">
      <w:pPr>
        <w:pStyle w:val="BodyText"/>
        <w:spacing w:before="2"/>
        <w:rPr>
          <w:sz w:val="26"/>
        </w:rPr>
      </w:pPr>
      <w:r>
        <w:rPr>
          <w:noProof/>
          <w:lang w:val="en-AU" w:eastAsia="en-A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121919</wp:posOffset>
            </wp:positionH>
            <wp:positionV relativeFrom="paragraph">
              <wp:posOffset>215897</wp:posOffset>
            </wp:positionV>
            <wp:extent cx="7376159" cy="3657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5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5E7E">
      <w:pgSz w:w="11920" w:h="16850"/>
      <w:pgMar w:top="1340" w:right="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" o:spid="_x0000_i1026" type="#_x0000_t75" style="width:130.25pt;height:56.95pt;visibility:visible;mso-wrap-style:square" o:bullet="t">
        <v:imagedata r:id="rId1" o:title=""/>
      </v:shape>
    </w:pict>
  </w:numPicBullet>
  <w:abstractNum w:abstractNumId="0">
    <w:nsid w:val="7AF56B04"/>
    <w:multiLevelType w:val="hybridMultilevel"/>
    <w:tmpl w:val="9D7ADF04"/>
    <w:lvl w:ilvl="0" w:tplc="3DEE36AA">
      <w:start w:val="1"/>
      <w:numFmt w:val="decimal"/>
      <w:lvlText w:val="%1."/>
      <w:lvlJc w:val="left"/>
      <w:pPr>
        <w:ind w:left="869" w:hanging="363"/>
        <w:jc w:val="right"/>
      </w:pPr>
      <w:rPr>
        <w:rFonts w:ascii="Arial" w:eastAsia="Arial" w:hAnsi="Arial" w:cs="Arial" w:hint="default"/>
        <w:w w:val="108"/>
        <w:sz w:val="21"/>
        <w:szCs w:val="21"/>
      </w:rPr>
    </w:lvl>
    <w:lvl w:ilvl="1" w:tplc="6C0EC5B0">
      <w:numFmt w:val="bullet"/>
      <w:lvlText w:val="•"/>
      <w:lvlJc w:val="left"/>
      <w:pPr>
        <w:ind w:left="1775" w:hanging="363"/>
      </w:pPr>
      <w:rPr>
        <w:rFonts w:hint="default"/>
      </w:rPr>
    </w:lvl>
    <w:lvl w:ilvl="2" w:tplc="6FEABE34">
      <w:numFmt w:val="bullet"/>
      <w:lvlText w:val="•"/>
      <w:lvlJc w:val="left"/>
      <w:pPr>
        <w:ind w:left="2690" w:hanging="363"/>
      </w:pPr>
      <w:rPr>
        <w:rFonts w:hint="default"/>
      </w:rPr>
    </w:lvl>
    <w:lvl w:ilvl="3" w:tplc="5ABA1E6C">
      <w:numFmt w:val="bullet"/>
      <w:lvlText w:val="•"/>
      <w:lvlJc w:val="left"/>
      <w:pPr>
        <w:ind w:left="3606" w:hanging="363"/>
      </w:pPr>
      <w:rPr>
        <w:rFonts w:hint="default"/>
      </w:rPr>
    </w:lvl>
    <w:lvl w:ilvl="4" w:tplc="76F2C5B2">
      <w:numFmt w:val="bullet"/>
      <w:lvlText w:val="•"/>
      <w:lvlJc w:val="left"/>
      <w:pPr>
        <w:ind w:left="4521" w:hanging="363"/>
      </w:pPr>
      <w:rPr>
        <w:rFonts w:hint="default"/>
      </w:rPr>
    </w:lvl>
    <w:lvl w:ilvl="5" w:tplc="E7F4380E">
      <w:numFmt w:val="bullet"/>
      <w:lvlText w:val="•"/>
      <w:lvlJc w:val="left"/>
      <w:pPr>
        <w:ind w:left="5436" w:hanging="363"/>
      </w:pPr>
      <w:rPr>
        <w:rFonts w:hint="default"/>
      </w:rPr>
    </w:lvl>
    <w:lvl w:ilvl="6" w:tplc="04523D46">
      <w:numFmt w:val="bullet"/>
      <w:lvlText w:val="•"/>
      <w:lvlJc w:val="left"/>
      <w:pPr>
        <w:ind w:left="6352" w:hanging="363"/>
      </w:pPr>
      <w:rPr>
        <w:rFonts w:hint="default"/>
      </w:rPr>
    </w:lvl>
    <w:lvl w:ilvl="7" w:tplc="0C3EE766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F4C4B3D4">
      <w:numFmt w:val="bullet"/>
      <w:lvlText w:val="•"/>
      <w:lvlJc w:val="left"/>
      <w:pPr>
        <w:ind w:left="8182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F5E7E"/>
    <w:rsid w:val="001F5E7E"/>
    <w:rsid w:val="003001D2"/>
    <w:rsid w:val="00475E02"/>
    <w:rsid w:val="007D24F3"/>
    <w:rsid w:val="00B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65"/>
      <w:ind w:left="1725" w:right="12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Kaye Browning</cp:lastModifiedBy>
  <cp:revision>2</cp:revision>
  <dcterms:created xsi:type="dcterms:W3CDTF">2017-09-01T09:32:00Z</dcterms:created>
  <dcterms:modified xsi:type="dcterms:W3CDTF">2017-09-01T01:09:00Z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DocuCentre-IV C5575 </vt:lpwstr>
  </property>
  <property fmtid="{D5CDD505-2E9C-101B-9397-08002B2CF9AE}" pid="4" name="LastSaved">
    <vt:filetime>2017-08-31T00:00:00Z</vt:filetime>
  </property>
</Properties>
</file>