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29" w:rsidRDefault="00583510">
      <w:pPr>
        <w:spacing w:before="191" w:line="446" w:lineRule="exact"/>
        <w:ind w:left="120" w:right="191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z w:val="40"/>
        </w:rPr>
        <w:t>the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transferring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business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22"/>
          <w:w w:val="99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company</w:t>
      </w:r>
    </w:p>
    <w:p w:rsidR="00D70829" w:rsidRDefault="00D7082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D70829" w:rsidRDefault="00583510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5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D70829" w:rsidRDefault="00D70829">
      <w:pPr>
        <w:spacing w:before="11"/>
        <w:rPr>
          <w:rFonts w:ascii="Arial" w:eastAsia="Arial" w:hAnsi="Arial" w:cs="Arial"/>
          <w:i/>
          <w:sz w:val="8"/>
          <w:szCs w:val="8"/>
        </w:rPr>
      </w:pPr>
    </w:p>
    <w:p w:rsidR="00D70829" w:rsidRDefault="00583510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anchorlock/>
          </v:group>
        </w:pict>
      </w:r>
    </w:p>
    <w:p w:rsidR="00D70829" w:rsidRDefault="00D70829">
      <w:pPr>
        <w:spacing w:before="6"/>
        <w:rPr>
          <w:rFonts w:ascii="Arial" w:eastAsia="Arial" w:hAnsi="Arial" w:cs="Arial"/>
          <w:i/>
          <w:sz w:val="29"/>
          <w:szCs w:val="29"/>
        </w:rPr>
      </w:pPr>
    </w:p>
    <w:p w:rsidR="00D70829" w:rsidRDefault="00583510">
      <w:pPr>
        <w:pStyle w:val="Heading1"/>
        <w:spacing w:before="69" w:line="475" w:lineRule="auto"/>
        <w:ind w:right="1363"/>
      </w:pPr>
      <w:r>
        <w:t>TO: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CPS</w:t>
      </w:r>
      <w:r>
        <w:rPr>
          <w:spacing w:val="-4"/>
        </w:rPr>
        <w:t xml:space="preserve"> </w:t>
      </w:r>
      <w:r>
        <w:rPr>
          <w:spacing w:val="-1"/>
        </w:rPr>
        <w:t>Australia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6"/>
        </w:rPr>
        <w:t xml:space="preserve"> </w:t>
      </w:r>
      <w:r>
        <w:t>ACN</w:t>
      </w:r>
      <w:r>
        <w:rPr>
          <w:spacing w:val="-5"/>
        </w:rPr>
        <w:t xml:space="preserve"> </w:t>
      </w:r>
      <w:r>
        <w:t>087</w:t>
      </w:r>
      <w:r>
        <w:rPr>
          <w:spacing w:val="-6"/>
        </w:rPr>
        <w:t xml:space="preserve"> </w:t>
      </w:r>
      <w:r>
        <w:t>651</w:t>
      </w:r>
      <w:r>
        <w:rPr>
          <w:spacing w:val="-5"/>
        </w:rPr>
        <w:t xml:space="preserve"> </w:t>
      </w:r>
      <w:r>
        <w:t>143</w:t>
      </w:r>
      <w:r>
        <w:rPr>
          <w:spacing w:val="11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applicant)</w:t>
      </w:r>
      <w:r>
        <w:rPr>
          <w:spacing w:val="25"/>
          <w:w w:val="99"/>
        </w:rPr>
        <w:t xml:space="preserve"> </w:t>
      </w:r>
      <w:r>
        <w:t>SINCE</w:t>
      </w:r>
    </w:p>
    <w:p w:rsidR="00D70829" w:rsidRDefault="00583510">
      <w:pPr>
        <w:numPr>
          <w:ilvl w:val="0"/>
          <w:numId w:val="1"/>
        </w:numPr>
        <w:tabs>
          <w:tab w:val="left" w:pos="840"/>
        </w:tabs>
        <w:spacing w:before="8" w:line="264" w:lineRule="exact"/>
        <w:ind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ACN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087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650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584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Company)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sector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Sector</w:t>
      </w:r>
      <w:r>
        <w:rPr>
          <w:rFonts w:ascii="Times New Roman"/>
          <w:i/>
          <w:spacing w:val="20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(Shareholdings)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1998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Act);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D70829" w:rsidRDefault="00583510">
      <w:pPr>
        <w:numPr>
          <w:ilvl w:val="0"/>
          <w:numId w:val="1"/>
        </w:numPr>
        <w:tabs>
          <w:tab w:val="left" w:pos="840"/>
        </w:tabs>
        <w:spacing w:line="23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100%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gross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6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voluntary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Financial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Sector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(Business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Transfer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Group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Restructure)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1999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Act);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D70829" w:rsidRDefault="00583510">
      <w:pPr>
        <w:pStyle w:val="Heading1"/>
        <w:numPr>
          <w:ilvl w:val="0"/>
          <w:numId w:val="1"/>
        </w:numPr>
        <w:tabs>
          <w:tab w:val="left" w:pos="840"/>
        </w:tabs>
        <w:spacing w:line="233" w:lineRule="auto"/>
        <w:ind w:right="439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13A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transferring</w:t>
      </w:r>
      <w:r>
        <w:rPr>
          <w:spacing w:val="-13"/>
        </w:rPr>
        <w:t xml:space="preserve"> </w:t>
      </w:r>
      <w:r>
        <w:t>business;</w:t>
      </w:r>
      <w:r>
        <w:rPr>
          <w:spacing w:val="-12"/>
        </w:rPr>
        <w:t xml:space="preserve"> </w:t>
      </w:r>
      <w:r>
        <w:t>and</w:t>
      </w:r>
    </w:p>
    <w:p w:rsidR="00D70829" w:rsidRDefault="00583510">
      <w:pPr>
        <w:numPr>
          <w:ilvl w:val="0"/>
          <w:numId w:val="1"/>
        </w:numPr>
        <w:tabs>
          <w:tab w:val="left" w:pos="840"/>
        </w:tabs>
        <w:spacing w:before="2" w:line="264" w:lineRule="exact"/>
        <w:ind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business,</w:t>
      </w:r>
    </w:p>
    <w:p w:rsidR="00D70829" w:rsidRDefault="00D708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829" w:rsidRDefault="00D708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70829" w:rsidRDefault="00583510">
      <w:pPr>
        <w:spacing w:before="78" w:line="268" w:lineRule="exact"/>
        <w:ind w:left="120" w:right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Stephen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Glenfield,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Treasurer,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14(1)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26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applicant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transferring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business.</w:t>
      </w:r>
    </w:p>
    <w:p w:rsidR="00D70829" w:rsidRDefault="00D70829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70829" w:rsidRDefault="00583510">
      <w:pPr>
        <w:spacing w:line="709" w:lineRule="auto"/>
        <w:ind w:left="119" w:right="831"/>
        <w:rPr>
          <w:rFonts w:ascii="Times New Roman"/>
          <w:spacing w:val="-1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commences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February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2018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remains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indefinitely.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Dated</w:t>
      </w:r>
      <w:r w:rsidR="009B00C8">
        <w:rPr>
          <w:rFonts w:ascii="Times New Roman"/>
          <w:spacing w:val="-1"/>
          <w:sz w:val="24"/>
        </w:rPr>
        <w:t>: 16 October 2017</w:t>
      </w:r>
    </w:p>
    <w:p w:rsidR="00D70829" w:rsidRDefault="009B00C8" w:rsidP="009B00C8">
      <w:pPr>
        <w:spacing w:line="709" w:lineRule="auto"/>
        <w:ind w:left="119" w:right="8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24"/>
        </w:rPr>
        <w:t>[Signed]</w:t>
      </w:r>
    </w:p>
    <w:p w:rsidR="00D70829" w:rsidRDefault="00583510">
      <w:pPr>
        <w:spacing w:before="3" w:line="268" w:lineRule="exact"/>
        <w:ind w:left="120" w:right="6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Stephen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Glenfield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</w:p>
    <w:p w:rsidR="00D70829" w:rsidRDefault="00583510">
      <w:pPr>
        <w:spacing w:line="233" w:lineRule="auto"/>
        <w:ind w:left="120" w:right="549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z w:val="24"/>
        </w:rPr>
        <w:t>South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West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Melbourne</w:t>
      </w:r>
    </w:p>
    <w:p w:rsidR="00D70829" w:rsidRDefault="00D70829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D70829" w:rsidRDefault="00583510">
      <w:pPr>
        <w:tabs>
          <w:tab w:val="left" w:pos="6859"/>
        </w:tabs>
        <w:ind w:left="1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w w:val="95"/>
          <w:position w:val="-3"/>
          <w:sz w:val="24"/>
        </w:rPr>
        <w:t>Interpretation</w:t>
      </w:r>
      <w:r>
        <w:rPr>
          <w:rFonts w:ascii="Arial"/>
          <w:b/>
          <w:w w:val="95"/>
          <w:position w:val="-3"/>
          <w:sz w:val="24"/>
        </w:rPr>
        <w:tab/>
      </w:r>
      <w:r>
        <w:rPr>
          <w:rFonts w:ascii="Times New Roman"/>
          <w:spacing w:val="-1"/>
          <w:sz w:val="20"/>
        </w:rPr>
        <w:t>Document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ID: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227894</w:t>
      </w:r>
    </w:p>
    <w:p w:rsidR="00D70829" w:rsidRDefault="00583510">
      <w:pPr>
        <w:pStyle w:val="Heading1"/>
        <w:spacing w:before="78"/>
        <w:ind w:left="163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D70829" w:rsidRDefault="00D70829">
      <w:pPr>
        <w:sectPr w:rsidR="00D70829">
          <w:headerReference w:type="default" r:id="rId7"/>
          <w:type w:val="continuous"/>
          <w:pgSz w:w="11910" w:h="16840"/>
          <w:pgMar w:top="1380" w:right="1360" w:bottom="280" w:left="1320" w:header="720" w:footer="720" w:gutter="0"/>
          <w:cols w:space="720"/>
        </w:sectPr>
      </w:pPr>
    </w:p>
    <w:p w:rsidR="00D70829" w:rsidRDefault="00583510">
      <w:pPr>
        <w:spacing w:before="41"/>
        <w:ind w:left="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lastRenderedPageBreak/>
        <w:t>finan</w:t>
      </w:r>
      <w:bookmarkStart w:id="2" w:name="_GoBack"/>
      <w:bookmarkEnd w:id="2"/>
      <w:r>
        <w:rPr>
          <w:rFonts w:ascii="Times New Roman"/>
          <w:b/>
          <w:i/>
          <w:spacing w:val="-1"/>
          <w:sz w:val="24"/>
        </w:rPr>
        <w:t>cial</w:t>
      </w:r>
      <w:proofErr w:type="gramEnd"/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company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D70829" w:rsidRDefault="00D70829">
      <w:pPr>
        <w:rPr>
          <w:rFonts w:ascii="Times New Roman" w:eastAsia="Times New Roman" w:hAnsi="Times New Roman" w:cs="Times New Roman"/>
          <w:sz w:val="24"/>
          <w:szCs w:val="24"/>
        </w:rPr>
        <w:sectPr w:rsidR="00D70829" w:rsidSect="009B00C8">
          <w:headerReference w:type="default" r:id="rId8"/>
          <w:pgSz w:w="11910" w:h="16840"/>
          <w:pgMar w:top="1420" w:right="1460" w:bottom="280" w:left="1380" w:header="720" w:footer="720" w:gutter="0"/>
          <w:cols w:space="720"/>
          <w:titlePg/>
          <w:docGrid w:linePitch="299"/>
        </w:sectPr>
      </w:pPr>
    </w:p>
    <w:p w:rsidR="00D70829" w:rsidRDefault="00583510">
      <w:pPr>
        <w:spacing w:before="83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1</w:t>
      </w:r>
    </w:p>
    <w:p w:rsidR="00D70829" w:rsidRDefault="00583510">
      <w:pPr>
        <w:spacing w:before="83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Regulation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Financial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Sector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(Transfers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Business)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Regulations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1999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provides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that,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</w:p>
    <w:p w:rsidR="00D70829" w:rsidRDefault="00D70829">
      <w:pPr>
        <w:rPr>
          <w:rFonts w:ascii="Times New Roman" w:eastAsia="Times New Roman" w:hAnsi="Times New Roman" w:cs="Times New Roman"/>
          <w:sz w:val="20"/>
          <w:szCs w:val="20"/>
        </w:rPr>
        <w:sectPr w:rsidR="00D70829">
          <w:type w:val="continuous"/>
          <w:pgSz w:w="11910" w:h="16840"/>
          <w:pgMar w:top="1380" w:right="1460" w:bottom="280" w:left="1380" w:header="720" w:footer="720" w:gutter="0"/>
          <w:cols w:num="2" w:space="720" w:equalWidth="0">
            <w:col w:w="632" w:space="261"/>
            <w:col w:w="8177"/>
          </w:cols>
        </w:sectPr>
      </w:pPr>
    </w:p>
    <w:p w:rsidR="00D70829" w:rsidRDefault="00583510">
      <w:pPr>
        <w:pStyle w:val="BodyText"/>
        <w:spacing w:before="1" w:line="220" w:lineRule="exact"/>
        <w:ind w:right="111"/>
      </w:pPr>
      <w:proofErr w:type="gramStart"/>
      <w:r>
        <w:rPr>
          <w:spacing w:val="-1"/>
        </w:rPr>
        <w:t>subsection</w:t>
      </w:r>
      <w:proofErr w:type="gramEnd"/>
      <w:r>
        <w:t xml:space="preserve"> </w:t>
      </w:r>
      <w:r>
        <w:rPr>
          <w:spacing w:val="-1"/>
        </w:rPr>
        <w:t xml:space="preserve">43(4) of the Business Transfer Act, the provisions of the Act apply in relation to </w:t>
      </w:r>
      <w:r>
        <w:t>a</w:t>
      </w:r>
      <w:r>
        <w:rPr>
          <w:spacing w:val="-1"/>
        </w:rPr>
        <w:t xml:space="preserve"> transfer of</w:t>
      </w:r>
      <w:r>
        <w:rPr>
          <w:spacing w:val="34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section 13A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inserted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section 13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Act.</w:t>
      </w:r>
      <w:r>
        <w:rPr>
          <w:spacing w:val="-2"/>
        </w:rPr>
        <w:t xml:space="preserve"> </w:t>
      </w:r>
      <w:r>
        <w:rPr>
          <w:spacing w:val="-1"/>
        </w:rPr>
        <w:t>Section 13A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financial sector</w:t>
      </w:r>
      <w:r>
        <w:rPr>
          <w:spacing w:val="36"/>
        </w:rPr>
        <w:t xml:space="preserve"> </w:t>
      </w:r>
      <w:r>
        <w:rPr>
          <w:spacing w:val="-1"/>
        </w:rPr>
        <w:t>company to which more than 15% of the gross assets and liabilities of another financial sector company (the</w:t>
      </w:r>
      <w:r>
        <w:rPr>
          <w:spacing w:val="37"/>
        </w:rPr>
        <w:t xml:space="preserve"> </w:t>
      </w:r>
      <w:r>
        <w:rPr>
          <w:b/>
          <w:i/>
          <w:spacing w:val="-1"/>
        </w:rPr>
        <w:t>transferring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business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Treasurer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hold the</w:t>
      </w:r>
      <w:r>
        <w:rPr>
          <w:spacing w:val="34"/>
        </w:rPr>
        <w:t xml:space="preserve"> </w:t>
      </w:r>
      <w:r>
        <w:rPr>
          <w:spacing w:val="-1"/>
        </w:rPr>
        <w:t>transferring business and that Divis</w:t>
      </w:r>
      <w:r>
        <w:rPr>
          <w:spacing w:val="-1"/>
        </w:rPr>
        <w:t>ion</w:t>
      </w:r>
      <w:r>
        <w:t xml:space="preserve"> 3</w:t>
      </w:r>
      <w:r>
        <w:rPr>
          <w:spacing w:val="-1"/>
        </w:rPr>
        <w:t xml:space="preserve"> of Part</w:t>
      </w:r>
      <w:r>
        <w:t xml:space="preserve"> 2</w:t>
      </w:r>
      <w:r>
        <w:rPr>
          <w:spacing w:val="-1"/>
        </w:rPr>
        <w:t xml:space="preserve"> of the Act</w:t>
      </w:r>
      <w:r>
        <w:t xml:space="preserve"> </w:t>
      </w:r>
      <w:r>
        <w:rPr>
          <w:spacing w:val="-1"/>
        </w:rPr>
        <w:t>applies to the application as if the transferring</w:t>
      </w:r>
      <w:r>
        <w:rPr>
          <w:spacing w:val="34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company.</w:t>
      </w:r>
    </w:p>
    <w:p w:rsidR="00D70829" w:rsidRDefault="00D70829">
      <w:pPr>
        <w:spacing w:line="220" w:lineRule="exact"/>
        <w:sectPr w:rsidR="00D70829">
          <w:type w:val="continuous"/>
          <w:pgSz w:w="11910" w:h="16840"/>
          <w:pgMar w:top="1380" w:right="1460" w:bottom="280" w:left="1380" w:header="720" w:footer="720" w:gutter="0"/>
          <w:cols w:space="720"/>
        </w:sectPr>
      </w:pPr>
    </w:p>
    <w:p w:rsidR="00D70829" w:rsidRDefault="00583510">
      <w:pPr>
        <w:spacing w:before="81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Note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</w:p>
    <w:p w:rsidR="00D70829" w:rsidRDefault="00583510">
      <w:pPr>
        <w:pStyle w:val="BodyText"/>
        <w:spacing w:before="81"/>
      </w:pPr>
      <w:r>
        <w:br w:type="column"/>
      </w:r>
      <w:r>
        <w:rPr>
          <w:spacing w:val="-1"/>
        </w:rPr>
        <w:t>Under section 14 of the Act, the Treasurer</w:t>
      </w:r>
      <w:r>
        <w:rPr>
          <w:spacing w:val="-2"/>
        </w:rPr>
        <w:t xml:space="preserve"> </w:t>
      </w:r>
      <w:r>
        <w:rPr>
          <w:spacing w:val="-1"/>
        </w:rPr>
        <w:t>must give written notice of the approval</w:t>
      </w:r>
      <w:r>
        <w:rPr>
          <w:spacing w:val="-2"/>
        </w:rPr>
        <w:t xml:space="preserve"> </w:t>
      </w:r>
      <w:r>
        <w:rPr>
          <w:spacing w:val="-1"/>
        </w:rPr>
        <w:t>to the applicant</w:t>
      </w:r>
    </w:p>
    <w:p w:rsidR="00D70829" w:rsidRDefault="00D70829">
      <w:pPr>
        <w:sectPr w:rsidR="00D70829">
          <w:type w:val="continuous"/>
          <w:pgSz w:w="11910" w:h="16840"/>
          <w:pgMar w:top="1380" w:right="1460" w:bottom="280" w:left="1380" w:header="720" w:footer="720" w:gutter="0"/>
          <w:cols w:num="2" w:space="720" w:equalWidth="0">
            <w:col w:w="632" w:space="261"/>
            <w:col w:w="8177"/>
          </w:cols>
        </w:sectPr>
      </w:pPr>
    </w:p>
    <w:p w:rsidR="00D70829" w:rsidRDefault="00583510">
      <w:pPr>
        <w:pStyle w:val="BodyText"/>
        <w:spacing w:line="221" w:lineRule="exact"/>
      </w:pPr>
      <w:proofErr w:type="gramStart"/>
      <w:r>
        <w:rPr>
          <w:spacing w:val="-1"/>
        </w:rPr>
        <w:t>and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Gazette</w:t>
      </w:r>
      <w:r>
        <w:rPr>
          <w:i/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given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Company.</w:t>
      </w:r>
    </w:p>
    <w:sectPr w:rsidR="00D70829">
      <w:type w:val="continuous"/>
      <w:pgSz w:w="11910" w:h="16840"/>
      <w:pgMar w:top="1380" w:right="146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C8" w:rsidRDefault="009B00C8" w:rsidP="009B00C8">
      <w:r>
        <w:separator/>
      </w:r>
    </w:p>
  </w:endnote>
  <w:endnote w:type="continuationSeparator" w:id="0">
    <w:p w:rsidR="009B00C8" w:rsidRDefault="009B00C8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C8" w:rsidRDefault="009B00C8" w:rsidP="009B00C8">
      <w:r>
        <w:separator/>
      </w:r>
    </w:p>
  </w:footnote>
  <w:footnote w:type="continuationSeparator" w:id="0">
    <w:p w:rsidR="009B00C8" w:rsidRDefault="009B00C8" w:rsidP="009B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B00C8" w:rsidRPr="00CE796A" w:rsidTr="00EF298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F881593" wp14:editId="62B08A09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B00C8" w:rsidRPr="00CE796A" w:rsidTr="00EF298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B00C8" w:rsidRPr="00CE796A" w:rsidRDefault="009B00C8" w:rsidP="009B00C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B00C8" w:rsidRPr="00840A06" w:rsidRDefault="009B00C8" w:rsidP="009B00C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9B00C8" w:rsidRDefault="009B00C8">
    <w:pPr>
      <w:pStyle w:val="Header"/>
    </w:pPr>
  </w:p>
  <w:p w:rsidR="009B00C8" w:rsidRDefault="009B0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B00C8" w:rsidRPr="00CE796A" w:rsidTr="00EF298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7033BE6" wp14:editId="221D93AA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B00C8" w:rsidRPr="00CE796A" w:rsidRDefault="009B00C8" w:rsidP="009B00C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B00C8" w:rsidRPr="00CE796A" w:rsidTr="00EF298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B00C8" w:rsidRPr="00CE796A" w:rsidRDefault="009B00C8" w:rsidP="009B00C8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B00C8" w:rsidRPr="00840A06" w:rsidRDefault="009B00C8" w:rsidP="009B00C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B00C8" w:rsidRDefault="009B00C8">
    <w:pPr>
      <w:pStyle w:val="Header"/>
    </w:pPr>
  </w:p>
  <w:p w:rsidR="009B00C8" w:rsidRDefault="009B0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D6926"/>
    <w:multiLevelType w:val="hybridMultilevel"/>
    <w:tmpl w:val="6E9E2078"/>
    <w:lvl w:ilvl="0" w:tplc="10922ACC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9440F6C">
      <w:start w:val="1"/>
      <w:numFmt w:val="bullet"/>
      <w:lvlText w:val="•"/>
      <w:lvlJc w:val="left"/>
      <w:pPr>
        <w:ind w:left="1678" w:hanging="720"/>
      </w:pPr>
      <w:rPr>
        <w:rFonts w:hint="default"/>
      </w:rPr>
    </w:lvl>
    <w:lvl w:ilvl="2" w:tplc="1C3EF050">
      <w:start w:val="1"/>
      <w:numFmt w:val="bullet"/>
      <w:lvlText w:val="•"/>
      <w:lvlJc w:val="left"/>
      <w:pPr>
        <w:ind w:left="2517" w:hanging="720"/>
      </w:pPr>
      <w:rPr>
        <w:rFonts w:hint="default"/>
      </w:rPr>
    </w:lvl>
    <w:lvl w:ilvl="3" w:tplc="AF06E96A">
      <w:start w:val="1"/>
      <w:numFmt w:val="bullet"/>
      <w:lvlText w:val="•"/>
      <w:lvlJc w:val="left"/>
      <w:pPr>
        <w:ind w:left="3355" w:hanging="720"/>
      </w:pPr>
      <w:rPr>
        <w:rFonts w:hint="default"/>
      </w:rPr>
    </w:lvl>
    <w:lvl w:ilvl="4" w:tplc="4EAA3CFC">
      <w:start w:val="1"/>
      <w:numFmt w:val="bullet"/>
      <w:lvlText w:val="•"/>
      <w:lvlJc w:val="left"/>
      <w:pPr>
        <w:ind w:left="4194" w:hanging="720"/>
      </w:pPr>
      <w:rPr>
        <w:rFonts w:hint="default"/>
      </w:rPr>
    </w:lvl>
    <w:lvl w:ilvl="5" w:tplc="0E040152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 w:tplc="14045B50">
      <w:start w:val="1"/>
      <w:numFmt w:val="bullet"/>
      <w:lvlText w:val="•"/>
      <w:lvlJc w:val="left"/>
      <w:pPr>
        <w:ind w:left="5871" w:hanging="720"/>
      </w:pPr>
      <w:rPr>
        <w:rFonts w:hint="default"/>
      </w:rPr>
    </w:lvl>
    <w:lvl w:ilvl="7" w:tplc="7BC0D884">
      <w:start w:val="1"/>
      <w:numFmt w:val="bullet"/>
      <w:lvlText w:val="•"/>
      <w:lvlJc w:val="left"/>
      <w:pPr>
        <w:ind w:left="6709" w:hanging="720"/>
      </w:pPr>
      <w:rPr>
        <w:rFonts w:hint="default"/>
      </w:rPr>
    </w:lvl>
    <w:lvl w:ilvl="8" w:tplc="F95A9D1C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0829"/>
    <w:rsid w:val="00583510"/>
    <w:rsid w:val="009B00C8"/>
    <w:rsid w:val="00D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11830EB9-D8E8-41D2-B87C-CAA0B1A3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0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C8"/>
  </w:style>
  <w:style w:type="paragraph" w:styleId="Footer">
    <w:name w:val="footer"/>
    <w:basedOn w:val="Normal"/>
    <w:link w:val="FooterChar"/>
    <w:uiPriority w:val="99"/>
    <w:unhideWhenUsed/>
    <w:rsid w:val="009B0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C8"/>
  </w:style>
  <w:style w:type="paragraph" w:styleId="BalloonText">
    <w:name w:val="Balloon Text"/>
    <w:basedOn w:val="Normal"/>
    <w:link w:val="BalloonTextChar"/>
    <w:uiPriority w:val="99"/>
    <w:semiHidden/>
    <w:unhideWhenUsed/>
    <w:rsid w:val="00583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37" ma:contentTypeDescription="Create a new document." ma:contentTypeScope="" ma:versionID="b9ef5bc26372778073757b630008b228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2017-10-15T13:00:00+00:00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134</Value>
      <Value>83</Value>
      <Value>25</Value>
      <Value>26</Value>
      <Value>10</Value>
      <Value>109</Value>
      <Value>93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Approval to hold the transferring business of a financial sector company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5JENXJJSCC7A-445999044-3732</_dlc_DocId>
    <_dlc_DocIdUrl xmlns="814d62cb-2db6-4c25-ab62-b9075facbc11">
      <Url>https://im/teams/LEGAL/_layouts/15/DocIdRedir.aspx?ID=5JENXJJSCC7A-445999044-3732</Url>
      <Description>5JENXJJSCC7A-445999044-3732</Description>
    </_dlc_DocIdUrl>
  </documentManagement>
</p:properties>
</file>

<file path=customXml/itemProps1.xml><?xml version="1.0" encoding="utf-8"?>
<ds:datastoreItem xmlns:ds="http://schemas.openxmlformats.org/officeDocument/2006/customXml" ds:itemID="{1D68326D-CF01-4B93-B84E-45A8063A707E}"/>
</file>

<file path=customXml/itemProps2.xml><?xml version="1.0" encoding="utf-8"?>
<ds:datastoreItem xmlns:ds="http://schemas.openxmlformats.org/officeDocument/2006/customXml" ds:itemID="{A33C6FE9-B17F-4E6C-8A81-8E432DA4E155}"/>
</file>

<file path=customXml/itemProps3.xml><?xml version="1.0" encoding="utf-8"?>
<ds:datastoreItem xmlns:ds="http://schemas.openxmlformats.org/officeDocument/2006/customXml" ds:itemID="{CB0AE485-42B7-4471-AF04-8AAEDB420715}"/>
</file>

<file path=customXml/itemProps4.xml><?xml version="1.0" encoding="utf-8"?>
<ds:datastoreItem xmlns:ds="http://schemas.openxmlformats.org/officeDocument/2006/customXml" ds:itemID="{B9ED6041-7006-43C9-A89E-52E0A13A70DE}"/>
</file>

<file path=customXml/itemProps5.xml><?xml version="1.0" encoding="utf-8"?>
<ds:datastoreItem xmlns:ds="http://schemas.openxmlformats.org/officeDocument/2006/customXml" ds:itemID="{87B1C4DD-4AA9-4601-83EB-A21339CDD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1917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SIP0227894.htm</vt:lpstr>
    </vt:vector>
  </TitlesOfParts>
  <Company>APRA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SIP227894 - Community CPS Australia Limited - 16 October 2017</dc:title>
  <cp:keywords> [SEC=UNCLASSIFIED]</cp:keywords>
  <cp:lastModifiedBy>Toni Michalis</cp:lastModifiedBy>
  <cp:revision>3</cp:revision>
  <cp:lastPrinted>2017-10-19T02:45:00Z</cp:lastPrinted>
  <dcterms:created xsi:type="dcterms:W3CDTF">2017-10-19T13:41:00Z</dcterms:created>
  <dcterms:modified xsi:type="dcterms:W3CDTF">2017-10-19T02:45:00Z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2017-10-19T00:00:00Z</vt:filetime>
  </property>
  <property fmtid="{D5CDD505-2E9C-101B-9397-08002B2CF9AE}" pid="4" name="PM_ProtectiveMarkingValue_Footer">
    <vt:lpwstr>UNCLASSIFIED</vt:lpwstr>
  </property>
  <property fmtid="{D5CDD505-2E9C-101B-9397-08002B2CF9AE}" pid="5" name="PM_Caveats_Count">
    <vt:lpwstr>0</vt:lpwstr>
  </property>
  <property fmtid="{D5CDD505-2E9C-101B-9397-08002B2CF9AE}" pid="6" name="PM_Originator_Hash_SHA1">
    <vt:lpwstr>C3AD57350F36D8E1BD75F8F67CB06D435C9C43CA</vt:lpwstr>
  </property>
  <property fmtid="{D5CDD505-2E9C-101B-9397-08002B2CF9AE}" pid="7" name="PM_SecurityClassification">
    <vt:lpwstr>UNCLASSIFIED</vt:lpwstr>
  </property>
  <property fmtid="{D5CDD505-2E9C-101B-9397-08002B2CF9AE}" pid="8" name="PM_DisplayValueSecClassificationWithQualifier">
    <vt:lpwstr>UNCLASSIFIED</vt:lpwstr>
  </property>
  <property fmtid="{D5CDD505-2E9C-101B-9397-08002B2CF9AE}" pid="9" name="PM_Qualifier">
    <vt:lpwstr/>
  </property>
  <property fmtid="{D5CDD505-2E9C-101B-9397-08002B2CF9AE}" pid="10" name="PM_Hash_SHA1">
    <vt:lpwstr>00AA99BE776CC535CBE1334E73811B9D946D24D8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InsertionValue">
    <vt:lpwstr>UNCLASSIFIED</vt:lpwstr>
  </property>
  <property fmtid="{D5CDD505-2E9C-101B-9397-08002B2CF9AE}" pid="13" name="PM_ProtectiveMarkingValue_Header">
    <vt:lpwstr>UNCLASSIFIED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2012.3</vt:lpwstr>
  </property>
  <property fmtid="{D5CDD505-2E9C-101B-9397-08002B2CF9AE}" pid="17" name="PM_Originating_FileId">
    <vt:lpwstr>2D53BEF626264B55B8D455A7AA98EEB1</vt:lpwstr>
  </property>
  <property fmtid="{D5CDD505-2E9C-101B-9397-08002B2CF9AE}" pid="18" name="PM_OriginationTimeStamp">
    <vt:lpwstr>2017-10-19T02:45:28Z</vt:lpwstr>
  </property>
  <property fmtid="{D5CDD505-2E9C-101B-9397-08002B2CF9AE}" pid="19" name="PM_Hash_Version">
    <vt:lpwstr>2016.1</vt:lpwstr>
  </property>
  <property fmtid="{D5CDD505-2E9C-101B-9397-08002B2CF9AE}" pid="20" name="PM_Hash_Salt_Prev">
    <vt:lpwstr>3821D62CD6F9406983B8224350342E45</vt:lpwstr>
  </property>
  <property fmtid="{D5CDD505-2E9C-101B-9397-08002B2CF9AE}" pid="21" name="PM_Hash_Salt">
    <vt:lpwstr>11A4EC559F0DFC9C4076A13B0D6906F7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ContentTypeId">
    <vt:lpwstr>0x0101008CA7A4F8331B45C7B0D3158B4994D0CA0200577EC0F5A1FBFC498F9A8436B963F8A6</vt:lpwstr>
  </property>
  <property fmtid="{D5CDD505-2E9C-101B-9397-08002B2CF9AE}" pid="25" name="APRAPeriod">
    <vt:lpwstr/>
  </property>
  <property fmtid="{D5CDD505-2E9C-101B-9397-08002B2CF9AE}" pid="26" name="APRACostCentre">
    <vt:lpwstr>158;#PAD300|98bbdbe4-d019-48eb-87c4-aa31a7f2f98f;#4;#Legal - Corporate and Resolution|696624b1-19f4-47b2-a07b-57868a922a96;#24;#Legal - ADI|652d8d2a-ab45-47b4-ac6e-fe6ac9299b39;#134;#Legal - Superannuation|cce3181d-fd23-4eee-94d3-c66abc2350cf;#26;#Legal - Insurance: General|8229dc1a-d7f2-47b2-844a-b026fed0c13d;#83;#Legal - Insurance: Life|56f18b50-6605-4f3f-97e3-cad1cb5394e0;#93;#Legal - Insurance: Health|21611e62-d688-4f0d-8807-02701cc43699</vt:lpwstr>
  </property>
  <property fmtid="{D5CDD505-2E9C-101B-9397-08002B2CF9AE}" pid="27" name="APRALegislation">
    <vt:lpwstr/>
  </property>
  <property fmtid="{D5CDD505-2E9C-101B-9397-08002B2CF9AE}" pid="28" name="APRAYear">
    <vt:lpwstr>25;#2017|d3a4eca2-678d-4407-b6b0-19c597d571b1</vt:lpwstr>
  </property>
  <property fmtid="{D5CDD505-2E9C-101B-9397-08002B2CF9AE}" pid="29" name="APRAIndustry">
    <vt:lpwstr/>
  </property>
  <property fmtid="{D5CDD505-2E9C-101B-9397-08002B2CF9AE}" pid="30" name="APRAPRSG">
    <vt:lpwstr/>
  </property>
  <property fmtid="{D5CDD505-2E9C-101B-9397-08002B2CF9AE}" pid="31" name="_dlc_DocIdItemGuid">
    <vt:lpwstr>a82a49cc-f9a3-418d-a9e1-cb1282fc2009</vt:lpwstr>
  </property>
  <property fmtid="{D5CDD505-2E9C-101B-9397-08002B2CF9AE}" pid="32" name="IsLocked">
    <vt:lpwstr>False</vt:lpwstr>
  </property>
  <property fmtid="{D5CDD505-2E9C-101B-9397-08002B2CF9AE}" pid="33" name="IT system type">
    <vt:lpwstr/>
  </property>
  <property fmtid="{D5CDD505-2E9C-101B-9397-08002B2CF9AE}" pid="34" name="APRACategory">
    <vt:lpwstr/>
  </property>
  <property fmtid="{D5CDD505-2E9C-101B-9397-08002B2CF9AE}" pid="35" name="APRADocumentType">
    <vt:lpwstr>58;#Legal instrument|71fd6ed3-d6d6-4975-ba99-bfe45802e734</vt:lpwstr>
  </property>
  <property fmtid="{D5CDD505-2E9C-101B-9397-08002B2CF9AE}" pid="36" name="APRAStatus">
    <vt:lpwstr>19;#Final|84d6b2d0-8498-4d62-bf46-bab38babbe9e</vt:lpwstr>
  </property>
  <property fmtid="{D5CDD505-2E9C-101B-9397-08002B2CF9AE}" pid="37" name="APRAActivity">
    <vt:lpwstr>10;#Registration|390476ce-d76d-4e8d-905f-28e32d2df127;#109;#Statutory instrument|fe68928c-5a9c-4caf-bc8c-6c18cedcb17f</vt:lpwstr>
  </property>
  <property fmtid="{D5CDD505-2E9C-101B-9397-08002B2CF9AE}" pid="38" name="APRAEntityAdviceSupport">
    <vt:lpwstr/>
  </property>
  <property fmtid="{D5CDD505-2E9C-101B-9397-08002B2CF9AE}" pid="39" name="APRAExternalOrganisation">
    <vt:lpwstr/>
  </property>
  <property fmtid="{D5CDD505-2E9C-101B-9397-08002B2CF9AE}" pid="40" name="APRAIRTR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{75a71c27-8d66-4282-ae60-1bfc22a83be1}</vt:lpwstr>
  </property>
  <property fmtid="{D5CDD505-2E9C-101B-9397-08002B2CF9AE}" pid="43" name="RecordPoint_ActiveItemSiteId">
    <vt:lpwstr>{88691c01-5bbb-4215-adc0-66cb7065b0af}</vt:lpwstr>
  </property>
  <property fmtid="{D5CDD505-2E9C-101B-9397-08002B2CF9AE}" pid="44" name="RecordPoint_ActiveItemListId">
    <vt:lpwstr>{0e59e171-09d8-4401-800a-327154450cb3}</vt:lpwstr>
  </property>
  <property fmtid="{D5CDD505-2E9C-101B-9397-08002B2CF9AE}" pid="45" name="RecordPoint_ActiveItemUniqueId">
    <vt:lpwstr>{a82a49cc-f9a3-418d-a9e1-cb1282fc2009}</vt:lpwstr>
  </property>
</Properties>
</file>