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562" w:rsidRDefault="009D7562">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9" o:title=""/>
          </v:shape>
          <o:OLEObject Type="Embed" ProgID="Word.Picture.8" ShapeID="_x0000_i1025" DrawAspect="Content" ObjectID="_1588595274" r:id="rId10"/>
        </w:object>
      </w:r>
    </w:p>
    <w:p w:rsidR="009D7562" w:rsidRDefault="009D7562"/>
    <w:p w:rsidR="009D7562" w:rsidRDefault="009D7562" w:rsidP="009D7562">
      <w:pPr>
        <w:spacing w:line="240" w:lineRule="auto"/>
      </w:pPr>
    </w:p>
    <w:p w:rsidR="009D7562" w:rsidRDefault="009D7562" w:rsidP="009D7562"/>
    <w:p w:rsidR="009D7562" w:rsidRDefault="009D7562" w:rsidP="009D7562"/>
    <w:p w:rsidR="009D7562" w:rsidRDefault="009D7562" w:rsidP="009D7562"/>
    <w:p w:rsidR="009D7562" w:rsidRDefault="009D7562" w:rsidP="009D7562"/>
    <w:p w:rsidR="0048364F" w:rsidRPr="00E61609" w:rsidRDefault="004B067C" w:rsidP="0048364F">
      <w:pPr>
        <w:pStyle w:val="ShortT"/>
      </w:pPr>
      <w:r w:rsidRPr="00E61609">
        <w:t>Investigation and Prosecution Measures</w:t>
      </w:r>
      <w:r w:rsidR="000D7F19" w:rsidRPr="00E61609">
        <w:t xml:space="preserve"> </w:t>
      </w:r>
      <w:r w:rsidR="009D7562">
        <w:t>Act</w:t>
      </w:r>
      <w:r w:rsidR="00C164CA" w:rsidRPr="00E61609">
        <w:t xml:space="preserve"> 201</w:t>
      </w:r>
      <w:r w:rsidR="00D72EDD">
        <w:t>8</w:t>
      </w:r>
    </w:p>
    <w:p w:rsidR="0048364F" w:rsidRPr="00E61609" w:rsidRDefault="0048364F" w:rsidP="0048364F"/>
    <w:p w:rsidR="0048364F" w:rsidRPr="00E61609" w:rsidRDefault="00C164CA" w:rsidP="009D7562">
      <w:pPr>
        <w:pStyle w:val="Actno"/>
        <w:spacing w:before="400"/>
      </w:pPr>
      <w:r w:rsidRPr="00E61609">
        <w:t>No.</w:t>
      </w:r>
      <w:r w:rsidR="00634DEF">
        <w:t xml:space="preserve"> 37</w:t>
      </w:r>
      <w:r w:rsidRPr="00E61609">
        <w:t>, 201</w:t>
      </w:r>
      <w:r w:rsidR="00D72EDD">
        <w:t>8</w:t>
      </w:r>
    </w:p>
    <w:p w:rsidR="0048364F" w:rsidRPr="00E61609" w:rsidRDefault="0048364F" w:rsidP="0048364F"/>
    <w:p w:rsidR="009D7562" w:rsidRDefault="009D7562" w:rsidP="009D7562"/>
    <w:p w:rsidR="009D7562" w:rsidRDefault="009D7562" w:rsidP="009D7562"/>
    <w:p w:rsidR="009D7562" w:rsidRDefault="009D7562" w:rsidP="009D7562"/>
    <w:p w:rsidR="009D7562" w:rsidRDefault="009D7562" w:rsidP="009D7562"/>
    <w:p w:rsidR="0048364F" w:rsidRPr="00E61609" w:rsidRDefault="009D7562" w:rsidP="0048364F">
      <w:pPr>
        <w:pStyle w:val="LongT"/>
      </w:pPr>
      <w:r>
        <w:t>An Act</w:t>
      </w:r>
      <w:r w:rsidR="002202C9" w:rsidRPr="00E61609">
        <w:t xml:space="preserve"> to </w:t>
      </w:r>
      <w:r w:rsidR="006255BF" w:rsidRPr="00E61609">
        <w:t>amend the law relating to the Independen</w:t>
      </w:r>
      <w:r w:rsidR="00076173" w:rsidRPr="00E61609">
        <w:t>t Commission Against Corruption</w:t>
      </w:r>
      <w:r w:rsidR="004B067C" w:rsidRPr="00E61609">
        <w:t xml:space="preserve"> of New South Wales and the prosecution of offences on Norfolk Island</w:t>
      </w:r>
      <w:r w:rsidR="0048364F" w:rsidRPr="00E61609">
        <w:t>, and for related purposes</w:t>
      </w:r>
    </w:p>
    <w:p w:rsidR="0048364F" w:rsidRPr="00E61609" w:rsidRDefault="0048364F" w:rsidP="0048364F">
      <w:pPr>
        <w:pStyle w:val="Header"/>
        <w:tabs>
          <w:tab w:val="clear" w:pos="4150"/>
          <w:tab w:val="clear" w:pos="8307"/>
        </w:tabs>
      </w:pPr>
      <w:r w:rsidRPr="00E61609">
        <w:rPr>
          <w:rStyle w:val="CharAmSchNo"/>
        </w:rPr>
        <w:t xml:space="preserve"> </w:t>
      </w:r>
      <w:r w:rsidRPr="00E61609">
        <w:rPr>
          <w:rStyle w:val="CharAmSchText"/>
        </w:rPr>
        <w:t xml:space="preserve"> </w:t>
      </w:r>
    </w:p>
    <w:p w:rsidR="0048364F" w:rsidRPr="00E61609" w:rsidRDefault="0048364F" w:rsidP="0048364F">
      <w:pPr>
        <w:pStyle w:val="Header"/>
        <w:tabs>
          <w:tab w:val="clear" w:pos="4150"/>
          <w:tab w:val="clear" w:pos="8307"/>
        </w:tabs>
      </w:pPr>
      <w:r w:rsidRPr="00E61609">
        <w:rPr>
          <w:rStyle w:val="CharAmPartNo"/>
        </w:rPr>
        <w:t xml:space="preserve"> </w:t>
      </w:r>
      <w:r w:rsidRPr="00E61609">
        <w:rPr>
          <w:rStyle w:val="CharAmPartText"/>
        </w:rPr>
        <w:t xml:space="preserve"> </w:t>
      </w:r>
    </w:p>
    <w:p w:rsidR="0048364F" w:rsidRPr="00E61609" w:rsidRDefault="0048364F" w:rsidP="0048364F">
      <w:pPr>
        <w:sectPr w:rsidR="0048364F" w:rsidRPr="00E61609" w:rsidSect="009D7562">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48364F" w:rsidRPr="00E61609" w:rsidRDefault="0048364F" w:rsidP="003F69E8">
      <w:pPr>
        <w:rPr>
          <w:sz w:val="36"/>
        </w:rPr>
      </w:pPr>
      <w:r w:rsidRPr="00E61609">
        <w:rPr>
          <w:sz w:val="36"/>
        </w:rPr>
        <w:lastRenderedPageBreak/>
        <w:t>Contents</w:t>
      </w:r>
    </w:p>
    <w:p w:rsidR="00B113D0" w:rsidRDefault="00B113D0">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B113D0">
        <w:rPr>
          <w:noProof/>
        </w:rPr>
        <w:tab/>
      </w:r>
      <w:r w:rsidRPr="00B113D0">
        <w:rPr>
          <w:noProof/>
        </w:rPr>
        <w:fldChar w:fldCharType="begin"/>
      </w:r>
      <w:r w:rsidRPr="00B113D0">
        <w:rPr>
          <w:noProof/>
        </w:rPr>
        <w:instrText xml:space="preserve"> PAGEREF _Toc514847543 \h </w:instrText>
      </w:r>
      <w:r w:rsidRPr="00B113D0">
        <w:rPr>
          <w:noProof/>
        </w:rPr>
      </w:r>
      <w:r w:rsidRPr="00B113D0">
        <w:rPr>
          <w:noProof/>
        </w:rPr>
        <w:fldChar w:fldCharType="separate"/>
      </w:r>
      <w:r w:rsidR="00F25653">
        <w:rPr>
          <w:noProof/>
        </w:rPr>
        <w:t>1</w:t>
      </w:r>
      <w:r w:rsidRPr="00B113D0">
        <w:rPr>
          <w:noProof/>
        </w:rPr>
        <w:fldChar w:fldCharType="end"/>
      </w:r>
    </w:p>
    <w:p w:rsidR="00B113D0" w:rsidRDefault="00B113D0">
      <w:pPr>
        <w:pStyle w:val="TOC5"/>
        <w:rPr>
          <w:rFonts w:asciiTheme="minorHAnsi" w:eastAsiaTheme="minorEastAsia" w:hAnsiTheme="minorHAnsi" w:cstheme="minorBidi"/>
          <w:noProof/>
          <w:kern w:val="0"/>
          <w:sz w:val="22"/>
          <w:szCs w:val="22"/>
        </w:rPr>
      </w:pPr>
      <w:r>
        <w:rPr>
          <w:noProof/>
        </w:rPr>
        <w:t>2</w:t>
      </w:r>
      <w:r>
        <w:rPr>
          <w:noProof/>
        </w:rPr>
        <w:tab/>
        <w:t>Commencement</w:t>
      </w:r>
      <w:r w:rsidRPr="00B113D0">
        <w:rPr>
          <w:noProof/>
        </w:rPr>
        <w:tab/>
      </w:r>
      <w:r w:rsidRPr="00B113D0">
        <w:rPr>
          <w:noProof/>
        </w:rPr>
        <w:fldChar w:fldCharType="begin"/>
      </w:r>
      <w:r w:rsidRPr="00B113D0">
        <w:rPr>
          <w:noProof/>
        </w:rPr>
        <w:instrText xml:space="preserve"> PAGEREF _Toc514847544 \h </w:instrText>
      </w:r>
      <w:r w:rsidRPr="00B113D0">
        <w:rPr>
          <w:noProof/>
        </w:rPr>
      </w:r>
      <w:r w:rsidRPr="00B113D0">
        <w:rPr>
          <w:noProof/>
        </w:rPr>
        <w:fldChar w:fldCharType="separate"/>
      </w:r>
      <w:r w:rsidR="00F25653">
        <w:rPr>
          <w:noProof/>
        </w:rPr>
        <w:t>2</w:t>
      </w:r>
      <w:r w:rsidRPr="00B113D0">
        <w:rPr>
          <w:noProof/>
        </w:rPr>
        <w:fldChar w:fldCharType="end"/>
      </w:r>
    </w:p>
    <w:p w:rsidR="00B113D0" w:rsidRDefault="00B113D0">
      <w:pPr>
        <w:pStyle w:val="TOC5"/>
        <w:rPr>
          <w:rFonts w:asciiTheme="minorHAnsi" w:eastAsiaTheme="minorEastAsia" w:hAnsiTheme="minorHAnsi" w:cstheme="minorBidi"/>
          <w:noProof/>
          <w:kern w:val="0"/>
          <w:sz w:val="22"/>
          <w:szCs w:val="22"/>
        </w:rPr>
      </w:pPr>
      <w:r>
        <w:rPr>
          <w:noProof/>
        </w:rPr>
        <w:t>3</w:t>
      </w:r>
      <w:r>
        <w:rPr>
          <w:noProof/>
        </w:rPr>
        <w:tab/>
        <w:t>Schedules</w:t>
      </w:r>
      <w:r w:rsidRPr="00B113D0">
        <w:rPr>
          <w:noProof/>
        </w:rPr>
        <w:tab/>
      </w:r>
      <w:r w:rsidRPr="00B113D0">
        <w:rPr>
          <w:noProof/>
        </w:rPr>
        <w:fldChar w:fldCharType="begin"/>
      </w:r>
      <w:r w:rsidRPr="00B113D0">
        <w:rPr>
          <w:noProof/>
        </w:rPr>
        <w:instrText xml:space="preserve"> PAGEREF _Toc514847545 \h </w:instrText>
      </w:r>
      <w:r w:rsidRPr="00B113D0">
        <w:rPr>
          <w:noProof/>
        </w:rPr>
      </w:r>
      <w:r w:rsidRPr="00B113D0">
        <w:rPr>
          <w:noProof/>
        </w:rPr>
        <w:fldChar w:fldCharType="separate"/>
      </w:r>
      <w:r w:rsidR="00F25653">
        <w:rPr>
          <w:noProof/>
        </w:rPr>
        <w:t>2</w:t>
      </w:r>
      <w:r w:rsidRPr="00B113D0">
        <w:rPr>
          <w:noProof/>
        </w:rPr>
        <w:fldChar w:fldCharType="end"/>
      </w:r>
    </w:p>
    <w:p w:rsidR="00B113D0" w:rsidRDefault="00B113D0">
      <w:pPr>
        <w:pStyle w:val="TOC6"/>
        <w:rPr>
          <w:rFonts w:asciiTheme="minorHAnsi" w:eastAsiaTheme="minorEastAsia" w:hAnsiTheme="minorHAnsi" w:cstheme="minorBidi"/>
          <w:b w:val="0"/>
          <w:noProof/>
          <w:kern w:val="0"/>
          <w:sz w:val="22"/>
          <w:szCs w:val="22"/>
        </w:rPr>
      </w:pPr>
      <w:r>
        <w:rPr>
          <w:noProof/>
        </w:rPr>
        <w:t>Schedule 1—Independent Commission Against Corruption of New South Wales</w:t>
      </w:r>
      <w:r w:rsidRPr="00B113D0">
        <w:rPr>
          <w:b w:val="0"/>
          <w:noProof/>
          <w:sz w:val="18"/>
        </w:rPr>
        <w:tab/>
      </w:r>
      <w:r w:rsidRPr="00B113D0">
        <w:rPr>
          <w:b w:val="0"/>
          <w:noProof/>
          <w:sz w:val="18"/>
        </w:rPr>
        <w:fldChar w:fldCharType="begin"/>
      </w:r>
      <w:r w:rsidRPr="00B113D0">
        <w:rPr>
          <w:b w:val="0"/>
          <w:noProof/>
          <w:sz w:val="18"/>
        </w:rPr>
        <w:instrText xml:space="preserve"> PAGEREF _Toc514847546 \h </w:instrText>
      </w:r>
      <w:r w:rsidRPr="00B113D0">
        <w:rPr>
          <w:b w:val="0"/>
          <w:noProof/>
          <w:sz w:val="18"/>
        </w:rPr>
      </w:r>
      <w:r w:rsidRPr="00B113D0">
        <w:rPr>
          <w:b w:val="0"/>
          <w:noProof/>
          <w:sz w:val="18"/>
        </w:rPr>
        <w:fldChar w:fldCharType="separate"/>
      </w:r>
      <w:r w:rsidR="00F25653">
        <w:rPr>
          <w:b w:val="0"/>
          <w:noProof/>
          <w:sz w:val="18"/>
        </w:rPr>
        <w:t>3</w:t>
      </w:r>
      <w:r w:rsidRPr="00B113D0">
        <w:rPr>
          <w:b w:val="0"/>
          <w:noProof/>
          <w:sz w:val="18"/>
        </w:rPr>
        <w:fldChar w:fldCharType="end"/>
      </w:r>
    </w:p>
    <w:p w:rsidR="00B113D0" w:rsidRDefault="00B113D0">
      <w:pPr>
        <w:pStyle w:val="TOC7"/>
        <w:rPr>
          <w:rFonts w:asciiTheme="minorHAnsi" w:eastAsiaTheme="minorEastAsia" w:hAnsiTheme="minorHAnsi" w:cstheme="minorBidi"/>
          <w:noProof/>
          <w:kern w:val="0"/>
          <w:sz w:val="22"/>
          <w:szCs w:val="22"/>
        </w:rPr>
      </w:pPr>
      <w:r>
        <w:rPr>
          <w:noProof/>
        </w:rPr>
        <w:t>Part 1—Definitions</w:t>
      </w:r>
      <w:r w:rsidRPr="00B113D0">
        <w:rPr>
          <w:noProof/>
          <w:sz w:val="18"/>
        </w:rPr>
        <w:tab/>
      </w:r>
      <w:r w:rsidRPr="00B113D0">
        <w:rPr>
          <w:noProof/>
          <w:sz w:val="18"/>
        </w:rPr>
        <w:fldChar w:fldCharType="begin"/>
      </w:r>
      <w:r w:rsidRPr="00B113D0">
        <w:rPr>
          <w:noProof/>
          <w:sz w:val="18"/>
        </w:rPr>
        <w:instrText xml:space="preserve"> PAGEREF _Toc514847547 \h </w:instrText>
      </w:r>
      <w:r w:rsidRPr="00B113D0">
        <w:rPr>
          <w:noProof/>
          <w:sz w:val="18"/>
        </w:rPr>
      </w:r>
      <w:r w:rsidRPr="00B113D0">
        <w:rPr>
          <w:noProof/>
          <w:sz w:val="18"/>
        </w:rPr>
        <w:fldChar w:fldCharType="separate"/>
      </w:r>
      <w:r w:rsidR="00F25653">
        <w:rPr>
          <w:noProof/>
          <w:sz w:val="18"/>
        </w:rPr>
        <w:t>3</w:t>
      </w:r>
      <w:r w:rsidRPr="00B113D0">
        <w:rPr>
          <w:noProof/>
          <w:sz w:val="18"/>
        </w:rPr>
        <w:fldChar w:fldCharType="end"/>
      </w:r>
    </w:p>
    <w:p w:rsidR="00B113D0" w:rsidRDefault="00B113D0">
      <w:pPr>
        <w:pStyle w:val="TOC7"/>
        <w:rPr>
          <w:rFonts w:asciiTheme="minorHAnsi" w:eastAsiaTheme="minorEastAsia" w:hAnsiTheme="minorHAnsi" w:cstheme="minorBidi"/>
          <w:noProof/>
          <w:kern w:val="0"/>
          <w:sz w:val="22"/>
          <w:szCs w:val="22"/>
        </w:rPr>
      </w:pPr>
      <w:r>
        <w:rPr>
          <w:noProof/>
        </w:rPr>
        <w:t>Part 2—Telecommunications (Interception and Access) Act 1979</w:t>
      </w:r>
      <w:r w:rsidRPr="00B113D0">
        <w:rPr>
          <w:noProof/>
          <w:sz w:val="18"/>
        </w:rPr>
        <w:tab/>
      </w:r>
      <w:r w:rsidRPr="00B113D0">
        <w:rPr>
          <w:noProof/>
          <w:sz w:val="18"/>
        </w:rPr>
        <w:fldChar w:fldCharType="begin"/>
      </w:r>
      <w:r w:rsidRPr="00B113D0">
        <w:rPr>
          <w:noProof/>
          <w:sz w:val="18"/>
        </w:rPr>
        <w:instrText xml:space="preserve"> PAGEREF _Toc514847548 \h </w:instrText>
      </w:r>
      <w:r w:rsidRPr="00B113D0">
        <w:rPr>
          <w:noProof/>
          <w:sz w:val="18"/>
        </w:rPr>
      </w:r>
      <w:r w:rsidRPr="00B113D0">
        <w:rPr>
          <w:noProof/>
          <w:sz w:val="18"/>
        </w:rPr>
        <w:fldChar w:fldCharType="separate"/>
      </w:r>
      <w:r w:rsidR="00F25653">
        <w:rPr>
          <w:noProof/>
          <w:sz w:val="18"/>
        </w:rPr>
        <w:t>4</w:t>
      </w:r>
      <w:r w:rsidRPr="00B113D0">
        <w:rPr>
          <w:noProof/>
          <w:sz w:val="18"/>
        </w:rPr>
        <w:fldChar w:fldCharType="end"/>
      </w:r>
    </w:p>
    <w:p w:rsidR="00B113D0" w:rsidRDefault="00B113D0">
      <w:pPr>
        <w:pStyle w:val="TOC8"/>
        <w:rPr>
          <w:rFonts w:asciiTheme="minorHAnsi" w:eastAsiaTheme="minorEastAsia" w:hAnsiTheme="minorHAnsi" w:cstheme="minorBidi"/>
          <w:noProof/>
          <w:kern w:val="0"/>
          <w:sz w:val="22"/>
          <w:szCs w:val="22"/>
        </w:rPr>
      </w:pPr>
      <w:r>
        <w:rPr>
          <w:noProof/>
        </w:rPr>
        <w:t>Division 1—Amendments</w:t>
      </w:r>
      <w:r w:rsidRPr="00B113D0">
        <w:rPr>
          <w:noProof/>
          <w:sz w:val="18"/>
        </w:rPr>
        <w:tab/>
      </w:r>
      <w:r w:rsidRPr="00B113D0">
        <w:rPr>
          <w:noProof/>
          <w:sz w:val="18"/>
        </w:rPr>
        <w:fldChar w:fldCharType="begin"/>
      </w:r>
      <w:r w:rsidRPr="00B113D0">
        <w:rPr>
          <w:noProof/>
          <w:sz w:val="18"/>
        </w:rPr>
        <w:instrText xml:space="preserve"> PAGEREF _Toc514847549 \h </w:instrText>
      </w:r>
      <w:r w:rsidRPr="00B113D0">
        <w:rPr>
          <w:noProof/>
          <w:sz w:val="18"/>
        </w:rPr>
      </w:r>
      <w:r w:rsidRPr="00B113D0">
        <w:rPr>
          <w:noProof/>
          <w:sz w:val="18"/>
        </w:rPr>
        <w:fldChar w:fldCharType="separate"/>
      </w:r>
      <w:r w:rsidR="00F25653">
        <w:rPr>
          <w:noProof/>
          <w:sz w:val="18"/>
        </w:rPr>
        <w:t>4</w:t>
      </w:r>
      <w:r w:rsidRPr="00B113D0">
        <w:rPr>
          <w:noProof/>
          <w:sz w:val="18"/>
        </w:rPr>
        <w:fldChar w:fldCharType="end"/>
      </w:r>
    </w:p>
    <w:p w:rsidR="00B113D0" w:rsidRDefault="00B113D0">
      <w:pPr>
        <w:pStyle w:val="TOC9"/>
        <w:rPr>
          <w:rFonts w:asciiTheme="minorHAnsi" w:eastAsiaTheme="minorEastAsia" w:hAnsiTheme="minorHAnsi" w:cstheme="minorBidi"/>
          <w:i w:val="0"/>
          <w:noProof/>
          <w:kern w:val="0"/>
          <w:sz w:val="22"/>
          <w:szCs w:val="22"/>
        </w:rPr>
      </w:pPr>
      <w:r>
        <w:rPr>
          <w:noProof/>
        </w:rPr>
        <w:t>Telecommunications (Interception and Access) Act 1979</w:t>
      </w:r>
      <w:r w:rsidRPr="00B113D0">
        <w:rPr>
          <w:i w:val="0"/>
          <w:noProof/>
          <w:sz w:val="18"/>
        </w:rPr>
        <w:tab/>
      </w:r>
      <w:r w:rsidRPr="00B113D0">
        <w:rPr>
          <w:i w:val="0"/>
          <w:noProof/>
          <w:sz w:val="18"/>
        </w:rPr>
        <w:fldChar w:fldCharType="begin"/>
      </w:r>
      <w:r w:rsidRPr="00B113D0">
        <w:rPr>
          <w:i w:val="0"/>
          <w:noProof/>
          <w:sz w:val="18"/>
        </w:rPr>
        <w:instrText xml:space="preserve"> PAGEREF _Toc514847550 \h </w:instrText>
      </w:r>
      <w:r w:rsidRPr="00B113D0">
        <w:rPr>
          <w:i w:val="0"/>
          <w:noProof/>
          <w:sz w:val="18"/>
        </w:rPr>
      </w:r>
      <w:r w:rsidRPr="00B113D0">
        <w:rPr>
          <w:i w:val="0"/>
          <w:noProof/>
          <w:sz w:val="18"/>
        </w:rPr>
        <w:fldChar w:fldCharType="separate"/>
      </w:r>
      <w:r w:rsidR="00F25653">
        <w:rPr>
          <w:i w:val="0"/>
          <w:noProof/>
          <w:sz w:val="18"/>
        </w:rPr>
        <w:t>4</w:t>
      </w:r>
      <w:r w:rsidRPr="00B113D0">
        <w:rPr>
          <w:i w:val="0"/>
          <w:noProof/>
          <w:sz w:val="18"/>
        </w:rPr>
        <w:fldChar w:fldCharType="end"/>
      </w:r>
    </w:p>
    <w:p w:rsidR="00B113D0" w:rsidRDefault="00B113D0">
      <w:pPr>
        <w:pStyle w:val="TOC8"/>
        <w:rPr>
          <w:rFonts w:asciiTheme="minorHAnsi" w:eastAsiaTheme="minorEastAsia" w:hAnsiTheme="minorHAnsi" w:cstheme="minorBidi"/>
          <w:noProof/>
          <w:kern w:val="0"/>
          <w:sz w:val="22"/>
          <w:szCs w:val="22"/>
        </w:rPr>
      </w:pPr>
      <w:r>
        <w:rPr>
          <w:noProof/>
        </w:rPr>
        <w:t>Division 2—Transitional provisions</w:t>
      </w:r>
      <w:r w:rsidRPr="00B113D0">
        <w:rPr>
          <w:noProof/>
          <w:sz w:val="18"/>
        </w:rPr>
        <w:tab/>
      </w:r>
      <w:r w:rsidRPr="00B113D0">
        <w:rPr>
          <w:noProof/>
          <w:sz w:val="18"/>
        </w:rPr>
        <w:fldChar w:fldCharType="begin"/>
      </w:r>
      <w:r w:rsidRPr="00B113D0">
        <w:rPr>
          <w:noProof/>
          <w:sz w:val="18"/>
        </w:rPr>
        <w:instrText xml:space="preserve"> PAGEREF _Toc514847551 \h </w:instrText>
      </w:r>
      <w:r w:rsidRPr="00B113D0">
        <w:rPr>
          <w:noProof/>
          <w:sz w:val="18"/>
        </w:rPr>
      </w:r>
      <w:r w:rsidRPr="00B113D0">
        <w:rPr>
          <w:noProof/>
          <w:sz w:val="18"/>
        </w:rPr>
        <w:fldChar w:fldCharType="separate"/>
      </w:r>
      <w:r w:rsidR="00F25653">
        <w:rPr>
          <w:noProof/>
          <w:sz w:val="18"/>
        </w:rPr>
        <w:t>4</w:t>
      </w:r>
      <w:r w:rsidRPr="00B113D0">
        <w:rPr>
          <w:noProof/>
          <w:sz w:val="18"/>
        </w:rPr>
        <w:fldChar w:fldCharType="end"/>
      </w:r>
    </w:p>
    <w:p w:rsidR="00B113D0" w:rsidRDefault="00B113D0">
      <w:pPr>
        <w:pStyle w:val="TOC7"/>
        <w:rPr>
          <w:rFonts w:asciiTheme="minorHAnsi" w:eastAsiaTheme="minorEastAsia" w:hAnsiTheme="minorHAnsi" w:cstheme="minorBidi"/>
          <w:noProof/>
          <w:kern w:val="0"/>
          <w:sz w:val="22"/>
          <w:szCs w:val="22"/>
        </w:rPr>
      </w:pPr>
      <w:r>
        <w:rPr>
          <w:noProof/>
        </w:rPr>
        <w:t>Part 3—Surveillance Devices Act 2004</w:t>
      </w:r>
      <w:r w:rsidRPr="00B113D0">
        <w:rPr>
          <w:noProof/>
          <w:sz w:val="18"/>
        </w:rPr>
        <w:tab/>
      </w:r>
      <w:r w:rsidRPr="00B113D0">
        <w:rPr>
          <w:noProof/>
          <w:sz w:val="18"/>
        </w:rPr>
        <w:fldChar w:fldCharType="begin"/>
      </w:r>
      <w:r w:rsidRPr="00B113D0">
        <w:rPr>
          <w:noProof/>
          <w:sz w:val="18"/>
        </w:rPr>
        <w:instrText xml:space="preserve"> PAGEREF _Toc514847552 \h </w:instrText>
      </w:r>
      <w:r w:rsidRPr="00B113D0">
        <w:rPr>
          <w:noProof/>
          <w:sz w:val="18"/>
        </w:rPr>
      </w:r>
      <w:r w:rsidRPr="00B113D0">
        <w:rPr>
          <w:noProof/>
          <w:sz w:val="18"/>
        </w:rPr>
        <w:fldChar w:fldCharType="separate"/>
      </w:r>
      <w:r w:rsidR="00F25653">
        <w:rPr>
          <w:noProof/>
          <w:sz w:val="18"/>
        </w:rPr>
        <w:t>7</w:t>
      </w:r>
      <w:r w:rsidRPr="00B113D0">
        <w:rPr>
          <w:noProof/>
          <w:sz w:val="18"/>
        </w:rPr>
        <w:fldChar w:fldCharType="end"/>
      </w:r>
    </w:p>
    <w:p w:rsidR="00B113D0" w:rsidRDefault="00B113D0">
      <w:pPr>
        <w:pStyle w:val="TOC8"/>
        <w:rPr>
          <w:rFonts w:asciiTheme="minorHAnsi" w:eastAsiaTheme="minorEastAsia" w:hAnsiTheme="minorHAnsi" w:cstheme="minorBidi"/>
          <w:noProof/>
          <w:kern w:val="0"/>
          <w:sz w:val="22"/>
          <w:szCs w:val="22"/>
        </w:rPr>
      </w:pPr>
      <w:r>
        <w:rPr>
          <w:noProof/>
        </w:rPr>
        <w:t>Division 1—Amendments</w:t>
      </w:r>
      <w:r w:rsidRPr="00B113D0">
        <w:rPr>
          <w:noProof/>
          <w:sz w:val="18"/>
        </w:rPr>
        <w:tab/>
      </w:r>
      <w:r w:rsidRPr="00B113D0">
        <w:rPr>
          <w:noProof/>
          <w:sz w:val="18"/>
        </w:rPr>
        <w:fldChar w:fldCharType="begin"/>
      </w:r>
      <w:r w:rsidRPr="00B113D0">
        <w:rPr>
          <w:noProof/>
          <w:sz w:val="18"/>
        </w:rPr>
        <w:instrText xml:space="preserve"> PAGEREF _Toc514847553 \h </w:instrText>
      </w:r>
      <w:r w:rsidRPr="00B113D0">
        <w:rPr>
          <w:noProof/>
          <w:sz w:val="18"/>
        </w:rPr>
      </w:r>
      <w:r w:rsidRPr="00B113D0">
        <w:rPr>
          <w:noProof/>
          <w:sz w:val="18"/>
        </w:rPr>
        <w:fldChar w:fldCharType="separate"/>
      </w:r>
      <w:r w:rsidR="00F25653">
        <w:rPr>
          <w:noProof/>
          <w:sz w:val="18"/>
        </w:rPr>
        <w:t>7</w:t>
      </w:r>
      <w:r w:rsidRPr="00B113D0">
        <w:rPr>
          <w:noProof/>
          <w:sz w:val="18"/>
        </w:rPr>
        <w:fldChar w:fldCharType="end"/>
      </w:r>
    </w:p>
    <w:p w:rsidR="00B113D0" w:rsidRDefault="00B113D0">
      <w:pPr>
        <w:pStyle w:val="TOC9"/>
        <w:rPr>
          <w:rFonts w:asciiTheme="minorHAnsi" w:eastAsiaTheme="minorEastAsia" w:hAnsiTheme="minorHAnsi" w:cstheme="minorBidi"/>
          <w:i w:val="0"/>
          <w:noProof/>
          <w:kern w:val="0"/>
          <w:sz w:val="22"/>
          <w:szCs w:val="22"/>
        </w:rPr>
      </w:pPr>
      <w:r>
        <w:rPr>
          <w:noProof/>
        </w:rPr>
        <w:t>Surveillance Devices Act 2004</w:t>
      </w:r>
      <w:r w:rsidRPr="00B113D0">
        <w:rPr>
          <w:i w:val="0"/>
          <w:noProof/>
          <w:sz w:val="18"/>
        </w:rPr>
        <w:tab/>
      </w:r>
      <w:r w:rsidRPr="00B113D0">
        <w:rPr>
          <w:i w:val="0"/>
          <w:noProof/>
          <w:sz w:val="18"/>
        </w:rPr>
        <w:fldChar w:fldCharType="begin"/>
      </w:r>
      <w:r w:rsidRPr="00B113D0">
        <w:rPr>
          <w:i w:val="0"/>
          <w:noProof/>
          <w:sz w:val="18"/>
        </w:rPr>
        <w:instrText xml:space="preserve"> PAGEREF _Toc514847554 \h </w:instrText>
      </w:r>
      <w:r w:rsidRPr="00B113D0">
        <w:rPr>
          <w:i w:val="0"/>
          <w:noProof/>
          <w:sz w:val="18"/>
        </w:rPr>
      </w:r>
      <w:r w:rsidRPr="00B113D0">
        <w:rPr>
          <w:i w:val="0"/>
          <w:noProof/>
          <w:sz w:val="18"/>
        </w:rPr>
        <w:fldChar w:fldCharType="separate"/>
      </w:r>
      <w:r w:rsidR="00F25653">
        <w:rPr>
          <w:i w:val="0"/>
          <w:noProof/>
          <w:sz w:val="18"/>
        </w:rPr>
        <w:t>7</w:t>
      </w:r>
      <w:r w:rsidRPr="00B113D0">
        <w:rPr>
          <w:i w:val="0"/>
          <w:noProof/>
          <w:sz w:val="18"/>
        </w:rPr>
        <w:fldChar w:fldCharType="end"/>
      </w:r>
    </w:p>
    <w:p w:rsidR="00B113D0" w:rsidRDefault="00B113D0">
      <w:pPr>
        <w:pStyle w:val="TOC8"/>
        <w:rPr>
          <w:rFonts w:asciiTheme="minorHAnsi" w:eastAsiaTheme="minorEastAsia" w:hAnsiTheme="minorHAnsi" w:cstheme="minorBidi"/>
          <w:noProof/>
          <w:kern w:val="0"/>
          <w:sz w:val="22"/>
          <w:szCs w:val="22"/>
        </w:rPr>
      </w:pPr>
      <w:r>
        <w:rPr>
          <w:noProof/>
        </w:rPr>
        <w:t>Division 2—Transitional provisions</w:t>
      </w:r>
      <w:r w:rsidRPr="00B113D0">
        <w:rPr>
          <w:noProof/>
          <w:sz w:val="18"/>
        </w:rPr>
        <w:tab/>
      </w:r>
      <w:r w:rsidRPr="00B113D0">
        <w:rPr>
          <w:noProof/>
          <w:sz w:val="18"/>
        </w:rPr>
        <w:fldChar w:fldCharType="begin"/>
      </w:r>
      <w:r w:rsidRPr="00B113D0">
        <w:rPr>
          <w:noProof/>
          <w:sz w:val="18"/>
        </w:rPr>
        <w:instrText xml:space="preserve"> PAGEREF _Toc514847555 \h </w:instrText>
      </w:r>
      <w:r w:rsidRPr="00B113D0">
        <w:rPr>
          <w:noProof/>
          <w:sz w:val="18"/>
        </w:rPr>
      </w:r>
      <w:r w:rsidRPr="00B113D0">
        <w:rPr>
          <w:noProof/>
          <w:sz w:val="18"/>
        </w:rPr>
        <w:fldChar w:fldCharType="separate"/>
      </w:r>
      <w:r w:rsidR="00F25653">
        <w:rPr>
          <w:noProof/>
          <w:sz w:val="18"/>
        </w:rPr>
        <w:t>7</w:t>
      </w:r>
      <w:r w:rsidRPr="00B113D0">
        <w:rPr>
          <w:noProof/>
          <w:sz w:val="18"/>
        </w:rPr>
        <w:fldChar w:fldCharType="end"/>
      </w:r>
    </w:p>
    <w:p w:rsidR="00B113D0" w:rsidRDefault="00B113D0">
      <w:pPr>
        <w:pStyle w:val="TOC7"/>
        <w:rPr>
          <w:rFonts w:asciiTheme="minorHAnsi" w:eastAsiaTheme="minorEastAsia" w:hAnsiTheme="minorHAnsi" w:cstheme="minorBidi"/>
          <w:noProof/>
          <w:kern w:val="0"/>
          <w:sz w:val="22"/>
          <w:szCs w:val="22"/>
        </w:rPr>
      </w:pPr>
      <w:r>
        <w:rPr>
          <w:noProof/>
        </w:rPr>
        <w:t>Part 4—General transitional provisions</w:t>
      </w:r>
      <w:r w:rsidRPr="00B113D0">
        <w:rPr>
          <w:noProof/>
          <w:sz w:val="18"/>
        </w:rPr>
        <w:tab/>
      </w:r>
      <w:r w:rsidRPr="00B113D0">
        <w:rPr>
          <w:noProof/>
          <w:sz w:val="18"/>
        </w:rPr>
        <w:fldChar w:fldCharType="begin"/>
      </w:r>
      <w:r w:rsidRPr="00B113D0">
        <w:rPr>
          <w:noProof/>
          <w:sz w:val="18"/>
        </w:rPr>
        <w:instrText xml:space="preserve"> PAGEREF _Toc514847556 \h </w:instrText>
      </w:r>
      <w:r w:rsidRPr="00B113D0">
        <w:rPr>
          <w:noProof/>
          <w:sz w:val="18"/>
        </w:rPr>
      </w:r>
      <w:r w:rsidRPr="00B113D0">
        <w:rPr>
          <w:noProof/>
          <w:sz w:val="18"/>
        </w:rPr>
        <w:fldChar w:fldCharType="separate"/>
      </w:r>
      <w:r w:rsidR="00F25653">
        <w:rPr>
          <w:noProof/>
          <w:sz w:val="18"/>
        </w:rPr>
        <w:t>10</w:t>
      </w:r>
      <w:r w:rsidRPr="00B113D0">
        <w:rPr>
          <w:noProof/>
          <w:sz w:val="18"/>
        </w:rPr>
        <w:fldChar w:fldCharType="end"/>
      </w:r>
    </w:p>
    <w:p w:rsidR="00B113D0" w:rsidRDefault="00B113D0">
      <w:pPr>
        <w:pStyle w:val="TOC6"/>
        <w:rPr>
          <w:rFonts w:asciiTheme="minorHAnsi" w:eastAsiaTheme="minorEastAsia" w:hAnsiTheme="minorHAnsi" w:cstheme="minorBidi"/>
          <w:b w:val="0"/>
          <w:noProof/>
          <w:kern w:val="0"/>
          <w:sz w:val="22"/>
          <w:szCs w:val="22"/>
        </w:rPr>
      </w:pPr>
      <w:r>
        <w:rPr>
          <w:noProof/>
        </w:rPr>
        <w:t>Schedule 2—Functions and powers of the Director of Public Prosecutions in relation to Norfolk Island</w:t>
      </w:r>
      <w:r w:rsidRPr="00B113D0">
        <w:rPr>
          <w:b w:val="0"/>
          <w:noProof/>
          <w:sz w:val="18"/>
        </w:rPr>
        <w:tab/>
      </w:r>
      <w:r w:rsidRPr="00B113D0">
        <w:rPr>
          <w:b w:val="0"/>
          <w:noProof/>
          <w:sz w:val="18"/>
        </w:rPr>
        <w:fldChar w:fldCharType="begin"/>
      </w:r>
      <w:r w:rsidRPr="00B113D0">
        <w:rPr>
          <w:b w:val="0"/>
          <w:noProof/>
          <w:sz w:val="18"/>
        </w:rPr>
        <w:instrText xml:space="preserve"> PAGEREF _Toc514847557 \h </w:instrText>
      </w:r>
      <w:r w:rsidRPr="00B113D0">
        <w:rPr>
          <w:b w:val="0"/>
          <w:noProof/>
          <w:sz w:val="18"/>
        </w:rPr>
      </w:r>
      <w:r w:rsidRPr="00B113D0">
        <w:rPr>
          <w:b w:val="0"/>
          <w:noProof/>
          <w:sz w:val="18"/>
        </w:rPr>
        <w:fldChar w:fldCharType="separate"/>
      </w:r>
      <w:r w:rsidR="00F25653">
        <w:rPr>
          <w:b w:val="0"/>
          <w:noProof/>
          <w:sz w:val="18"/>
        </w:rPr>
        <w:t>12</w:t>
      </w:r>
      <w:r w:rsidRPr="00B113D0">
        <w:rPr>
          <w:b w:val="0"/>
          <w:noProof/>
          <w:sz w:val="18"/>
        </w:rPr>
        <w:fldChar w:fldCharType="end"/>
      </w:r>
    </w:p>
    <w:p w:rsidR="00B113D0" w:rsidRDefault="00B113D0">
      <w:pPr>
        <w:pStyle w:val="TOC7"/>
        <w:rPr>
          <w:rFonts w:asciiTheme="minorHAnsi" w:eastAsiaTheme="minorEastAsia" w:hAnsiTheme="minorHAnsi" w:cstheme="minorBidi"/>
          <w:noProof/>
          <w:kern w:val="0"/>
          <w:sz w:val="22"/>
          <w:szCs w:val="22"/>
        </w:rPr>
      </w:pPr>
      <w:r>
        <w:rPr>
          <w:noProof/>
        </w:rPr>
        <w:t>Part 1—Amendment of the Director of Public Prosecutions Act 1983</w:t>
      </w:r>
      <w:r w:rsidRPr="00B113D0">
        <w:rPr>
          <w:noProof/>
          <w:sz w:val="18"/>
        </w:rPr>
        <w:tab/>
      </w:r>
      <w:r w:rsidRPr="00B113D0">
        <w:rPr>
          <w:noProof/>
          <w:sz w:val="18"/>
        </w:rPr>
        <w:fldChar w:fldCharType="begin"/>
      </w:r>
      <w:r w:rsidRPr="00B113D0">
        <w:rPr>
          <w:noProof/>
          <w:sz w:val="18"/>
        </w:rPr>
        <w:instrText xml:space="preserve"> PAGEREF _Toc514847558 \h </w:instrText>
      </w:r>
      <w:r w:rsidRPr="00B113D0">
        <w:rPr>
          <w:noProof/>
          <w:sz w:val="18"/>
        </w:rPr>
      </w:r>
      <w:r w:rsidRPr="00B113D0">
        <w:rPr>
          <w:noProof/>
          <w:sz w:val="18"/>
        </w:rPr>
        <w:fldChar w:fldCharType="separate"/>
      </w:r>
      <w:r w:rsidR="00F25653">
        <w:rPr>
          <w:noProof/>
          <w:sz w:val="18"/>
        </w:rPr>
        <w:t>12</w:t>
      </w:r>
      <w:r w:rsidRPr="00B113D0">
        <w:rPr>
          <w:noProof/>
          <w:sz w:val="18"/>
        </w:rPr>
        <w:fldChar w:fldCharType="end"/>
      </w:r>
    </w:p>
    <w:p w:rsidR="00B113D0" w:rsidRDefault="00B113D0">
      <w:pPr>
        <w:pStyle w:val="TOC9"/>
        <w:rPr>
          <w:rFonts w:asciiTheme="minorHAnsi" w:eastAsiaTheme="minorEastAsia" w:hAnsiTheme="minorHAnsi" w:cstheme="minorBidi"/>
          <w:i w:val="0"/>
          <w:noProof/>
          <w:kern w:val="0"/>
          <w:sz w:val="22"/>
          <w:szCs w:val="22"/>
        </w:rPr>
      </w:pPr>
      <w:r>
        <w:rPr>
          <w:noProof/>
        </w:rPr>
        <w:t>Director of Public Prosecutions Act 1983</w:t>
      </w:r>
      <w:r w:rsidRPr="00B113D0">
        <w:rPr>
          <w:i w:val="0"/>
          <w:noProof/>
          <w:sz w:val="18"/>
        </w:rPr>
        <w:tab/>
      </w:r>
      <w:r w:rsidRPr="00B113D0">
        <w:rPr>
          <w:i w:val="0"/>
          <w:noProof/>
          <w:sz w:val="18"/>
        </w:rPr>
        <w:fldChar w:fldCharType="begin"/>
      </w:r>
      <w:r w:rsidRPr="00B113D0">
        <w:rPr>
          <w:i w:val="0"/>
          <w:noProof/>
          <w:sz w:val="18"/>
        </w:rPr>
        <w:instrText xml:space="preserve"> PAGEREF _Toc514847559 \h </w:instrText>
      </w:r>
      <w:r w:rsidRPr="00B113D0">
        <w:rPr>
          <w:i w:val="0"/>
          <w:noProof/>
          <w:sz w:val="18"/>
        </w:rPr>
      </w:r>
      <w:r w:rsidRPr="00B113D0">
        <w:rPr>
          <w:i w:val="0"/>
          <w:noProof/>
          <w:sz w:val="18"/>
        </w:rPr>
        <w:fldChar w:fldCharType="separate"/>
      </w:r>
      <w:r w:rsidR="00F25653">
        <w:rPr>
          <w:i w:val="0"/>
          <w:noProof/>
          <w:sz w:val="18"/>
        </w:rPr>
        <w:t>12</w:t>
      </w:r>
      <w:r w:rsidRPr="00B113D0">
        <w:rPr>
          <w:i w:val="0"/>
          <w:noProof/>
          <w:sz w:val="18"/>
        </w:rPr>
        <w:fldChar w:fldCharType="end"/>
      </w:r>
    </w:p>
    <w:p w:rsidR="00B113D0" w:rsidRDefault="00B113D0">
      <w:pPr>
        <w:pStyle w:val="TOC7"/>
        <w:rPr>
          <w:rFonts w:asciiTheme="minorHAnsi" w:eastAsiaTheme="minorEastAsia" w:hAnsiTheme="minorHAnsi" w:cstheme="minorBidi"/>
          <w:noProof/>
          <w:kern w:val="0"/>
          <w:sz w:val="22"/>
          <w:szCs w:val="22"/>
        </w:rPr>
      </w:pPr>
      <w:r>
        <w:rPr>
          <w:noProof/>
        </w:rPr>
        <w:t>Part 2—References to a law of a Territory</w:t>
      </w:r>
      <w:r w:rsidRPr="00B113D0">
        <w:rPr>
          <w:noProof/>
          <w:sz w:val="18"/>
        </w:rPr>
        <w:tab/>
      </w:r>
      <w:r w:rsidRPr="00B113D0">
        <w:rPr>
          <w:noProof/>
          <w:sz w:val="18"/>
        </w:rPr>
        <w:fldChar w:fldCharType="begin"/>
      </w:r>
      <w:r w:rsidRPr="00B113D0">
        <w:rPr>
          <w:noProof/>
          <w:sz w:val="18"/>
        </w:rPr>
        <w:instrText xml:space="preserve"> PAGEREF _Toc514847560 \h </w:instrText>
      </w:r>
      <w:r w:rsidRPr="00B113D0">
        <w:rPr>
          <w:noProof/>
          <w:sz w:val="18"/>
        </w:rPr>
      </w:r>
      <w:r w:rsidRPr="00B113D0">
        <w:rPr>
          <w:noProof/>
          <w:sz w:val="18"/>
        </w:rPr>
        <w:fldChar w:fldCharType="separate"/>
      </w:r>
      <w:r w:rsidR="00F25653">
        <w:rPr>
          <w:noProof/>
          <w:sz w:val="18"/>
        </w:rPr>
        <w:t>13</w:t>
      </w:r>
      <w:r w:rsidRPr="00B113D0">
        <w:rPr>
          <w:noProof/>
          <w:sz w:val="18"/>
        </w:rPr>
        <w:fldChar w:fldCharType="end"/>
      </w:r>
    </w:p>
    <w:p w:rsidR="00B113D0" w:rsidRDefault="00B113D0">
      <w:pPr>
        <w:pStyle w:val="TOC7"/>
        <w:rPr>
          <w:rFonts w:asciiTheme="minorHAnsi" w:eastAsiaTheme="minorEastAsia" w:hAnsiTheme="minorHAnsi" w:cstheme="minorBidi"/>
          <w:noProof/>
          <w:kern w:val="0"/>
          <w:sz w:val="22"/>
          <w:szCs w:val="22"/>
        </w:rPr>
      </w:pPr>
      <w:r>
        <w:rPr>
          <w:noProof/>
        </w:rPr>
        <w:t>Part 3—Validation of things done under the Director of Public Prosecutions Amendment (Norfolk Island) Regulations 2017</w:t>
      </w:r>
      <w:r w:rsidRPr="00B113D0">
        <w:rPr>
          <w:noProof/>
          <w:sz w:val="18"/>
        </w:rPr>
        <w:tab/>
      </w:r>
      <w:r w:rsidRPr="00B113D0">
        <w:rPr>
          <w:noProof/>
          <w:sz w:val="18"/>
        </w:rPr>
        <w:fldChar w:fldCharType="begin"/>
      </w:r>
      <w:r w:rsidRPr="00B113D0">
        <w:rPr>
          <w:noProof/>
          <w:sz w:val="18"/>
        </w:rPr>
        <w:instrText xml:space="preserve"> PAGEREF _Toc514847561 \h </w:instrText>
      </w:r>
      <w:r w:rsidRPr="00B113D0">
        <w:rPr>
          <w:noProof/>
          <w:sz w:val="18"/>
        </w:rPr>
      </w:r>
      <w:r w:rsidRPr="00B113D0">
        <w:rPr>
          <w:noProof/>
          <w:sz w:val="18"/>
        </w:rPr>
        <w:fldChar w:fldCharType="separate"/>
      </w:r>
      <w:r w:rsidR="00F25653">
        <w:rPr>
          <w:noProof/>
          <w:sz w:val="18"/>
        </w:rPr>
        <w:t>14</w:t>
      </w:r>
      <w:r w:rsidRPr="00B113D0">
        <w:rPr>
          <w:noProof/>
          <w:sz w:val="18"/>
        </w:rPr>
        <w:fldChar w:fldCharType="end"/>
      </w:r>
    </w:p>
    <w:p w:rsidR="00B113D0" w:rsidRDefault="00B113D0">
      <w:pPr>
        <w:pStyle w:val="TOC6"/>
        <w:rPr>
          <w:rFonts w:asciiTheme="minorHAnsi" w:eastAsiaTheme="minorEastAsia" w:hAnsiTheme="minorHAnsi" w:cstheme="minorBidi"/>
          <w:b w:val="0"/>
          <w:noProof/>
          <w:kern w:val="0"/>
          <w:sz w:val="22"/>
          <w:szCs w:val="22"/>
        </w:rPr>
      </w:pPr>
      <w:r>
        <w:rPr>
          <w:noProof/>
        </w:rPr>
        <w:t>Schedule 3—Procedure in criminal and civil matters relating to Norfolk Island</w:t>
      </w:r>
      <w:r w:rsidRPr="00B113D0">
        <w:rPr>
          <w:b w:val="0"/>
          <w:noProof/>
          <w:sz w:val="18"/>
        </w:rPr>
        <w:tab/>
      </w:r>
      <w:r w:rsidRPr="00B113D0">
        <w:rPr>
          <w:b w:val="0"/>
          <w:noProof/>
          <w:sz w:val="18"/>
        </w:rPr>
        <w:fldChar w:fldCharType="begin"/>
      </w:r>
      <w:r w:rsidRPr="00B113D0">
        <w:rPr>
          <w:b w:val="0"/>
          <w:noProof/>
          <w:sz w:val="18"/>
        </w:rPr>
        <w:instrText xml:space="preserve"> PAGEREF _Toc514847562 \h </w:instrText>
      </w:r>
      <w:r w:rsidRPr="00B113D0">
        <w:rPr>
          <w:b w:val="0"/>
          <w:noProof/>
          <w:sz w:val="18"/>
        </w:rPr>
      </w:r>
      <w:r w:rsidRPr="00B113D0">
        <w:rPr>
          <w:b w:val="0"/>
          <w:noProof/>
          <w:sz w:val="18"/>
        </w:rPr>
        <w:fldChar w:fldCharType="separate"/>
      </w:r>
      <w:r w:rsidR="00F25653">
        <w:rPr>
          <w:b w:val="0"/>
          <w:noProof/>
          <w:sz w:val="18"/>
        </w:rPr>
        <w:t>15</w:t>
      </w:r>
      <w:r w:rsidRPr="00B113D0">
        <w:rPr>
          <w:b w:val="0"/>
          <w:noProof/>
          <w:sz w:val="18"/>
        </w:rPr>
        <w:fldChar w:fldCharType="end"/>
      </w:r>
    </w:p>
    <w:p w:rsidR="00B113D0" w:rsidRDefault="00B113D0">
      <w:pPr>
        <w:pStyle w:val="TOC9"/>
        <w:rPr>
          <w:rFonts w:asciiTheme="minorHAnsi" w:eastAsiaTheme="minorEastAsia" w:hAnsiTheme="minorHAnsi" w:cstheme="minorBidi"/>
          <w:i w:val="0"/>
          <w:noProof/>
          <w:kern w:val="0"/>
          <w:sz w:val="22"/>
          <w:szCs w:val="22"/>
        </w:rPr>
      </w:pPr>
      <w:r>
        <w:rPr>
          <w:noProof/>
        </w:rPr>
        <w:t>Norfolk Island Act 1979</w:t>
      </w:r>
      <w:r w:rsidRPr="00B113D0">
        <w:rPr>
          <w:i w:val="0"/>
          <w:noProof/>
          <w:sz w:val="18"/>
        </w:rPr>
        <w:tab/>
      </w:r>
      <w:r w:rsidRPr="00B113D0">
        <w:rPr>
          <w:i w:val="0"/>
          <w:noProof/>
          <w:sz w:val="18"/>
        </w:rPr>
        <w:fldChar w:fldCharType="begin"/>
      </w:r>
      <w:r w:rsidRPr="00B113D0">
        <w:rPr>
          <w:i w:val="0"/>
          <w:noProof/>
          <w:sz w:val="18"/>
        </w:rPr>
        <w:instrText xml:space="preserve"> PAGEREF _Toc514847563 \h </w:instrText>
      </w:r>
      <w:r w:rsidRPr="00B113D0">
        <w:rPr>
          <w:i w:val="0"/>
          <w:noProof/>
          <w:sz w:val="18"/>
        </w:rPr>
      </w:r>
      <w:r w:rsidRPr="00B113D0">
        <w:rPr>
          <w:i w:val="0"/>
          <w:noProof/>
          <w:sz w:val="18"/>
        </w:rPr>
        <w:fldChar w:fldCharType="separate"/>
      </w:r>
      <w:r w:rsidR="00F25653">
        <w:rPr>
          <w:i w:val="0"/>
          <w:noProof/>
          <w:sz w:val="18"/>
        </w:rPr>
        <w:t>15</w:t>
      </w:r>
      <w:r w:rsidRPr="00B113D0">
        <w:rPr>
          <w:i w:val="0"/>
          <w:noProof/>
          <w:sz w:val="18"/>
        </w:rPr>
        <w:fldChar w:fldCharType="end"/>
      </w:r>
    </w:p>
    <w:p w:rsidR="00060FF9" w:rsidRPr="00E61609" w:rsidRDefault="00B113D0" w:rsidP="0048364F">
      <w:r>
        <w:fldChar w:fldCharType="end"/>
      </w:r>
    </w:p>
    <w:p w:rsidR="00FE7F93" w:rsidRPr="00E61609" w:rsidRDefault="00FE7F93" w:rsidP="0048364F">
      <w:pPr>
        <w:sectPr w:rsidR="00FE7F93" w:rsidRPr="00E61609" w:rsidSect="009D7562">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9D7562" w:rsidRDefault="009D7562">
      <w:r>
        <w:object w:dxaOrig="2146" w:dyaOrig="1561">
          <v:shape id="_x0000_i1026" type="#_x0000_t75" alt="Commonwealth Coat of Arms of Australia" style="width:111pt;height:81pt" o:ole="" fillcolor="window">
            <v:imagedata r:id="rId9" o:title=""/>
          </v:shape>
          <o:OLEObject Type="Embed" ProgID="Word.Picture.8" ShapeID="_x0000_i1026" DrawAspect="Content" ObjectID="_1588595275" r:id="rId22"/>
        </w:object>
      </w:r>
    </w:p>
    <w:p w:rsidR="009D7562" w:rsidRDefault="009D7562"/>
    <w:p w:rsidR="009D7562" w:rsidRDefault="009D7562" w:rsidP="009D7562">
      <w:pPr>
        <w:spacing w:line="240" w:lineRule="auto"/>
      </w:pPr>
    </w:p>
    <w:p w:rsidR="009D7562" w:rsidRDefault="000C7FFB" w:rsidP="009D7562">
      <w:pPr>
        <w:pStyle w:val="ShortTP1"/>
      </w:pPr>
      <w:r>
        <w:fldChar w:fldCharType="begin"/>
      </w:r>
      <w:r>
        <w:instrText xml:space="preserve"> STYLEREF ShortT </w:instrText>
      </w:r>
      <w:r>
        <w:fldChar w:fldCharType="separate"/>
      </w:r>
      <w:r w:rsidR="00F25653">
        <w:rPr>
          <w:noProof/>
        </w:rPr>
        <w:t>Investigation and Prosecution Measures Act 2018</w:t>
      </w:r>
      <w:r>
        <w:rPr>
          <w:noProof/>
        </w:rPr>
        <w:fldChar w:fldCharType="end"/>
      </w:r>
    </w:p>
    <w:p w:rsidR="009D7562" w:rsidRDefault="000C7FFB" w:rsidP="009D7562">
      <w:pPr>
        <w:pStyle w:val="ActNoP1"/>
      </w:pPr>
      <w:r>
        <w:fldChar w:fldCharType="begin"/>
      </w:r>
      <w:r>
        <w:instrText xml:space="preserve"> STYLEREF Actno </w:instrText>
      </w:r>
      <w:r>
        <w:fldChar w:fldCharType="separate"/>
      </w:r>
      <w:r w:rsidR="00F25653">
        <w:rPr>
          <w:noProof/>
        </w:rPr>
        <w:t>No. 37, 2018</w:t>
      </w:r>
      <w:r>
        <w:rPr>
          <w:noProof/>
        </w:rPr>
        <w:fldChar w:fldCharType="end"/>
      </w:r>
    </w:p>
    <w:p w:rsidR="009D7562" w:rsidRPr="009A0728" w:rsidRDefault="009D7562" w:rsidP="00634DEF">
      <w:pPr>
        <w:pBdr>
          <w:bottom w:val="single" w:sz="6" w:space="0" w:color="auto"/>
        </w:pBdr>
        <w:spacing w:before="400" w:line="240" w:lineRule="auto"/>
        <w:rPr>
          <w:rFonts w:eastAsia="Times New Roman"/>
          <w:b/>
          <w:sz w:val="28"/>
        </w:rPr>
      </w:pPr>
    </w:p>
    <w:p w:rsidR="009D7562" w:rsidRPr="009A0728" w:rsidRDefault="009D7562" w:rsidP="00634DEF">
      <w:pPr>
        <w:spacing w:line="40" w:lineRule="exact"/>
        <w:rPr>
          <w:rFonts w:eastAsia="Calibri"/>
          <w:b/>
          <w:sz w:val="28"/>
        </w:rPr>
      </w:pPr>
    </w:p>
    <w:p w:rsidR="009D7562" w:rsidRPr="009A0728" w:rsidRDefault="009D7562" w:rsidP="00634DEF">
      <w:pPr>
        <w:pBdr>
          <w:top w:val="single" w:sz="12" w:space="0" w:color="auto"/>
        </w:pBdr>
        <w:spacing w:line="240" w:lineRule="auto"/>
        <w:rPr>
          <w:rFonts w:eastAsia="Times New Roman"/>
          <w:b/>
          <w:sz w:val="28"/>
        </w:rPr>
      </w:pPr>
    </w:p>
    <w:p w:rsidR="0048364F" w:rsidRPr="00E61609" w:rsidRDefault="009D7562" w:rsidP="00E61609">
      <w:pPr>
        <w:pStyle w:val="Page1"/>
      </w:pPr>
      <w:r>
        <w:t>An Act</w:t>
      </w:r>
      <w:r w:rsidR="00E61609" w:rsidRPr="00E61609">
        <w:t xml:space="preserve"> to amend the law relating to the Independent Commission Against Corruption of New South Wales and the prosecution of offences on Norfolk Island, and for related purposes</w:t>
      </w:r>
    </w:p>
    <w:p w:rsidR="00634DEF" w:rsidRDefault="00634DEF" w:rsidP="00634DEF">
      <w:pPr>
        <w:pStyle w:val="AssentDt"/>
        <w:spacing w:before="240"/>
        <w:rPr>
          <w:sz w:val="24"/>
        </w:rPr>
      </w:pPr>
      <w:r>
        <w:rPr>
          <w:sz w:val="24"/>
        </w:rPr>
        <w:t>[</w:t>
      </w:r>
      <w:r>
        <w:rPr>
          <w:i/>
          <w:sz w:val="24"/>
        </w:rPr>
        <w:t>Assented to 22 May 2018</w:t>
      </w:r>
      <w:r>
        <w:rPr>
          <w:sz w:val="24"/>
        </w:rPr>
        <w:t>]</w:t>
      </w:r>
    </w:p>
    <w:p w:rsidR="0048364F" w:rsidRPr="00E61609" w:rsidRDefault="0048364F" w:rsidP="00E61609">
      <w:pPr>
        <w:spacing w:before="240" w:line="240" w:lineRule="auto"/>
        <w:rPr>
          <w:sz w:val="32"/>
        </w:rPr>
      </w:pPr>
      <w:r w:rsidRPr="00E61609">
        <w:rPr>
          <w:sz w:val="32"/>
        </w:rPr>
        <w:t>The Parliament of Australia enacts:</w:t>
      </w:r>
    </w:p>
    <w:p w:rsidR="0048364F" w:rsidRPr="00E61609" w:rsidRDefault="0048364F" w:rsidP="00E61609">
      <w:pPr>
        <w:pStyle w:val="ActHead5"/>
      </w:pPr>
      <w:bookmarkStart w:id="0" w:name="_Toc514847543"/>
      <w:r w:rsidRPr="00E61609">
        <w:rPr>
          <w:rStyle w:val="CharSectno"/>
        </w:rPr>
        <w:t>1</w:t>
      </w:r>
      <w:r w:rsidRPr="00E61609">
        <w:t xml:space="preserve">  Short title</w:t>
      </w:r>
      <w:bookmarkEnd w:id="0"/>
    </w:p>
    <w:p w:rsidR="0048364F" w:rsidRPr="00E61609" w:rsidRDefault="0048364F" w:rsidP="00E61609">
      <w:pPr>
        <w:pStyle w:val="subsection"/>
      </w:pPr>
      <w:r w:rsidRPr="00E61609">
        <w:tab/>
      </w:r>
      <w:r w:rsidRPr="00E61609">
        <w:tab/>
        <w:t xml:space="preserve">This Act </w:t>
      </w:r>
      <w:r w:rsidR="00275197" w:rsidRPr="00E61609">
        <w:t xml:space="preserve">is </w:t>
      </w:r>
      <w:r w:rsidRPr="00E61609">
        <w:t xml:space="preserve">the </w:t>
      </w:r>
      <w:r w:rsidR="004B067C" w:rsidRPr="00E61609">
        <w:rPr>
          <w:i/>
        </w:rPr>
        <w:t xml:space="preserve">Investigation and Prosecution Measures </w:t>
      </w:r>
      <w:r w:rsidR="00076173" w:rsidRPr="00E61609">
        <w:rPr>
          <w:i/>
        </w:rPr>
        <w:t>Act 201</w:t>
      </w:r>
      <w:r w:rsidR="00D72EDD">
        <w:rPr>
          <w:i/>
        </w:rPr>
        <w:t>8</w:t>
      </w:r>
      <w:r w:rsidRPr="00E61609">
        <w:t>.</w:t>
      </w:r>
    </w:p>
    <w:p w:rsidR="0048364F" w:rsidRPr="00E61609" w:rsidRDefault="0048364F" w:rsidP="00E61609">
      <w:pPr>
        <w:pStyle w:val="ActHead5"/>
      </w:pPr>
      <w:bookmarkStart w:id="1" w:name="_Toc514847544"/>
      <w:r w:rsidRPr="00E61609">
        <w:rPr>
          <w:rStyle w:val="CharSectno"/>
        </w:rPr>
        <w:lastRenderedPageBreak/>
        <w:t>2</w:t>
      </w:r>
      <w:r w:rsidRPr="00E61609">
        <w:t xml:space="preserve">  Commencement</w:t>
      </w:r>
      <w:bookmarkEnd w:id="1"/>
    </w:p>
    <w:p w:rsidR="0048364F" w:rsidRPr="00E61609" w:rsidRDefault="0048364F" w:rsidP="00E61609">
      <w:pPr>
        <w:pStyle w:val="subsection"/>
      </w:pPr>
      <w:r w:rsidRPr="00E61609">
        <w:tab/>
        <w:t>(1)</w:t>
      </w:r>
      <w:r w:rsidRPr="00E61609">
        <w:tab/>
        <w:t>Each provision of this Act specified in column 1 of the table commences, or is taken to have commenced, in accordance with column 2 of the table. Any other statement in column 2 has effect according to its terms.</w:t>
      </w:r>
    </w:p>
    <w:p w:rsidR="0048364F" w:rsidRPr="00E61609" w:rsidRDefault="0048364F" w:rsidP="00E61609">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E61609" w:rsidTr="003D3507">
        <w:trPr>
          <w:tblHeader/>
        </w:trPr>
        <w:tc>
          <w:tcPr>
            <w:tcW w:w="7111" w:type="dxa"/>
            <w:gridSpan w:val="3"/>
            <w:tcBorders>
              <w:top w:val="single" w:sz="12" w:space="0" w:color="auto"/>
            </w:tcBorders>
            <w:shd w:val="clear" w:color="auto" w:fill="auto"/>
          </w:tcPr>
          <w:p w:rsidR="0048364F" w:rsidRPr="00E61609" w:rsidRDefault="0048364F" w:rsidP="00E61609">
            <w:pPr>
              <w:pStyle w:val="TableHeading"/>
            </w:pPr>
            <w:r w:rsidRPr="00E61609">
              <w:t>Commencement information</w:t>
            </w:r>
          </w:p>
        </w:tc>
      </w:tr>
      <w:tr w:rsidR="0048364F" w:rsidRPr="00E61609" w:rsidTr="003D3507">
        <w:trPr>
          <w:tblHeader/>
        </w:trPr>
        <w:tc>
          <w:tcPr>
            <w:tcW w:w="1701" w:type="dxa"/>
            <w:shd w:val="clear" w:color="auto" w:fill="auto"/>
          </w:tcPr>
          <w:p w:rsidR="0048364F" w:rsidRPr="00E61609" w:rsidRDefault="0048364F" w:rsidP="00E61609">
            <w:pPr>
              <w:pStyle w:val="TableHeading"/>
            </w:pPr>
            <w:r w:rsidRPr="00E61609">
              <w:t>Column 1</w:t>
            </w:r>
          </w:p>
        </w:tc>
        <w:tc>
          <w:tcPr>
            <w:tcW w:w="3828" w:type="dxa"/>
            <w:shd w:val="clear" w:color="auto" w:fill="auto"/>
          </w:tcPr>
          <w:p w:rsidR="0048364F" w:rsidRPr="00E61609" w:rsidRDefault="0048364F" w:rsidP="00E61609">
            <w:pPr>
              <w:pStyle w:val="TableHeading"/>
            </w:pPr>
            <w:r w:rsidRPr="00E61609">
              <w:t>Column 2</w:t>
            </w:r>
          </w:p>
        </w:tc>
        <w:tc>
          <w:tcPr>
            <w:tcW w:w="1582" w:type="dxa"/>
            <w:shd w:val="clear" w:color="auto" w:fill="auto"/>
          </w:tcPr>
          <w:p w:rsidR="0048364F" w:rsidRPr="00E61609" w:rsidRDefault="0048364F" w:rsidP="00E61609">
            <w:pPr>
              <w:pStyle w:val="TableHeading"/>
            </w:pPr>
            <w:r w:rsidRPr="00E61609">
              <w:t>Column 3</w:t>
            </w:r>
          </w:p>
        </w:tc>
      </w:tr>
      <w:tr w:rsidR="0048364F" w:rsidRPr="00E61609" w:rsidTr="003D3507">
        <w:trPr>
          <w:tblHeader/>
        </w:trPr>
        <w:tc>
          <w:tcPr>
            <w:tcW w:w="1701" w:type="dxa"/>
            <w:shd w:val="clear" w:color="auto" w:fill="auto"/>
          </w:tcPr>
          <w:p w:rsidR="0048364F" w:rsidRPr="00E61609" w:rsidRDefault="0048364F" w:rsidP="00E61609">
            <w:pPr>
              <w:pStyle w:val="TableHeading"/>
            </w:pPr>
            <w:r w:rsidRPr="00E61609">
              <w:t>Provisions</w:t>
            </w:r>
          </w:p>
        </w:tc>
        <w:tc>
          <w:tcPr>
            <w:tcW w:w="3828" w:type="dxa"/>
            <w:shd w:val="clear" w:color="auto" w:fill="auto"/>
          </w:tcPr>
          <w:p w:rsidR="0048364F" w:rsidRPr="00E61609" w:rsidRDefault="0048364F" w:rsidP="00E61609">
            <w:pPr>
              <w:pStyle w:val="TableHeading"/>
            </w:pPr>
            <w:r w:rsidRPr="00E61609">
              <w:t>Commencement</w:t>
            </w:r>
          </w:p>
        </w:tc>
        <w:tc>
          <w:tcPr>
            <w:tcW w:w="1582" w:type="dxa"/>
            <w:shd w:val="clear" w:color="auto" w:fill="auto"/>
          </w:tcPr>
          <w:p w:rsidR="0048364F" w:rsidRPr="00E61609" w:rsidRDefault="0048364F" w:rsidP="00E61609">
            <w:pPr>
              <w:pStyle w:val="TableHeading"/>
            </w:pPr>
            <w:r w:rsidRPr="00E61609">
              <w:t>Date/Details</w:t>
            </w:r>
          </w:p>
        </w:tc>
      </w:tr>
      <w:tr w:rsidR="0048364F" w:rsidRPr="00E61609" w:rsidTr="003D3507">
        <w:tc>
          <w:tcPr>
            <w:tcW w:w="1701" w:type="dxa"/>
            <w:shd w:val="clear" w:color="auto" w:fill="auto"/>
          </w:tcPr>
          <w:p w:rsidR="0048364F" w:rsidRPr="00E61609" w:rsidRDefault="0048364F" w:rsidP="00E61609">
            <w:pPr>
              <w:pStyle w:val="Tabletext"/>
            </w:pPr>
            <w:r w:rsidRPr="00E61609">
              <w:t>1.  Sections</w:t>
            </w:r>
            <w:r w:rsidR="00E61609" w:rsidRPr="00E61609">
              <w:t> </w:t>
            </w:r>
            <w:r w:rsidRPr="00E61609">
              <w:t>1 to 3 and anything in this Act not elsewhere covered by this table</w:t>
            </w:r>
          </w:p>
        </w:tc>
        <w:tc>
          <w:tcPr>
            <w:tcW w:w="3828" w:type="dxa"/>
            <w:shd w:val="clear" w:color="auto" w:fill="auto"/>
          </w:tcPr>
          <w:p w:rsidR="0048364F" w:rsidRPr="00E61609" w:rsidRDefault="0048364F" w:rsidP="00E61609">
            <w:pPr>
              <w:pStyle w:val="Tabletext"/>
            </w:pPr>
            <w:r w:rsidRPr="00E61609">
              <w:t>The day this Act receives the Royal Assent.</w:t>
            </w:r>
          </w:p>
        </w:tc>
        <w:tc>
          <w:tcPr>
            <w:tcW w:w="1582" w:type="dxa"/>
            <w:shd w:val="clear" w:color="auto" w:fill="auto"/>
          </w:tcPr>
          <w:p w:rsidR="0048364F" w:rsidRPr="00E61609" w:rsidRDefault="00634DEF" w:rsidP="00E61609">
            <w:pPr>
              <w:pStyle w:val="Tabletext"/>
            </w:pPr>
            <w:r>
              <w:t>22 May 2018</w:t>
            </w:r>
          </w:p>
        </w:tc>
      </w:tr>
      <w:tr w:rsidR="0048364F" w:rsidRPr="00E61609" w:rsidTr="003D3507">
        <w:tc>
          <w:tcPr>
            <w:tcW w:w="1701" w:type="dxa"/>
            <w:shd w:val="clear" w:color="auto" w:fill="auto"/>
          </w:tcPr>
          <w:p w:rsidR="0048364F" w:rsidRPr="00E61609" w:rsidRDefault="0048364F" w:rsidP="00E61609">
            <w:pPr>
              <w:pStyle w:val="Tabletext"/>
            </w:pPr>
            <w:r w:rsidRPr="00E61609">
              <w:t xml:space="preserve">2.  </w:t>
            </w:r>
            <w:r w:rsidR="009F4FDB" w:rsidRPr="00E61609">
              <w:t>Schedule</w:t>
            </w:r>
            <w:r w:rsidR="00E61609" w:rsidRPr="00E61609">
              <w:t> </w:t>
            </w:r>
            <w:r w:rsidR="009F4FDB" w:rsidRPr="00E61609">
              <w:t>1</w:t>
            </w:r>
          </w:p>
        </w:tc>
        <w:tc>
          <w:tcPr>
            <w:tcW w:w="3828" w:type="dxa"/>
            <w:shd w:val="clear" w:color="auto" w:fill="auto"/>
          </w:tcPr>
          <w:p w:rsidR="0048364F" w:rsidRPr="00E61609" w:rsidRDefault="009F4FDB" w:rsidP="00E61609">
            <w:pPr>
              <w:pStyle w:val="Tabletext"/>
            </w:pPr>
            <w:r w:rsidRPr="00E61609">
              <w:t>The later of:</w:t>
            </w:r>
          </w:p>
          <w:p w:rsidR="009F4FDB" w:rsidRPr="00E61609" w:rsidRDefault="001B7DB0" w:rsidP="00E61609">
            <w:pPr>
              <w:pStyle w:val="Tablea"/>
            </w:pPr>
            <w:r w:rsidRPr="00E61609">
              <w:t xml:space="preserve">(a) </w:t>
            </w:r>
            <w:r w:rsidR="009F4FDB" w:rsidRPr="00E61609">
              <w:t>the day this Act receives the Royal Assent; and</w:t>
            </w:r>
          </w:p>
          <w:p w:rsidR="009F4FDB" w:rsidRPr="00E61609" w:rsidRDefault="009F4FDB" w:rsidP="00E61609">
            <w:pPr>
              <w:pStyle w:val="Tablea"/>
            </w:pPr>
            <w:r w:rsidRPr="00E61609">
              <w:t xml:space="preserve">(b) the day the </w:t>
            </w:r>
            <w:r w:rsidRPr="00E61609">
              <w:rPr>
                <w:i/>
              </w:rPr>
              <w:t xml:space="preserve">Independent Commission Against Corruption Amendment Act 2016 </w:t>
            </w:r>
            <w:r w:rsidRPr="00E61609">
              <w:t>(NSW) commences.</w:t>
            </w:r>
          </w:p>
          <w:p w:rsidR="009F4FDB" w:rsidRPr="00E61609" w:rsidRDefault="009F4FDB" w:rsidP="00E61609">
            <w:pPr>
              <w:pStyle w:val="Tabletext"/>
            </w:pPr>
            <w:r w:rsidRPr="00E61609">
              <w:t xml:space="preserve">However, the provisions do not commence at all if the event mentioned in </w:t>
            </w:r>
            <w:r w:rsidR="00E61609" w:rsidRPr="00E61609">
              <w:t>paragraph (</w:t>
            </w:r>
            <w:r w:rsidRPr="00E61609">
              <w:t>b) does not occur.</w:t>
            </w:r>
          </w:p>
        </w:tc>
        <w:tc>
          <w:tcPr>
            <w:tcW w:w="1582" w:type="dxa"/>
            <w:shd w:val="clear" w:color="auto" w:fill="auto"/>
          </w:tcPr>
          <w:p w:rsidR="0048364F" w:rsidRDefault="00634DEF" w:rsidP="00E61609">
            <w:pPr>
              <w:pStyle w:val="Tabletext"/>
            </w:pPr>
            <w:r>
              <w:t>22 May 2018</w:t>
            </w:r>
          </w:p>
          <w:p w:rsidR="000C7FFB" w:rsidRPr="00E61609" w:rsidRDefault="000C7FFB" w:rsidP="00E61609">
            <w:pPr>
              <w:pStyle w:val="Tabletext"/>
            </w:pPr>
            <w:r>
              <w:t>(paragraph (a) applies)</w:t>
            </w:r>
          </w:p>
        </w:tc>
      </w:tr>
      <w:tr w:rsidR="003D3507" w:rsidRPr="00E61609" w:rsidTr="003D3507">
        <w:tc>
          <w:tcPr>
            <w:tcW w:w="1701" w:type="dxa"/>
            <w:shd w:val="clear" w:color="auto" w:fill="auto"/>
          </w:tcPr>
          <w:p w:rsidR="003D3507" w:rsidRPr="00E61609" w:rsidRDefault="003D3507" w:rsidP="00E61609">
            <w:pPr>
              <w:pStyle w:val="Tabletext"/>
            </w:pPr>
            <w:r w:rsidRPr="00E61609">
              <w:t xml:space="preserve">3.  </w:t>
            </w:r>
            <w:r w:rsidR="00AF6F4D" w:rsidRPr="00584F4C">
              <w:rPr>
                <w:color w:val="000000"/>
                <w:szCs w:val="22"/>
              </w:rPr>
              <w:t>Schedules 2 and 3</w:t>
            </w:r>
          </w:p>
        </w:tc>
        <w:tc>
          <w:tcPr>
            <w:tcW w:w="3828" w:type="dxa"/>
            <w:shd w:val="clear" w:color="auto" w:fill="auto"/>
          </w:tcPr>
          <w:p w:rsidR="003D3507" w:rsidRPr="00E61609" w:rsidRDefault="003D3507" w:rsidP="00E61609">
            <w:pPr>
              <w:pStyle w:val="Tabletext"/>
            </w:pPr>
            <w:r w:rsidRPr="00E61609">
              <w:t>The day after this</w:t>
            </w:r>
            <w:r w:rsidR="00F164E3" w:rsidRPr="00E61609">
              <w:t xml:space="preserve"> Act receives the Royal Assent.</w:t>
            </w:r>
          </w:p>
        </w:tc>
        <w:tc>
          <w:tcPr>
            <w:tcW w:w="1582" w:type="dxa"/>
            <w:shd w:val="clear" w:color="auto" w:fill="auto"/>
          </w:tcPr>
          <w:p w:rsidR="003D3507" w:rsidRPr="00E61609" w:rsidRDefault="00B76129" w:rsidP="00E61609">
            <w:pPr>
              <w:pStyle w:val="Tabletext"/>
            </w:pPr>
            <w:r>
              <w:t>23 May 2018</w:t>
            </w:r>
          </w:p>
        </w:tc>
      </w:tr>
    </w:tbl>
    <w:p w:rsidR="0048364F" w:rsidRPr="00E61609" w:rsidRDefault="00201D27" w:rsidP="00E61609">
      <w:pPr>
        <w:pStyle w:val="notetext"/>
      </w:pPr>
      <w:r w:rsidRPr="00E61609">
        <w:t>Note:</w:t>
      </w:r>
      <w:r w:rsidRPr="00E61609">
        <w:tab/>
        <w:t>This table relates only to the provisions of this Act as originally enacted. It will not be amended to deal with any later amendments of this Act.</w:t>
      </w:r>
    </w:p>
    <w:p w:rsidR="0048364F" w:rsidRPr="00E61609" w:rsidRDefault="0048364F" w:rsidP="00E61609">
      <w:pPr>
        <w:pStyle w:val="subsection"/>
      </w:pPr>
      <w:r w:rsidRPr="00E61609">
        <w:tab/>
        <w:t>(2)</w:t>
      </w:r>
      <w:r w:rsidRPr="00E61609">
        <w:tab/>
      </w:r>
      <w:r w:rsidR="00201D27" w:rsidRPr="00E61609">
        <w:t xml:space="preserve">Any information in </w:t>
      </w:r>
      <w:r w:rsidR="00877D48" w:rsidRPr="00E61609">
        <w:t>c</w:t>
      </w:r>
      <w:r w:rsidR="00201D27" w:rsidRPr="00E61609">
        <w:t>olumn 3 of the table is not part of this Act. Information may be inserted in thi</w:t>
      </w:r>
      <w:bookmarkStart w:id="2" w:name="_GoBack"/>
      <w:bookmarkEnd w:id="2"/>
      <w:r w:rsidR="00201D27" w:rsidRPr="00E61609">
        <w:t>s column, or information in it may be edited, in any published version of this Act.</w:t>
      </w:r>
    </w:p>
    <w:p w:rsidR="0048364F" w:rsidRPr="00E61609" w:rsidRDefault="0048364F" w:rsidP="00E61609">
      <w:pPr>
        <w:pStyle w:val="ActHead5"/>
      </w:pPr>
      <w:bookmarkStart w:id="3" w:name="_Toc514847545"/>
      <w:r w:rsidRPr="00E61609">
        <w:rPr>
          <w:rStyle w:val="CharSectno"/>
        </w:rPr>
        <w:t>3</w:t>
      </w:r>
      <w:r w:rsidRPr="00E61609">
        <w:t xml:space="preserve">  Schedules</w:t>
      </w:r>
      <w:bookmarkEnd w:id="3"/>
    </w:p>
    <w:p w:rsidR="0048364F" w:rsidRPr="00E61609" w:rsidRDefault="0048364F" w:rsidP="00E61609">
      <w:pPr>
        <w:pStyle w:val="subsection"/>
      </w:pPr>
      <w:r w:rsidRPr="00E61609">
        <w:tab/>
      </w:r>
      <w:r w:rsidRPr="00E61609">
        <w:tab/>
      </w:r>
      <w:r w:rsidR="00202618" w:rsidRPr="00E61609">
        <w:t>Legislation that is specified in a Schedule to this Act is amended or repealed as set out in the applicable items in the Schedule concerned, and any other item in a Schedule to this Act has effect according to its terms.</w:t>
      </w:r>
    </w:p>
    <w:p w:rsidR="0048364F" w:rsidRPr="00E61609" w:rsidRDefault="0048364F" w:rsidP="00E61609">
      <w:pPr>
        <w:pStyle w:val="ActHead6"/>
        <w:pageBreakBefore/>
      </w:pPr>
      <w:bookmarkStart w:id="4" w:name="_Toc514847546"/>
      <w:bookmarkStart w:id="5" w:name="opcAmSched"/>
      <w:r w:rsidRPr="00E61609">
        <w:rPr>
          <w:rStyle w:val="CharAmSchNo"/>
        </w:rPr>
        <w:lastRenderedPageBreak/>
        <w:t>Schedule</w:t>
      </w:r>
      <w:r w:rsidR="00E61609" w:rsidRPr="00E61609">
        <w:rPr>
          <w:rStyle w:val="CharAmSchNo"/>
        </w:rPr>
        <w:t> </w:t>
      </w:r>
      <w:r w:rsidRPr="00E61609">
        <w:rPr>
          <w:rStyle w:val="CharAmSchNo"/>
        </w:rPr>
        <w:t>1</w:t>
      </w:r>
      <w:r w:rsidRPr="00E61609">
        <w:t>—</w:t>
      </w:r>
      <w:r w:rsidR="000F1E48" w:rsidRPr="00E61609">
        <w:rPr>
          <w:rStyle w:val="CharAmSchText"/>
        </w:rPr>
        <w:t>Independent Commission Against Corruption of New South Wales</w:t>
      </w:r>
      <w:bookmarkEnd w:id="4"/>
    </w:p>
    <w:p w:rsidR="00247857" w:rsidRPr="00E61609" w:rsidRDefault="00224AF8" w:rsidP="00E61609">
      <w:pPr>
        <w:pStyle w:val="ActHead7"/>
      </w:pPr>
      <w:bookmarkStart w:id="6" w:name="_Toc514847547"/>
      <w:bookmarkEnd w:id="5"/>
      <w:r w:rsidRPr="00E61609">
        <w:rPr>
          <w:rStyle w:val="CharAmPartNo"/>
        </w:rPr>
        <w:t>Part</w:t>
      </w:r>
      <w:r w:rsidR="00E61609" w:rsidRPr="00E61609">
        <w:rPr>
          <w:rStyle w:val="CharAmPartNo"/>
        </w:rPr>
        <w:t> </w:t>
      </w:r>
      <w:r w:rsidRPr="00E61609">
        <w:rPr>
          <w:rStyle w:val="CharAmPartNo"/>
        </w:rPr>
        <w:t>1</w:t>
      </w:r>
      <w:r w:rsidR="00247857" w:rsidRPr="00E61609">
        <w:t>—</w:t>
      </w:r>
      <w:r w:rsidR="00247857" w:rsidRPr="00E61609">
        <w:rPr>
          <w:rStyle w:val="CharAmPartText"/>
        </w:rPr>
        <w:t>Definitions</w:t>
      </w:r>
      <w:bookmarkEnd w:id="6"/>
    </w:p>
    <w:p w:rsidR="00247857" w:rsidRPr="00E61609" w:rsidRDefault="00CE0C25" w:rsidP="00E61609">
      <w:pPr>
        <w:pStyle w:val="ItemHead"/>
      </w:pPr>
      <w:r w:rsidRPr="00E61609">
        <w:t>1</w:t>
      </w:r>
      <w:r w:rsidR="00247857" w:rsidRPr="00E61609">
        <w:t xml:space="preserve">  Definitions</w:t>
      </w:r>
    </w:p>
    <w:p w:rsidR="00247857" w:rsidRPr="00E61609" w:rsidRDefault="00247857" w:rsidP="00E61609">
      <w:pPr>
        <w:pStyle w:val="Item"/>
      </w:pPr>
      <w:r w:rsidRPr="00E61609">
        <w:t>In this Schedule:</w:t>
      </w:r>
    </w:p>
    <w:p w:rsidR="00247857" w:rsidRPr="00E61609" w:rsidRDefault="00247857" w:rsidP="00E61609">
      <w:pPr>
        <w:pStyle w:val="Item"/>
      </w:pPr>
      <w:r w:rsidRPr="00E61609">
        <w:rPr>
          <w:b/>
          <w:i/>
        </w:rPr>
        <w:t xml:space="preserve">new Commission </w:t>
      </w:r>
      <w:r w:rsidRPr="00E61609">
        <w:t xml:space="preserve">means the Independent Commission Against Corruption of New South Wales, as constituted by the </w:t>
      </w:r>
      <w:r w:rsidRPr="00E61609">
        <w:rPr>
          <w:i/>
        </w:rPr>
        <w:t>Independent Commission Against Corruption Act 1988</w:t>
      </w:r>
      <w:r w:rsidRPr="00E61609">
        <w:t xml:space="preserve"> (NSW) </w:t>
      </w:r>
      <w:r w:rsidR="00481A8A" w:rsidRPr="00E61609">
        <w:t>on and after</w:t>
      </w:r>
      <w:r w:rsidRPr="00E61609">
        <w:t xml:space="preserve"> the commencement of the </w:t>
      </w:r>
      <w:r w:rsidRPr="00E61609">
        <w:rPr>
          <w:i/>
        </w:rPr>
        <w:t xml:space="preserve">Independent Commission Against Corruption Amendment Act 2016 </w:t>
      </w:r>
      <w:r w:rsidRPr="00E61609">
        <w:t>(NSW).</w:t>
      </w:r>
    </w:p>
    <w:p w:rsidR="00247857" w:rsidRPr="00E61609" w:rsidRDefault="00247857" w:rsidP="00E61609">
      <w:pPr>
        <w:pStyle w:val="Item"/>
      </w:pPr>
      <w:r w:rsidRPr="00E61609">
        <w:rPr>
          <w:b/>
          <w:i/>
        </w:rPr>
        <w:t>old Commission</w:t>
      </w:r>
      <w:r w:rsidRPr="00E61609">
        <w:t xml:space="preserve"> means the Independent Commission Against Corruption of New South Wales, as constituted by the </w:t>
      </w:r>
      <w:r w:rsidRPr="00E61609">
        <w:rPr>
          <w:i/>
        </w:rPr>
        <w:t>Independent Commission Against Corruption Act 1988</w:t>
      </w:r>
      <w:r w:rsidRPr="00E61609">
        <w:t xml:space="preserve"> (NSW) before the commencement of the </w:t>
      </w:r>
      <w:r w:rsidRPr="00E61609">
        <w:rPr>
          <w:i/>
        </w:rPr>
        <w:t xml:space="preserve">Independent Commission Against Corruption Amendment Act 2016 </w:t>
      </w:r>
      <w:r w:rsidRPr="00E61609">
        <w:t>(NSW).</w:t>
      </w:r>
    </w:p>
    <w:p w:rsidR="00247857" w:rsidRPr="00E61609" w:rsidRDefault="000F1E48" w:rsidP="00E61609">
      <w:pPr>
        <w:pStyle w:val="ActHead7"/>
        <w:pageBreakBefore/>
      </w:pPr>
      <w:bookmarkStart w:id="7" w:name="_Toc514847548"/>
      <w:r w:rsidRPr="00E61609">
        <w:rPr>
          <w:rStyle w:val="CharAmPartNo"/>
        </w:rPr>
        <w:lastRenderedPageBreak/>
        <w:t>Part</w:t>
      </w:r>
      <w:r w:rsidR="00E61609" w:rsidRPr="00E61609">
        <w:rPr>
          <w:rStyle w:val="CharAmPartNo"/>
        </w:rPr>
        <w:t> </w:t>
      </w:r>
      <w:r w:rsidR="00224AF8" w:rsidRPr="00E61609">
        <w:rPr>
          <w:rStyle w:val="CharAmPartNo"/>
        </w:rPr>
        <w:t>2</w:t>
      </w:r>
      <w:r w:rsidRPr="00E61609">
        <w:t>—</w:t>
      </w:r>
      <w:r w:rsidR="00247857" w:rsidRPr="00E61609">
        <w:rPr>
          <w:rStyle w:val="CharAmPartText"/>
        </w:rPr>
        <w:t>Telecommunications (Interception and Access) Act 1979</w:t>
      </w:r>
      <w:bookmarkEnd w:id="7"/>
    </w:p>
    <w:p w:rsidR="000F1E48" w:rsidRPr="00E61609" w:rsidRDefault="00247857" w:rsidP="00E61609">
      <w:pPr>
        <w:pStyle w:val="ActHead8"/>
      </w:pPr>
      <w:bookmarkStart w:id="8" w:name="_Toc514847549"/>
      <w:r w:rsidRPr="00E61609">
        <w:t>Division</w:t>
      </w:r>
      <w:r w:rsidR="00E61609" w:rsidRPr="00E61609">
        <w:t> </w:t>
      </w:r>
      <w:r w:rsidRPr="00E61609">
        <w:t>1—Amendments</w:t>
      </w:r>
      <w:bookmarkEnd w:id="8"/>
    </w:p>
    <w:p w:rsidR="0048364F" w:rsidRPr="00E61609" w:rsidRDefault="00010A61" w:rsidP="00E61609">
      <w:pPr>
        <w:pStyle w:val="ActHead9"/>
        <w:rPr>
          <w:i w:val="0"/>
        </w:rPr>
      </w:pPr>
      <w:bookmarkStart w:id="9" w:name="_Toc514847550"/>
      <w:r w:rsidRPr="00E61609">
        <w:t>Telecommunications (Interception and Access) Act 1979</w:t>
      </w:r>
      <w:bookmarkEnd w:id="9"/>
    </w:p>
    <w:p w:rsidR="00010A61" w:rsidRPr="00E61609" w:rsidRDefault="00CE0C25" w:rsidP="00E61609">
      <w:pPr>
        <w:pStyle w:val="ItemHead"/>
      </w:pPr>
      <w:r w:rsidRPr="00E61609">
        <w:t>2</w:t>
      </w:r>
      <w:r w:rsidR="0076443E" w:rsidRPr="00E61609">
        <w:t xml:space="preserve">  </w:t>
      </w:r>
      <w:r w:rsidR="00332B28" w:rsidRPr="00E61609">
        <w:t>Subsection</w:t>
      </w:r>
      <w:r w:rsidR="00E61609" w:rsidRPr="00E61609">
        <w:t> </w:t>
      </w:r>
      <w:r w:rsidR="00332B28" w:rsidRPr="00E61609">
        <w:t>5(1) (</w:t>
      </w:r>
      <w:r w:rsidR="00E61609" w:rsidRPr="00E61609">
        <w:t>subparagraph (</w:t>
      </w:r>
      <w:r w:rsidR="00332B28" w:rsidRPr="00E61609">
        <w:t xml:space="preserve">e)(i) of the definition of </w:t>
      </w:r>
      <w:r w:rsidR="00332B28" w:rsidRPr="00E61609">
        <w:rPr>
          <w:i/>
        </w:rPr>
        <w:t>certifying officer</w:t>
      </w:r>
      <w:r w:rsidR="00332B28" w:rsidRPr="00E61609">
        <w:t>)</w:t>
      </w:r>
    </w:p>
    <w:p w:rsidR="00332B28" w:rsidRPr="00E61609" w:rsidRDefault="00332B28" w:rsidP="00E61609">
      <w:pPr>
        <w:pStyle w:val="Item"/>
      </w:pPr>
      <w:r w:rsidRPr="00E61609">
        <w:t>Omit “the Commissioner, or an Assistant Commissioner</w:t>
      </w:r>
      <w:r w:rsidR="00AA5B0A" w:rsidRPr="00E61609">
        <w:t>,</w:t>
      </w:r>
      <w:r w:rsidRPr="00E61609">
        <w:t xml:space="preserve">”, substitute “the Chief Commissioner, </w:t>
      </w:r>
      <w:r w:rsidR="00145576" w:rsidRPr="00E61609">
        <w:t xml:space="preserve">a </w:t>
      </w:r>
      <w:r w:rsidR="00AA5B0A" w:rsidRPr="00E61609">
        <w:t>Commissioner</w:t>
      </w:r>
      <w:r w:rsidRPr="00E61609">
        <w:t xml:space="preserve"> or an Assistant Commissioner”.</w:t>
      </w:r>
    </w:p>
    <w:p w:rsidR="00332B28" w:rsidRPr="00E61609" w:rsidRDefault="00CE0C25" w:rsidP="00E61609">
      <w:pPr>
        <w:pStyle w:val="ItemHead"/>
      </w:pPr>
      <w:r w:rsidRPr="00E61609">
        <w:t>3</w:t>
      </w:r>
      <w:r w:rsidR="0076443E" w:rsidRPr="00E61609">
        <w:t xml:space="preserve">  </w:t>
      </w:r>
      <w:r w:rsidR="00332B28" w:rsidRPr="00E61609">
        <w:t>Subsection</w:t>
      </w:r>
      <w:r w:rsidR="00E61609" w:rsidRPr="00E61609">
        <w:t> </w:t>
      </w:r>
      <w:r w:rsidR="00332B28" w:rsidRPr="00E61609">
        <w:t>5(1) (</w:t>
      </w:r>
      <w:r w:rsidR="00E61609" w:rsidRPr="00E61609">
        <w:t>paragraph (</w:t>
      </w:r>
      <w:r w:rsidR="00ED2B47" w:rsidRPr="00E61609">
        <w:t xml:space="preserve">e) of the definition of </w:t>
      </w:r>
      <w:r w:rsidR="00ED2B47" w:rsidRPr="00E61609">
        <w:rPr>
          <w:i/>
        </w:rPr>
        <w:t>chief officer</w:t>
      </w:r>
      <w:r w:rsidR="00ED2B47" w:rsidRPr="00E61609">
        <w:t>)</w:t>
      </w:r>
    </w:p>
    <w:p w:rsidR="00ED2B47" w:rsidRPr="00E61609" w:rsidRDefault="00ED2B47" w:rsidP="00E61609">
      <w:pPr>
        <w:pStyle w:val="Item"/>
      </w:pPr>
      <w:r w:rsidRPr="00E61609">
        <w:t>Omit “the Commissioner”, substitute “the Chief Commissioner”.</w:t>
      </w:r>
    </w:p>
    <w:p w:rsidR="00332B28" w:rsidRPr="00E61609" w:rsidRDefault="00CE0C25" w:rsidP="00E61609">
      <w:pPr>
        <w:pStyle w:val="ItemHead"/>
      </w:pPr>
      <w:r w:rsidRPr="00E61609">
        <w:t>4</w:t>
      </w:r>
      <w:r w:rsidR="0076443E" w:rsidRPr="00E61609">
        <w:t xml:space="preserve">  </w:t>
      </w:r>
      <w:r w:rsidR="0019258E" w:rsidRPr="00E61609">
        <w:t>Subsection</w:t>
      </w:r>
      <w:r w:rsidR="00E61609" w:rsidRPr="00E61609">
        <w:t> </w:t>
      </w:r>
      <w:r w:rsidR="0019258E" w:rsidRPr="00E61609">
        <w:t>5AC(6)</w:t>
      </w:r>
    </w:p>
    <w:p w:rsidR="0019258E" w:rsidRPr="00E61609" w:rsidRDefault="0019258E" w:rsidP="00E61609">
      <w:pPr>
        <w:pStyle w:val="Item"/>
      </w:pPr>
      <w:r w:rsidRPr="00E61609">
        <w:t>Omit “The Commissioner”, substitute “The Chief Commissioner”.</w:t>
      </w:r>
    </w:p>
    <w:p w:rsidR="00CF4664" w:rsidRPr="00E61609" w:rsidRDefault="00CE0C25" w:rsidP="00E61609">
      <w:pPr>
        <w:pStyle w:val="ItemHead"/>
      </w:pPr>
      <w:r w:rsidRPr="00E61609">
        <w:t>5</w:t>
      </w:r>
      <w:r w:rsidR="0076443E" w:rsidRPr="00E61609">
        <w:t xml:space="preserve">  </w:t>
      </w:r>
      <w:r w:rsidR="00CF4664" w:rsidRPr="00E61609">
        <w:t>Paragraph 68(ea)</w:t>
      </w:r>
    </w:p>
    <w:p w:rsidR="00CF4664" w:rsidRPr="00E61609" w:rsidRDefault="00CF4664" w:rsidP="00E61609">
      <w:pPr>
        <w:pStyle w:val="Item"/>
      </w:pPr>
      <w:r w:rsidRPr="00E61609">
        <w:t>Omit “the Commissioner”, substitute “the Chief Commissioner”.</w:t>
      </w:r>
    </w:p>
    <w:p w:rsidR="00247857" w:rsidRPr="00E61609" w:rsidRDefault="00247857" w:rsidP="00E61609">
      <w:pPr>
        <w:pStyle w:val="ActHead8"/>
      </w:pPr>
      <w:bookmarkStart w:id="10" w:name="_Toc514847551"/>
      <w:r w:rsidRPr="00E61609">
        <w:t>Division</w:t>
      </w:r>
      <w:r w:rsidR="00E61609" w:rsidRPr="00E61609">
        <w:t> </w:t>
      </w:r>
      <w:r w:rsidRPr="00E61609">
        <w:t>2—Transitional provisions</w:t>
      </w:r>
      <w:bookmarkEnd w:id="10"/>
    </w:p>
    <w:p w:rsidR="00632101" w:rsidRPr="00E61609" w:rsidRDefault="00CE0C25" w:rsidP="00E61609">
      <w:pPr>
        <w:pStyle w:val="ItemHead"/>
      </w:pPr>
      <w:r w:rsidRPr="00E61609">
        <w:t>6</w:t>
      </w:r>
      <w:r w:rsidR="00DA478A" w:rsidRPr="00E61609">
        <w:t xml:space="preserve">  </w:t>
      </w:r>
      <w:r w:rsidR="00326E47" w:rsidRPr="00E61609">
        <w:t>Transitional—</w:t>
      </w:r>
      <w:r w:rsidR="008D59BF" w:rsidRPr="00E61609">
        <w:t>w</w:t>
      </w:r>
      <w:r w:rsidR="00632101" w:rsidRPr="00E61609">
        <w:t xml:space="preserve">arrants issued to </w:t>
      </w:r>
      <w:r w:rsidR="00416DB3" w:rsidRPr="00E61609">
        <w:t xml:space="preserve">the </w:t>
      </w:r>
      <w:r w:rsidR="00632101" w:rsidRPr="00E61609">
        <w:t>old Commission</w:t>
      </w:r>
    </w:p>
    <w:p w:rsidR="00632101" w:rsidRPr="00E61609" w:rsidRDefault="00632101" w:rsidP="00E61609">
      <w:pPr>
        <w:pStyle w:val="Item"/>
      </w:pPr>
      <w:r w:rsidRPr="00E61609">
        <w:t>A warrant that:</w:t>
      </w:r>
    </w:p>
    <w:p w:rsidR="00A74A9A" w:rsidRPr="00E61609" w:rsidRDefault="00A74A9A" w:rsidP="00E61609">
      <w:pPr>
        <w:pStyle w:val="paragraph"/>
      </w:pPr>
      <w:r w:rsidRPr="00E61609">
        <w:tab/>
        <w:t>(a)</w:t>
      </w:r>
      <w:r w:rsidRPr="00E61609">
        <w:tab/>
        <w:t xml:space="preserve">was issued to the old Commission under the </w:t>
      </w:r>
      <w:r w:rsidRPr="00E61609">
        <w:rPr>
          <w:i/>
        </w:rPr>
        <w:t>Telecommunications (Interception and Access) Act 1979</w:t>
      </w:r>
      <w:r w:rsidRPr="00E61609">
        <w:t>; and</w:t>
      </w:r>
    </w:p>
    <w:p w:rsidR="00632101" w:rsidRPr="00E61609" w:rsidRDefault="00A74A9A" w:rsidP="00E61609">
      <w:pPr>
        <w:pStyle w:val="paragraph"/>
      </w:pPr>
      <w:r w:rsidRPr="00E61609">
        <w:tab/>
        <w:t>(b)</w:t>
      </w:r>
      <w:r w:rsidRPr="00E61609">
        <w:tab/>
        <w:t>was issued before the commencement of this Schedule; and</w:t>
      </w:r>
    </w:p>
    <w:p w:rsidR="00632101" w:rsidRPr="00E61609" w:rsidRDefault="00A74A9A" w:rsidP="00E61609">
      <w:pPr>
        <w:pStyle w:val="paragraph"/>
      </w:pPr>
      <w:r w:rsidRPr="00E61609">
        <w:tab/>
        <w:t>(c</w:t>
      </w:r>
      <w:r w:rsidR="00632101" w:rsidRPr="00E61609">
        <w:t>)</w:t>
      </w:r>
      <w:r w:rsidR="00632101" w:rsidRPr="00E61609">
        <w:tab/>
        <w:t xml:space="preserve">was in force immediately before </w:t>
      </w:r>
      <w:r w:rsidR="0074621F" w:rsidRPr="00E61609">
        <w:t>that commencement;</w:t>
      </w:r>
    </w:p>
    <w:p w:rsidR="00632101" w:rsidRPr="00E61609" w:rsidRDefault="00632101" w:rsidP="00E61609">
      <w:pPr>
        <w:pStyle w:val="Item"/>
      </w:pPr>
      <w:r w:rsidRPr="00E61609">
        <w:t>continues in f</w:t>
      </w:r>
      <w:r w:rsidR="000A474E" w:rsidRPr="00E61609">
        <w:t xml:space="preserve">orce (and may be dealt with) </w:t>
      </w:r>
      <w:r w:rsidR="00481A8A" w:rsidRPr="00E61609">
        <w:t>on and after</w:t>
      </w:r>
      <w:r w:rsidRPr="00E61609">
        <w:t xml:space="preserve"> that commencement as if it had be</w:t>
      </w:r>
      <w:r w:rsidR="007A0543" w:rsidRPr="00E61609">
        <w:t>en issued to the new Commission.</w:t>
      </w:r>
    </w:p>
    <w:p w:rsidR="0074621F" w:rsidRPr="00E61609" w:rsidRDefault="00CE0C25" w:rsidP="00E61609">
      <w:pPr>
        <w:pStyle w:val="ItemHead"/>
      </w:pPr>
      <w:r w:rsidRPr="00E61609">
        <w:t>7</w:t>
      </w:r>
      <w:r w:rsidR="00DA478A" w:rsidRPr="00E61609">
        <w:t xml:space="preserve">  </w:t>
      </w:r>
      <w:r w:rsidR="00326E47" w:rsidRPr="00E61609">
        <w:t>Transitional—</w:t>
      </w:r>
      <w:r w:rsidR="008D59BF" w:rsidRPr="00E61609">
        <w:t>a</w:t>
      </w:r>
      <w:r w:rsidR="0074621F" w:rsidRPr="00E61609">
        <w:t xml:space="preserve">uthorisations made by </w:t>
      </w:r>
      <w:r w:rsidR="00A74A9A" w:rsidRPr="00E61609">
        <w:t xml:space="preserve">an authorised officer of </w:t>
      </w:r>
      <w:r w:rsidR="00F21CB6" w:rsidRPr="00E61609">
        <w:t>the old</w:t>
      </w:r>
      <w:r w:rsidR="0074621F" w:rsidRPr="00E61609">
        <w:t xml:space="preserve"> Commission</w:t>
      </w:r>
    </w:p>
    <w:p w:rsidR="0074621F" w:rsidRPr="00E61609" w:rsidRDefault="0074621F" w:rsidP="00E61609">
      <w:pPr>
        <w:pStyle w:val="Item"/>
      </w:pPr>
      <w:r w:rsidRPr="00E61609">
        <w:t>An authorisation that:</w:t>
      </w:r>
    </w:p>
    <w:p w:rsidR="00A74A9A" w:rsidRPr="00E61609" w:rsidRDefault="00A74A9A" w:rsidP="00E61609">
      <w:pPr>
        <w:pStyle w:val="paragraph"/>
      </w:pPr>
      <w:r w:rsidRPr="00E61609">
        <w:lastRenderedPageBreak/>
        <w:tab/>
        <w:t>(a)</w:t>
      </w:r>
      <w:r w:rsidRPr="00E61609">
        <w:tab/>
        <w:t>was made by an authorised officer of the old Commission under Division</w:t>
      </w:r>
      <w:r w:rsidR="00E61609" w:rsidRPr="00E61609">
        <w:t> </w:t>
      </w:r>
      <w:r w:rsidRPr="00E61609">
        <w:t>4 of Part</w:t>
      </w:r>
      <w:r w:rsidR="00E61609" w:rsidRPr="00E61609">
        <w:t> </w:t>
      </w:r>
      <w:r w:rsidRPr="00E61609">
        <w:t>4</w:t>
      </w:r>
      <w:r w:rsidR="007513DD">
        <w:noBreakHyphen/>
      </w:r>
      <w:r w:rsidRPr="00E61609">
        <w:t>1 of the</w:t>
      </w:r>
      <w:r w:rsidRPr="00E61609">
        <w:rPr>
          <w:i/>
        </w:rPr>
        <w:t xml:space="preserve"> Telecommunications (Interception and Access) Act 1979</w:t>
      </w:r>
      <w:r w:rsidRPr="00E61609">
        <w:t>; and</w:t>
      </w:r>
    </w:p>
    <w:p w:rsidR="0074621F" w:rsidRPr="00E61609" w:rsidRDefault="00A74A9A" w:rsidP="00E61609">
      <w:pPr>
        <w:pStyle w:val="paragraph"/>
      </w:pPr>
      <w:r w:rsidRPr="00E61609">
        <w:tab/>
        <w:t>(b)</w:t>
      </w:r>
      <w:r w:rsidRPr="00E61609">
        <w:tab/>
        <w:t>was issued before the commencement of this Schedule; and</w:t>
      </w:r>
    </w:p>
    <w:p w:rsidR="0074621F" w:rsidRPr="00E61609" w:rsidRDefault="0074621F" w:rsidP="00E61609">
      <w:pPr>
        <w:pStyle w:val="paragraph"/>
      </w:pPr>
      <w:r w:rsidRPr="00E61609">
        <w:rPr>
          <w:i/>
        </w:rPr>
        <w:tab/>
      </w:r>
      <w:r w:rsidR="00A74A9A" w:rsidRPr="00E61609">
        <w:t>(c</w:t>
      </w:r>
      <w:r w:rsidRPr="00E61609">
        <w:t>)</w:t>
      </w:r>
      <w:r w:rsidRPr="00E61609">
        <w:tab/>
        <w:t>was in force immediately before that commencement;</w:t>
      </w:r>
    </w:p>
    <w:p w:rsidR="00A74A9A" w:rsidRPr="00E61609" w:rsidRDefault="0074621F" w:rsidP="00E61609">
      <w:pPr>
        <w:pStyle w:val="Item"/>
      </w:pPr>
      <w:r w:rsidRPr="00E61609">
        <w:t xml:space="preserve">continues in </w:t>
      </w:r>
      <w:r w:rsidR="000A474E" w:rsidRPr="00E61609">
        <w:t xml:space="preserve">force (and may be dealt with) </w:t>
      </w:r>
      <w:r w:rsidR="00481A8A" w:rsidRPr="00E61609">
        <w:t>on and after</w:t>
      </w:r>
      <w:r w:rsidRPr="00E61609">
        <w:t xml:space="preserve"> that commencement as if it had been made by an authorise</w:t>
      </w:r>
      <w:r w:rsidR="00A656BB" w:rsidRPr="00E61609">
        <w:t>d officer of the new Commission</w:t>
      </w:r>
      <w:r w:rsidR="004351E6" w:rsidRPr="00E61609">
        <w:t>.</w:t>
      </w:r>
    </w:p>
    <w:p w:rsidR="00C76702" w:rsidRPr="00E61609" w:rsidRDefault="00CE0C25" w:rsidP="00E61609">
      <w:pPr>
        <w:pStyle w:val="ItemHead"/>
      </w:pPr>
      <w:r w:rsidRPr="00E61609">
        <w:t>8</w:t>
      </w:r>
      <w:r w:rsidR="00DA478A" w:rsidRPr="00E61609">
        <w:t xml:space="preserve">  </w:t>
      </w:r>
      <w:r w:rsidR="00326E47" w:rsidRPr="00E61609">
        <w:t>Transitional—</w:t>
      </w:r>
      <w:r w:rsidR="008D59BF" w:rsidRPr="00E61609">
        <w:t>p</w:t>
      </w:r>
      <w:r w:rsidR="00ED3A48" w:rsidRPr="00E61609">
        <w:t>reservation notices given</w:t>
      </w:r>
      <w:r w:rsidR="00C76702" w:rsidRPr="00E61609">
        <w:t xml:space="preserve"> by </w:t>
      </w:r>
      <w:r w:rsidR="00ED3A48" w:rsidRPr="00E61609">
        <w:t xml:space="preserve">the </w:t>
      </w:r>
      <w:r w:rsidR="00C76702" w:rsidRPr="00E61609">
        <w:t>old Commission</w:t>
      </w:r>
    </w:p>
    <w:p w:rsidR="00C76702" w:rsidRPr="00E61609" w:rsidRDefault="00C76702" w:rsidP="00E61609">
      <w:pPr>
        <w:pStyle w:val="Item"/>
      </w:pPr>
      <w:r w:rsidRPr="00E61609">
        <w:t>A domestic preservation notice that:</w:t>
      </w:r>
    </w:p>
    <w:p w:rsidR="00C76702" w:rsidRPr="00E61609" w:rsidRDefault="00C76702" w:rsidP="00E61609">
      <w:pPr>
        <w:pStyle w:val="paragraph"/>
      </w:pPr>
      <w:r w:rsidRPr="00E61609">
        <w:tab/>
        <w:t>(a)</w:t>
      </w:r>
      <w:r w:rsidRPr="00E61609">
        <w:tab/>
        <w:t xml:space="preserve">was </w:t>
      </w:r>
      <w:r w:rsidR="00ED3A48" w:rsidRPr="00E61609">
        <w:t>given</w:t>
      </w:r>
      <w:r w:rsidRPr="00E61609">
        <w:t xml:space="preserve"> by the old Commission under the</w:t>
      </w:r>
      <w:r w:rsidRPr="00E61609">
        <w:rPr>
          <w:i/>
        </w:rPr>
        <w:t xml:space="preserve"> Telecommunications (Interception and Access) Act 1979</w:t>
      </w:r>
      <w:r w:rsidRPr="00E61609">
        <w:t>; and</w:t>
      </w:r>
    </w:p>
    <w:p w:rsidR="00A74A9A" w:rsidRPr="00E61609" w:rsidRDefault="00A74A9A" w:rsidP="00E61609">
      <w:pPr>
        <w:pStyle w:val="paragraph"/>
      </w:pPr>
      <w:r w:rsidRPr="00E61609">
        <w:tab/>
        <w:t>(b)</w:t>
      </w:r>
      <w:r w:rsidRPr="00E61609">
        <w:tab/>
        <w:t>was issued before the commencement of this Schedule; and</w:t>
      </w:r>
    </w:p>
    <w:p w:rsidR="00C76702" w:rsidRPr="00E61609" w:rsidRDefault="00C76702" w:rsidP="00E61609">
      <w:pPr>
        <w:pStyle w:val="paragraph"/>
      </w:pPr>
      <w:r w:rsidRPr="00E61609">
        <w:rPr>
          <w:i/>
        </w:rPr>
        <w:tab/>
      </w:r>
      <w:r w:rsidR="00A74A9A" w:rsidRPr="00E61609">
        <w:t>(c</w:t>
      </w:r>
      <w:r w:rsidRPr="00E61609">
        <w:t>)</w:t>
      </w:r>
      <w:r w:rsidRPr="00E61609">
        <w:tab/>
        <w:t>was in force immediately before that commencement;</w:t>
      </w:r>
    </w:p>
    <w:p w:rsidR="00F60FD2" w:rsidRPr="00E61609" w:rsidRDefault="00C76702" w:rsidP="00E61609">
      <w:pPr>
        <w:pStyle w:val="Item"/>
      </w:pPr>
      <w:r w:rsidRPr="00E61609">
        <w:t xml:space="preserve">continues in force (and may be dealt with) </w:t>
      </w:r>
      <w:r w:rsidR="00481A8A" w:rsidRPr="00E61609">
        <w:t>on and after</w:t>
      </w:r>
      <w:r w:rsidRPr="00E61609">
        <w:t xml:space="preserve"> that commencement as if it had been </w:t>
      </w:r>
      <w:r w:rsidR="00ED3A48" w:rsidRPr="00E61609">
        <w:t xml:space="preserve">given </w:t>
      </w:r>
      <w:r w:rsidR="00F60FD2" w:rsidRPr="00E61609">
        <w:t>by the new Commission.</w:t>
      </w:r>
    </w:p>
    <w:p w:rsidR="00790F24" w:rsidRPr="00E61609" w:rsidRDefault="00CE0C25" w:rsidP="00E61609">
      <w:pPr>
        <w:pStyle w:val="ItemHead"/>
      </w:pPr>
      <w:r w:rsidRPr="00E61609">
        <w:t>9</w:t>
      </w:r>
      <w:r w:rsidR="00DA478A" w:rsidRPr="00E61609">
        <w:t xml:space="preserve">  </w:t>
      </w:r>
      <w:r w:rsidR="00326E47" w:rsidRPr="00E61609">
        <w:t>Transitional—</w:t>
      </w:r>
      <w:r w:rsidR="008D59BF" w:rsidRPr="00E61609">
        <w:t>e</w:t>
      </w:r>
      <w:r w:rsidR="00790F24" w:rsidRPr="00E61609">
        <w:t xml:space="preserve">videntiary certificates </w:t>
      </w:r>
      <w:r w:rsidR="00617938" w:rsidRPr="00E61609">
        <w:t>issued</w:t>
      </w:r>
      <w:r w:rsidR="00790F24" w:rsidRPr="00E61609">
        <w:t xml:space="preserve"> by </w:t>
      </w:r>
      <w:r w:rsidR="00A74A9A" w:rsidRPr="00E61609">
        <w:t>a certifying officer of the</w:t>
      </w:r>
      <w:r w:rsidR="00223252" w:rsidRPr="00E61609">
        <w:t xml:space="preserve"> o</w:t>
      </w:r>
      <w:r w:rsidR="00790F24" w:rsidRPr="00E61609">
        <w:t>ld Commission</w:t>
      </w:r>
    </w:p>
    <w:p w:rsidR="00A74A9A" w:rsidRPr="00E61609" w:rsidRDefault="00790F24" w:rsidP="00E61609">
      <w:pPr>
        <w:pStyle w:val="Item"/>
      </w:pPr>
      <w:r w:rsidRPr="00E61609">
        <w:t xml:space="preserve">A written certificate </w:t>
      </w:r>
      <w:r w:rsidR="00A74A9A" w:rsidRPr="00E61609">
        <w:t>that:</w:t>
      </w:r>
    </w:p>
    <w:p w:rsidR="00790F24" w:rsidRPr="00E61609" w:rsidRDefault="00A74A9A" w:rsidP="00E61609">
      <w:pPr>
        <w:pStyle w:val="paragraph"/>
      </w:pPr>
      <w:r w:rsidRPr="00E61609">
        <w:tab/>
        <w:t>(a)</w:t>
      </w:r>
      <w:r w:rsidRPr="00E61609">
        <w:tab/>
        <w:t xml:space="preserve">was issued by a certifying officer of the old Commission </w:t>
      </w:r>
      <w:r w:rsidR="00790F24" w:rsidRPr="00E61609">
        <w:t>under section</w:t>
      </w:r>
      <w:r w:rsidR="00E61609" w:rsidRPr="00E61609">
        <w:t> </w:t>
      </w:r>
      <w:r w:rsidR="00790F24" w:rsidRPr="00E61609">
        <w:t xml:space="preserve">61, </w:t>
      </w:r>
      <w:r w:rsidRPr="00E61609">
        <w:t xml:space="preserve">107U, </w:t>
      </w:r>
      <w:r w:rsidR="00790F24" w:rsidRPr="00E61609">
        <w:t>130</w:t>
      </w:r>
      <w:r w:rsidRPr="00E61609">
        <w:t xml:space="preserve"> </w:t>
      </w:r>
      <w:r w:rsidR="00790F24" w:rsidRPr="00E61609">
        <w:t xml:space="preserve">or 185C of the </w:t>
      </w:r>
      <w:r w:rsidR="00790F24" w:rsidRPr="00E61609">
        <w:rPr>
          <w:i/>
        </w:rPr>
        <w:t>Telecommunications (Interception and Access) Act 1979</w:t>
      </w:r>
      <w:r w:rsidRPr="00E61609">
        <w:t>; and</w:t>
      </w:r>
    </w:p>
    <w:p w:rsidR="00A74A9A" w:rsidRPr="00E61609" w:rsidRDefault="00A74A9A" w:rsidP="00E61609">
      <w:pPr>
        <w:pStyle w:val="paragraph"/>
      </w:pPr>
      <w:r w:rsidRPr="00E61609">
        <w:tab/>
        <w:t>(b)</w:t>
      </w:r>
      <w:r w:rsidRPr="00E61609">
        <w:tab/>
        <w:t>was issued before the commencement of this Schedule; and</w:t>
      </w:r>
    </w:p>
    <w:p w:rsidR="00790F24" w:rsidRPr="00E61609" w:rsidRDefault="00790F24" w:rsidP="00E61609">
      <w:pPr>
        <w:pStyle w:val="paragraph"/>
      </w:pPr>
      <w:r w:rsidRPr="00E61609">
        <w:rPr>
          <w:i/>
        </w:rPr>
        <w:tab/>
      </w:r>
      <w:r w:rsidR="00A74A9A" w:rsidRPr="00E61609">
        <w:t>(c</w:t>
      </w:r>
      <w:r w:rsidRPr="00E61609">
        <w:t>)</w:t>
      </w:r>
      <w:r w:rsidRPr="00E61609">
        <w:tab/>
        <w:t>was in force immediately before that commencement;</w:t>
      </w:r>
    </w:p>
    <w:p w:rsidR="00790F24" w:rsidRPr="00E61609" w:rsidRDefault="00790F24" w:rsidP="00E61609">
      <w:pPr>
        <w:pStyle w:val="Item"/>
      </w:pPr>
      <w:r w:rsidRPr="00E61609">
        <w:t xml:space="preserve">continues in force (and may be dealt with) </w:t>
      </w:r>
      <w:r w:rsidR="00481A8A" w:rsidRPr="00E61609">
        <w:t>on and after</w:t>
      </w:r>
      <w:r w:rsidRPr="00E61609">
        <w:t xml:space="preserve"> that commencement as if it had been issued by a certifyin</w:t>
      </w:r>
      <w:r w:rsidR="00A74A9A" w:rsidRPr="00E61609">
        <w:t>g officer of the new Commission</w:t>
      </w:r>
      <w:r w:rsidR="00CF4F18" w:rsidRPr="00E61609">
        <w:t>.</w:t>
      </w:r>
    </w:p>
    <w:p w:rsidR="006865C9" w:rsidRPr="00E61609" w:rsidRDefault="00CE0C25" w:rsidP="00E61609">
      <w:pPr>
        <w:pStyle w:val="ItemHead"/>
      </w:pPr>
      <w:r w:rsidRPr="00E61609">
        <w:t>10</w:t>
      </w:r>
      <w:r w:rsidR="00DA478A" w:rsidRPr="00E61609">
        <w:t xml:space="preserve">  </w:t>
      </w:r>
      <w:r w:rsidR="00326E47" w:rsidRPr="00E61609">
        <w:t>Transitional—</w:t>
      </w:r>
      <w:r w:rsidR="00BF34F7" w:rsidRPr="00E61609">
        <w:t>t</w:t>
      </w:r>
      <w:r w:rsidR="006865C9" w:rsidRPr="00E61609">
        <w:t xml:space="preserve">ransfer of information </w:t>
      </w:r>
      <w:r w:rsidR="0016436C" w:rsidRPr="00E61609">
        <w:t xml:space="preserve">or </w:t>
      </w:r>
      <w:r w:rsidR="00361C0F" w:rsidRPr="00E61609">
        <w:t xml:space="preserve">documents </w:t>
      </w:r>
      <w:r w:rsidR="006865C9" w:rsidRPr="00E61609">
        <w:t xml:space="preserve">acquired under the </w:t>
      </w:r>
      <w:r w:rsidR="006865C9" w:rsidRPr="00E61609">
        <w:rPr>
          <w:i/>
        </w:rPr>
        <w:t>Telecommunications (Interception and Access) Act 1979</w:t>
      </w:r>
    </w:p>
    <w:p w:rsidR="006865C9" w:rsidRPr="00E61609" w:rsidRDefault="006865C9" w:rsidP="00E61609">
      <w:pPr>
        <w:pStyle w:val="Subitem"/>
      </w:pPr>
      <w:r w:rsidRPr="00E61609">
        <w:t>(1)</w:t>
      </w:r>
      <w:r w:rsidRPr="00E61609">
        <w:tab/>
        <w:t xml:space="preserve">This item applies to information </w:t>
      </w:r>
      <w:r w:rsidR="00361C0F" w:rsidRPr="00E61609">
        <w:t xml:space="preserve">and documents </w:t>
      </w:r>
      <w:r w:rsidRPr="00E61609">
        <w:t>that:</w:t>
      </w:r>
    </w:p>
    <w:p w:rsidR="006865C9" w:rsidRPr="00E61609" w:rsidRDefault="00361C0F" w:rsidP="00E61609">
      <w:pPr>
        <w:pStyle w:val="paragraph"/>
      </w:pPr>
      <w:r w:rsidRPr="00E61609">
        <w:tab/>
        <w:t>(a)</w:t>
      </w:r>
      <w:r w:rsidRPr="00E61609">
        <w:tab/>
        <w:t xml:space="preserve">are </w:t>
      </w:r>
      <w:r w:rsidR="006865C9" w:rsidRPr="00E61609">
        <w:t xml:space="preserve">acquired by the old Commission before, </w:t>
      </w:r>
      <w:r w:rsidR="00C1114F" w:rsidRPr="00E61609">
        <w:t>on or after</w:t>
      </w:r>
      <w:r w:rsidR="006865C9" w:rsidRPr="00E61609">
        <w:t xml:space="preserve"> the commencement of this Schedule; and</w:t>
      </w:r>
    </w:p>
    <w:p w:rsidR="006865C9" w:rsidRPr="00E61609" w:rsidRDefault="00361C0F" w:rsidP="00E61609">
      <w:pPr>
        <w:pStyle w:val="paragraph"/>
      </w:pPr>
      <w:r w:rsidRPr="00E61609">
        <w:lastRenderedPageBreak/>
        <w:tab/>
        <w:t>(b)</w:t>
      </w:r>
      <w:r w:rsidRPr="00E61609">
        <w:tab/>
        <w:t xml:space="preserve">are </w:t>
      </w:r>
      <w:r w:rsidR="006865C9" w:rsidRPr="00E61609">
        <w:t xml:space="preserve">information </w:t>
      </w:r>
      <w:r w:rsidRPr="00E61609">
        <w:t xml:space="preserve">or documents </w:t>
      </w:r>
      <w:r w:rsidR="006865C9" w:rsidRPr="00E61609">
        <w:t xml:space="preserve">of </w:t>
      </w:r>
      <w:r w:rsidRPr="00E61609">
        <w:t xml:space="preserve">any of </w:t>
      </w:r>
      <w:r w:rsidR="006865C9" w:rsidRPr="00E61609">
        <w:t>the following kind</w:t>
      </w:r>
      <w:r w:rsidRPr="00E61609">
        <w:t>s</w:t>
      </w:r>
      <w:r w:rsidR="006865C9" w:rsidRPr="00E61609">
        <w:t>:</w:t>
      </w:r>
    </w:p>
    <w:p w:rsidR="006865C9" w:rsidRPr="00E61609" w:rsidRDefault="006865C9" w:rsidP="00E61609">
      <w:pPr>
        <w:pStyle w:val="paragraphsub"/>
      </w:pPr>
      <w:r w:rsidRPr="00E61609">
        <w:tab/>
        <w:t>(i)</w:t>
      </w:r>
      <w:r w:rsidRPr="00E61609">
        <w:tab/>
        <w:t>lawfully intercepted information;</w:t>
      </w:r>
    </w:p>
    <w:p w:rsidR="006865C9" w:rsidRPr="00E61609" w:rsidRDefault="006865C9" w:rsidP="00E61609">
      <w:pPr>
        <w:pStyle w:val="paragraphsub"/>
      </w:pPr>
      <w:r w:rsidRPr="00E61609">
        <w:tab/>
        <w:t>(ii)</w:t>
      </w:r>
      <w:r w:rsidRPr="00E61609">
        <w:tab/>
        <w:t>interception warrant information;</w:t>
      </w:r>
    </w:p>
    <w:p w:rsidR="006865C9" w:rsidRPr="00E61609" w:rsidRDefault="006865C9" w:rsidP="00E61609">
      <w:pPr>
        <w:pStyle w:val="paragraphsub"/>
      </w:pPr>
      <w:r w:rsidRPr="00E61609">
        <w:tab/>
        <w:t>(iii)</w:t>
      </w:r>
      <w:r w:rsidRPr="00E61609">
        <w:tab/>
        <w:t>lawfully accessed information;</w:t>
      </w:r>
    </w:p>
    <w:p w:rsidR="006865C9" w:rsidRPr="00E61609" w:rsidRDefault="006865C9" w:rsidP="00E61609">
      <w:pPr>
        <w:pStyle w:val="paragraphsub"/>
      </w:pPr>
      <w:r w:rsidRPr="00E61609">
        <w:tab/>
        <w:t>(iv)</w:t>
      </w:r>
      <w:r w:rsidRPr="00E61609">
        <w:tab/>
        <w:t>preservation notice information;</w:t>
      </w:r>
    </w:p>
    <w:p w:rsidR="006865C9" w:rsidRPr="00E61609" w:rsidRDefault="006865C9" w:rsidP="00E61609">
      <w:pPr>
        <w:pStyle w:val="paragraphsub"/>
      </w:pPr>
      <w:r w:rsidRPr="00E61609">
        <w:tab/>
        <w:t>(v)</w:t>
      </w:r>
      <w:r w:rsidRPr="00E61609">
        <w:tab/>
        <w:t>stored communications warrant information;</w:t>
      </w:r>
    </w:p>
    <w:p w:rsidR="006865C9" w:rsidRPr="00E61609" w:rsidRDefault="006865C9" w:rsidP="00E61609">
      <w:pPr>
        <w:pStyle w:val="paragraphsub"/>
      </w:pPr>
      <w:r w:rsidRPr="00E61609">
        <w:tab/>
        <w:t>(vi)</w:t>
      </w:r>
      <w:r w:rsidRPr="00E61609">
        <w:tab/>
        <w:t xml:space="preserve">information </w:t>
      </w:r>
      <w:r w:rsidR="00361C0F" w:rsidRPr="00E61609">
        <w:t xml:space="preserve">or documents </w:t>
      </w:r>
      <w:r w:rsidRPr="00E61609">
        <w:t>voluntarily disclosed to the old Commission in accordance with section</w:t>
      </w:r>
      <w:r w:rsidR="00E61609" w:rsidRPr="00E61609">
        <w:t> </w:t>
      </w:r>
      <w:r w:rsidRPr="00E61609">
        <w:t xml:space="preserve">177 of the </w:t>
      </w:r>
      <w:r w:rsidRPr="00E61609">
        <w:rPr>
          <w:i/>
        </w:rPr>
        <w:t>Telecommunications (Interception and Access) Act 1979</w:t>
      </w:r>
      <w:r w:rsidRPr="00E61609">
        <w:t>;</w:t>
      </w:r>
    </w:p>
    <w:p w:rsidR="006865C9" w:rsidRPr="00E61609" w:rsidRDefault="006865C9" w:rsidP="00E61609">
      <w:pPr>
        <w:pStyle w:val="paragraphsub"/>
      </w:pPr>
      <w:r w:rsidRPr="00E61609">
        <w:tab/>
        <w:t>(vii)</w:t>
      </w:r>
      <w:r w:rsidRPr="00E61609">
        <w:tab/>
        <w:t xml:space="preserve">information </w:t>
      </w:r>
      <w:r w:rsidR="00361C0F" w:rsidRPr="00E61609">
        <w:t xml:space="preserve">or documents </w:t>
      </w:r>
      <w:r w:rsidRPr="00E61609">
        <w:t>disclosed under an authorisation made under Part</w:t>
      </w:r>
      <w:r w:rsidR="00E61609" w:rsidRPr="00E61609">
        <w:t> </w:t>
      </w:r>
      <w:r w:rsidRPr="00E61609">
        <w:t>4</w:t>
      </w:r>
      <w:r w:rsidR="007513DD">
        <w:noBreakHyphen/>
      </w:r>
      <w:r w:rsidR="00753655" w:rsidRPr="00E61609">
        <w:t>1 of that Act;</w:t>
      </w:r>
    </w:p>
    <w:p w:rsidR="00753655" w:rsidRPr="00E61609" w:rsidRDefault="00753655" w:rsidP="00E61609">
      <w:pPr>
        <w:pStyle w:val="paragraphsub"/>
      </w:pPr>
      <w:r w:rsidRPr="00E61609">
        <w:tab/>
        <w:t>(viii)</w:t>
      </w:r>
      <w:r w:rsidRPr="00E61609">
        <w:tab/>
        <w:t xml:space="preserve">any other information </w:t>
      </w:r>
      <w:r w:rsidR="00361C0F" w:rsidRPr="00E61609">
        <w:t xml:space="preserve">or documents </w:t>
      </w:r>
      <w:r w:rsidRPr="00E61609">
        <w:t xml:space="preserve">lawfully acquired by the old Commission </w:t>
      </w:r>
      <w:r w:rsidR="00C212CD" w:rsidRPr="00E61609">
        <w:t>under that Act</w:t>
      </w:r>
      <w:r w:rsidRPr="00E61609">
        <w:t>.</w:t>
      </w:r>
    </w:p>
    <w:p w:rsidR="004E4F9E" w:rsidRPr="00E61609" w:rsidRDefault="006865C9" w:rsidP="00E61609">
      <w:pPr>
        <w:pStyle w:val="Subitem"/>
      </w:pPr>
      <w:r w:rsidRPr="00E61609">
        <w:t>(2)</w:t>
      </w:r>
      <w:r w:rsidRPr="00E61609">
        <w:tab/>
        <w:t xml:space="preserve">Nothing </w:t>
      </w:r>
      <w:r w:rsidR="00134F76" w:rsidRPr="00E61609">
        <w:t xml:space="preserve">in any law of the Commonwealth </w:t>
      </w:r>
      <w:r w:rsidRPr="00E61609">
        <w:t>prevents the Commissioner of the old Commission from communicating that information</w:t>
      </w:r>
      <w:r w:rsidR="00361C0F" w:rsidRPr="00E61609">
        <w:t xml:space="preserve"> or </w:t>
      </w:r>
      <w:r w:rsidR="00D56F95" w:rsidRPr="00E61609">
        <w:t>producing those</w:t>
      </w:r>
      <w:r w:rsidR="00361C0F" w:rsidRPr="00E61609">
        <w:t xml:space="preserve"> documents</w:t>
      </w:r>
      <w:r w:rsidRPr="00E61609">
        <w:t xml:space="preserve"> to the new Commission </w:t>
      </w:r>
      <w:r w:rsidR="00C1114F" w:rsidRPr="00E61609">
        <w:t>on or after</w:t>
      </w:r>
      <w:r w:rsidRPr="00E61609">
        <w:t xml:space="preserve"> that commencement.</w:t>
      </w:r>
    </w:p>
    <w:p w:rsidR="00247857" w:rsidRPr="00E61609" w:rsidRDefault="00224AF8" w:rsidP="00E61609">
      <w:pPr>
        <w:pStyle w:val="ActHead7"/>
        <w:pageBreakBefore/>
      </w:pPr>
      <w:bookmarkStart w:id="11" w:name="_Toc514847552"/>
      <w:r w:rsidRPr="00E61609">
        <w:rPr>
          <w:rStyle w:val="CharAmPartNo"/>
        </w:rPr>
        <w:lastRenderedPageBreak/>
        <w:t>Part</w:t>
      </w:r>
      <w:r w:rsidR="00E61609" w:rsidRPr="00E61609">
        <w:rPr>
          <w:rStyle w:val="CharAmPartNo"/>
        </w:rPr>
        <w:t> </w:t>
      </w:r>
      <w:r w:rsidRPr="00E61609">
        <w:rPr>
          <w:rStyle w:val="CharAmPartNo"/>
        </w:rPr>
        <w:t>3</w:t>
      </w:r>
      <w:r w:rsidR="00247857" w:rsidRPr="00E61609">
        <w:t>—</w:t>
      </w:r>
      <w:r w:rsidR="00247857" w:rsidRPr="00E61609">
        <w:rPr>
          <w:rStyle w:val="CharAmPartText"/>
        </w:rPr>
        <w:t>Surveillance Devices Act 2004</w:t>
      </w:r>
      <w:bookmarkEnd w:id="11"/>
    </w:p>
    <w:p w:rsidR="00247857" w:rsidRPr="00E61609" w:rsidRDefault="00247857" w:rsidP="00E61609">
      <w:pPr>
        <w:pStyle w:val="ActHead8"/>
      </w:pPr>
      <w:bookmarkStart w:id="12" w:name="_Toc514847553"/>
      <w:r w:rsidRPr="00E61609">
        <w:t>Division</w:t>
      </w:r>
      <w:r w:rsidR="00E61609" w:rsidRPr="00E61609">
        <w:t> </w:t>
      </w:r>
      <w:r w:rsidRPr="00E61609">
        <w:t>1—Amendments</w:t>
      </w:r>
      <w:bookmarkEnd w:id="12"/>
    </w:p>
    <w:p w:rsidR="00CF4664" w:rsidRPr="00E61609" w:rsidRDefault="00CF4664" w:rsidP="00E61609">
      <w:pPr>
        <w:pStyle w:val="ActHead9"/>
        <w:rPr>
          <w:i w:val="0"/>
        </w:rPr>
      </w:pPr>
      <w:bookmarkStart w:id="13" w:name="_Toc514847554"/>
      <w:r w:rsidRPr="00E61609">
        <w:t>Surveillance Devices Act 2004</w:t>
      </w:r>
      <w:bookmarkEnd w:id="13"/>
    </w:p>
    <w:p w:rsidR="00CF4664" w:rsidRPr="00E61609" w:rsidRDefault="00CE0C25" w:rsidP="00E61609">
      <w:pPr>
        <w:pStyle w:val="ItemHead"/>
      </w:pPr>
      <w:r w:rsidRPr="00E61609">
        <w:t>11</w:t>
      </w:r>
      <w:r w:rsidR="0076443E" w:rsidRPr="00E61609">
        <w:t xml:space="preserve">  </w:t>
      </w:r>
      <w:r w:rsidR="004C5FE2" w:rsidRPr="00E61609">
        <w:t>Subsection</w:t>
      </w:r>
      <w:r w:rsidR="00E61609" w:rsidRPr="00E61609">
        <w:t> </w:t>
      </w:r>
      <w:r w:rsidR="004C5FE2" w:rsidRPr="00E61609">
        <w:t>6A(7) (table item</w:t>
      </w:r>
      <w:r w:rsidR="00E61609" w:rsidRPr="00E61609">
        <w:t> </w:t>
      </w:r>
      <w:r w:rsidR="004C5FE2" w:rsidRPr="00E61609">
        <w:t>10)</w:t>
      </w:r>
    </w:p>
    <w:p w:rsidR="004C5FE2" w:rsidRPr="00E61609" w:rsidRDefault="004C5FE2" w:rsidP="00E61609">
      <w:pPr>
        <w:pStyle w:val="Item"/>
      </w:pPr>
      <w:r w:rsidRPr="00E61609">
        <w:t>Repeal the item, substitute:</w:t>
      </w:r>
    </w:p>
    <w:p w:rsidR="004C5FE2" w:rsidRPr="00E61609" w:rsidRDefault="004C5FE2" w:rsidP="00E61609">
      <w:pPr>
        <w:pStyle w:val="Tabletext"/>
      </w:pPr>
    </w:p>
    <w:tbl>
      <w:tblPr>
        <w:tblW w:w="0" w:type="auto"/>
        <w:tblInd w:w="113" w:type="dxa"/>
        <w:tblLayout w:type="fixed"/>
        <w:tblLook w:val="0000" w:firstRow="0" w:lastRow="0" w:firstColumn="0" w:lastColumn="0" w:noHBand="0" w:noVBand="0"/>
      </w:tblPr>
      <w:tblGrid>
        <w:gridCol w:w="562"/>
        <w:gridCol w:w="1276"/>
        <w:gridCol w:w="1559"/>
        <w:gridCol w:w="1701"/>
        <w:gridCol w:w="1988"/>
      </w:tblGrid>
      <w:tr w:rsidR="004C5FE2" w:rsidRPr="00E61609" w:rsidTr="00504AA8">
        <w:tc>
          <w:tcPr>
            <w:tcW w:w="562" w:type="dxa"/>
            <w:shd w:val="clear" w:color="auto" w:fill="auto"/>
          </w:tcPr>
          <w:p w:rsidR="004C5FE2" w:rsidRPr="00E61609" w:rsidRDefault="004C5FE2" w:rsidP="00E61609">
            <w:pPr>
              <w:pStyle w:val="Tabletext"/>
            </w:pPr>
            <w:r w:rsidRPr="00E61609">
              <w:t>10</w:t>
            </w:r>
          </w:p>
        </w:tc>
        <w:tc>
          <w:tcPr>
            <w:tcW w:w="1276" w:type="dxa"/>
            <w:shd w:val="clear" w:color="auto" w:fill="auto"/>
          </w:tcPr>
          <w:p w:rsidR="004C5FE2" w:rsidRPr="00E61609" w:rsidRDefault="004C5FE2" w:rsidP="00E61609">
            <w:pPr>
              <w:pStyle w:val="Tabletext"/>
            </w:pPr>
            <w:r w:rsidRPr="00E61609">
              <w:t>Independent Commission Against Corruption of New South Wales</w:t>
            </w:r>
          </w:p>
        </w:tc>
        <w:tc>
          <w:tcPr>
            <w:tcW w:w="1559" w:type="dxa"/>
            <w:shd w:val="clear" w:color="auto" w:fill="auto"/>
          </w:tcPr>
          <w:p w:rsidR="004C5FE2" w:rsidRPr="00E61609" w:rsidRDefault="004B067C" w:rsidP="00E61609">
            <w:pPr>
              <w:pStyle w:val="Tabletext"/>
            </w:pPr>
            <w:r w:rsidRPr="00E61609">
              <w:t xml:space="preserve">the Chief Commissioner of </w:t>
            </w:r>
            <w:r w:rsidR="004C5FE2" w:rsidRPr="00E61609">
              <w:t>the Commission</w:t>
            </w:r>
          </w:p>
        </w:tc>
        <w:tc>
          <w:tcPr>
            <w:tcW w:w="1701" w:type="dxa"/>
            <w:shd w:val="clear" w:color="auto" w:fill="auto"/>
          </w:tcPr>
          <w:p w:rsidR="004C5FE2" w:rsidRPr="00E61609" w:rsidRDefault="004C5FE2" w:rsidP="00E61609">
            <w:pPr>
              <w:pStyle w:val="Tabletext"/>
            </w:pPr>
            <w:r w:rsidRPr="00E61609">
              <w:t xml:space="preserve">an officer of the Commission (within the meaning of the </w:t>
            </w:r>
            <w:r w:rsidRPr="00E61609">
              <w:rPr>
                <w:i/>
              </w:rPr>
              <w:t>Independent Commission Against Corruption Act 1988</w:t>
            </w:r>
            <w:r w:rsidRPr="00E61609">
              <w:t xml:space="preserve"> (NSW))</w:t>
            </w:r>
          </w:p>
        </w:tc>
        <w:tc>
          <w:tcPr>
            <w:tcW w:w="1988" w:type="dxa"/>
            <w:shd w:val="clear" w:color="auto" w:fill="auto"/>
          </w:tcPr>
          <w:p w:rsidR="004C5FE2" w:rsidRPr="00E61609" w:rsidRDefault="00145576" w:rsidP="00E61609">
            <w:pPr>
              <w:pStyle w:val="Tablea"/>
            </w:pPr>
            <w:r w:rsidRPr="00E61609">
              <w:t xml:space="preserve">(a) </w:t>
            </w:r>
            <w:r w:rsidR="004C5FE2" w:rsidRPr="00E61609">
              <w:t>the Chief Commissioner; or</w:t>
            </w:r>
          </w:p>
          <w:p w:rsidR="004C5FE2" w:rsidRPr="00E61609" w:rsidRDefault="004C5FE2" w:rsidP="00E61609">
            <w:pPr>
              <w:pStyle w:val="Tablea"/>
            </w:pPr>
            <w:r w:rsidRPr="00E61609">
              <w:t xml:space="preserve">(b) </w:t>
            </w:r>
            <w:r w:rsidR="00145576" w:rsidRPr="00E61609">
              <w:t xml:space="preserve">a </w:t>
            </w:r>
            <w:r w:rsidRPr="00E61609">
              <w:t>Commissioner; or</w:t>
            </w:r>
          </w:p>
          <w:p w:rsidR="008279B7" w:rsidRPr="00E61609" w:rsidRDefault="008279B7" w:rsidP="00E61609">
            <w:pPr>
              <w:pStyle w:val="Tablea"/>
            </w:pPr>
            <w:r w:rsidRPr="00E61609">
              <w:t xml:space="preserve">(c) an Assistant Commissioner; </w:t>
            </w:r>
            <w:r w:rsidR="00931C5D" w:rsidRPr="00E61609">
              <w:t>or</w:t>
            </w:r>
          </w:p>
          <w:p w:rsidR="004C5FE2" w:rsidRPr="00E61609" w:rsidRDefault="008279B7" w:rsidP="00E61609">
            <w:pPr>
              <w:pStyle w:val="Tablea"/>
            </w:pPr>
            <w:r w:rsidRPr="00E61609">
              <w:t xml:space="preserve">(d) </w:t>
            </w:r>
            <w:r w:rsidR="004C5FE2" w:rsidRPr="00E61609">
              <w:t xml:space="preserve">an executive </w:t>
            </w:r>
            <w:r w:rsidR="00931C5D" w:rsidRPr="00E61609">
              <w:t>l</w:t>
            </w:r>
            <w:r w:rsidRPr="00E61609">
              <w:t xml:space="preserve">evel officer of the Commission </w:t>
            </w:r>
            <w:r w:rsidR="004C5FE2" w:rsidRPr="00E61609">
              <w:t>who</w:t>
            </w:r>
            <w:r w:rsidRPr="00E61609">
              <w:t>m</w:t>
            </w:r>
            <w:r w:rsidR="004C5FE2" w:rsidRPr="00E61609">
              <w:t xml:space="preserve"> the chief officer authorises under </w:t>
            </w:r>
            <w:r w:rsidR="00E61609" w:rsidRPr="00E61609">
              <w:t>subsection (</w:t>
            </w:r>
            <w:r w:rsidR="004C5FE2" w:rsidRPr="00E61609">
              <w:t>5)</w:t>
            </w:r>
          </w:p>
        </w:tc>
      </w:tr>
    </w:tbl>
    <w:p w:rsidR="00247857" w:rsidRPr="00E61609" w:rsidRDefault="00247857" w:rsidP="00E61609">
      <w:pPr>
        <w:pStyle w:val="ActHead8"/>
      </w:pPr>
      <w:bookmarkStart w:id="14" w:name="_Toc514847555"/>
      <w:r w:rsidRPr="00E61609">
        <w:t>Division</w:t>
      </w:r>
      <w:r w:rsidR="00E61609" w:rsidRPr="00E61609">
        <w:t> </w:t>
      </w:r>
      <w:r w:rsidRPr="00E61609">
        <w:t>2—Transitional provisions</w:t>
      </w:r>
      <w:bookmarkEnd w:id="14"/>
    </w:p>
    <w:p w:rsidR="007F74CF" w:rsidRPr="00E61609" w:rsidRDefault="00CE0C25" w:rsidP="00E61609">
      <w:pPr>
        <w:pStyle w:val="ItemHead"/>
      </w:pPr>
      <w:r w:rsidRPr="00E61609">
        <w:t>12</w:t>
      </w:r>
      <w:r w:rsidR="00DA478A" w:rsidRPr="00E61609">
        <w:t xml:space="preserve">  </w:t>
      </w:r>
      <w:r w:rsidR="00326E47" w:rsidRPr="00E61609">
        <w:t>Transitional—</w:t>
      </w:r>
      <w:r w:rsidR="00BF34F7" w:rsidRPr="00E61609">
        <w:t>w</w:t>
      </w:r>
      <w:r w:rsidR="007F74CF" w:rsidRPr="00E61609">
        <w:t xml:space="preserve">arrants issued to </w:t>
      </w:r>
      <w:r w:rsidR="00CB30FC" w:rsidRPr="00E61609">
        <w:t xml:space="preserve">a law enforcement officer of the </w:t>
      </w:r>
      <w:r w:rsidR="007F74CF" w:rsidRPr="00E61609">
        <w:t>old Commission</w:t>
      </w:r>
    </w:p>
    <w:p w:rsidR="007F74CF" w:rsidRPr="00E61609" w:rsidRDefault="007F74CF" w:rsidP="00E61609">
      <w:pPr>
        <w:pStyle w:val="Item"/>
      </w:pPr>
      <w:r w:rsidRPr="00E61609">
        <w:t>A warrant that:</w:t>
      </w:r>
    </w:p>
    <w:p w:rsidR="00CB30FC" w:rsidRPr="00E61609" w:rsidRDefault="0081126D" w:rsidP="00E61609">
      <w:pPr>
        <w:pStyle w:val="paragraph"/>
      </w:pPr>
      <w:r w:rsidRPr="00E61609">
        <w:tab/>
      </w:r>
      <w:r w:rsidR="00CB30FC" w:rsidRPr="00E61609">
        <w:t>(a)</w:t>
      </w:r>
      <w:r w:rsidR="00CB30FC" w:rsidRPr="00E61609">
        <w:tab/>
        <w:t xml:space="preserve"> was issued under the </w:t>
      </w:r>
      <w:r w:rsidR="00CB30FC" w:rsidRPr="00E61609">
        <w:rPr>
          <w:i/>
        </w:rPr>
        <w:t>Surveillance Devices Act 2004</w:t>
      </w:r>
      <w:r w:rsidR="00CB30FC" w:rsidRPr="00E61609">
        <w:t xml:space="preserve"> to a law enforcement officer who belonged to or was seconded to the old Commission; and</w:t>
      </w:r>
    </w:p>
    <w:p w:rsidR="00076E00" w:rsidRPr="00E61609" w:rsidRDefault="00CB30FC" w:rsidP="00E61609">
      <w:pPr>
        <w:pStyle w:val="paragraph"/>
      </w:pPr>
      <w:r w:rsidRPr="00E61609">
        <w:tab/>
        <w:t>(b</w:t>
      </w:r>
      <w:r w:rsidR="0081126D" w:rsidRPr="00E61609">
        <w:t>)</w:t>
      </w:r>
      <w:r w:rsidR="0081126D" w:rsidRPr="00E61609">
        <w:tab/>
        <w:t xml:space="preserve">was issued </w:t>
      </w:r>
      <w:r w:rsidR="007F74CF" w:rsidRPr="00E61609">
        <w:t xml:space="preserve">before the commencement of </w:t>
      </w:r>
      <w:r w:rsidR="0081126D" w:rsidRPr="00E61609">
        <w:t>this Schedule</w:t>
      </w:r>
      <w:r w:rsidR="00076E00" w:rsidRPr="00E61609">
        <w:t>; and</w:t>
      </w:r>
    </w:p>
    <w:p w:rsidR="007F74CF" w:rsidRPr="00E61609" w:rsidRDefault="007F74CF" w:rsidP="00E61609">
      <w:pPr>
        <w:pStyle w:val="paragraph"/>
      </w:pPr>
      <w:r w:rsidRPr="00E61609">
        <w:tab/>
      </w:r>
      <w:r w:rsidR="00CB30FC" w:rsidRPr="00E61609">
        <w:t>(c</w:t>
      </w:r>
      <w:r w:rsidRPr="00E61609">
        <w:t>)</w:t>
      </w:r>
      <w:r w:rsidRPr="00E61609">
        <w:tab/>
        <w:t>was in force immediately before that commencement;</w:t>
      </w:r>
    </w:p>
    <w:p w:rsidR="00076E00" w:rsidRPr="00E61609" w:rsidRDefault="007F74CF" w:rsidP="00E61609">
      <w:pPr>
        <w:pStyle w:val="Item"/>
      </w:pPr>
      <w:r w:rsidRPr="00E61609">
        <w:t xml:space="preserve">continues in force (and may be dealt with) </w:t>
      </w:r>
      <w:r w:rsidR="00481A8A" w:rsidRPr="00E61609">
        <w:t>on and after</w:t>
      </w:r>
      <w:r w:rsidRPr="00E61609">
        <w:t xml:space="preserve"> that commencement as if it had been issued to a law enforcement officer who belonged </w:t>
      </w:r>
      <w:r w:rsidR="00CB30FC" w:rsidRPr="00E61609">
        <w:t xml:space="preserve">to </w:t>
      </w:r>
      <w:r w:rsidRPr="00E61609">
        <w:t xml:space="preserve">or was </w:t>
      </w:r>
      <w:r w:rsidR="00CB30FC" w:rsidRPr="00E61609">
        <w:t>seconded to the new Commission.</w:t>
      </w:r>
    </w:p>
    <w:p w:rsidR="00CF43BC" w:rsidRPr="00E61609" w:rsidRDefault="00CE0C25" w:rsidP="00E61609">
      <w:pPr>
        <w:pStyle w:val="ItemHead"/>
      </w:pPr>
      <w:r w:rsidRPr="00E61609">
        <w:lastRenderedPageBreak/>
        <w:t>13</w:t>
      </w:r>
      <w:r w:rsidR="00DA478A" w:rsidRPr="00E61609">
        <w:t xml:space="preserve">  </w:t>
      </w:r>
      <w:r w:rsidR="00326E47" w:rsidRPr="00E61609">
        <w:t>Transitional—</w:t>
      </w:r>
      <w:r w:rsidR="00BF34F7" w:rsidRPr="00E61609">
        <w:t>a</w:t>
      </w:r>
      <w:r w:rsidR="00CF43BC" w:rsidRPr="00E61609">
        <w:t xml:space="preserve">uthorisations </w:t>
      </w:r>
      <w:r w:rsidR="00E93FD7" w:rsidRPr="00E61609">
        <w:t>given by an appropriate authorising officer of the</w:t>
      </w:r>
      <w:r w:rsidR="00CF43BC" w:rsidRPr="00E61609">
        <w:t xml:space="preserve"> old Commission</w:t>
      </w:r>
    </w:p>
    <w:p w:rsidR="00CF43BC" w:rsidRPr="00E61609" w:rsidRDefault="00CF43BC" w:rsidP="00E61609">
      <w:pPr>
        <w:pStyle w:val="Item"/>
      </w:pPr>
      <w:r w:rsidRPr="00E61609">
        <w:t>An emergency authorisation or tracking device authorisation that:</w:t>
      </w:r>
    </w:p>
    <w:p w:rsidR="00E93FD7" w:rsidRPr="00E61609" w:rsidRDefault="00E93FD7" w:rsidP="00E61609">
      <w:pPr>
        <w:pStyle w:val="paragraph"/>
      </w:pPr>
      <w:r w:rsidRPr="00E61609">
        <w:tab/>
        <w:t>(a)</w:t>
      </w:r>
      <w:r w:rsidRPr="00E61609">
        <w:tab/>
        <w:t xml:space="preserve">was given under the </w:t>
      </w:r>
      <w:r w:rsidRPr="00E61609">
        <w:rPr>
          <w:i/>
        </w:rPr>
        <w:t>Surveillance Devices Act 2004</w:t>
      </w:r>
      <w:r w:rsidRPr="00E61609">
        <w:t xml:space="preserve"> by an appropriate authorising officer of the old Commission; and</w:t>
      </w:r>
    </w:p>
    <w:p w:rsidR="00076E00" w:rsidRPr="00E61609" w:rsidRDefault="00E93FD7" w:rsidP="00E61609">
      <w:pPr>
        <w:pStyle w:val="paragraph"/>
      </w:pPr>
      <w:r w:rsidRPr="00E61609">
        <w:tab/>
        <w:t>(b</w:t>
      </w:r>
      <w:r w:rsidR="00076E00" w:rsidRPr="00E61609">
        <w:t>)</w:t>
      </w:r>
      <w:r w:rsidR="00076E00" w:rsidRPr="00E61609">
        <w:tab/>
        <w:t>was given before the commencement of this Schedule; and</w:t>
      </w:r>
    </w:p>
    <w:p w:rsidR="00CF43BC" w:rsidRPr="00E61609" w:rsidRDefault="00CF43BC" w:rsidP="00E61609">
      <w:pPr>
        <w:pStyle w:val="paragraph"/>
      </w:pPr>
      <w:r w:rsidRPr="00E61609">
        <w:rPr>
          <w:i/>
        </w:rPr>
        <w:tab/>
      </w:r>
      <w:r w:rsidR="00076E00" w:rsidRPr="00E61609">
        <w:t>(c</w:t>
      </w:r>
      <w:r w:rsidRPr="00E61609">
        <w:t>)</w:t>
      </w:r>
      <w:r w:rsidRPr="00E61609">
        <w:tab/>
        <w:t>was in force immediately before that commencement;</w:t>
      </w:r>
    </w:p>
    <w:p w:rsidR="00CF43BC" w:rsidRPr="00E61609" w:rsidRDefault="00CF43BC" w:rsidP="00E61609">
      <w:pPr>
        <w:pStyle w:val="Item"/>
      </w:pPr>
      <w:r w:rsidRPr="00E61609">
        <w:t xml:space="preserve">continues in force (and may be dealt with) </w:t>
      </w:r>
      <w:r w:rsidR="00481A8A" w:rsidRPr="00E61609">
        <w:t>on and after</w:t>
      </w:r>
      <w:r w:rsidRPr="00E61609">
        <w:t xml:space="preserve"> that commencement as if it had been given by an appropriate authorising officer of the new Commission.</w:t>
      </w:r>
    </w:p>
    <w:p w:rsidR="00E93FD7" w:rsidRPr="00E61609" w:rsidRDefault="00CE0C25" w:rsidP="00E61609">
      <w:pPr>
        <w:pStyle w:val="ItemHead"/>
      </w:pPr>
      <w:r w:rsidRPr="00E61609">
        <w:t>14</w:t>
      </w:r>
      <w:r w:rsidR="00DA478A" w:rsidRPr="00E61609">
        <w:t xml:space="preserve">  </w:t>
      </w:r>
      <w:r w:rsidR="00326E47" w:rsidRPr="00E61609">
        <w:t>Transitional—</w:t>
      </w:r>
      <w:r w:rsidR="00BF34F7" w:rsidRPr="00E61609">
        <w:t>e</w:t>
      </w:r>
      <w:r w:rsidR="00BE5BC3" w:rsidRPr="00E61609">
        <w:t xml:space="preserve">videntiary certificates issued by </w:t>
      </w:r>
      <w:r w:rsidR="00E93FD7" w:rsidRPr="00E61609">
        <w:t>an appropriate authorising officer of the old Commission</w:t>
      </w:r>
    </w:p>
    <w:p w:rsidR="00BE5BC3" w:rsidRPr="00E61609" w:rsidRDefault="00BE5BC3" w:rsidP="00E61609">
      <w:pPr>
        <w:pStyle w:val="Item"/>
      </w:pPr>
      <w:r w:rsidRPr="00E61609">
        <w:t>A written certificate that:</w:t>
      </w:r>
    </w:p>
    <w:p w:rsidR="00E93FD7" w:rsidRPr="00E61609" w:rsidRDefault="00BE5BC3" w:rsidP="00E61609">
      <w:pPr>
        <w:pStyle w:val="paragraph"/>
      </w:pPr>
      <w:r w:rsidRPr="00E61609">
        <w:tab/>
      </w:r>
      <w:r w:rsidR="00E93FD7" w:rsidRPr="00E61609">
        <w:t>(a)</w:t>
      </w:r>
      <w:r w:rsidR="00E93FD7" w:rsidRPr="00E61609">
        <w:tab/>
        <w:t>was issued under section</w:t>
      </w:r>
      <w:r w:rsidR="00E61609" w:rsidRPr="00E61609">
        <w:t> </w:t>
      </w:r>
      <w:r w:rsidR="00E93FD7" w:rsidRPr="00E61609">
        <w:t xml:space="preserve">62 of the </w:t>
      </w:r>
      <w:r w:rsidR="00E93FD7" w:rsidRPr="00E61609">
        <w:rPr>
          <w:i/>
        </w:rPr>
        <w:t xml:space="preserve">Surveillance Devices Act 2004 </w:t>
      </w:r>
      <w:r w:rsidR="00E93FD7" w:rsidRPr="00E61609">
        <w:t>by an appropriate authorising officer of the old Commission, or by a person assisting an appropriate authorising officer of the old Commission; and</w:t>
      </w:r>
    </w:p>
    <w:p w:rsidR="00076E00" w:rsidRPr="00E61609" w:rsidRDefault="00E93FD7" w:rsidP="00E61609">
      <w:pPr>
        <w:pStyle w:val="paragraph"/>
      </w:pPr>
      <w:r w:rsidRPr="00E61609">
        <w:tab/>
      </w:r>
      <w:r w:rsidR="00BE5BC3" w:rsidRPr="00E61609">
        <w:t>(</w:t>
      </w:r>
      <w:r w:rsidRPr="00E61609">
        <w:t>b</w:t>
      </w:r>
      <w:r w:rsidR="00BE5BC3" w:rsidRPr="00E61609">
        <w:t>)</w:t>
      </w:r>
      <w:r w:rsidR="00BE5BC3" w:rsidRPr="00E61609">
        <w:tab/>
        <w:t xml:space="preserve">was issued </w:t>
      </w:r>
      <w:r w:rsidR="00076E00" w:rsidRPr="00E61609">
        <w:t>before the commencement of this Schedule; and</w:t>
      </w:r>
    </w:p>
    <w:p w:rsidR="00BE5BC3" w:rsidRPr="00E61609" w:rsidRDefault="00BE5BC3" w:rsidP="00E61609">
      <w:pPr>
        <w:pStyle w:val="paragraph"/>
      </w:pPr>
      <w:r w:rsidRPr="00E61609">
        <w:rPr>
          <w:i/>
        </w:rPr>
        <w:tab/>
      </w:r>
      <w:r w:rsidR="00E93FD7" w:rsidRPr="00E61609">
        <w:t>(c</w:t>
      </w:r>
      <w:r w:rsidRPr="00E61609">
        <w:t>)</w:t>
      </w:r>
      <w:r w:rsidRPr="00E61609">
        <w:tab/>
        <w:t>was in force immediately before that commencement;</w:t>
      </w:r>
    </w:p>
    <w:p w:rsidR="008C6D1A" w:rsidRPr="00E61609" w:rsidRDefault="00BE5BC3" w:rsidP="00E61609">
      <w:pPr>
        <w:pStyle w:val="Item"/>
      </w:pPr>
      <w:r w:rsidRPr="00E61609">
        <w:t>continues in f</w:t>
      </w:r>
      <w:r w:rsidR="00092F91" w:rsidRPr="00E61609">
        <w:t xml:space="preserve">orce (and may be dealt with) </w:t>
      </w:r>
      <w:r w:rsidR="00481A8A" w:rsidRPr="00E61609">
        <w:t>on and after</w:t>
      </w:r>
      <w:r w:rsidRPr="00E61609">
        <w:t xml:space="preserve"> that commencement as if it had been issued by an appropriate authorising officer</w:t>
      </w:r>
      <w:r w:rsidR="00A74A9A" w:rsidRPr="00E61609">
        <w:t xml:space="preserve"> of the new Commission</w:t>
      </w:r>
      <w:r w:rsidR="00E80FC6" w:rsidRPr="00E61609">
        <w:t>.</w:t>
      </w:r>
    </w:p>
    <w:p w:rsidR="00700928" w:rsidRPr="00E61609" w:rsidRDefault="00CE0C25" w:rsidP="00E61609">
      <w:pPr>
        <w:pStyle w:val="ItemHead"/>
      </w:pPr>
      <w:r w:rsidRPr="00E61609">
        <w:t>15</w:t>
      </w:r>
      <w:r w:rsidR="00DA478A" w:rsidRPr="00E61609">
        <w:t xml:space="preserve">  </w:t>
      </w:r>
      <w:r w:rsidR="00326E47" w:rsidRPr="00E61609">
        <w:t>Transitional—</w:t>
      </w:r>
      <w:r w:rsidR="00BF34F7" w:rsidRPr="00E61609">
        <w:t>t</w:t>
      </w:r>
      <w:r w:rsidR="00700928" w:rsidRPr="00E61609">
        <w:t xml:space="preserve">ransfer of information </w:t>
      </w:r>
      <w:r w:rsidR="00AE4977" w:rsidRPr="00E61609">
        <w:t xml:space="preserve">or documents </w:t>
      </w:r>
      <w:r w:rsidR="00700928" w:rsidRPr="00E61609">
        <w:t xml:space="preserve">acquired under the </w:t>
      </w:r>
      <w:r w:rsidR="00700928" w:rsidRPr="00E61609">
        <w:rPr>
          <w:i/>
        </w:rPr>
        <w:t>Surveillance Devices Act 2004</w:t>
      </w:r>
    </w:p>
    <w:p w:rsidR="00AE4977" w:rsidRPr="00E61609" w:rsidRDefault="00AE4977" w:rsidP="00E61609">
      <w:pPr>
        <w:pStyle w:val="Subitem"/>
      </w:pPr>
      <w:r w:rsidRPr="00E61609">
        <w:t>(1)</w:t>
      </w:r>
      <w:r w:rsidRPr="00E61609">
        <w:tab/>
        <w:t>This item applies to information and documents that:</w:t>
      </w:r>
    </w:p>
    <w:p w:rsidR="00AE4977" w:rsidRPr="00E61609" w:rsidRDefault="00AE4977" w:rsidP="00E61609">
      <w:pPr>
        <w:pStyle w:val="paragraph"/>
      </w:pPr>
      <w:r w:rsidRPr="00E61609">
        <w:tab/>
        <w:t>(a)</w:t>
      </w:r>
      <w:r w:rsidRPr="00E61609">
        <w:tab/>
        <w:t>are acquired by the old Commission before, on or after the commencement of this Schedule; and</w:t>
      </w:r>
    </w:p>
    <w:p w:rsidR="00AE4977" w:rsidRPr="00E61609" w:rsidRDefault="00AE4977" w:rsidP="00E61609">
      <w:pPr>
        <w:pStyle w:val="paragraph"/>
      </w:pPr>
      <w:r w:rsidRPr="00E61609">
        <w:tab/>
        <w:t>(b)</w:t>
      </w:r>
      <w:r w:rsidRPr="00E61609">
        <w:tab/>
        <w:t>are information or documents of any of the following kinds:</w:t>
      </w:r>
    </w:p>
    <w:p w:rsidR="00AE4977" w:rsidRPr="00E61609" w:rsidRDefault="00AE4977" w:rsidP="00E61609">
      <w:pPr>
        <w:pStyle w:val="paragraphsub"/>
      </w:pPr>
      <w:r w:rsidRPr="00E61609">
        <w:tab/>
        <w:t>(i)</w:t>
      </w:r>
      <w:r w:rsidRPr="00E61609">
        <w:tab/>
        <w:t>protected information;</w:t>
      </w:r>
    </w:p>
    <w:p w:rsidR="00AE4977" w:rsidRPr="00E61609" w:rsidRDefault="00AE4977" w:rsidP="00E61609">
      <w:pPr>
        <w:pStyle w:val="paragraphsub"/>
      </w:pPr>
      <w:r w:rsidRPr="00E61609">
        <w:tab/>
        <w:t>(ii)</w:t>
      </w:r>
      <w:r w:rsidRPr="00E61609">
        <w:tab/>
        <w:t xml:space="preserve">any other information or documents lawfully acquired by the old Commission under the </w:t>
      </w:r>
      <w:r w:rsidRPr="00E61609">
        <w:rPr>
          <w:i/>
        </w:rPr>
        <w:t>Surveillance Devices Act 2004</w:t>
      </w:r>
      <w:r w:rsidRPr="00E61609">
        <w:t>.</w:t>
      </w:r>
    </w:p>
    <w:p w:rsidR="004374E0" w:rsidRPr="00E61609" w:rsidRDefault="004374E0" w:rsidP="00E61609">
      <w:pPr>
        <w:pStyle w:val="Subitem"/>
      </w:pPr>
      <w:r w:rsidRPr="00E61609">
        <w:t>(2)</w:t>
      </w:r>
      <w:r w:rsidRPr="00E61609">
        <w:tab/>
        <w:t xml:space="preserve">Nothing in any law of the Commonwealth prevents the Commissioner of the old Commission from communicating that information or </w:t>
      </w:r>
      <w:r w:rsidRPr="00E61609">
        <w:lastRenderedPageBreak/>
        <w:t>producing those documents to the new Commission on or after that commencement.</w:t>
      </w:r>
    </w:p>
    <w:p w:rsidR="000F1E48" w:rsidRPr="00E61609" w:rsidRDefault="00224AF8" w:rsidP="00E61609">
      <w:pPr>
        <w:pStyle w:val="ActHead7"/>
        <w:pageBreakBefore/>
      </w:pPr>
      <w:bookmarkStart w:id="15" w:name="_Toc514847556"/>
      <w:r w:rsidRPr="00E61609">
        <w:rPr>
          <w:rStyle w:val="CharAmPartNo"/>
        </w:rPr>
        <w:lastRenderedPageBreak/>
        <w:t>Part</w:t>
      </w:r>
      <w:r w:rsidR="00E61609" w:rsidRPr="00E61609">
        <w:rPr>
          <w:rStyle w:val="CharAmPartNo"/>
        </w:rPr>
        <w:t> </w:t>
      </w:r>
      <w:r w:rsidRPr="00E61609">
        <w:rPr>
          <w:rStyle w:val="CharAmPartNo"/>
        </w:rPr>
        <w:t>4</w:t>
      </w:r>
      <w:r w:rsidR="000F1E48" w:rsidRPr="00E61609">
        <w:t>—</w:t>
      </w:r>
      <w:r w:rsidR="00C95534" w:rsidRPr="00E61609">
        <w:rPr>
          <w:rStyle w:val="CharAmPartText"/>
        </w:rPr>
        <w:t>General</w:t>
      </w:r>
      <w:r w:rsidR="00247857" w:rsidRPr="00E61609">
        <w:rPr>
          <w:rStyle w:val="CharAmPartText"/>
        </w:rPr>
        <w:t xml:space="preserve"> </w:t>
      </w:r>
      <w:r w:rsidR="00162737" w:rsidRPr="00E61609">
        <w:rPr>
          <w:rStyle w:val="CharAmPartText"/>
        </w:rPr>
        <w:t>t</w:t>
      </w:r>
      <w:r w:rsidR="000F1E48" w:rsidRPr="00E61609">
        <w:rPr>
          <w:rStyle w:val="CharAmPartText"/>
        </w:rPr>
        <w:t>ransitional provisions</w:t>
      </w:r>
      <w:bookmarkEnd w:id="15"/>
    </w:p>
    <w:p w:rsidR="00C3181F" w:rsidRPr="00E61609" w:rsidRDefault="00CE0C25" w:rsidP="00E61609">
      <w:pPr>
        <w:pStyle w:val="ItemHead"/>
      </w:pPr>
      <w:r w:rsidRPr="00E61609">
        <w:t>16</w:t>
      </w:r>
      <w:r w:rsidR="00DA478A" w:rsidRPr="00E61609">
        <w:t xml:space="preserve">  </w:t>
      </w:r>
      <w:r w:rsidR="00326E47" w:rsidRPr="00E61609">
        <w:t>Transitional—</w:t>
      </w:r>
      <w:r w:rsidR="00BF34F7" w:rsidRPr="00E61609">
        <w:t>t</w:t>
      </w:r>
      <w:r w:rsidR="00252BFB" w:rsidRPr="00E61609">
        <w:t xml:space="preserve">hings done </w:t>
      </w:r>
      <w:r w:rsidR="00F81AFD" w:rsidRPr="00E61609">
        <w:rPr>
          <w:sz w:val="22"/>
        </w:rPr>
        <w:t>or not done</w:t>
      </w:r>
      <w:r w:rsidR="00E450E0" w:rsidRPr="00E61609">
        <w:rPr>
          <w:i/>
          <w:sz w:val="22"/>
        </w:rPr>
        <w:t xml:space="preserve"> </w:t>
      </w:r>
      <w:r w:rsidR="009F4FDB" w:rsidRPr="00E61609">
        <w:t xml:space="preserve">by, </w:t>
      </w:r>
      <w:r w:rsidR="00490D27" w:rsidRPr="00E61609">
        <w:t>or in relation to</w:t>
      </w:r>
      <w:r w:rsidR="009F4FDB" w:rsidRPr="00E61609">
        <w:t>,</w:t>
      </w:r>
      <w:r w:rsidR="00252BFB" w:rsidRPr="00E61609">
        <w:t xml:space="preserve"> the old </w:t>
      </w:r>
      <w:r w:rsidR="00490D27" w:rsidRPr="00E61609">
        <w:t>Commission</w:t>
      </w:r>
    </w:p>
    <w:p w:rsidR="008F18E8" w:rsidRPr="00E61609" w:rsidRDefault="005B63AF" w:rsidP="00E61609">
      <w:pPr>
        <w:pStyle w:val="Subitem"/>
      </w:pPr>
      <w:r w:rsidRPr="00E61609">
        <w:t>(1)</w:t>
      </w:r>
      <w:r w:rsidRPr="00E61609">
        <w:tab/>
      </w:r>
      <w:r w:rsidR="008F18E8" w:rsidRPr="00E61609">
        <w:t xml:space="preserve">For the purposes of a law of the Commonwealth, anything done </w:t>
      </w:r>
      <w:r w:rsidR="00F81AFD" w:rsidRPr="00E61609">
        <w:t>or not done</w:t>
      </w:r>
      <w:r w:rsidR="00E450E0" w:rsidRPr="00E61609">
        <w:rPr>
          <w:i/>
        </w:rPr>
        <w:t xml:space="preserve"> </w:t>
      </w:r>
      <w:r w:rsidR="008F18E8" w:rsidRPr="00E61609">
        <w:t xml:space="preserve">before the commencement of this Schedule by, or in relation to, a person mentioned in column 1 of an item of the following table, has effect </w:t>
      </w:r>
      <w:r w:rsidR="00481A8A" w:rsidRPr="00E61609">
        <w:t>on and after</w:t>
      </w:r>
      <w:r w:rsidR="008F18E8" w:rsidRPr="00E61609">
        <w:t xml:space="preserve"> that</w:t>
      </w:r>
      <w:r w:rsidR="00123638" w:rsidRPr="00E61609">
        <w:t xml:space="preserve"> commencement </w:t>
      </w:r>
      <w:r w:rsidR="008F18E8" w:rsidRPr="00E61609">
        <w:t xml:space="preserve">as if it had been done </w:t>
      </w:r>
      <w:r w:rsidR="00F81AFD" w:rsidRPr="00E61609">
        <w:t>or not done</w:t>
      </w:r>
      <w:r w:rsidR="00E450E0" w:rsidRPr="00E61609">
        <w:rPr>
          <w:i/>
        </w:rPr>
        <w:t xml:space="preserve"> </w:t>
      </w:r>
      <w:r w:rsidR="008F18E8" w:rsidRPr="00E61609">
        <w:t>by, or in relation to, a person men</w:t>
      </w:r>
      <w:r w:rsidR="00E450E0" w:rsidRPr="00E61609">
        <w:t>tioned in column 2 of that item</w:t>
      </w:r>
      <w:r w:rsidR="00123638" w:rsidRPr="00E61609">
        <w:t xml:space="preserve"> of the table</w:t>
      </w:r>
      <w:r w:rsidR="008F18E8" w:rsidRPr="00E61609">
        <w:t>.</w:t>
      </w:r>
    </w:p>
    <w:p w:rsidR="00E01CE0" w:rsidRPr="00E61609" w:rsidRDefault="00E01CE0" w:rsidP="00E6160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EB686C" w:rsidRPr="00E61609" w:rsidTr="007B2EFE">
        <w:trPr>
          <w:tblHeader/>
        </w:trPr>
        <w:tc>
          <w:tcPr>
            <w:tcW w:w="7086" w:type="dxa"/>
            <w:gridSpan w:val="3"/>
            <w:tcBorders>
              <w:top w:val="single" w:sz="12" w:space="0" w:color="auto"/>
              <w:bottom w:val="single" w:sz="6" w:space="0" w:color="auto"/>
            </w:tcBorders>
            <w:shd w:val="clear" w:color="auto" w:fill="auto"/>
          </w:tcPr>
          <w:p w:rsidR="00116982" w:rsidRPr="00E61609" w:rsidRDefault="009F0DDF" w:rsidP="00E61609">
            <w:pPr>
              <w:pStyle w:val="TableHeading"/>
            </w:pPr>
            <w:r w:rsidRPr="00E61609">
              <w:t>Things done</w:t>
            </w:r>
            <w:r w:rsidR="005910AE" w:rsidRPr="00E61609">
              <w:t xml:space="preserve"> </w:t>
            </w:r>
            <w:r w:rsidR="00F81AFD" w:rsidRPr="00E61609">
              <w:t>or not done</w:t>
            </w:r>
            <w:r w:rsidR="00123638" w:rsidRPr="00E61609">
              <w:rPr>
                <w:i/>
              </w:rPr>
              <w:t xml:space="preserve"> </w:t>
            </w:r>
            <w:r w:rsidRPr="00E61609">
              <w:t>by</w:t>
            </w:r>
            <w:r w:rsidR="005A005D" w:rsidRPr="00E61609">
              <w:t xml:space="preserve">, or in relation to, </w:t>
            </w:r>
            <w:r w:rsidRPr="00E61609">
              <w:t>the old Commission</w:t>
            </w:r>
          </w:p>
        </w:tc>
      </w:tr>
      <w:tr w:rsidR="001252F4" w:rsidRPr="00E61609" w:rsidTr="007B2EFE">
        <w:trPr>
          <w:tblHeader/>
        </w:trPr>
        <w:tc>
          <w:tcPr>
            <w:tcW w:w="714" w:type="dxa"/>
            <w:tcBorders>
              <w:top w:val="single" w:sz="6" w:space="0" w:color="auto"/>
              <w:bottom w:val="single" w:sz="12" w:space="0" w:color="auto"/>
            </w:tcBorders>
            <w:shd w:val="clear" w:color="auto" w:fill="auto"/>
          </w:tcPr>
          <w:p w:rsidR="001252F4" w:rsidRPr="00E61609" w:rsidRDefault="001252F4" w:rsidP="00E61609">
            <w:pPr>
              <w:pStyle w:val="TableHeading"/>
            </w:pPr>
            <w:r w:rsidRPr="00E61609">
              <w:t>Item</w:t>
            </w:r>
          </w:p>
        </w:tc>
        <w:tc>
          <w:tcPr>
            <w:tcW w:w="3186" w:type="dxa"/>
            <w:tcBorders>
              <w:top w:val="single" w:sz="6" w:space="0" w:color="auto"/>
              <w:bottom w:val="single" w:sz="12" w:space="0" w:color="auto"/>
            </w:tcBorders>
            <w:shd w:val="clear" w:color="auto" w:fill="auto"/>
          </w:tcPr>
          <w:p w:rsidR="001252F4" w:rsidRPr="00E61609" w:rsidRDefault="001252F4" w:rsidP="00E61609">
            <w:pPr>
              <w:pStyle w:val="TableHeading"/>
            </w:pPr>
            <w:r w:rsidRPr="00E61609">
              <w:t>Column 1</w:t>
            </w:r>
          </w:p>
        </w:tc>
        <w:tc>
          <w:tcPr>
            <w:tcW w:w="3186" w:type="dxa"/>
            <w:tcBorders>
              <w:top w:val="single" w:sz="6" w:space="0" w:color="auto"/>
              <w:bottom w:val="single" w:sz="12" w:space="0" w:color="auto"/>
            </w:tcBorders>
            <w:shd w:val="clear" w:color="auto" w:fill="auto"/>
          </w:tcPr>
          <w:p w:rsidR="001252F4" w:rsidRPr="00E61609" w:rsidRDefault="001252F4" w:rsidP="00E61609">
            <w:pPr>
              <w:pStyle w:val="TableHeading"/>
            </w:pPr>
            <w:r w:rsidRPr="00E61609">
              <w:t>Column 2</w:t>
            </w:r>
          </w:p>
        </w:tc>
      </w:tr>
      <w:tr w:rsidR="004B58F3" w:rsidRPr="00E61609" w:rsidTr="007B2EFE">
        <w:tc>
          <w:tcPr>
            <w:tcW w:w="714" w:type="dxa"/>
            <w:tcBorders>
              <w:top w:val="single" w:sz="12" w:space="0" w:color="auto"/>
            </w:tcBorders>
            <w:shd w:val="clear" w:color="auto" w:fill="auto"/>
          </w:tcPr>
          <w:p w:rsidR="004B58F3" w:rsidRPr="00E61609" w:rsidRDefault="004B58F3" w:rsidP="00E61609">
            <w:pPr>
              <w:pStyle w:val="Tabletext"/>
            </w:pPr>
            <w:r w:rsidRPr="00E61609">
              <w:t>1</w:t>
            </w:r>
          </w:p>
        </w:tc>
        <w:tc>
          <w:tcPr>
            <w:tcW w:w="3186" w:type="dxa"/>
            <w:tcBorders>
              <w:top w:val="single" w:sz="12" w:space="0" w:color="auto"/>
            </w:tcBorders>
            <w:shd w:val="clear" w:color="auto" w:fill="auto"/>
          </w:tcPr>
          <w:p w:rsidR="004B58F3" w:rsidRPr="00E61609" w:rsidRDefault="004B58F3" w:rsidP="00E61609">
            <w:pPr>
              <w:pStyle w:val="Tabletext"/>
            </w:pPr>
            <w:r w:rsidRPr="00E61609">
              <w:t>The old Commission</w:t>
            </w:r>
          </w:p>
        </w:tc>
        <w:tc>
          <w:tcPr>
            <w:tcW w:w="3186" w:type="dxa"/>
            <w:tcBorders>
              <w:top w:val="single" w:sz="12" w:space="0" w:color="auto"/>
            </w:tcBorders>
            <w:shd w:val="clear" w:color="auto" w:fill="auto"/>
          </w:tcPr>
          <w:p w:rsidR="004B58F3" w:rsidRPr="00E61609" w:rsidRDefault="004B58F3" w:rsidP="00E61609">
            <w:pPr>
              <w:pStyle w:val="Tabletext"/>
            </w:pPr>
            <w:r w:rsidRPr="00E61609">
              <w:t>The new Commission</w:t>
            </w:r>
          </w:p>
        </w:tc>
      </w:tr>
      <w:tr w:rsidR="001252F4" w:rsidRPr="00E61609" w:rsidTr="007B2EFE">
        <w:tc>
          <w:tcPr>
            <w:tcW w:w="714" w:type="dxa"/>
            <w:shd w:val="clear" w:color="auto" w:fill="auto"/>
          </w:tcPr>
          <w:p w:rsidR="001252F4" w:rsidRPr="00E61609" w:rsidRDefault="00811F9F" w:rsidP="00E61609">
            <w:pPr>
              <w:pStyle w:val="Tabletext"/>
            </w:pPr>
            <w:r w:rsidRPr="00E61609">
              <w:t>2</w:t>
            </w:r>
          </w:p>
        </w:tc>
        <w:tc>
          <w:tcPr>
            <w:tcW w:w="3186" w:type="dxa"/>
            <w:shd w:val="clear" w:color="auto" w:fill="auto"/>
          </w:tcPr>
          <w:p w:rsidR="001252F4" w:rsidRPr="00E61609" w:rsidRDefault="001252F4" w:rsidP="00E61609">
            <w:pPr>
              <w:pStyle w:val="Tabletext"/>
            </w:pPr>
            <w:r w:rsidRPr="00E61609">
              <w:t>The Commissioner of the old Commission</w:t>
            </w:r>
          </w:p>
        </w:tc>
        <w:tc>
          <w:tcPr>
            <w:tcW w:w="3186" w:type="dxa"/>
            <w:shd w:val="clear" w:color="auto" w:fill="auto"/>
          </w:tcPr>
          <w:p w:rsidR="001252F4" w:rsidRPr="00E61609" w:rsidRDefault="001252F4" w:rsidP="00E61609">
            <w:pPr>
              <w:pStyle w:val="Tabletext"/>
            </w:pPr>
            <w:r w:rsidRPr="00E61609">
              <w:t>The Chief Commissioner of the new Commission</w:t>
            </w:r>
          </w:p>
        </w:tc>
      </w:tr>
      <w:tr w:rsidR="001252F4" w:rsidRPr="00E61609" w:rsidTr="007B2EFE">
        <w:tc>
          <w:tcPr>
            <w:tcW w:w="714" w:type="dxa"/>
            <w:tcBorders>
              <w:bottom w:val="single" w:sz="2" w:space="0" w:color="auto"/>
            </w:tcBorders>
            <w:shd w:val="clear" w:color="auto" w:fill="auto"/>
          </w:tcPr>
          <w:p w:rsidR="001252F4" w:rsidRPr="00E61609" w:rsidRDefault="00811F9F" w:rsidP="00E61609">
            <w:pPr>
              <w:pStyle w:val="Tabletext"/>
            </w:pPr>
            <w:r w:rsidRPr="00E61609">
              <w:t>3</w:t>
            </w:r>
          </w:p>
        </w:tc>
        <w:tc>
          <w:tcPr>
            <w:tcW w:w="3186" w:type="dxa"/>
            <w:tcBorders>
              <w:bottom w:val="single" w:sz="2" w:space="0" w:color="auto"/>
            </w:tcBorders>
            <w:shd w:val="clear" w:color="auto" w:fill="auto"/>
          </w:tcPr>
          <w:p w:rsidR="001252F4" w:rsidRPr="00E61609" w:rsidRDefault="001252F4" w:rsidP="00E61609">
            <w:pPr>
              <w:pStyle w:val="Tabletext"/>
            </w:pPr>
            <w:r w:rsidRPr="00E61609">
              <w:t>An Assistant Commissioner of the old Commission</w:t>
            </w:r>
          </w:p>
        </w:tc>
        <w:tc>
          <w:tcPr>
            <w:tcW w:w="3186" w:type="dxa"/>
            <w:tcBorders>
              <w:bottom w:val="single" w:sz="2" w:space="0" w:color="auto"/>
            </w:tcBorders>
            <w:shd w:val="clear" w:color="auto" w:fill="auto"/>
          </w:tcPr>
          <w:p w:rsidR="001252F4" w:rsidRPr="00E61609" w:rsidRDefault="00E674A8" w:rsidP="00E61609">
            <w:pPr>
              <w:pStyle w:val="Tabletext"/>
            </w:pPr>
            <w:r w:rsidRPr="00E61609">
              <w:t>A Commissioner of the new Commission</w:t>
            </w:r>
          </w:p>
        </w:tc>
      </w:tr>
    </w:tbl>
    <w:p w:rsidR="00835A03" w:rsidRPr="00E61609" w:rsidRDefault="00835A03" w:rsidP="00E61609">
      <w:pPr>
        <w:pStyle w:val="Subitem"/>
      </w:pPr>
      <w:r w:rsidRPr="00E61609">
        <w:t xml:space="preserve">(2) </w:t>
      </w:r>
      <w:r w:rsidRPr="00E61609">
        <w:tab/>
        <w:t>To avoid doubt, a report that is required to be prepared or given under a law of the Commonwealth:</w:t>
      </w:r>
    </w:p>
    <w:p w:rsidR="00A1382A" w:rsidRPr="00E61609" w:rsidRDefault="00835A03" w:rsidP="00E61609">
      <w:pPr>
        <w:pStyle w:val="paragraph"/>
      </w:pPr>
      <w:r w:rsidRPr="00E61609">
        <w:tab/>
      </w:r>
      <w:r w:rsidR="00A1382A" w:rsidRPr="00E61609">
        <w:t>(</w:t>
      </w:r>
      <w:r w:rsidRPr="00E61609">
        <w:t>a</w:t>
      </w:r>
      <w:r w:rsidR="00A1382A" w:rsidRPr="00E61609">
        <w:t>)</w:t>
      </w:r>
      <w:r w:rsidRPr="00E61609">
        <w:tab/>
      </w:r>
      <w:r w:rsidR="00A1382A" w:rsidRPr="00E61609">
        <w:t>on or after the commencement of this Schedule; and</w:t>
      </w:r>
    </w:p>
    <w:p w:rsidR="00D230D2" w:rsidRPr="00E61609" w:rsidRDefault="00835A03" w:rsidP="00E61609">
      <w:pPr>
        <w:pStyle w:val="paragraph"/>
      </w:pPr>
      <w:r w:rsidRPr="00E61609">
        <w:tab/>
      </w:r>
      <w:r w:rsidR="00A1382A" w:rsidRPr="00E61609">
        <w:t>(</w:t>
      </w:r>
      <w:r w:rsidR="000F29B4" w:rsidRPr="00E61609">
        <w:t>b</w:t>
      </w:r>
      <w:r w:rsidRPr="00E61609">
        <w:t>)</w:t>
      </w:r>
      <w:r w:rsidRPr="00E61609">
        <w:tab/>
      </w:r>
      <w:r w:rsidR="00A1382A" w:rsidRPr="00E61609">
        <w:t xml:space="preserve">about a thing done </w:t>
      </w:r>
      <w:r w:rsidR="00D230D2" w:rsidRPr="00E61609">
        <w:t xml:space="preserve">or not done </w:t>
      </w:r>
      <w:r w:rsidR="000F29B4" w:rsidRPr="00E61609">
        <w:t>by, or in relation to, a person mentioned in co</w:t>
      </w:r>
      <w:r w:rsidR="00D230D2" w:rsidRPr="00E61609">
        <w:t>lumn 2 of an item of the table;</w:t>
      </w:r>
    </w:p>
    <w:p w:rsidR="00D230D2" w:rsidRPr="00E61609" w:rsidRDefault="00835A03" w:rsidP="00E61609">
      <w:pPr>
        <w:pStyle w:val="Item"/>
      </w:pPr>
      <w:r w:rsidRPr="00E61609">
        <w:t xml:space="preserve">must, to </w:t>
      </w:r>
      <w:r w:rsidR="00B94418" w:rsidRPr="00E61609">
        <w:t xml:space="preserve">the </w:t>
      </w:r>
      <w:r w:rsidRPr="00E61609">
        <w:t xml:space="preserve">extent (if any) that the period </w:t>
      </w:r>
      <w:r w:rsidR="00D230D2" w:rsidRPr="00E61609">
        <w:t xml:space="preserve">to be covered by the report </w:t>
      </w:r>
      <w:r w:rsidRPr="00E61609">
        <w:t xml:space="preserve">occurs before that commencement, </w:t>
      </w:r>
      <w:r w:rsidR="00A1382A" w:rsidRPr="00E61609">
        <w:t xml:space="preserve">cover such a thing done </w:t>
      </w:r>
      <w:r w:rsidRPr="00E61609">
        <w:t xml:space="preserve">or not done </w:t>
      </w:r>
      <w:r w:rsidR="00A1382A" w:rsidRPr="00E61609">
        <w:t>by, or in relation to, a person mentioned in column 1 of that item of the table</w:t>
      </w:r>
      <w:r w:rsidR="00D230D2" w:rsidRPr="00E61609">
        <w:t>.</w:t>
      </w:r>
    </w:p>
    <w:p w:rsidR="00836CBA" w:rsidRPr="00E61609" w:rsidRDefault="00781BBD" w:rsidP="00E61609">
      <w:pPr>
        <w:pStyle w:val="Subitem"/>
      </w:pPr>
      <w:r w:rsidRPr="00E61609">
        <w:t>(3)</w:t>
      </w:r>
      <w:r w:rsidRPr="00E61609">
        <w:tab/>
        <w:t>Division</w:t>
      </w:r>
      <w:r w:rsidR="00E61609" w:rsidRPr="00E61609">
        <w:t> </w:t>
      </w:r>
      <w:r w:rsidRPr="00E61609">
        <w:t>2 of Part</w:t>
      </w:r>
      <w:r w:rsidR="00E61609" w:rsidRPr="00E61609">
        <w:t> </w:t>
      </w:r>
      <w:r w:rsidRPr="00E61609">
        <w:t>2</w:t>
      </w:r>
      <w:r w:rsidR="0033784E" w:rsidRPr="00E61609">
        <w:t xml:space="preserve"> and </w:t>
      </w:r>
      <w:r w:rsidRPr="00E61609">
        <w:t>Division</w:t>
      </w:r>
      <w:r w:rsidR="00E61609" w:rsidRPr="00E61609">
        <w:t> </w:t>
      </w:r>
      <w:r w:rsidRPr="00E61609">
        <w:t>2 of Part</w:t>
      </w:r>
      <w:r w:rsidR="00E61609" w:rsidRPr="00E61609">
        <w:t> </w:t>
      </w:r>
      <w:r w:rsidRPr="00E61609">
        <w:t xml:space="preserve">3 </w:t>
      </w:r>
      <w:r w:rsidR="00397B9F" w:rsidRPr="00E61609">
        <w:t xml:space="preserve">of this Schedule </w:t>
      </w:r>
      <w:r w:rsidR="0033784E" w:rsidRPr="00E61609">
        <w:t xml:space="preserve">do not limit, and are not limited by, </w:t>
      </w:r>
      <w:r w:rsidR="00134F76" w:rsidRPr="00E61609">
        <w:t>this item.</w:t>
      </w:r>
    </w:p>
    <w:p w:rsidR="008279B7" w:rsidRPr="00E61609" w:rsidRDefault="00CE0C25" w:rsidP="00E61609">
      <w:pPr>
        <w:pStyle w:val="ItemHead"/>
      </w:pPr>
      <w:r w:rsidRPr="00E61609">
        <w:t>17</w:t>
      </w:r>
      <w:r w:rsidR="008279B7" w:rsidRPr="00E61609">
        <w:t xml:space="preserve">  Transitional—transfer of </w:t>
      </w:r>
      <w:r w:rsidR="00124C40" w:rsidRPr="00E61609">
        <w:t xml:space="preserve">other </w:t>
      </w:r>
      <w:r w:rsidR="008279B7" w:rsidRPr="00E61609">
        <w:t>information or documents</w:t>
      </w:r>
    </w:p>
    <w:p w:rsidR="008279B7" w:rsidRPr="00E61609" w:rsidRDefault="008279B7" w:rsidP="00E61609">
      <w:pPr>
        <w:pStyle w:val="Subitem"/>
      </w:pPr>
      <w:r w:rsidRPr="00E61609">
        <w:t>(1)</w:t>
      </w:r>
      <w:r w:rsidRPr="00E61609">
        <w:tab/>
        <w:t>This item applies to information and documents that are lawfully acquired by the old Commission before, on or after the commencement of this Schedule</w:t>
      </w:r>
      <w:r w:rsidR="00134F76" w:rsidRPr="00E61609">
        <w:t>.</w:t>
      </w:r>
    </w:p>
    <w:p w:rsidR="00134F76" w:rsidRPr="00E61609" w:rsidRDefault="00134F76" w:rsidP="00E61609">
      <w:pPr>
        <w:pStyle w:val="Subitem"/>
      </w:pPr>
      <w:r w:rsidRPr="00E61609">
        <w:lastRenderedPageBreak/>
        <w:t>(2)</w:t>
      </w:r>
      <w:r w:rsidRPr="00E61609">
        <w:tab/>
        <w:t>Nothing in any law of the Commonwealth prevents the Commissioner of the old Commission from communicating that information or producing those documents to the new Commission on or after that commencement.</w:t>
      </w:r>
    </w:p>
    <w:p w:rsidR="008279B7" w:rsidRPr="00E61609" w:rsidRDefault="00134F76" w:rsidP="00E61609">
      <w:pPr>
        <w:pStyle w:val="Subitem"/>
      </w:pPr>
      <w:r w:rsidRPr="00E61609">
        <w:t>(3)</w:t>
      </w:r>
      <w:r w:rsidRPr="00E61609">
        <w:tab/>
      </w:r>
      <w:r w:rsidR="00FC6B50" w:rsidRPr="00E61609">
        <w:t>Items</w:t>
      </w:r>
      <w:r w:rsidR="00E61609" w:rsidRPr="00E61609">
        <w:t> </w:t>
      </w:r>
      <w:r w:rsidR="00FC6B50" w:rsidRPr="00E61609">
        <w:t>10 and 15</w:t>
      </w:r>
      <w:r w:rsidRPr="00E61609">
        <w:t xml:space="preserve"> of this Schedule do not limit, and are not limited by, this item.</w:t>
      </w:r>
    </w:p>
    <w:p w:rsidR="00781BBD" w:rsidRPr="00E61609" w:rsidRDefault="00CE0C25" w:rsidP="00E61609">
      <w:pPr>
        <w:pStyle w:val="ItemHead"/>
      </w:pPr>
      <w:r w:rsidRPr="00E61609">
        <w:t>18</w:t>
      </w:r>
      <w:r w:rsidR="00DA478A" w:rsidRPr="00E61609">
        <w:t xml:space="preserve">  </w:t>
      </w:r>
      <w:r w:rsidR="00326E47" w:rsidRPr="00E61609">
        <w:t>Transitional—</w:t>
      </w:r>
      <w:r w:rsidR="00781BBD" w:rsidRPr="00E61609">
        <w:t>Minister may make rules</w:t>
      </w:r>
    </w:p>
    <w:p w:rsidR="00781BBD" w:rsidRPr="00E61609" w:rsidRDefault="00781BBD" w:rsidP="00E61609">
      <w:pPr>
        <w:pStyle w:val="Subitem"/>
      </w:pPr>
      <w:r w:rsidRPr="00E61609">
        <w:t>(1)</w:t>
      </w:r>
      <w:r w:rsidRPr="00E61609">
        <w:tab/>
        <w:t>The Minister may, by legislative instrument, make rules prescribing matters of a transitional nature (including prescribing any saving or application provisions) relating to:</w:t>
      </w:r>
    </w:p>
    <w:p w:rsidR="00781BBD" w:rsidRPr="00E61609" w:rsidRDefault="00781BBD" w:rsidP="00E61609">
      <w:pPr>
        <w:pStyle w:val="paragraph"/>
      </w:pPr>
      <w:r w:rsidRPr="00E61609">
        <w:tab/>
        <w:t>(a)</w:t>
      </w:r>
      <w:r w:rsidRPr="00E61609">
        <w:tab/>
        <w:t>the amendments or repeals made by this Schedule; or</w:t>
      </w:r>
    </w:p>
    <w:p w:rsidR="00781BBD" w:rsidRPr="00E61609" w:rsidRDefault="00781BBD" w:rsidP="00E61609">
      <w:pPr>
        <w:pStyle w:val="paragraph"/>
      </w:pPr>
      <w:r w:rsidRPr="00E61609">
        <w:tab/>
        <w:t>(b)</w:t>
      </w:r>
      <w:r w:rsidRPr="00E61609">
        <w:tab/>
        <w:t>the abolition of the old Commission (so far as it is relevant to an Act amended by this Schedule); or</w:t>
      </w:r>
    </w:p>
    <w:p w:rsidR="00781BBD" w:rsidRPr="00E61609" w:rsidRDefault="00781BBD" w:rsidP="00E61609">
      <w:pPr>
        <w:pStyle w:val="paragraph"/>
      </w:pPr>
      <w:r w:rsidRPr="00E61609">
        <w:tab/>
        <w:t>(c)</w:t>
      </w:r>
      <w:r w:rsidRPr="00E61609">
        <w:tab/>
        <w:t>the establishment of the new Commission (so far as it is relevant to an Act amended by this Schedule).</w:t>
      </w:r>
    </w:p>
    <w:p w:rsidR="00781BBD" w:rsidRPr="00E61609" w:rsidRDefault="00781BBD" w:rsidP="00E61609">
      <w:pPr>
        <w:pStyle w:val="Subitem"/>
      </w:pPr>
      <w:r w:rsidRPr="00E61609">
        <w:t>(2)</w:t>
      </w:r>
      <w:r w:rsidRPr="00E61609">
        <w:tab/>
        <w:t>To avoid doubt, the rules may not do the following:</w:t>
      </w:r>
    </w:p>
    <w:p w:rsidR="00781BBD" w:rsidRPr="00E61609" w:rsidRDefault="00781BBD" w:rsidP="00E61609">
      <w:pPr>
        <w:pStyle w:val="paragraph"/>
      </w:pPr>
      <w:r w:rsidRPr="00E61609">
        <w:tab/>
        <w:t>(a)</w:t>
      </w:r>
      <w:r w:rsidRPr="00E61609">
        <w:tab/>
        <w:t>create an offence or civil penalty;</w:t>
      </w:r>
    </w:p>
    <w:p w:rsidR="00781BBD" w:rsidRPr="00E61609" w:rsidRDefault="00781BBD" w:rsidP="00E61609">
      <w:pPr>
        <w:pStyle w:val="paragraph"/>
      </w:pPr>
      <w:r w:rsidRPr="00E61609">
        <w:tab/>
        <w:t>(b)</w:t>
      </w:r>
      <w:r w:rsidRPr="00E61609">
        <w:tab/>
        <w:t>provide powers of:</w:t>
      </w:r>
    </w:p>
    <w:p w:rsidR="00781BBD" w:rsidRPr="00E61609" w:rsidRDefault="00781BBD" w:rsidP="00E61609">
      <w:pPr>
        <w:pStyle w:val="paragraphsub"/>
      </w:pPr>
      <w:r w:rsidRPr="00E61609">
        <w:tab/>
        <w:t>(i)</w:t>
      </w:r>
      <w:r w:rsidRPr="00E61609">
        <w:tab/>
        <w:t>arrest or detention; or</w:t>
      </w:r>
    </w:p>
    <w:p w:rsidR="00781BBD" w:rsidRPr="00E61609" w:rsidRDefault="00781BBD" w:rsidP="00E61609">
      <w:pPr>
        <w:pStyle w:val="paragraphsub"/>
      </w:pPr>
      <w:r w:rsidRPr="00E61609">
        <w:tab/>
        <w:t>(ii)</w:t>
      </w:r>
      <w:r w:rsidRPr="00E61609">
        <w:tab/>
        <w:t>entry, search or seizure;</w:t>
      </w:r>
    </w:p>
    <w:p w:rsidR="00781BBD" w:rsidRPr="00E61609" w:rsidRDefault="00781BBD" w:rsidP="00E61609">
      <w:pPr>
        <w:pStyle w:val="paragraph"/>
      </w:pPr>
      <w:r w:rsidRPr="00E61609">
        <w:tab/>
        <w:t>(c)</w:t>
      </w:r>
      <w:r w:rsidRPr="00E61609">
        <w:tab/>
        <w:t>impose a tax;</w:t>
      </w:r>
    </w:p>
    <w:p w:rsidR="00781BBD" w:rsidRPr="00E61609" w:rsidRDefault="00781BBD" w:rsidP="00E61609">
      <w:pPr>
        <w:pStyle w:val="paragraph"/>
      </w:pPr>
      <w:r w:rsidRPr="00E61609">
        <w:tab/>
        <w:t>(d)</w:t>
      </w:r>
      <w:r w:rsidRPr="00E61609">
        <w:tab/>
        <w:t>set an amount to be appropriated from the Consolidated Revenue Fund under an appropriation in this Act;</w:t>
      </w:r>
    </w:p>
    <w:p w:rsidR="00781BBD" w:rsidRPr="00E61609" w:rsidRDefault="00781BBD" w:rsidP="00E61609">
      <w:pPr>
        <w:pStyle w:val="paragraph"/>
      </w:pPr>
      <w:r w:rsidRPr="00E61609">
        <w:tab/>
        <w:t>(e)</w:t>
      </w:r>
      <w:r w:rsidRPr="00E61609">
        <w:tab/>
        <w:t>directly amend the text of this Act.</w:t>
      </w:r>
    </w:p>
    <w:p w:rsidR="003D3507" w:rsidRPr="00E61609" w:rsidRDefault="003D3507" w:rsidP="00E61609">
      <w:pPr>
        <w:pStyle w:val="ActHead6"/>
        <w:pageBreakBefore/>
      </w:pPr>
      <w:bookmarkStart w:id="16" w:name="_Toc514847557"/>
      <w:bookmarkStart w:id="17" w:name="opcCurrentFind"/>
      <w:r w:rsidRPr="00E61609">
        <w:rPr>
          <w:rStyle w:val="CharAmSchNo"/>
        </w:rPr>
        <w:lastRenderedPageBreak/>
        <w:t>Schedule</w:t>
      </w:r>
      <w:r w:rsidR="00E61609" w:rsidRPr="00E61609">
        <w:rPr>
          <w:rStyle w:val="CharAmSchNo"/>
        </w:rPr>
        <w:t> </w:t>
      </w:r>
      <w:r w:rsidRPr="00E61609">
        <w:rPr>
          <w:rStyle w:val="CharAmSchNo"/>
        </w:rPr>
        <w:t>2</w:t>
      </w:r>
      <w:r w:rsidRPr="00E61609">
        <w:t>—</w:t>
      </w:r>
      <w:r w:rsidRPr="00E61609">
        <w:rPr>
          <w:rStyle w:val="CharAmSchText"/>
        </w:rPr>
        <w:t>Functions and powers of the Director of Public Prosecutions in relation to Norfolk Island</w:t>
      </w:r>
      <w:bookmarkEnd w:id="16"/>
    </w:p>
    <w:p w:rsidR="003D3507" w:rsidRPr="00E61609" w:rsidRDefault="003D3507" w:rsidP="00E61609">
      <w:pPr>
        <w:pStyle w:val="ActHead7"/>
      </w:pPr>
      <w:bookmarkStart w:id="18" w:name="_Toc514847558"/>
      <w:bookmarkEnd w:id="17"/>
      <w:r w:rsidRPr="00E61609">
        <w:rPr>
          <w:rStyle w:val="CharAmPartNo"/>
        </w:rPr>
        <w:t>Part</w:t>
      </w:r>
      <w:r w:rsidR="00E61609" w:rsidRPr="00E61609">
        <w:rPr>
          <w:rStyle w:val="CharAmPartNo"/>
        </w:rPr>
        <w:t> </w:t>
      </w:r>
      <w:r w:rsidRPr="00E61609">
        <w:rPr>
          <w:rStyle w:val="CharAmPartNo"/>
        </w:rPr>
        <w:t>1</w:t>
      </w:r>
      <w:r w:rsidRPr="00E61609">
        <w:t>—</w:t>
      </w:r>
      <w:r w:rsidRPr="00E61609">
        <w:rPr>
          <w:rStyle w:val="CharAmPartText"/>
        </w:rPr>
        <w:t>Amendment of the Director of Public Prosecutions Act 1983</w:t>
      </w:r>
      <w:bookmarkEnd w:id="18"/>
    </w:p>
    <w:p w:rsidR="003D3507" w:rsidRPr="00E61609" w:rsidRDefault="003D3507" w:rsidP="00E61609">
      <w:pPr>
        <w:pStyle w:val="ActHead9"/>
        <w:rPr>
          <w:i w:val="0"/>
        </w:rPr>
      </w:pPr>
      <w:bookmarkStart w:id="19" w:name="_Toc514847559"/>
      <w:r w:rsidRPr="00E61609">
        <w:t>Director of Public Prosecutions Act 1983</w:t>
      </w:r>
      <w:bookmarkEnd w:id="19"/>
    </w:p>
    <w:p w:rsidR="003D3507" w:rsidRPr="00E61609" w:rsidRDefault="003D3507" w:rsidP="00E61609">
      <w:pPr>
        <w:pStyle w:val="ItemHead"/>
      </w:pPr>
      <w:r w:rsidRPr="00E61609">
        <w:t>1  Subsection</w:t>
      </w:r>
      <w:r w:rsidR="00E61609" w:rsidRPr="00E61609">
        <w:t> </w:t>
      </w:r>
      <w:r w:rsidRPr="00E61609">
        <w:t>3(1) (</w:t>
      </w:r>
      <w:r w:rsidR="00E61609" w:rsidRPr="00E61609">
        <w:t>paragraph (</w:t>
      </w:r>
      <w:r w:rsidRPr="00E61609">
        <w:t xml:space="preserve">b) of the definition of </w:t>
      </w:r>
      <w:r w:rsidRPr="00E61609">
        <w:rPr>
          <w:i/>
        </w:rPr>
        <w:t>law of the Commonwealth</w:t>
      </w:r>
      <w:r w:rsidRPr="00E61609">
        <w:t>)</w:t>
      </w:r>
    </w:p>
    <w:p w:rsidR="003D3507" w:rsidRPr="00E61609" w:rsidRDefault="003D3507" w:rsidP="00E61609">
      <w:pPr>
        <w:pStyle w:val="Item"/>
      </w:pPr>
      <w:r w:rsidRPr="00E61609">
        <w:t>Repeal the paragraph.</w:t>
      </w:r>
    </w:p>
    <w:p w:rsidR="003D3507" w:rsidRPr="00E61609" w:rsidRDefault="003D3507" w:rsidP="00E61609">
      <w:pPr>
        <w:pStyle w:val="ItemHead"/>
      </w:pPr>
      <w:r w:rsidRPr="00E61609">
        <w:t>2  Subsection</w:t>
      </w:r>
      <w:r w:rsidR="00E61609" w:rsidRPr="00E61609">
        <w:t> </w:t>
      </w:r>
      <w:r w:rsidRPr="00E61609">
        <w:t>3(1) (</w:t>
      </w:r>
      <w:r w:rsidR="00E61609" w:rsidRPr="00E61609">
        <w:t>paragraph (</w:t>
      </w:r>
      <w:r w:rsidRPr="00E61609">
        <w:t xml:space="preserve">c) of the definition of </w:t>
      </w:r>
      <w:r w:rsidRPr="00E61609">
        <w:rPr>
          <w:i/>
        </w:rPr>
        <w:t>law of the Commonwealth</w:t>
      </w:r>
      <w:r w:rsidRPr="00E61609">
        <w:t>)</w:t>
      </w:r>
    </w:p>
    <w:p w:rsidR="003D3507" w:rsidRPr="00E61609" w:rsidRDefault="003D3507" w:rsidP="00E61609">
      <w:pPr>
        <w:pStyle w:val="Item"/>
      </w:pPr>
      <w:r w:rsidRPr="00E61609">
        <w:t>Omit “</w:t>
      </w:r>
      <w:r w:rsidR="00E61609" w:rsidRPr="00E61609">
        <w:t>paragraph (</w:t>
      </w:r>
      <w:r w:rsidRPr="00E61609">
        <w:t>aa), (a) or (b)”, substitute “</w:t>
      </w:r>
      <w:r w:rsidR="00E61609" w:rsidRPr="00E61609">
        <w:t>paragraph (</w:t>
      </w:r>
      <w:r w:rsidRPr="00E61609">
        <w:t>aa) or (a)”.</w:t>
      </w:r>
    </w:p>
    <w:p w:rsidR="003D3507" w:rsidRPr="00E61609" w:rsidRDefault="003D3507" w:rsidP="00E61609">
      <w:pPr>
        <w:pStyle w:val="ActHead7"/>
        <w:pageBreakBefore/>
      </w:pPr>
      <w:bookmarkStart w:id="20" w:name="_Toc514847560"/>
      <w:r w:rsidRPr="00E61609">
        <w:rPr>
          <w:rStyle w:val="CharAmPartNo"/>
        </w:rPr>
        <w:lastRenderedPageBreak/>
        <w:t>Part</w:t>
      </w:r>
      <w:r w:rsidR="00E61609" w:rsidRPr="00E61609">
        <w:rPr>
          <w:rStyle w:val="CharAmPartNo"/>
        </w:rPr>
        <w:t> </w:t>
      </w:r>
      <w:r w:rsidRPr="00E61609">
        <w:rPr>
          <w:rStyle w:val="CharAmPartNo"/>
        </w:rPr>
        <w:t>2</w:t>
      </w:r>
      <w:r w:rsidRPr="00E61609">
        <w:t>—</w:t>
      </w:r>
      <w:r w:rsidRPr="00E61609">
        <w:rPr>
          <w:rStyle w:val="CharAmPartText"/>
        </w:rPr>
        <w:t>References to a law of a Territory</w:t>
      </w:r>
      <w:bookmarkEnd w:id="20"/>
    </w:p>
    <w:p w:rsidR="003D3507" w:rsidRPr="00E61609" w:rsidRDefault="003D3507" w:rsidP="00E61609">
      <w:pPr>
        <w:pStyle w:val="ItemHead"/>
      </w:pPr>
      <w:r w:rsidRPr="00E61609">
        <w:t>3  References to a law of a Territory</w:t>
      </w:r>
    </w:p>
    <w:p w:rsidR="003D3507" w:rsidRPr="00E61609" w:rsidRDefault="003D3507" w:rsidP="00E61609">
      <w:pPr>
        <w:pStyle w:val="Subitem"/>
      </w:pPr>
      <w:r w:rsidRPr="00E61609">
        <w:tab/>
        <w:t xml:space="preserve">To avoid doubt, in the </w:t>
      </w:r>
      <w:r w:rsidRPr="00E61609">
        <w:rPr>
          <w:i/>
        </w:rPr>
        <w:t>Director of Public Prosecutions Act 1983</w:t>
      </w:r>
      <w:r w:rsidRPr="00E61609">
        <w:t xml:space="preserve"> and any instrument made under that Act, a reference to a law of a Territory includes a reference to a law in force in Norfolk Island at any time, whether before or after the commencement of this item.</w:t>
      </w:r>
    </w:p>
    <w:p w:rsidR="003D3507" w:rsidRPr="00E61609" w:rsidRDefault="003D3507" w:rsidP="00E61609">
      <w:pPr>
        <w:pStyle w:val="ActHead7"/>
        <w:pageBreakBefore/>
      </w:pPr>
      <w:bookmarkStart w:id="21" w:name="_Toc514847561"/>
      <w:r w:rsidRPr="00E61609">
        <w:rPr>
          <w:rStyle w:val="CharAmPartNo"/>
        </w:rPr>
        <w:lastRenderedPageBreak/>
        <w:t>Part</w:t>
      </w:r>
      <w:r w:rsidR="00E61609" w:rsidRPr="00E61609">
        <w:rPr>
          <w:rStyle w:val="CharAmPartNo"/>
        </w:rPr>
        <w:t> </w:t>
      </w:r>
      <w:r w:rsidRPr="00E61609">
        <w:rPr>
          <w:rStyle w:val="CharAmPartNo"/>
        </w:rPr>
        <w:t>3</w:t>
      </w:r>
      <w:r w:rsidRPr="00E61609">
        <w:t>—</w:t>
      </w:r>
      <w:r w:rsidRPr="00E61609">
        <w:rPr>
          <w:rStyle w:val="CharAmPartText"/>
        </w:rPr>
        <w:t>Validation</w:t>
      </w:r>
      <w:r w:rsidR="000B22A5" w:rsidRPr="00E61609">
        <w:rPr>
          <w:rStyle w:val="CharAmPartText"/>
        </w:rPr>
        <w:t xml:space="preserve"> of things done under the Director of Public Prosecutions Amendment (Norfolk Island) Regulations</w:t>
      </w:r>
      <w:r w:rsidR="00E61609" w:rsidRPr="00E61609">
        <w:rPr>
          <w:rStyle w:val="CharAmPartText"/>
        </w:rPr>
        <w:t> </w:t>
      </w:r>
      <w:r w:rsidR="000B22A5" w:rsidRPr="00E61609">
        <w:rPr>
          <w:rStyle w:val="CharAmPartText"/>
        </w:rPr>
        <w:t>2017</w:t>
      </w:r>
      <w:bookmarkEnd w:id="21"/>
    </w:p>
    <w:p w:rsidR="003D3507" w:rsidRPr="00E61609" w:rsidRDefault="003D3507" w:rsidP="00E61609">
      <w:pPr>
        <w:pStyle w:val="ItemHead"/>
      </w:pPr>
      <w:r w:rsidRPr="00E61609">
        <w:t>4  Validation</w:t>
      </w:r>
    </w:p>
    <w:p w:rsidR="003D3507" w:rsidRPr="00E61609" w:rsidRDefault="003D3507" w:rsidP="00E61609">
      <w:pPr>
        <w:pStyle w:val="Subitem"/>
      </w:pPr>
      <w:r w:rsidRPr="00E61609">
        <w:t>(1)</w:t>
      </w:r>
      <w:r w:rsidRPr="00E61609">
        <w:tab/>
        <w:t xml:space="preserve">This item applies if any amendment made by the </w:t>
      </w:r>
      <w:r w:rsidRPr="00E61609">
        <w:rPr>
          <w:i/>
        </w:rPr>
        <w:t>Director of Public Prosecutions Amendment (Norfolk Island) Regulations</w:t>
      </w:r>
      <w:r w:rsidR="00E61609" w:rsidRPr="00E61609">
        <w:rPr>
          <w:i/>
        </w:rPr>
        <w:t> </w:t>
      </w:r>
      <w:r w:rsidRPr="00E61609">
        <w:rPr>
          <w:i/>
        </w:rPr>
        <w:t>2017</w:t>
      </w:r>
      <w:r w:rsidRPr="00E61609">
        <w:t xml:space="preserve"> is found to be invalid.</w:t>
      </w:r>
    </w:p>
    <w:p w:rsidR="00781BBD" w:rsidRDefault="003D3507" w:rsidP="00E61609">
      <w:pPr>
        <w:pStyle w:val="Subitem"/>
      </w:pPr>
      <w:r w:rsidRPr="00E61609">
        <w:t>(2)</w:t>
      </w:r>
      <w:r w:rsidRPr="00E61609">
        <w:tab/>
        <w:t xml:space="preserve">The </w:t>
      </w:r>
      <w:r w:rsidRPr="00E61609">
        <w:rPr>
          <w:i/>
        </w:rPr>
        <w:t>Director of Public Prosecutions Regulations</w:t>
      </w:r>
      <w:r w:rsidR="00E61609" w:rsidRPr="00E61609">
        <w:rPr>
          <w:i/>
        </w:rPr>
        <w:t> </w:t>
      </w:r>
      <w:r w:rsidRPr="00E61609">
        <w:rPr>
          <w:i/>
        </w:rPr>
        <w:t>1984</w:t>
      </w:r>
      <w:r w:rsidRPr="00E61609">
        <w:t xml:space="preserve">, as those regulations were purportedly amended by the </w:t>
      </w:r>
      <w:r w:rsidRPr="00E61609">
        <w:rPr>
          <w:i/>
        </w:rPr>
        <w:t>Director of Public Prosecutions Amendment (Norfolk Island) Regulations</w:t>
      </w:r>
      <w:r w:rsidR="00E61609" w:rsidRPr="00E61609">
        <w:rPr>
          <w:i/>
        </w:rPr>
        <w:t> </w:t>
      </w:r>
      <w:r w:rsidRPr="00E61609">
        <w:rPr>
          <w:i/>
        </w:rPr>
        <w:t>2017</w:t>
      </w:r>
      <w:r w:rsidRPr="00E61609">
        <w:t>, are as valid and effective as they would have been if the amendment had been valid.</w:t>
      </w:r>
    </w:p>
    <w:p w:rsidR="00AF6F4D" w:rsidRDefault="00AF6F4D">
      <w:pPr>
        <w:spacing w:line="240" w:lineRule="auto"/>
        <w:rPr>
          <w:rStyle w:val="CharAmSchNo"/>
          <w:rFonts w:ascii="Arial" w:eastAsia="Times New Roman" w:hAnsi="Arial" w:cs="Times New Roman"/>
          <w:b/>
          <w:kern w:val="28"/>
          <w:sz w:val="32"/>
          <w:lang w:eastAsia="en-AU"/>
        </w:rPr>
      </w:pPr>
      <w:r>
        <w:rPr>
          <w:rStyle w:val="CharAmSchNo"/>
        </w:rPr>
        <w:br w:type="page"/>
      </w:r>
    </w:p>
    <w:p w:rsidR="00AF6F4D" w:rsidRPr="00584F4C" w:rsidRDefault="00AF6F4D" w:rsidP="00AF6F4D">
      <w:pPr>
        <w:pStyle w:val="ActHead6"/>
      </w:pPr>
      <w:bookmarkStart w:id="22" w:name="_Toc514847562"/>
      <w:r w:rsidRPr="00584F4C">
        <w:rPr>
          <w:rStyle w:val="CharAmSchNo"/>
        </w:rPr>
        <w:lastRenderedPageBreak/>
        <w:t>Schedule 3</w:t>
      </w:r>
      <w:r w:rsidRPr="00584F4C">
        <w:t>—</w:t>
      </w:r>
      <w:r w:rsidRPr="00584F4C">
        <w:rPr>
          <w:rStyle w:val="CharAmSchText"/>
        </w:rPr>
        <w:t>Procedure in criminal and civil matters relating to Norfolk Island</w:t>
      </w:r>
      <w:bookmarkEnd w:id="22"/>
    </w:p>
    <w:p w:rsidR="00AF6F4D" w:rsidRPr="00584F4C" w:rsidRDefault="00AF6F4D" w:rsidP="00AF6F4D">
      <w:pPr>
        <w:pStyle w:val="Header"/>
      </w:pPr>
      <w:r w:rsidRPr="00584F4C">
        <w:rPr>
          <w:rStyle w:val="CharAmPartNo"/>
        </w:rPr>
        <w:t xml:space="preserve"> </w:t>
      </w:r>
      <w:r w:rsidRPr="00584F4C">
        <w:rPr>
          <w:rStyle w:val="CharAmPartText"/>
        </w:rPr>
        <w:t xml:space="preserve"> </w:t>
      </w:r>
    </w:p>
    <w:p w:rsidR="00AF6F4D" w:rsidRPr="00584F4C" w:rsidRDefault="00AF6F4D" w:rsidP="00AF6F4D">
      <w:pPr>
        <w:pStyle w:val="ActHead9"/>
        <w:rPr>
          <w:i w:val="0"/>
        </w:rPr>
      </w:pPr>
      <w:bookmarkStart w:id="23" w:name="_Toc514847563"/>
      <w:r w:rsidRPr="00584F4C">
        <w:t>Norfolk Island Act 1979</w:t>
      </w:r>
      <w:bookmarkEnd w:id="23"/>
    </w:p>
    <w:p w:rsidR="00AF6F4D" w:rsidRPr="00584F4C" w:rsidRDefault="00AF6F4D" w:rsidP="00AF6F4D">
      <w:pPr>
        <w:pStyle w:val="ItemHead"/>
      </w:pPr>
      <w:r w:rsidRPr="00584F4C">
        <w:t>1  Subsection 4(1)</w:t>
      </w:r>
    </w:p>
    <w:p w:rsidR="00AF6F4D" w:rsidRPr="00584F4C" w:rsidRDefault="00AF6F4D" w:rsidP="00AF6F4D">
      <w:pPr>
        <w:pStyle w:val="Item"/>
      </w:pPr>
      <w:r w:rsidRPr="00584F4C">
        <w:t>Insert:</w:t>
      </w:r>
    </w:p>
    <w:p w:rsidR="00AF6F4D" w:rsidRPr="00584F4C" w:rsidRDefault="00AF6F4D" w:rsidP="00AF6F4D">
      <w:pPr>
        <w:pStyle w:val="Definition"/>
      </w:pPr>
      <w:r w:rsidRPr="00584F4C">
        <w:rPr>
          <w:b/>
          <w:i/>
        </w:rPr>
        <w:t>civil matter</w:t>
      </w:r>
      <w:r w:rsidRPr="00584F4C">
        <w:t xml:space="preserve"> means any matter that may be determined by the Supreme Court other than in the exercise of its criminal jurisdiction.</w:t>
      </w:r>
    </w:p>
    <w:p w:rsidR="00AF6F4D" w:rsidRPr="00584F4C" w:rsidRDefault="00AF6F4D" w:rsidP="00AF6F4D">
      <w:pPr>
        <w:pStyle w:val="Definition"/>
      </w:pPr>
      <w:r w:rsidRPr="00584F4C">
        <w:rPr>
          <w:b/>
          <w:i/>
        </w:rPr>
        <w:t xml:space="preserve">constable </w:t>
      </w:r>
      <w:r w:rsidRPr="00584F4C">
        <w:t>means:</w:t>
      </w:r>
    </w:p>
    <w:p w:rsidR="00AF6F4D" w:rsidRPr="00584F4C" w:rsidRDefault="00AF6F4D" w:rsidP="00AF6F4D">
      <w:pPr>
        <w:pStyle w:val="paragraph"/>
      </w:pPr>
      <w:r w:rsidRPr="00584F4C">
        <w:tab/>
        <w:t>(a)</w:t>
      </w:r>
      <w:r w:rsidRPr="00584F4C">
        <w:tab/>
        <w:t>a member or special member of the Australian Federal Police; or</w:t>
      </w:r>
    </w:p>
    <w:p w:rsidR="00AF6F4D" w:rsidRPr="00584F4C" w:rsidRDefault="00AF6F4D" w:rsidP="00AF6F4D">
      <w:pPr>
        <w:pStyle w:val="paragraph"/>
      </w:pPr>
      <w:r w:rsidRPr="00584F4C">
        <w:tab/>
        <w:t>(b)</w:t>
      </w:r>
      <w:r w:rsidRPr="00584F4C">
        <w:tab/>
        <w:t>a member of the Police Force of Norfolk Island.</w:t>
      </w:r>
    </w:p>
    <w:p w:rsidR="00AF6F4D" w:rsidRPr="00584F4C" w:rsidRDefault="00AF6F4D" w:rsidP="00AF6F4D">
      <w:pPr>
        <w:pStyle w:val="Definition"/>
      </w:pPr>
      <w:r w:rsidRPr="00584F4C">
        <w:rPr>
          <w:b/>
          <w:i/>
        </w:rPr>
        <w:t>host jurisdiction</w:t>
      </w:r>
      <w:r w:rsidRPr="00584F4C">
        <w:t>:</w:t>
      </w:r>
    </w:p>
    <w:p w:rsidR="00AF6F4D" w:rsidRPr="00584F4C" w:rsidRDefault="00AF6F4D" w:rsidP="00AF6F4D">
      <w:pPr>
        <w:pStyle w:val="paragraph"/>
      </w:pPr>
      <w:r w:rsidRPr="00584F4C">
        <w:tab/>
        <w:t>(a)</w:t>
      </w:r>
      <w:r w:rsidRPr="00584F4C">
        <w:tab/>
        <w:t>in Subdivision B of Division 1 of Part VIIA—has the meaning given by subsection 60B(3); and</w:t>
      </w:r>
    </w:p>
    <w:p w:rsidR="00AF6F4D" w:rsidRPr="00584F4C" w:rsidRDefault="00AF6F4D" w:rsidP="00AF6F4D">
      <w:pPr>
        <w:pStyle w:val="paragraph"/>
      </w:pPr>
      <w:r w:rsidRPr="00584F4C">
        <w:tab/>
        <w:t>(b)</w:t>
      </w:r>
      <w:r w:rsidRPr="00584F4C">
        <w:tab/>
        <w:t>in Division 2 of Part VIIA—has the meaning given by subsection 60P(3).</w:t>
      </w:r>
    </w:p>
    <w:p w:rsidR="00AF6F4D" w:rsidRPr="00584F4C" w:rsidRDefault="00AF6F4D" w:rsidP="00AF6F4D">
      <w:pPr>
        <w:pStyle w:val="Definition"/>
      </w:pPr>
      <w:r w:rsidRPr="00584F4C">
        <w:rPr>
          <w:b/>
          <w:i/>
        </w:rPr>
        <w:t>Magistrate</w:t>
      </w:r>
      <w:r w:rsidRPr="00584F4C">
        <w:t xml:space="preserve"> of the Territory means a person appointed as a magistrate under a law in force in the Territory.</w:t>
      </w:r>
    </w:p>
    <w:p w:rsidR="00AF6F4D" w:rsidRPr="00584F4C" w:rsidRDefault="00AF6F4D" w:rsidP="00AF6F4D">
      <w:pPr>
        <w:pStyle w:val="Definition"/>
      </w:pPr>
      <w:r w:rsidRPr="00584F4C">
        <w:rPr>
          <w:b/>
          <w:i/>
        </w:rPr>
        <w:t>prison</w:t>
      </w:r>
      <w:r w:rsidRPr="00584F4C">
        <w:t xml:space="preserve"> includes a lock</w:t>
      </w:r>
      <w:r w:rsidR="007513DD">
        <w:noBreakHyphen/>
      </w:r>
      <w:r w:rsidRPr="00584F4C">
        <w:t>up or other place of lawful detention.</w:t>
      </w:r>
    </w:p>
    <w:p w:rsidR="00AF6F4D" w:rsidRPr="00584F4C" w:rsidRDefault="00AF6F4D" w:rsidP="00AF6F4D">
      <w:pPr>
        <w:pStyle w:val="Definition"/>
      </w:pPr>
      <w:r w:rsidRPr="00584F4C">
        <w:rPr>
          <w:b/>
          <w:i/>
        </w:rPr>
        <w:t>Registrar</w:t>
      </w:r>
      <w:r w:rsidRPr="00584F4C">
        <w:t xml:space="preserve"> means the Registrar, or the Deputy Registrar, of the Supreme Court.</w:t>
      </w:r>
    </w:p>
    <w:p w:rsidR="00AF6F4D" w:rsidRPr="00584F4C" w:rsidRDefault="00AF6F4D" w:rsidP="00AF6F4D">
      <w:pPr>
        <w:pStyle w:val="Definition"/>
      </w:pPr>
      <w:r w:rsidRPr="00584F4C">
        <w:rPr>
          <w:b/>
          <w:i/>
        </w:rPr>
        <w:t>Sheriff</w:t>
      </w:r>
      <w:r w:rsidRPr="00584F4C">
        <w:t xml:space="preserve"> means the Sheriff, or the Deputy Sheriff, of the Territory.</w:t>
      </w:r>
    </w:p>
    <w:p w:rsidR="00AF6F4D" w:rsidRPr="00584F4C" w:rsidRDefault="00AF6F4D" w:rsidP="00AF6F4D">
      <w:pPr>
        <w:pStyle w:val="ItemHead"/>
      </w:pPr>
      <w:r w:rsidRPr="00584F4C">
        <w:t>2  Section 59</w:t>
      </w:r>
    </w:p>
    <w:p w:rsidR="00AF6F4D" w:rsidRPr="00584F4C" w:rsidRDefault="00AF6F4D" w:rsidP="00AF6F4D">
      <w:pPr>
        <w:pStyle w:val="Item"/>
      </w:pPr>
      <w:r w:rsidRPr="00584F4C">
        <w:t>Omit “Subject to regulations referred to in paragraph 67(1)(a),”, substitute “Except as provided under this Act,”.</w:t>
      </w:r>
    </w:p>
    <w:p w:rsidR="00AF6F4D" w:rsidRPr="00584F4C" w:rsidRDefault="00AF6F4D" w:rsidP="00AF6F4D">
      <w:pPr>
        <w:pStyle w:val="ItemHead"/>
      </w:pPr>
      <w:r w:rsidRPr="00584F4C">
        <w:t>3  After Part VII</w:t>
      </w:r>
    </w:p>
    <w:p w:rsidR="00AF6F4D" w:rsidRPr="00584F4C" w:rsidRDefault="00AF6F4D" w:rsidP="00AF6F4D">
      <w:pPr>
        <w:pStyle w:val="Item"/>
      </w:pPr>
      <w:r w:rsidRPr="00584F4C">
        <w:t>Insert:</w:t>
      </w:r>
    </w:p>
    <w:p w:rsidR="00AF6F4D" w:rsidRPr="00584F4C" w:rsidRDefault="00AF6F4D" w:rsidP="00AF6F4D">
      <w:pPr>
        <w:pStyle w:val="ActHead2"/>
      </w:pPr>
      <w:bookmarkStart w:id="24" w:name="_Toc514847564"/>
      <w:r w:rsidRPr="00584F4C">
        <w:rPr>
          <w:rStyle w:val="CharPartNo"/>
        </w:rPr>
        <w:lastRenderedPageBreak/>
        <w:t>Part VIIA</w:t>
      </w:r>
      <w:r w:rsidRPr="00584F4C">
        <w:t>—</w:t>
      </w:r>
      <w:r w:rsidRPr="00584F4C">
        <w:rPr>
          <w:rStyle w:val="CharPartText"/>
        </w:rPr>
        <w:t>Procedure in criminal and civil matters</w:t>
      </w:r>
      <w:bookmarkEnd w:id="24"/>
    </w:p>
    <w:p w:rsidR="00AF6F4D" w:rsidRPr="00584F4C" w:rsidRDefault="00AF6F4D" w:rsidP="00AF6F4D">
      <w:pPr>
        <w:pStyle w:val="ActHead3"/>
      </w:pPr>
      <w:bookmarkStart w:id="25" w:name="_Toc514847565"/>
      <w:r w:rsidRPr="00584F4C">
        <w:rPr>
          <w:rStyle w:val="CharDivNo"/>
        </w:rPr>
        <w:t>Division 1</w:t>
      </w:r>
      <w:r w:rsidRPr="00584F4C">
        <w:t>—</w:t>
      </w:r>
      <w:r w:rsidRPr="00584F4C">
        <w:rPr>
          <w:rStyle w:val="CharDivText"/>
        </w:rPr>
        <w:t>Criminal matters</w:t>
      </w:r>
      <w:bookmarkEnd w:id="25"/>
    </w:p>
    <w:p w:rsidR="00AF6F4D" w:rsidRPr="00584F4C" w:rsidRDefault="00AF6F4D" w:rsidP="00AF6F4D">
      <w:pPr>
        <w:pStyle w:val="ActHead4"/>
        <w:rPr>
          <w:rFonts w:eastAsiaTheme="minorHAnsi"/>
        </w:rPr>
      </w:pPr>
      <w:bookmarkStart w:id="26" w:name="_Toc514847566"/>
      <w:r w:rsidRPr="00584F4C">
        <w:rPr>
          <w:rStyle w:val="CharSubdNo"/>
          <w:rFonts w:eastAsiaTheme="minorHAnsi"/>
        </w:rPr>
        <w:t>Subdivision A</w:t>
      </w:r>
      <w:r w:rsidRPr="00584F4C">
        <w:rPr>
          <w:rFonts w:eastAsiaTheme="minorHAnsi"/>
        </w:rPr>
        <w:t>—</w:t>
      </w:r>
      <w:r w:rsidRPr="00584F4C">
        <w:rPr>
          <w:rStyle w:val="CharSubdText"/>
          <w:rFonts w:eastAsiaTheme="minorHAnsi"/>
        </w:rPr>
        <w:t>No limitation period on prosecution of sex offences</w:t>
      </w:r>
      <w:bookmarkEnd w:id="26"/>
    </w:p>
    <w:p w:rsidR="00AF6F4D" w:rsidRPr="00584F4C" w:rsidRDefault="00AF6F4D" w:rsidP="00AF6F4D">
      <w:pPr>
        <w:pStyle w:val="ActHead5"/>
        <w:rPr>
          <w:rFonts w:eastAsiaTheme="minorHAnsi"/>
        </w:rPr>
      </w:pPr>
      <w:bookmarkStart w:id="27" w:name="_Toc514847567"/>
      <w:r w:rsidRPr="00584F4C">
        <w:rPr>
          <w:rStyle w:val="CharSectno"/>
          <w:rFonts w:eastAsiaTheme="minorHAnsi"/>
        </w:rPr>
        <w:t>60A</w:t>
      </w:r>
      <w:r w:rsidRPr="00584F4C">
        <w:rPr>
          <w:rFonts w:eastAsiaTheme="minorHAnsi"/>
        </w:rPr>
        <w:t xml:space="preserve">   No limitation period on prosecution of sex offences</w:t>
      </w:r>
      <w:bookmarkEnd w:id="27"/>
    </w:p>
    <w:p w:rsidR="00AF6F4D" w:rsidRPr="00584F4C" w:rsidRDefault="00AF6F4D" w:rsidP="00AF6F4D">
      <w:pPr>
        <w:pStyle w:val="subsection"/>
        <w:rPr>
          <w:rFonts w:eastAsiaTheme="minorHAnsi"/>
        </w:rPr>
      </w:pPr>
      <w:r w:rsidRPr="00584F4C">
        <w:rPr>
          <w:rFonts w:eastAsiaTheme="minorHAnsi"/>
        </w:rPr>
        <w:tab/>
        <w:t>(1)</w:t>
      </w:r>
      <w:r w:rsidRPr="00584F4C">
        <w:rPr>
          <w:rFonts w:eastAsiaTheme="minorHAnsi"/>
        </w:rPr>
        <w:tab/>
        <w:t>A prosecution for an offence against a law of the Territory may be commenced at any time after the commission of the offence if that law is listed in Schedule 5.</w:t>
      </w:r>
    </w:p>
    <w:p w:rsidR="00AF6F4D" w:rsidRPr="00584F4C" w:rsidRDefault="00AF6F4D" w:rsidP="00AF6F4D">
      <w:pPr>
        <w:pStyle w:val="notetext"/>
        <w:rPr>
          <w:rFonts w:eastAsiaTheme="minorHAnsi"/>
        </w:rPr>
      </w:pPr>
      <w:r w:rsidRPr="00584F4C">
        <w:rPr>
          <w:rFonts w:eastAsiaTheme="minorHAnsi"/>
        </w:rPr>
        <w:t>Note:</w:t>
      </w:r>
      <w:r w:rsidRPr="00584F4C">
        <w:rPr>
          <w:rFonts w:eastAsiaTheme="minorHAnsi"/>
        </w:rPr>
        <w:tab/>
        <w:t xml:space="preserve">See section 60M for the meaning of an </w:t>
      </w:r>
      <w:r w:rsidRPr="00584F4C">
        <w:rPr>
          <w:rFonts w:eastAsiaTheme="minorHAnsi"/>
          <w:b/>
          <w:i/>
        </w:rPr>
        <w:t>offence against a law of the Territory</w:t>
      </w:r>
      <w:r w:rsidRPr="00584F4C">
        <w:rPr>
          <w:rFonts w:eastAsiaTheme="minorHAnsi"/>
        </w:rPr>
        <w:t>.</w:t>
      </w:r>
    </w:p>
    <w:p w:rsidR="00AF6F4D" w:rsidRPr="00584F4C" w:rsidRDefault="00AF6F4D" w:rsidP="00AF6F4D">
      <w:pPr>
        <w:pStyle w:val="subsection"/>
        <w:rPr>
          <w:rFonts w:eastAsiaTheme="minorHAnsi"/>
        </w:rPr>
      </w:pPr>
      <w:r w:rsidRPr="00584F4C">
        <w:rPr>
          <w:rFonts w:eastAsiaTheme="minorHAnsi"/>
        </w:rPr>
        <w:tab/>
        <w:t>(2)</w:t>
      </w:r>
      <w:r w:rsidRPr="00584F4C">
        <w:rPr>
          <w:rFonts w:eastAsiaTheme="minorHAnsi"/>
        </w:rPr>
        <w:tab/>
        <w:t>Subsection (1) applies even if:</w:t>
      </w:r>
    </w:p>
    <w:p w:rsidR="00AF6F4D" w:rsidRPr="00584F4C" w:rsidRDefault="00AF6F4D" w:rsidP="00AF6F4D">
      <w:pPr>
        <w:pStyle w:val="paragraph"/>
        <w:rPr>
          <w:rFonts w:eastAsiaTheme="minorHAnsi"/>
        </w:rPr>
      </w:pPr>
      <w:r w:rsidRPr="00584F4C">
        <w:rPr>
          <w:rFonts w:eastAsiaTheme="minorHAnsi"/>
        </w:rPr>
        <w:tab/>
        <w:t>(a)</w:t>
      </w:r>
      <w:r w:rsidRPr="00584F4C">
        <w:rPr>
          <w:rFonts w:eastAsiaTheme="minorHAnsi"/>
        </w:rPr>
        <w:tab/>
        <w:t>but for that subsection, the offence would be subject to a shorter limitation period, including a shorter limitation period that has expired (either before the commencement of this section or before the commencement of the prosecution); or</w:t>
      </w:r>
    </w:p>
    <w:p w:rsidR="00AF6F4D" w:rsidRPr="00584F4C" w:rsidRDefault="00AF6F4D" w:rsidP="00AF6F4D">
      <w:pPr>
        <w:pStyle w:val="paragraph"/>
        <w:rPr>
          <w:rFonts w:eastAsiaTheme="minorHAnsi"/>
        </w:rPr>
      </w:pPr>
      <w:r w:rsidRPr="00584F4C">
        <w:rPr>
          <w:rFonts w:eastAsiaTheme="minorHAnsi"/>
        </w:rPr>
        <w:tab/>
        <w:t>(b)</w:t>
      </w:r>
      <w:r w:rsidRPr="00584F4C">
        <w:rPr>
          <w:rFonts w:eastAsiaTheme="minorHAnsi"/>
        </w:rPr>
        <w:tab/>
        <w:t>an immunity from prosecution in relation to the offence has arisen because a shorter limitation period has expired (either before the commencement of this section or before the commencement of the prosecution).</w:t>
      </w:r>
    </w:p>
    <w:p w:rsidR="00AF6F4D" w:rsidRPr="00584F4C" w:rsidRDefault="00AF6F4D" w:rsidP="00AF6F4D">
      <w:pPr>
        <w:pStyle w:val="subsection"/>
        <w:rPr>
          <w:rFonts w:eastAsiaTheme="minorHAnsi"/>
        </w:rPr>
      </w:pPr>
      <w:r w:rsidRPr="00584F4C">
        <w:rPr>
          <w:rFonts w:eastAsiaTheme="minorHAnsi"/>
        </w:rPr>
        <w:tab/>
        <w:t>(3)</w:t>
      </w:r>
      <w:r w:rsidRPr="00584F4C">
        <w:rPr>
          <w:rFonts w:eastAsiaTheme="minorHAnsi"/>
        </w:rPr>
        <w:tab/>
        <w:t>Schedule 5 has effect.</w:t>
      </w:r>
    </w:p>
    <w:p w:rsidR="00AF6F4D" w:rsidRPr="00584F4C" w:rsidRDefault="00AF6F4D" w:rsidP="00AF6F4D">
      <w:pPr>
        <w:pStyle w:val="ActHead4"/>
        <w:rPr>
          <w:rFonts w:eastAsiaTheme="minorHAnsi"/>
        </w:rPr>
      </w:pPr>
      <w:bookmarkStart w:id="28" w:name="_Toc514847568"/>
      <w:r w:rsidRPr="00584F4C">
        <w:rPr>
          <w:rStyle w:val="CharSubdNo"/>
          <w:rFonts w:eastAsiaTheme="minorHAnsi"/>
        </w:rPr>
        <w:t>Subdivision B</w:t>
      </w:r>
      <w:r w:rsidRPr="00584F4C">
        <w:rPr>
          <w:rFonts w:eastAsiaTheme="minorHAnsi"/>
        </w:rPr>
        <w:t>—</w:t>
      </w:r>
      <w:r w:rsidRPr="00584F4C">
        <w:rPr>
          <w:rStyle w:val="CharSubdText"/>
          <w:rFonts w:eastAsiaTheme="minorHAnsi"/>
        </w:rPr>
        <w:t>Hearing criminal matters in another jurisdiction</w:t>
      </w:r>
      <w:bookmarkEnd w:id="28"/>
    </w:p>
    <w:p w:rsidR="00AF6F4D" w:rsidRPr="00584F4C" w:rsidRDefault="00AF6F4D" w:rsidP="00AF6F4D">
      <w:pPr>
        <w:pStyle w:val="ActHead5"/>
      </w:pPr>
      <w:bookmarkStart w:id="29" w:name="_Toc514847569"/>
      <w:r w:rsidRPr="00584F4C">
        <w:rPr>
          <w:rStyle w:val="CharSectno"/>
        </w:rPr>
        <w:t>60B</w:t>
      </w:r>
      <w:r w:rsidRPr="00584F4C">
        <w:t xml:space="preserve">  Commonwealth may enter into arrangements with host jurisdictions</w:t>
      </w:r>
      <w:bookmarkEnd w:id="29"/>
    </w:p>
    <w:p w:rsidR="00AF6F4D" w:rsidRPr="00584F4C" w:rsidRDefault="00AF6F4D" w:rsidP="00AF6F4D">
      <w:pPr>
        <w:pStyle w:val="subsection"/>
      </w:pPr>
      <w:r w:rsidRPr="00584F4C">
        <w:tab/>
        <w:t>(1)</w:t>
      </w:r>
      <w:r w:rsidRPr="00584F4C">
        <w:tab/>
        <w:t>The Commonwealth may enter into arrangements with the government or an authority of any of the following for the purposes of the effective application of the provisions of this Subdivision relating to sittings of the Supreme Court in that jurisdiction in the exercise of the Supreme Court’s criminal jurisdiction:</w:t>
      </w:r>
    </w:p>
    <w:p w:rsidR="00AF6F4D" w:rsidRPr="00584F4C" w:rsidRDefault="00AF6F4D" w:rsidP="00AF6F4D">
      <w:pPr>
        <w:pStyle w:val="paragraph"/>
      </w:pPr>
      <w:r w:rsidRPr="00584F4C">
        <w:tab/>
        <w:t>(a)</w:t>
      </w:r>
      <w:r w:rsidRPr="00584F4C">
        <w:tab/>
        <w:t>a State;</w:t>
      </w:r>
    </w:p>
    <w:p w:rsidR="00AF6F4D" w:rsidRPr="00584F4C" w:rsidRDefault="00AF6F4D" w:rsidP="00AF6F4D">
      <w:pPr>
        <w:pStyle w:val="paragraph"/>
      </w:pPr>
      <w:r w:rsidRPr="00584F4C">
        <w:lastRenderedPageBreak/>
        <w:tab/>
        <w:t>(b)</w:t>
      </w:r>
      <w:r w:rsidRPr="00584F4C">
        <w:tab/>
        <w:t>the Australian Capital Territory;</w:t>
      </w:r>
    </w:p>
    <w:p w:rsidR="00AF6F4D" w:rsidRPr="00584F4C" w:rsidRDefault="00AF6F4D" w:rsidP="00AF6F4D">
      <w:pPr>
        <w:pStyle w:val="paragraph"/>
      </w:pPr>
      <w:r w:rsidRPr="00584F4C">
        <w:tab/>
        <w:t>(c)</w:t>
      </w:r>
      <w:r w:rsidRPr="00584F4C">
        <w:tab/>
        <w:t>the Northern Territory.</w:t>
      </w:r>
    </w:p>
    <w:p w:rsidR="00AF6F4D" w:rsidRPr="00584F4C" w:rsidRDefault="00AF6F4D" w:rsidP="00AF6F4D">
      <w:pPr>
        <w:pStyle w:val="subsection"/>
      </w:pPr>
      <w:r w:rsidRPr="00584F4C">
        <w:tab/>
        <w:t>(2)</w:t>
      </w:r>
      <w:r w:rsidRPr="00584F4C">
        <w:tab/>
        <w:t>No power is conferred, or duty or function imposed, on an officer of a State under this Subdivision unless:</w:t>
      </w:r>
    </w:p>
    <w:p w:rsidR="00AF6F4D" w:rsidRPr="00584F4C" w:rsidRDefault="00AF6F4D" w:rsidP="00AF6F4D">
      <w:pPr>
        <w:pStyle w:val="paragraph"/>
      </w:pPr>
      <w:r w:rsidRPr="00584F4C">
        <w:tab/>
        <w:t>(a)</w:t>
      </w:r>
      <w:r w:rsidRPr="00584F4C">
        <w:tab/>
        <w:t>an arrangement has been entered into with the government or an authority of that State under subsection (1); and</w:t>
      </w:r>
    </w:p>
    <w:p w:rsidR="00AF6F4D" w:rsidRPr="00584F4C" w:rsidRDefault="00AF6F4D" w:rsidP="00AF6F4D">
      <w:pPr>
        <w:pStyle w:val="paragraph"/>
      </w:pPr>
      <w:r w:rsidRPr="00584F4C">
        <w:tab/>
        <w:t>(b)</w:t>
      </w:r>
      <w:r w:rsidRPr="00584F4C">
        <w:tab/>
        <w:t>the conferral of the power or imposition of the duty or function is in accordance with that arrangement.</w:t>
      </w:r>
    </w:p>
    <w:p w:rsidR="00AF6F4D" w:rsidRPr="00584F4C" w:rsidRDefault="00AF6F4D" w:rsidP="00AF6F4D">
      <w:pPr>
        <w:pStyle w:val="subsection"/>
      </w:pPr>
      <w:r w:rsidRPr="00584F4C">
        <w:tab/>
        <w:t>(3)</w:t>
      </w:r>
      <w:r w:rsidRPr="00584F4C">
        <w:tab/>
        <w:t xml:space="preserve">Each of the following is referred to as a </w:t>
      </w:r>
      <w:r w:rsidRPr="00584F4C">
        <w:rPr>
          <w:b/>
          <w:i/>
        </w:rPr>
        <w:t>host jurisdiction</w:t>
      </w:r>
      <w:r w:rsidRPr="00584F4C">
        <w:t xml:space="preserve"> in this Subdivision:</w:t>
      </w:r>
    </w:p>
    <w:p w:rsidR="00AF6F4D" w:rsidRPr="00584F4C" w:rsidRDefault="00AF6F4D" w:rsidP="00AF6F4D">
      <w:pPr>
        <w:pStyle w:val="paragraph"/>
      </w:pPr>
      <w:r w:rsidRPr="00584F4C">
        <w:tab/>
        <w:t>(a)</w:t>
      </w:r>
      <w:r w:rsidRPr="00584F4C">
        <w:tab/>
        <w:t>a State in relation to which an arrangement has been entered into under subsection (1);</w:t>
      </w:r>
    </w:p>
    <w:p w:rsidR="00AF6F4D" w:rsidRPr="00584F4C" w:rsidRDefault="00AF6F4D" w:rsidP="00AF6F4D">
      <w:pPr>
        <w:pStyle w:val="paragraph"/>
      </w:pPr>
      <w:r w:rsidRPr="00584F4C">
        <w:tab/>
        <w:t>(b)</w:t>
      </w:r>
      <w:r w:rsidRPr="00584F4C">
        <w:tab/>
        <w:t>the Australian Capital Territory;</w:t>
      </w:r>
    </w:p>
    <w:p w:rsidR="00AF6F4D" w:rsidRPr="00584F4C" w:rsidRDefault="00AF6F4D" w:rsidP="00AF6F4D">
      <w:pPr>
        <w:pStyle w:val="paragraph"/>
      </w:pPr>
      <w:r w:rsidRPr="00584F4C">
        <w:tab/>
        <w:t>(c)</w:t>
      </w:r>
      <w:r w:rsidRPr="00584F4C">
        <w:tab/>
        <w:t>the Northern Territory.</w:t>
      </w:r>
    </w:p>
    <w:p w:rsidR="00AF6F4D" w:rsidRPr="00584F4C" w:rsidRDefault="00AF6F4D" w:rsidP="00AF6F4D">
      <w:pPr>
        <w:pStyle w:val="ActHead5"/>
      </w:pPr>
      <w:bookmarkStart w:id="30" w:name="_Toc514847570"/>
      <w:r w:rsidRPr="00584F4C">
        <w:rPr>
          <w:rStyle w:val="CharSectno"/>
          <w:rFonts w:eastAsiaTheme="minorHAnsi"/>
        </w:rPr>
        <w:t>60C</w:t>
      </w:r>
      <w:r w:rsidRPr="00584F4C">
        <w:rPr>
          <w:rFonts w:eastAsiaTheme="minorHAnsi"/>
        </w:rPr>
        <w:t xml:space="preserve">  </w:t>
      </w:r>
      <w:r w:rsidRPr="00584F4C">
        <w:t>Supreme Court may sit in a host jurisdiction</w:t>
      </w:r>
      <w:bookmarkEnd w:id="30"/>
    </w:p>
    <w:p w:rsidR="00AF6F4D" w:rsidRPr="00584F4C" w:rsidRDefault="00AF6F4D" w:rsidP="00AF6F4D">
      <w:pPr>
        <w:pStyle w:val="subsection"/>
      </w:pPr>
      <w:r w:rsidRPr="00584F4C">
        <w:tab/>
        <w:t>(1)</w:t>
      </w:r>
      <w:r w:rsidRPr="00584F4C">
        <w:tab/>
        <w:t>Subject to this section, the Supreme Court, in the exercise of its criminal jurisdiction, may sit in a host jurisdiction if to do so would not be contrary to the interests of justice.</w:t>
      </w:r>
    </w:p>
    <w:p w:rsidR="00AF6F4D" w:rsidRPr="00584F4C" w:rsidRDefault="00AF6F4D" w:rsidP="00AF6F4D">
      <w:pPr>
        <w:pStyle w:val="subsection"/>
      </w:pPr>
      <w:r w:rsidRPr="00584F4C">
        <w:tab/>
        <w:t>(2)</w:t>
      </w:r>
      <w:r w:rsidRPr="00584F4C">
        <w:tab/>
        <w:t>The Supreme Court may, at any time after prosecution</w:t>
      </w:r>
      <w:r w:rsidRPr="00584F4C">
        <w:rPr>
          <w:i/>
        </w:rPr>
        <w:t xml:space="preserve"> </w:t>
      </w:r>
      <w:r w:rsidRPr="00584F4C">
        <w:t>for an offence against a law of the Territory commences and before the jury has returned its verdict, if it is satisfied that the interests of justice require it, order:</w:t>
      </w:r>
    </w:p>
    <w:p w:rsidR="00AF6F4D" w:rsidRPr="00584F4C" w:rsidRDefault="00AF6F4D" w:rsidP="00AF6F4D">
      <w:pPr>
        <w:pStyle w:val="paragraph"/>
      </w:pPr>
      <w:r w:rsidRPr="00584F4C">
        <w:tab/>
        <w:t>(a)</w:t>
      </w:r>
      <w:r w:rsidRPr="00584F4C">
        <w:tab/>
        <w:t>if the trial of the offence has not begun—that the trial be held in a host jurisdiction, and at a time and place, specified in the order; and</w:t>
      </w:r>
    </w:p>
    <w:p w:rsidR="00AF6F4D" w:rsidRPr="00584F4C" w:rsidRDefault="00AF6F4D" w:rsidP="00AF6F4D">
      <w:pPr>
        <w:pStyle w:val="paragraph"/>
      </w:pPr>
      <w:r w:rsidRPr="00584F4C">
        <w:tab/>
        <w:t>(b)</w:t>
      </w:r>
      <w:r w:rsidRPr="00584F4C">
        <w:tab/>
        <w:t>if the trial of the offence has begun—that the trial be discontinued, the jury be discharged and a new trial be held in a host jurisdiction, and at a time and place, specified in the order.</w:t>
      </w:r>
    </w:p>
    <w:p w:rsidR="00AF6F4D" w:rsidRPr="00584F4C" w:rsidRDefault="00AF6F4D" w:rsidP="00AF6F4D">
      <w:pPr>
        <w:pStyle w:val="subsection"/>
      </w:pPr>
      <w:r w:rsidRPr="00584F4C">
        <w:tab/>
        <w:t>(3)</w:t>
      </w:r>
      <w:r w:rsidRPr="00584F4C">
        <w:tab/>
        <w:t>The Supreme Court may make an order under subsection (2) at a sittings of the Court in the Territory or in a host jurisdiction.</w:t>
      </w:r>
    </w:p>
    <w:p w:rsidR="00AF6F4D" w:rsidRPr="00584F4C" w:rsidRDefault="00AF6F4D" w:rsidP="00AF6F4D">
      <w:pPr>
        <w:pStyle w:val="subsection"/>
      </w:pPr>
      <w:r w:rsidRPr="00584F4C">
        <w:tab/>
        <w:t>(4)</w:t>
      </w:r>
      <w:r w:rsidRPr="00584F4C">
        <w:tab/>
        <w:t>The Supreme Court may make an order under subsection (2) at a sittings of the Court in a host jurisdiction whether or not the accused is present but, if the accused is not present, the Court must only make the order if:</w:t>
      </w:r>
    </w:p>
    <w:p w:rsidR="00AF6F4D" w:rsidRPr="00584F4C" w:rsidRDefault="00AF6F4D" w:rsidP="00AF6F4D">
      <w:pPr>
        <w:pStyle w:val="paragraph"/>
      </w:pPr>
      <w:r w:rsidRPr="00584F4C">
        <w:lastRenderedPageBreak/>
        <w:tab/>
        <w:t>(a)</w:t>
      </w:r>
      <w:r w:rsidRPr="00584F4C">
        <w:tab/>
        <w:t>the accused is represented; and</w:t>
      </w:r>
    </w:p>
    <w:p w:rsidR="00AF6F4D" w:rsidRPr="00584F4C" w:rsidRDefault="00AF6F4D" w:rsidP="00AF6F4D">
      <w:pPr>
        <w:pStyle w:val="paragraph"/>
      </w:pPr>
      <w:r w:rsidRPr="00584F4C">
        <w:tab/>
        <w:t>(b)</w:t>
      </w:r>
      <w:r w:rsidRPr="00584F4C">
        <w:tab/>
        <w:t>the Court is satisfied that the accused understands the effect of the order.</w:t>
      </w:r>
    </w:p>
    <w:p w:rsidR="00AF6F4D" w:rsidRPr="00584F4C" w:rsidRDefault="00AF6F4D" w:rsidP="00AF6F4D">
      <w:pPr>
        <w:pStyle w:val="subsection"/>
      </w:pPr>
      <w:r w:rsidRPr="00584F4C">
        <w:tab/>
        <w:t>(5)</w:t>
      </w:r>
      <w:r w:rsidRPr="00584F4C">
        <w:tab/>
        <w:t>Where the Supreme Court makes an order under subsection (2), the Court may order that:</w:t>
      </w:r>
    </w:p>
    <w:p w:rsidR="00AF6F4D" w:rsidRPr="00584F4C" w:rsidRDefault="00AF6F4D" w:rsidP="00AF6F4D">
      <w:pPr>
        <w:pStyle w:val="paragraph"/>
      </w:pPr>
      <w:r w:rsidRPr="00584F4C">
        <w:tab/>
        <w:t>(a)</w:t>
      </w:r>
      <w:r w:rsidRPr="00584F4C">
        <w:tab/>
        <w:t>on the warrant of the Registrar,</w:t>
      </w:r>
      <w:r w:rsidRPr="00584F4C">
        <w:rPr>
          <w:i/>
        </w:rPr>
        <w:t xml:space="preserve"> </w:t>
      </w:r>
      <w:r w:rsidRPr="00584F4C">
        <w:t>a Magistrate of the Territory or such other person as the Supreme Court directs (being a person who holds an office in relation to the Court), the accused be removed to the place specified in the order, and held there, for the purposes of the trial of that person and for any related proceedings; and</w:t>
      </w:r>
    </w:p>
    <w:p w:rsidR="00AF6F4D" w:rsidRPr="00584F4C" w:rsidRDefault="00AF6F4D" w:rsidP="00AF6F4D">
      <w:pPr>
        <w:pStyle w:val="paragraph"/>
      </w:pPr>
      <w:r w:rsidRPr="00584F4C">
        <w:tab/>
        <w:t>(b)</w:t>
      </w:r>
      <w:r w:rsidRPr="00584F4C">
        <w:tab/>
        <w:t>on the summons of the Registrar, all persons required to attend to give evidence in the trial or proceedings attend at the place specified in the order.</w:t>
      </w:r>
    </w:p>
    <w:p w:rsidR="00AF6F4D" w:rsidRPr="00584F4C" w:rsidRDefault="00AF6F4D" w:rsidP="00AF6F4D">
      <w:pPr>
        <w:pStyle w:val="subsection"/>
      </w:pPr>
      <w:r w:rsidRPr="00584F4C">
        <w:tab/>
        <w:t>(6)</w:t>
      </w:r>
      <w:r w:rsidRPr="00584F4C">
        <w:tab/>
        <w:t>When exercising its criminal jurisdiction in a host jurisdiction, the Supreme Court has, and may exercise, all the powers that it would have if it were exercising its criminal jurisdiction in the Territory.</w:t>
      </w:r>
    </w:p>
    <w:p w:rsidR="00AF6F4D" w:rsidRPr="00584F4C" w:rsidRDefault="00AF6F4D" w:rsidP="00AF6F4D">
      <w:pPr>
        <w:pStyle w:val="subsection"/>
      </w:pPr>
      <w:r w:rsidRPr="00584F4C">
        <w:tab/>
        <w:t>(7)</w:t>
      </w:r>
      <w:r w:rsidRPr="00584F4C">
        <w:tab/>
        <w:t>A power exercised by the Supreme Court under subsection (6) is taken to have been exercised by the Court at a sittings of the Court in the Territory.</w:t>
      </w:r>
    </w:p>
    <w:p w:rsidR="00AF6F4D" w:rsidRPr="00584F4C" w:rsidRDefault="00AF6F4D" w:rsidP="00AF6F4D">
      <w:pPr>
        <w:pStyle w:val="subsection"/>
      </w:pPr>
      <w:r w:rsidRPr="00584F4C">
        <w:tab/>
        <w:t>(8)</w:t>
      </w:r>
      <w:r w:rsidRPr="00584F4C">
        <w:tab/>
        <w:t>Where the Supreme Court is sitting in a host jurisdiction for the purpose of a trial in that jurisdiction, the Court may, if it is satisfied that the interests of justice require it, order that, for the purpose of viewing a place, or taking evidence from a person, in the Territory, or for a prescribed purpose:</w:t>
      </w:r>
    </w:p>
    <w:p w:rsidR="00AF6F4D" w:rsidRPr="00584F4C" w:rsidRDefault="00AF6F4D" w:rsidP="00AF6F4D">
      <w:pPr>
        <w:pStyle w:val="paragraph"/>
      </w:pPr>
      <w:r w:rsidRPr="00584F4C">
        <w:tab/>
        <w:t>(a)</w:t>
      </w:r>
      <w:r w:rsidRPr="00584F4C">
        <w:tab/>
        <w:t>the trial be adjourned for such time as the Court considers reasonable and necessary, and be continued in the Territory for so long as is necessary for that purpose; and</w:t>
      </w:r>
    </w:p>
    <w:p w:rsidR="00AF6F4D" w:rsidRPr="00584F4C" w:rsidRDefault="00AF6F4D" w:rsidP="00AF6F4D">
      <w:pPr>
        <w:pStyle w:val="paragraph"/>
      </w:pPr>
      <w:r w:rsidRPr="00584F4C">
        <w:tab/>
        <w:t>(b)</w:t>
      </w:r>
      <w:r w:rsidRPr="00584F4C">
        <w:tab/>
        <w:t>on the warrant of the Registrar, the accused be returned to the Territory for the purposes of the continuation of the trial and any related proceedings; and</w:t>
      </w:r>
    </w:p>
    <w:p w:rsidR="00AF6F4D" w:rsidRPr="00584F4C" w:rsidRDefault="00AF6F4D" w:rsidP="00AF6F4D">
      <w:pPr>
        <w:pStyle w:val="paragraph"/>
      </w:pPr>
      <w:r w:rsidRPr="00584F4C">
        <w:tab/>
        <w:t>(c)</w:t>
      </w:r>
      <w:r w:rsidRPr="00584F4C">
        <w:tab/>
        <w:t>the jurors empanelled for the trial go to the Territory and remain there for such time as the Court directs for the purpose of continuing to attend as jurors in the trial.</w:t>
      </w:r>
    </w:p>
    <w:p w:rsidR="00AF6F4D" w:rsidRPr="00584F4C" w:rsidRDefault="00AF6F4D" w:rsidP="00AF6F4D">
      <w:pPr>
        <w:pStyle w:val="subsection"/>
      </w:pPr>
      <w:r w:rsidRPr="00584F4C">
        <w:tab/>
        <w:t>(9)</w:t>
      </w:r>
      <w:r w:rsidRPr="00584F4C">
        <w:tab/>
        <w:t xml:space="preserve">A person who appears as a witness in the Supreme Court in a trial, or in related proceedings, held wholly or partly in a host jurisdiction, must be paid by the Commonwealth such fees and </w:t>
      </w:r>
      <w:r w:rsidRPr="00584F4C">
        <w:lastRenderedPageBreak/>
        <w:t>allowances as would be payable to the person if the person had appeared as a witness in a trial held in the Territory.</w:t>
      </w:r>
    </w:p>
    <w:p w:rsidR="00AF6F4D" w:rsidRPr="00584F4C" w:rsidRDefault="00AF6F4D" w:rsidP="00AF6F4D">
      <w:pPr>
        <w:pStyle w:val="subsection"/>
      </w:pPr>
      <w:r w:rsidRPr="00584F4C">
        <w:tab/>
        <w:t>(10)</w:t>
      </w:r>
      <w:r w:rsidRPr="00584F4C">
        <w:tab/>
        <w:t>Where:</w:t>
      </w:r>
    </w:p>
    <w:p w:rsidR="00AF6F4D" w:rsidRPr="00584F4C" w:rsidRDefault="00AF6F4D" w:rsidP="00AF6F4D">
      <w:pPr>
        <w:pStyle w:val="paragraph"/>
      </w:pPr>
      <w:r w:rsidRPr="00584F4C">
        <w:tab/>
        <w:t>(a)</w:t>
      </w:r>
      <w:r w:rsidRPr="00584F4C">
        <w:tab/>
        <w:t>the Supreme Court, when exercising its criminal jurisdiction in a host jurisdiction, makes an order, issues a warrant or summons or gives a judgment; and</w:t>
      </w:r>
    </w:p>
    <w:p w:rsidR="00AF6F4D" w:rsidRPr="00584F4C" w:rsidRDefault="00AF6F4D" w:rsidP="00AF6F4D">
      <w:pPr>
        <w:pStyle w:val="paragraph"/>
      </w:pPr>
      <w:r w:rsidRPr="00584F4C">
        <w:tab/>
        <w:t>(b)</w:t>
      </w:r>
      <w:r w:rsidRPr="00584F4C">
        <w:tab/>
        <w:t>a person fails to comply with that order, warrant, summons or judgment; and</w:t>
      </w:r>
    </w:p>
    <w:p w:rsidR="00AF6F4D" w:rsidRPr="00584F4C" w:rsidRDefault="00AF6F4D" w:rsidP="00AF6F4D">
      <w:pPr>
        <w:pStyle w:val="paragraph"/>
        <w:keepNext/>
      </w:pPr>
      <w:r w:rsidRPr="00584F4C">
        <w:tab/>
        <w:t>(c)</w:t>
      </w:r>
      <w:r w:rsidRPr="00584F4C">
        <w:tab/>
        <w:t>that failure would have constituted an offence against a law of the Territory if it had occurred there;</w:t>
      </w:r>
    </w:p>
    <w:p w:rsidR="00AF6F4D" w:rsidRPr="00584F4C" w:rsidRDefault="00AF6F4D" w:rsidP="00AF6F4D">
      <w:pPr>
        <w:pStyle w:val="subsection2"/>
      </w:pPr>
      <w:r w:rsidRPr="00584F4C">
        <w:t>the person commits an offence against this Act punishable by a penalty that is the same as the penalty for the offence referred to in paragraph (c).</w:t>
      </w:r>
    </w:p>
    <w:p w:rsidR="00AF6F4D" w:rsidRPr="00584F4C" w:rsidRDefault="00AF6F4D" w:rsidP="00AF6F4D">
      <w:pPr>
        <w:pStyle w:val="ActHead5"/>
      </w:pPr>
      <w:bookmarkStart w:id="31" w:name="_Toc514847571"/>
      <w:r w:rsidRPr="00584F4C">
        <w:rPr>
          <w:rStyle w:val="CharSectno"/>
        </w:rPr>
        <w:t>60D</w:t>
      </w:r>
      <w:r w:rsidRPr="00584F4C">
        <w:t xml:space="preserve">  Juries outside the Territory</w:t>
      </w:r>
      <w:bookmarkEnd w:id="31"/>
    </w:p>
    <w:p w:rsidR="00AF6F4D" w:rsidRPr="00584F4C" w:rsidRDefault="00AF6F4D" w:rsidP="00AF6F4D">
      <w:pPr>
        <w:pStyle w:val="subsection"/>
      </w:pPr>
      <w:r w:rsidRPr="00584F4C">
        <w:tab/>
        <w:t>(1)</w:t>
      </w:r>
      <w:r w:rsidRPr="00584F4C">
        <w:tab/>
        <w:t>Subject to this section and the regulations, the laws in force in a host jurisdiction relating to each of the following:</w:t>
      </w:r>
    </w:p>
    <w:p w:rsidR="00AF6F4D" w:rsidRPr="00584F4C" w:rsidRDefault="00AF6F4D" w:rsidP="00AF6F4D">
      <w:pPr>
        <w:pStyle w:val="paragraph"/>
      </w:pPr>
      <w:r w:rsidRPr="00584F4C">
        <w:tab/>
        <w:t>(a)</w:t>
      </w:r>
      <w:r w:rsidRPr="00584F4C">
        <w:tab/>
        <w:t>the qualification of jurors;</w:t>
      </w:r>
    </w:p>
    <w:p w:rsidR="00AF6F4D" w:rsidRPr="00584F4C" w:rsidRDefault="00AF6F4D" w:rsidP="00AF6F4D">
      <w:pPr>
        <w:pStyle w:val="paragraph"/>
      </w:pPr>
      <w:r w:rsidRPr="00584F4C">
        <w:tab/>
        <w:t>(b)</w:t>
      </w:r>
      <w:r w:rsidRPr="00584F4C">
        <w:tab/>
        <w:t>the preparation of jury lists and jury panels;</w:t>
      </w:r>
    </w:p>
    <w:p w:rsidR="00AF6F4D" w:rsidRPr="00584F4C" w:rsidRDefault="00AF6F4D" w:rsidP="00AF6F4D">
      <w:pPr>
        <w:pStyle w:val="paragraph"/>
      </w:pPr>
      <w:r w:rsidRPr="00584F4C">
        <w:tab/>
        <w:t>(c)</w:t>
      </w:r>
      <w:r w:rsidRPr="00584F4C">
        <w:tab/>
        <w:t>the summoning, attendance and empanelling of juries;</w:t>
      </w:r>
    </w:p>
    <w:p w:rsidR="00AF6F4D" w:rsidRPr="00584F4C" w:rsidRDefault="00AF6F4D" w:rsidP="00AF6F4D">
      <w:pPr>
        <w:pStyle w:val="paragraph"/>
      </w:pPr>
      <w:r w:rsidRPr="00584F4C">
        <w:tab/>
        <w:t>(d)</w:t>
      </w:r>
      <w:r w:rsidRPr="00584F4C">
        <w:tab/>
        <w:t>the number of jurors;</w:t>
      </w:r>
    </w:p>
    <w:p w:rsidR="00AF6F4D" w:rsidRPr="00584F4C" w:rsidRDefault="00AF6F4D" w:rsidP="00AF6F4D">
      <w:pPr>
        <w:pStyle w:val="paragraph"/>
      </w:pPr>
      <w:r w:rsidRPr="00584F4C">
        <w:tab/>
        <w:t>(e)</w:t>
      </w:r>
      <w:r w:rsidRPr="00584F4C">
        <w:tab/>
        <w:t>the right of challenge;</w:t>
      </w:r>
    </w:p>
    <w:p w:rsidR="00AF6F4D" w:rsidRPr="00584F4C" w:rsidRDefault="00AF6F4D" w:rsidP="00AF6F4D">
      <w:pPr>
        <w:pStyle w:val="paragraph"/>
      </w:pPr>
      <w:r w:rsidRPr="00584F4C">
        <w:tab/>
        <w:t>(f)</w:t>
      </w:r>
      <w:r w:rsidRPr="00584F4C">
        <w:tab/>
        <w:t>the discharge of juries;</w:t>
      </w:r>
    </w:p>
    <w:p w:rsidR="00AF6F4D" w:rsidRPr="00584F4C" w:rsidRDefault="00AF6F4D" w:rsidP="00AF6F4D">
      <w:pPr>
        <w:pStyle w:val="paragraph"/>
      </w:pPr>
      <w:r w:rsidRPr="00584F4C">
        <w:tab/>
        <w:t>(g)</w:t>
      </w:r>
      <w:r w:rsidRPr="00584F4C">
        <w:tab/>
        <w:t>the disagreement of jurors;</w:t>
      </w:r>
    </w:p>
    <w:p w:rsidR="00AF6F4D" w:rsidRPr="00584F4C" w:rsidRDefault="00AF6F4D" w:rsidP="00AF6F4D">
      <w:pPr>
        <w:pStyle w:val="paragraph"/>
      </w:pPr>
      <w:r w:rsidRPr="00584F4C">
        <w:tab/>
        <w:t>(h)</w:t>
      </w:r>
      <w:r w:rsidRPr="00584F4C">
        <w:tab/>
        <w:t>the remuneration of jurors;</w:t>
      </w:r>
    </w:p>
    <w:p w:rsidR="00AF6F4D" w:rsidRPr="00584F4C" w:rsidRDefault="00AF6F4D" w:rsidP="00AF6F4D">
      <w:pPr>
        <w:pStyle w:val="paragraph"/>
        <w:keepNext/>
      </w:pPr>
      <w:r w:rsidRPr="00584F4C">
        <w:tab/>
        <w:t>(i)</w:t>
      </w:r>
      <w:r w:rsidRPr="00584F4C">
        <w:tab/>
        <w:t>other matters concerning jurors (other than matters dealt with under section 60E) after they have been summoned, appointed or sworn;</w:t>
      </w:r>
    </w:p>
    <w:p w:rsidR="00AF6F4D" w:rsidRPr="00584F4C" w:rsidRDefault="00AF6F4D" w:rsidP="00AF6F4D">
      <w:pPr>
        <w:pStyle w:val="subsection2"/>
      </w:pPr>
      <w:r w:rsidRPr="00584F4C">
        <w:t>that apply for the purposes of the trial of a criminal matter in the Supreme Court of that jurisdiction sitting at a place in that jurisdiction, extend and are to be applied, with such changes as are necessary, for the purposes of the trial of a criminal matter in the Supreme Court of the Territory when sitting at that place.</w:t>
      </w:r>
    </w:p>
    <w:p w:rsidR="00AF6F4D" w:rsidRPr="00584F4C" w:rsidRDefault="00AF6F4D" w:rsidP="00AF6F4D">
      <w:pPr>
        <w:pStyle w:val="subsection"/>
      </w:pPr>
      <w:r w:rsidRPr="00584F4C">
        <w:tab/>
        <w:t>(2)</w:t>
      </w:r>
      <w:r w:rsidRPr="00584F4C">
        <w:tab/>
        <w:t xml:space="preserve">For the purposes of a trial in the Supreme Court held wholly or partly at a place in a host jurisdiction, the jury list that would be used for the purposes of a criminal trial in the Supreme Court of </w:t>
      </w:r>
      <w:r w:rsidRPr="00584F4C">
        <w:lastRenderedPageBreak/>
        <w:t>that jurisdiction sitting in the same place is to be used as well for the purposes of the trial in the Supreme Court of the Territory.</w:t>
      </w:r>
    </w:p>
    <w:p w:rsidR="00AF6F4D" w:rsidRPr="00584F4C" w:rsidRDefault="00AF6F4D" w:rsidP="00AF6F4D">
      <w:pPr>
        <w:pStyle w:val="subsection"/>
      </w:pPr>
      <w:r w:rsidRPr="00584F4C">
        <w:tab/>
        <w:t>(3)</w:t>
      </w:r>
      <w:r w:rsidRPr="00584F4C">
        <w:tab/>
        <w:t>The precept for a jury is to be issued by the Registrar, or such other person holding an office in relation to the Supreme Court as the Court directs, and the Sheriff or such other person as the Court directs must prepare the jury panels and summon jurors.</w:t>
      </w:r>
    </w:p>
    <w:p w:rsidR="00AF6F4D" w:rsidRPr="00584F4C" w:rsidRDefault="00AF6F4D" w:rsidP="00AF6F4D">
      <w:pPr>
        <w:pStyle w:val="subsection"/>
      </w:pPr>
      <w:r w:rsidRPr="00584F4C">
        <w:tab/>
        <w:t>(4)</w:t>
      </w:r>
      <w:r w:rsidRPr="00584F4C">
        <w:tab/>
        <w:t>The person who has custody of the jury list referred to in subsection (2) in the host jurisdiction where the Supreme Court is holding a trial must:</w:t>
      </w:r>
    </w:p>
    <w:p w:rsidR="00AF6F4D" w:rsidRPr="00584F4C" w:rsidRDefault="00AF6F4D" w:rsidP="00AF6F4D">
      <w:pPr>
        <w:pStyle w:val="paragraph"/>
      </w:pPr>
      <w:r w:rsidRPr="00584F4C">
        <w:tab/>
        <w:t>(a)</w:t>
      </w:r>
      <w:r w:rsidRPr="00584F4C">
        <w:tab/>
        <w:t>give a copy of that list to the person directed by the Court to prepare a jury panel; and</w:t>
      </w:r>
    </w:p>
    <w:p w:rsidR="00AF6F4D" w:rsidRPr="00584F4C" w:rsidRDefault="00AF6F4D" w:rsidP="00AF6F4D">
      <w:pPr>
        <w:pStyle w:val="paragraph"/>
      </w:pPr>
      <w:r w:rsidRPr="00584F4C">
        <w:tab/>
        <w:t>(b)</w:t>
      </w:r>
      <w:r w:rsidRPr="00584F4C">
        <w:tab/>
        <w:t>indicate on that copy the names of the persons who, to that person’s knowledge, would not, if summoned at the time the copy is given, be liable to serve as jurors under the law in force in that jurisdiction.</w:t>
      </w:r>
    </w:p>
    <w:p w:rsidR="00AF6F4D" w:rsidRPr="00584F4C" w:rsidRDefault="00AF6F4D" w:rsidP="00AF6F4D">
      <w:pPr>
        <w:pStyle w:val="subsection"/>
      </w:pPr>
      <w:r w:rsidRPr="00584F4C">
        <w:tab/>
        <w:t>(5)</w:t>
      </w:r>
      <w:r w:rsidRPr="00584F4C">
        <w:tab/>
        <w:t>The Commonwealth must pay any reasonable fee demanded for a copy of a list referred to in paragraph (4)(a).</w:t>
      </w:r>
    </w:p>
    <w:p w:rsidR="00AF6F4D" w:rsidRPr="00584F4C" w:rsidRDefault="00AF6F4D" w:rsidP="00AF6F4D">
      <w:pPr>
        <w:pStyle w:val="subsection"/>
      </w:pPr>
      <w:r w:rsidRPr="00584F4C">
        <w:tab/>
        <w:t>(6)</w:t>
      </w:r>
      <w:r w:rsidRPr="00584F4C">
        <w:tab/>
        <w:t>Any remuneration required to be paid to a person who serves, or is summoned to serve, on a jury in a trial in the Supreme Court held wholly or partly in a host jurisdiction must be paid by the Commonwealth.</w:t>
      </w:r>
    </w:p>
    <w:p w:rsidR="00AF6F4D" w:rsidRPr="00584F4C" w:rsidRDefault="00AF6F4D" w:rsidP="00AF6F4D">
      <w:pPr>
        <w:pStyle w:val="subsection"/>
      </w:pPr>
      <w:r w:rsidRPr="00584F4C">
        <w:tab/>
        <w:t>(7)</w:t>
      </w:r>
      <w:r w:rsidRPr="00584F4C">
        <w:tab/>
        <w:t>Where a law applied by this Act for the purposes of a trial in the Supreme Court requires an act or thing to be done by a person specified in that law, the Court may, if it is necessary to do so for the purpose of the effective application of the law, order that a person who holds a specified office in relation to the Court do that act or thing, and the law is taken to apply to that person accordingly.</w:t>
      </w:r>
    </w:p>
    <w:p w:rsidR="00AF6F4D" w:rsidRPr="00584F4C" w:rsidRDefault="00AF6F4D" w:rsidP="00AF6F4D">
      <w:pPr>
        <w:pStyle w:val="subsection"/>
      </w:pPr>
      <w:r w:rsidRPr="00584F4C">
        <w:tab/>
        <w:t>(8)</w:t>
      </w:r>
      <w:r w:rsidRPr="00584F4C">
        <w:tab/>
        <w:t>The regulations may provide that the provisions of a law referred to in subsection (1) that are specified in the regulations have effect with any modifications specified in the regulations.</w:t>
      </w:r>
    </w:p>
    <w:p w:rsidR="00AF6F4D" w:rsidRPr="00584F4C" w:rsidRDefault="00AF6F4D" w:rsidP="00AF6F4D">
      <w:pPr>
        <w:pStyle w:val="subsection"/>
      </w:pPr>
      <w:r w:rsidRPr="00584F4C">
        <w:tab/>
        <w:t>(9)</w:t>
      </w:r>
      <w:r w:rsidRPr="00584F4C">
        <w:tab/>
        <w:t xml:space="preserve">In this section, </w:t>
      </w:r>
      <w:r w:rsidRPr="00584F4C">
        <w:rPr>
          <w:b/>
          <w:i/>
        </w:rPr>
        <w:t>jury list</w:t>
      </w:r>
      <w:r w:rsidRPr="00584F4C">
        <w:t xml:space="preserve"> means the roll, list, or book on or in which the names of persons liable to serve as jurors appear.</w:t>
      </w:r>
    </w:p>
    <w:p w:rsidR="00AF6F4D" w:rsidRPr="00584F4C" w:rsidRDefault="00AF6F4D" w:rsidP="00AF6F4D">
      <w:pPr>
        <w:pStyle w:val="ActHead5"/>
      </w:pPr>
      <w:bookmarkStart w:id="32" w:name="_Toc514847572"/>
      <w:r w:rsidRPr="00584F4C">
        <w:rPr>
          <w:rStyle w:val="CharSectno"/>
        </w:rPr>
        <w:lastRenderedPageBreak/>
        <w:t>60E</w:t>
      </w:r>
      <w:r w:rsidRPr="00584F4C">
        <w:t xml:space="preserve">   Offences in relation to jurors</w:t>
      </w:r>
      <w:bookmarkEnd w:id="32"/>
    </w:p>
    <w:p w:rsidR="00AF6F4D" w:rsidRPr="00584F4C" w:rsidRDefault="00AF6F4D" w:rsidP="00AF6F4D">
      <w:pPr>
        <w:pStyle w:val="subsection"/>
      </w:pPr>
      <w:r w:rsidRPr="00584F4C">
        <w:tab/>
        <w:t>(1)</w:t>
      </w:r>
      <w:r w:rsidRPr="00584F4C">
        <w:tab/>
        <w:t>A person who is served with a summons to attend as a juror in a trial in the Supreme Court held wholly or partly in a host jurisdiction must not:</w:t>
      </w:r>
    </w:p>
    <w:p w:rsidR="00AF6F4D" w:rsidRPr="00584F4C" w:rsidRDefault="00AF6F4D" w:rsidP="00AF6F4D">
      <w:pPr>
        <w:pStyle w:val="paragraph"/>
      </w:pPr>
      <w:r w:rsidRPr="00584F4C">
        <w:tab/>
        <w:t>(a)</w:t>
      </w:r>
      <w:r w:rsidRPr="00584F4C">
        <w:tab/>
        <w:t>fail to attend in accordance with the summons; or</w:t>
      </w:r>
    </w:p>
    <w:p w:rsidR="00AF6F4D" w:rsidRPr="00584F4C" w:rsidRDefault="00AF6F4D" w:rsidP="00AF6F4D">
      <w:pPr>
        <w:pStyle w:val="paragraph"/>
        <w:keepNext/>
      </w:pPr>
      <w:r w:rsidRPr="00584F4C">
        <w:tab/>
        <w:t>(b)</w:t>
      </w:r>
      <w:r w:rsidRPr="00584F4C">
        <w:tab/>
        <w:t>having so attended, withdraw from the presence of the Court, without the permission of the Sheriff, before being discharged or excused by a judge of the Court or the Sheriff.</w:t>
      </w:r>
    </w:p>
    <w:p w:rsidR="00AF6F4D" w:rsidRPr="00584F4C" w:rsidRDefault="00AF6F4D" w:rsidP="00AF6F4D">
      <w:pPr>
        <w:pStyle w:val="Penalty"/>
      </w:pPr>
      <w:r w:rsidRPr="00584F4C">
        <w:t>Penalty:</w:t>
      </w:r>
      <w:r w:rsidRPr="00584F4C">
        <w:tab/>
        <w:t>Imprisonment for 1 month.</w:t>
      </w:r>
    </w:p>
    <w:p w:rsidR="00AF6F4D" w:rsidRPr="00584F4C" w:rsidRDefault="00AF6F4D" w:rsidP="00AF6F4D">
      <w:pPr>
        <w:pStyle w:val="subsection"/>
      </w:pPr>
      <w:r w:rsidRPr="00584F4C">
        <w:tab/>
        <w:t>(2)</w:t>
      </w:r>
      <w:r w:rsidRPr="00584F4C">
        <w:tab/>
        <w:t>Subsection (1) does not apply if the person has a reasonable excuse.</w:t>
      </w:r>
    </w:p>
    <w:p w:rsidR="00AF6F4D" w:rsidRPr="00584F4C" w:rsidRDefault="00AF6F4D" w:rsidP="00AF6F4D">
      <w:pPr>
        <w:pStyle w:val="notetext"/>
      </w:pPr>
      <w:r w:rsidRPr="00584F4C">
        <w:t>Note:</w:t>
      </w:r>
      <w:r w:rsidRPr="00584F4C">
        <w:tab/>
        <w:t xml:space="preserve">A defendant bears an evidential burden in relation to the matter in subsection (2) (see subsection 13.3(3) of the </w:t>
      </w:r>
      <w:r w:rsidRPr="00584F4C">
        <w:rPr>
          <w:i/>
        </w:rPr>
        <w:t>Criminal Code</w:t>
      </w:r>
      <w:r w:rsidRPr="00584F4C">
        <w:t xml:space="preserve"> (Commonwealth)).</w:t>
      </w:r>
    </w:p>
    <w:p w:rsidR="00AF6F4D" w:rsidRPr="00584F4C" w:rsidRDefault="00AF6F4D" w:rsidP="00AF6F4D">
      <w:pPr>
        <w:pStyle w:val="subsection"/>
      </w:pPr>
      <w:r w:rsidRPr="00584F4C">
        <w:tab/>
        <w:t>(3)</w:t>
      </w:r>
      <w:r w:rsidRPr="00584F4C">
        <w:tab/>
        <w:t>A person must not impersonate a person who is a juror with the intention of sitting on a jury.</w:t>
      </w:r>
    </w:p>
    <w:p w:rsidR="00AF6F4D" w:rsidRPr="00584F4C" w:rsidRDefault="00AF6F4D" w:rsidP="00AF6F4D">
      <w:pPr>
        <w:pStyle w:val="Penalty"/>
      </w:pPr>
      <w:r w:rsidRPr="00584F4C">
        <w:t>Penalty:</w:t>
      </w:r>
      <w:r w:rsidRPr="00584F4C">
        <w:tab/>
        <w:t>Imprisonment for 6 months.</w:t>
      </w:r>
    </w:p>
    <w:p w:rsidR="00AF6F4D" w:rsidRPr="00584F4C" w:rsidRDefault="00AF6F4D" w:rsidP="00AF6F4D">
      <w:pPr>
        <w:pStyle w:val="subsection"/>
      </w:pPr>
      <w:r w:rsidRPr="00584F4C">
        <w:tab/>
        <w:t>(4)</w:t>
      </w:r>
      <w:r w:rsidRPr="00584F4C">
        <w:tab/>
        <w:t>A person must not:</w:t>
      </w:r>
    </w:p>
    <w:p w:rsidR="00AF6F4D" w:rsidRPr="00584F4C" w:rsidRDefault="00AF6F4D" w:rsidP="00AF6F4D">
      <w:pPr>
        <w:pStyle w:val="paragraph"/>
      </w:pPr>
      <w:r w:rsidRPr="00584F4C">
        <w:tab/>
        <w:t>(a)</w:t>
      </w:r>
      <w:r w:rsidRPr="00584F4C">
        <w:tab/>
        <w:t>engage in conduct that results in the corruption of a juror; or</w:t>
      </w:r>
    </w:p>
    <w:p w:rsidR="00AF6F4D" w:rsidRPr="00584F4C" w:rsidRDefault="00AF6F4D" w:rsidP="00AF6F4D">
      <w:pPr>
        <w:pStyle w:val="paragraph"/>
      </w:pPr>
      <w:r w:rsidRPr="00584F4C">
        <w:tab/>
        <w:t>(b)</w:t>
      </w:r>
      <w:r w:rsidRPr="00584F4C">
        <w:tab/>
        <w:t>make or promise a payment to a juror, or confer or promise to confer any other benefit on a juror in relation to the person’s service as a juror, other than a payment of the ordinary remuneration of the juror’s employment; or</w:t>
      </w:r>
    </w:p>
    <w:p w:rsidR="00AF6F4D" w:rsidRPr="00584F4C" w:rsidRDefault="00AF6F4D" w:rsidP="00AF6F4D">
      <w:pPr>
        <w:pStyle w:val="paragraph"/>
        <w:keepNext/>
      </w:pPr>
      <w:r w:rsidRPr="00584F4C">
        <w:tab/>
        <w:t>(c)</w:t>
      </w:r>
      <w:r w:rsidRPr="00584F4C">
        <w:tab/>
        <w:t>being a juror, accept such a payment or benefit.</w:t>
      </w:r>
    </w:p>
    <w:p w:rsidR="00AF6F4D" w:rsidRPr="00584F4C" w:rsidRDefault="00AF6F4D" w:rsidP="00AF6F4D">
      <w:pPr>
        <w:pStyle w:val="Penalty"/>
      </w:pPr>
      <w:r w:rsidRPr="00584F4C">
        <w:t>Penalty:</w:t>
      </w:r>
      <w:r w:rsidRPr="00584F4C">
        <w:tab/>
        <w:t>Imprisonment for 5 years.</w:t>
      </w:r>
    </w:p>
    <w:p w:rsidR="00AF6F4D" w:rsidRPr="00584F4C" w:rsidRDefault="00AF6F4D" w:rsidP="00AF6F4D">
      <w:pPr>
        <w:pStyle w:val="subsection"/>
      </w:pPr>
      <w:r w:rsidRPr="00584F4C">
        <w:tab/>
        <w:t>(5)</w:t>
      </w:r>
      <w:r w:rsidRPr="00584F4C">
        <w:tab/>
        <w:t>In this section:</w:t>
      </w:r>
    </w:p>
    <w:p w:rsidR="00AF6F4D" w:rsidRPr="00584F4C" w:rsidRDefault="00AF6F4D" w:rsidP="00AF6F4D">
      <w:pPr>
        <w:pStyle w:val="Definition"/>
      </w:pPr>
      <w:r w:rsidRPr="00584F4C">
        <w:rPr>
          <w:b/>
          <w:i/>
        </w:rPr>
        <w:t>juror</w:t>
      </w:r>
      <w:r w:rsidRPr="00584F4C">
        <w:t xml:space="preserve"> includes a person</w:t>
      </w:r>
      <w:r w:rsidRPr="00584F4C">
        <w:rPr>
          <w:b/>
          <w:i/>
        </w:rPr>
        <w:t xml:space="preserve"> </w:t>
      </w:r>
      <w:r w:rsidRPr="00584F4C">
        <w:t>whose name is on a jury panel.</w:t>
      </w:r>
    </w:p>
    <w:p w:rsidR="00AF6F4D" w:rsidRPr="00584F4C" w:rsidRDefault="00AF6F4D" w:rsidP="00AF6F4D">
      <w:pPr>
        <w:pStyle w:val="ActHead5"/>
      </w:pPr>
      <w:bookmarkStart w:id="33" w:name="_Toc514847573"/>
      <w:r w:rsidRPr="00584F4C">
        <w:rPr>
          <w:rStyle w:val="CharSectno"/>
        </w:rPr>
        <w:t>60F</w:t>
      </w:r>
      <w:r w:rsidRPr="00584F4C">
        <w:t xml:space="preserve">  Removal of accused to host jurisdiction to stand trial</w:t>
      </w:r>
      <w:bookmarkEnd w:id="33"/>
    </w:p>
    <w:p w:rsidR="00AF6F4D" w:rsidRPr="00584F4C" w:rsidRDefault="00AF6F4D" w:rsidP="00AF6F4D">
      <w:pPr>
        <w:pStyle w:val="subsection"/>
      </w:pPr>
      <w:r w:rsidRPr="00584F4C">
        <w:tab/>
        <w:t>(1)</w:t>
      </w:r>
      <w:r w:rsidRPr="00584F4C">
        <w:tab/>
        <w:t>Where the Supreme Court makes an order under paragraph 60C(5)(a) in relation to an accused, the Registrar, a Magistrate of the Territory or a person directed by the Court under that paragraph, may:</w:t>
      </w:r>
    </w:p>
    <w:p w:rsidR="00AF6F4D" w:rsidRPr="00584F4C" w:rsidRDefault="00AF6F4D" w:rsidP="00AF6F4D">
      <w:pPr>
        <w:pStyle w:val="paragraph"/>
      </w:pPr>
      <w:r w:rsidRPr="00584F4C">
        <w:lastRenderedPageBreak/>
        <w:tab/>
        <w:t>(a)</w:t>
      </w:r>
      <w:r w:rsidRPr="00584F4C">
        <w:tab/>
        <w:t>by warrant directed to all constables, require them to convey the accused in custody from the Territory to the prison specified in the warrant and to deliver the accused into the custody of the officer for the time being in charge of that prison; and</w:t>
      </w:r>
    </w:p>
    <w:p w:rsidR="00AF6F4D" w:rsidRPr="00584F4C" w:rsidRDefault="00AF6F4D" w:rsidP="00AF6F4D">
      <w:pPr>
        <w:pStyle w:val="paragraph"/>
      </w:pPr>
      <w:r w:rsidRPr="00584F4C">
        <w:tab/>
        <w:t>(b)</w:t>
      </w:r>
      <w:r w:rsidRPr="00584F4C">
        <w:tab/>
        <w:t>by warrant directed to that officer, require that officer to detain the accused in that prison under this section.</w:t>
      </w:r>
    </w:p>
    <w:p w:rsidR="00AF6F4D" w:rsidRPr="00584F4C" w:rsidRDefault="00AF6F4D" w:rsidP="00AF6F4D">
      <w:pPr>
        <w:pStyle w:val="subsection"/>
      </w:pPr>
      <w:r w:rsidRPr="00584F4C">
        <w:tab/>
        <w:t>(2)</w:t>
      </w:r>
      <w:r w:rsidRPr="00584F4C">
        <w:tab/>
        <w:t>A warrant directed to all constables may be executed by any constable.</w:t>
      </w:r>
    </w:p>
    <w:p w:rsidR="00AF6F4D" w:rsidRPr="00584F4C" w:rsidRDefault="00AF6F4D" w:rsidP="00AF6F4D">
      <w:pPr>
        <w:pStyle w:val="subsection"/>
      </w:pPr>
      <w:r w:rsidRPr="00584F4C">
        <w:tab/>
        <w:t>(3)</w:t>
      </w:r>
      <w:r w:rsidRPr="00584F4C">
        <w:tab/>
        <w:t>An accused delivered into custody at a prison in a host jurisdiction under a warrant under subsection (1) may, subject to any order of the Supreme Court, be detained in that prison or any other prison in that jurisdiction for so long as the accused’s detention is necessary for the execution of the order.</w:t>
      </w:r>
    </w:p>
    <w:p w:rsidR="00AF6F4D" w:rsidRPr="00584F4C" w:rsidRDefault="00AF6F4D" w:rsidP="00AF6F4D">
      <w:pPr>
        <w:pStyle w:val="subsection"/>
      </w:pPr>
      <w:r w:rsidRPr="00584F4C">
        <w:tab/>
        <w:t>(4)</w:t>
      </w:r>
      <w:r w:rsidRPr="00584F4C">
        <w:tab/>
        <w:t>An accused may, while in custody, be dealt with in the same manner, and is subject to the same laws, as if the warrant issued under subsection (1) had been issued under a law in force in the host jurisdiction relating to holding persons in custody pending the trial of those persons.</w:t>
      </w:r>
    </w:p>
    <w:p w:rsidR="00AF6F4D" w:rsidRPr="00584F4C" w:rsidRDefault="00AF6F4D" w:rsidP="00AF6F4D">
      <w:pPr>
        <w:pStyle w:val="subsection"/>
      </w:pPr>
      <w:r w:rsidRPr="00584F4C">
        <w:tab/>
        <w:t>(5)</w:t>
      </w:r>
      <w:r w:rsidRPr="00584F4C">
        <w:tab/>
        <w:t>The Commonwealth is to pay to the host jurisdiction the reasonable expenses of maintaining an accused detained in a prison under a warrant under subsection (1).</w:t>
      </w:r>
    </w:p>
    <w:p w:rsidR="00AF6F4D" w:rsidRPr="00584F4C" w:rsidRDefault="00AF6F4D" w:rsidP="00AF6F4D">
      <w:pPr>
        <w:pStyle w:val="ActHead5"/>
      </w:pPr>
      <w:bookmarkStart w:id="34" w:name="_Toc514847574"/>
      <w:r w:rsidRPr="00584F4C">
        <w:rPr>
          <w:rStyle w:val="CharSectno"/>
        </w:rPr>
        <w:t>60G</w:t>
      </w:r>
      <w:r w:rsidRPr="00584F4C">
        <w:t xml:space="preserve">  Accused to be conveyed to Court</w:t>
      </w:r>
      <w:bookmarkEnd w:id="34"/>
    </w:p>
    <w:p w:rsidR="00AF6F4D" w:rsidRPr="00584F4C" w:rsidRDefault="00AF6F4D" w:rsidP="00AF6F4D">
      <w:pPr>
        <w:pStyle w:val="subsection"/>
      </w:pPr>
      <w:r w:rsidRPr="00584F4C">
        <w:tab/>
        <w:t>(1)</w:t>
      </w:r>
      <w:r w:rsidRPr="00584F4C">
        <w:tab/>
        <w:t>Where an accused has been removed to a host jurisdiction under this Act, a judge of the Supreme Court may order that the accused be conveyed to the Court for the purposes of trial in that jurisdiction, and any related proceedings.</w:t>
      </w:r>
    </w:p>
    <w:p w:rsidR="00AF6F4D" w:rsidRPr="00584F4C" w:rsidRDefault="00AF6F4D" w:rsidP="00AF6F4D">
      <w:pPr>
        <w:pStyle w:val="subsection"/>
      </w:pPr>
      <w:r w:rsidRPr="00584F4C">
        <w:tab/>
        <w:t>(2)</w:t>
      </w:r>
      <w:r w:rsidRPr="00584F4C">
        <w:tab/>
        <w:t>Where a judge of the Supreme Court makes an order under subsection (1), the person who has the custody of the accused must release the accused to a constable to enable the accused to be conveyed to the Court in accordance with that order.</w:t>
      </w:r>
    </w:p>
    <w:p w:rsidR="00AF6F4D" w:rsidRPr="00584F4C" w:rsidRDefault="00AF6F4D" w:rsidP="00AF6F4D">
      <w:pPr>
        <w:pStyle w:val="ActHead5"/>
      </w:pPr>
      <w:bookmarkStart w:id="35" w:name="_Toc514847575"/>
      <w:r w:rsidRPr="00584F4C">
        <w:rPr>
          <w:rStyle w:val="CharSectno"/>
        </w:rPr>
        <w:t>60H</w:t>
      </w:r>
      <w:r w:rsidRPr="00584F4C">
        <w:t xml:space="preserve">  Return of accused to Territory</w:t>
      </w:r>
      <w:bookmarkEnd w:id="35"/>
    </w:p>
    <w:p w:rsidR="00AF6F4D" w:rsidRPr="00584F4C" w:rsidRDefault="00AF6F4D" w:rsidP="00AF6F4D">
      <w:pPr>
        <w:pStyle w:val="subsection"/>
      </w:pPr>
      <w:r w:rsidRPr="00584F4C">
        <w:tab/>
        <w:t>(1)</w:t>
      </w:r>
      <w:r w:rsidRPr="00584F4C">
        <w:tab/>
        <w:t xml:space="preserve">Where the Supreme Court makes an order under paragraph 60C(8)(b), the Registrar may, by warrant directed to all </w:t>
      </w:r>
      <w:r w:rsidRPr="00584F4C">
        <w:lastRenderedPageBreak/>
        <w:t>constables, require them to convey the accused in custody from the host jurisdiction in which the Court made the order to the prison in the Territory specified in the warrant and to deliver the accused into the custody of the officer for the time being in charge of that prison.</w:t>
      </w:r>
    </w:p>
    <w:p w:rsidR="00AF6F4D" w:rsidRPr="00584F4C" w:rsidRDefault="00AF6F4D" w:rsidP="00AF6F4D">
      <w:pPr>
        <w:pStyle w:val="subsection"/>
      </w:pPr>
      <w:r w:rsidRPr="00584F4C">
        <w:tab/>
        <w:t>(2)</w:t>
      </w:r>
      <w:r w:rsidRPr="00584F4C">
        <w:tab/>
        <w:t>A warrant referred to in subsection (1) may be executed by any constable.</w:t>
      </w:r>
    </w:p>
    <w:p w:rsidR="00AF6F4D" w:rsidRPr="00584F4C" w:rsidRDefault="00AF6F4D" w:rsidP="00AF6F4D">
      <w:pPr>
        <w:pStyle w:val="ActHead5"/>
      </w:pPr>
      <w:bookmarkStart w:id="36" w:name="_Toc514847576"/>
      <w:r w:rsidRPr="00584F4C">
        <w:rPr>
          <w:rStyle w:val="CharSectno"/>
        </w:rPr>
        <w:t>60J</w:t>
      </w:r>
      <w:r w:rsidRPr="00584F4C">
        <w:t xml:space="preserve">  Person taken to be prisoner under </w:t>
      </w:r>
      <w:r w:rsidRPr="00584F4C">
        <w:rPr>
          <w:i/>
        </w:rPr>
        <w:t>Removal of Prisoners (Territories) Act 1923</w:t>
      </w:r>
      <w:bookmarkEnd w:id="36"/>
    </w:p>
    <w:p w:rsidR="00AF6F4D" w:rsidRPr="00584F4C" w:rsidRDefault="00AF6F4D" w:rsidP="00AF6F4D">
      <w:pPr>
        <w:pStyle w:val="subsection"/>
      </w:pPr>
      <w:r w:rsidRPr="00584F4C">
        <w:tab/>
        <w:t>(1)</w:t>
      </w:r>
      <w:r w:rsidRPr="00584F4C">
        <w:tab/>
        <w:t>This section applies if:</w:t>
      </w:r>
    </w:p>
    <w:p w:rsidR="00AF6F4D" w:rsidRPr="00584F4C" w:rsidRDefault="00AF6F4D" w:rsidP="00AF6F4D">
      <w:pPr>
        <w:pStyle w:val="paragraph"/>
      </w:pPr>
      <w:r w:rsidRPr="00584F4C">
        <w:tab/>
        <w:t>(a)</w:t>
      </w:r>
      <w:r w:rsidRPr="00584F4C">
        <w:tab/>
        <w:t>a person has been tried in relation to an indictable offence against a law of the Territory by the Supreme Court sitting in a host jurisdiction; and</w:t>
      </w:r>
    </w:p>
    <w:p w:rsidR="00AF6F4D" w:rsidRPr="00584F4C" w:rsidRDefault="00AF6F4D" w:rsidP="00AF6F4D">
      <w:pPr>
        <w:pStyle w:val="paragraph"/>
        <w:keepNext/>
      </w:pPr>
      <w:r w:rsidRPr="00584F4C">
        <w:tab/>
        <w:t>(b)</w:t>
      </w:r>
      <w:r w:rsidRPr="00584F4C">
        <w:tab/>
        <w:t>the person is convicted of that offence and sentenced to imprisonment.</w:t>
      </w:r>
    </w:p>
    <w:p w:rsidR="00AF6F4D" w:rsidRPr="00584F4C" w:rsidRDefault="00AF6F4D" w:rsidP="00AF6F4D">
      <w:pPr>
        <w:pStyle w:val="subsection"/>
      </w:pPr>
      <w:r w:rsidRPr="00584F4C">
        <w:tab/>
        <w:t>(2)</w:t>
      </w:r>
      <w:r w:rsidRPr="00584F4C">
        <w:tab/>
        <w:t>The person is taken:</w:t>
      </w:r>
    </w:p>
    <w:p w:rsidR="00AF6F4D" w:rsidRPr="00584F4C" w:rsidRDefault="00AF6F4D" w:rsidP="00AF6F4D">
      <w:pPr>
        <w:pStyle w:val="paragraph"/>
      </w:pPr>
      <w:r w:rsidRPr="00584F4C">
        <w:tab/>
        <w:t>(a)</w:t>
      </w:r>
      <w:r w:rsidRPr="00584F4C">
        <w:tab/>
        <w:t>to be a prisoner within the meaning of the</w:t>
      </w:r>
      <w:r w:rsidRPr="00584F4C">
        <w:rPr>
          <w:i/>
        </w:rPr>
        <w:t xml:space="preserve"> Removal of Prisoners (Territories) Act 1923</w:t>
      </w:r>
      <w:r w:rsidRPr="00584F4C">
        <w:t>; and</w:t>
      </w:r>
    </w:p>
    <w:p w:rsidR="00AF6F4D" w:rsidRPr="00584F4C" w:rsidRDefault="00AF6F4D" w:rsidP="00AF6F4D">
      <w:pPr>
        <w:pStyle w:val="paragraph"/>
        <w:keepNext/>
      </w:pPr>
      <w:r w:rsidRPr="00584F4C">
        <w:tab/>
        <w:t>(b)</w:t>
      </w:r>
      <w:r w:rsidRPr="00584F4C">
        <w:tab/>
        <w:t>to have been removed to that jurisdiction under that Act.</w:t>
      </w:r>
    </w:p>
    <w:p w:rsidR="00AF6F4D" w:rsidRPr="00584F4C" w:rsidRDefault="00AF6F4D" w:rsidP="00AF6F4D">
      <w:pPr>
        <w:pStyle w:val="subsection"/>
      </w:pPr>
      <w:r w:rsidRPr="00584F4C">
        <w:tab/>
        <w:t>(3)</w:t>
      </w:r>
      <w:r w:rsidRPr="00584F4C">
        <w:tab/>
        <w:t>The provisions of that Act apply (so far as they are capable of applying) in relation to the person accordingly.</w:t>
      </w:r>
    </w:p>
    <w:p w:rsidR="00AF6F4D" w:rsidRPr="00584F4C" w:rsidRDefault="00AF6F4D" w:rsidP="00AF6F4D">
      <w:pPr>
        <w:pStyle w:val="ActHead5"/>
      </w:pPr>
      <w:bookmarkStart w:id="37" w:name="_Toc514847577"/>
      <w:r w:rsidRPr="00584F4C">
        <w:rPr>
          <w:rStyle w:val="CharSectno"/>
        </w:rPr>
        <w:t>60K</w:t>
      </w:r>
      <w:r w:rsidRPr="00584F4C">
        <w:t xml:space="preserve">  Person taken to be criminal lunatic under </w:t>
      </w:r>
      <w:r w:rsidRPr="00584F4C">
        <w:rPr>
          <w:i/>
        </w:rPr>
        <w:t>Removal of Prisoners (Territories) Act 1923</w:t>
      </w:r>
      <w:bookmarkEnd w:id="37"/>
    </w:p>
    <w:p w:rsidR="00AF6F4D" w:rsidRPr="00584F4C" w:rsidRDefault="00AF6F4D" w:rsidP="00AF6F4D">
      <w:pPr>
        <w:pStyle w:val="subsection"/>
      </w:pPr>
      <w:r w:rsidRPr="00584F4C">
        <w:tab/>
        <w:t>(1)</w:t>
      </w:r>
      <w:r w:rsidRPr="00584F4C">
        <w:tab/>
        <w:t>This section applies if a person who has been removed to a host jurisdiction under this Act:</w:t>
      </w:r>
    </w:p>
    <w:p w:rsidR="00AF6F4D" w:rsidRPr="00584F4C" w:rsidRDefault="00AF6F4D" w:rsidP="00AF6F4D">
      <w:pPr>
        <w:pStyle w:val="paragraph"/>
      </w:pPr>
      <w:r w:rsidRPr="00584F4C">
        <w:tab/>
        <w:t>(a)</w:t>
      </w:r>
      <w:r w:rsidRPr="00584F4C">
        <w:tab/>
        <w:t>is found to have been insane at the time of the commission of the offence; or</w:t>
      </w:r>
    </w:p>
    <w:p w:rsidR="00AF6F4D" w:rsidRPr="00584F4C" w:rsidRDefault="00AF6F4D" w:rsidP="00AF6F4D">
      <w:pPr>
        <w:pStyle w:val="paragraph"/>
      </w:pPr>
      <w:r w:rsidRPr="00584F4C">
        <w:tab/>
        <w:t>(b)</w:t>
      </w:r>
      <w:r w:rsidRPr="00584F4C">
        <w:tab/>
        <w:t>is found or certified, or otherwise lawfully proved, to be unfit, on the ground of insanity, to be tried for the offence; or</w:t>
      </w:r>
    </w:p>
    <w:p w:rsidR="00AF6F4D" w:rsidRPr="00584F4C" w:rsidRDefault="00AF6F4D" w:rsidP="00AF6F4D">
      <w:pPr>
        <w:pStyle w:val="paragraph"/>
        <w:keepNext/>
      </w:pPr>
      <w:r w:rsidRPr="00584F4C">
        <w:tab/>
        <w:t>(c)</w:t>
      </w:r>
      <w:r w:rsidRPr="00584F4C">
        <w:tab/>
        <w:t>is convicted of an offence and afterwards certified, or otherwise lawfully proved, to be insane.</w:t>
      </w:r>
    </w:p>
    <w:p w:rsidR="00AF6F4D" w:rsidRPr="00584F4C" w:rsidRDefault="00AF6F4D" w:rsidP="00AF6F4D">
      <w:pPr>
        <w:pStyle w:val="subsection"/>
      </w:pPr>
      <w:r w:rsidRPr="00584F4C">
        <w:tab/>
        <w:t>(2)</w:t>
      </w:r>
      <w:r w:rsidRPr="00584F4C">
        <w:tab/>
        <w:t>The person is taken:</w:t>
      </w:r>
    </w:p>
    <w:p w:rsidR="00AF6F4D" w:rsidRPr="00584F4C" w:rsidRDefault="00AF6F4D" w:rsidP="00AF6F4D">
      <w:pPr>
        <w:pStyle w:val="paragraph"/>
      </w:pPr>
      <w:r w:rsidRPr="00584F4C">
        <w:lastRenderedPageBreak/>
        <w:tab/>
        <w:t>(a)</w:t>
      </w:r>
      <w:r w:rsidRPr="00584F4C">
        <w:tab/>
        <w:t xml:space="preserve">to be a criminal lunatic within the meaning of the </w:t>
      </w:r>
      <w:r w:rsidRPr="00584F4C">
        <w:rPr>
          <w:i/>
        </w:rPr>
        <w:t>Removal of Prisoners (Territories) Act 1923</w:t>
      </w:r>
      <w:r w:rsidRPr="00584F4C">
        <w:t>; and</w:t>
      </w:r>
    </w:p>
    <w:p w:rsidR="00AF6F4D" w:rsidRPr="00584F4C" w:rsidRDefault="00AF6F4D" w:rsidP="00AF6F4D">
      <w:pPr>
        <w:pStyle w:val="paragraph"/>
        <w:keepNext/>
      </w:pPr>
      <w:r w:rsidRPr="00584F4C">
        <w:tab/>
        <w:t>(b)</w:t>
      </w:r>
      <w:r w:rsidRPr="00584F4C">
        <w:tab/>
        <w:t>to have been removed to that jurisdiction under that Act.</w:t>
      </w:r>
    </w:p>
    <w:p w:rsidR="00AF6F4D" w:rsidRPr="00584F4C" w:rsidRDefault="00AF6F4D" w:rsidP="00AF6F4D">
      <w:pPr>
        <w:pStyle w:val="subsection"/>
      </w:pPr>
      <w:r w:rsidRPr="00584F4C">
        <w:tab/>
        <w:t>(3)</w:t>
      </w:r>
      <w:r w:rsidRPr="00584F4C">
        <w:tab/>
        <w:t>Sections 9 and 10A of that Act apply (so far as they are capable of applying) in relation to the person accordingly.</w:t>
      </w:r>
    </w:p>
    <w:p w:rsidR="00AF6F4D" w:rsidRPr="00584F4C" w:rsidRDefault="00AF6F4D" w:rsidP="00AF6F4D">
      <w:pPr>
        <w:pStyle w:val="ActHead5"/>
      </w:pPr>
      <w:bookmarkStart w:id="38" w:name="_Toc514847578"/>
      <w:r w:rsidRPr="00584F4C">
        <w:rPr>
          <w:rStyle w:val="CharSectno"/>
        </w:rPr>
        <w:t>60L</w:t>
      </w:r>
      <w:r w:rsidRPr="00584F4C">
        <w:t xml:space="preserve">  Repatriation of person tried in a host jurisdiction</w:t>
      </w:r>
      <w:bookmarkEnd w:id="38"/>
    </w:p>
    <w:p w:rsidR="00AF6F4D" w:rsidRPr="00584F4C" w:rsidRDefault="00AF6F4D" w:rsidP="00AF6F4D">
      <w:pPr>
        <w:pStyle w:val="subsection"/>
      </w:pPr>
      <w:r w:rsidRPr="00584F4C">
        <w:tab/>
      </w:r>
      <w:r w:rsidRPr="00584F4C">
        <w:tab/>
        <w:t>Where:</w:t>
      </w:r>
    </w:p>
    <w:p w:rsidR="00AF6F4D" w:rsidRPr="00584F4C" w:rsidRDefault="00AF6F4D" w:rsidP="00AF6F4D">
      <w:pPr>
        <w:pStyle w:val="paragraph"/>
      </w:pPr>
      <w:r w:rsidRPr="00584F4C">
        <w:tab/>
        <w:t>(a)</w:t>
      </w:r>
      <w:r w:rsidRPr="00584F4C">
        <w:tab/>
        <w:t>a person has been removed to a host jurisdiction under this Act; and</w:t>
      </w:r>
    </w:p>
    <w:p w:rsidR="00AF6F4D" w:rsidRPr="00584F4C" w:rsidRDefault="00AF6F4D" w:rsidP="00AF6F4D">
      <w:pPr>
        <w:pStyle w:val="paragraph"/>
      </w:pPr>
      <w:r w:rsidRPr="00584F4C">
        <w:tab/>
        <w:t>(b)</w:t>
      </w:r>
      <w:r w:rsidRPr="00584F4C">
        <w:tab/>
        <w:t>the trial of the person in the Supreme Court sitting in that jurisdiction has concluded; and</w:t>
      </w:r>
    </w:p>
    <w:p w:rsidR="00AF6F4D" w:rsidRPr="00584F4C" w:rsidRDefault="00AF6F4D" w:rsidP="00AF6F4D">
      <w:pPr>
        <w:pStyle w:val="paragraph"/>
        <w:keepNext/>
      </w:pPr>
      <w:r w:rsidRPr="00584F4C">
        <w:tab/>
        <w:t>(c)</w:t>
      </w:r>
      <w:r w:rsidRPr="00584F4C">
        <w:tab/>
        <w:t>the person is acquitted (other than on the ground of insanity) or is not, after the date on which the trial concludes, required to serve a sentence of imprisonment;</w:t>
      </w:r>
    </w:p>
    <w:p w:rsidR="00AF6F4D" w:rsidRPr="00584F4C" w:rsidRDefault="00AF6F4D" w:rsidP="00AF6F4D">
      <w:pPr>
        <w:pStyle w:val="subsection2"/>
        <w:rPr>
          <w:rFonts w:eastAsiaTheme="minorHAnsi"/>
        </w:rPr>
      </w:pPr>
      <w:r w:rsidRPr="00584F4C">
        <w:t>the Commonwealth must, on application by the person to the Secretary, provide the person with means to enable the person to return to the Territory.</w:t>
      </w:r>
    </w:p>
    <w:p w:rsidR="00AF6F4D" w:rsidRPr="00584F4C" w:rsidRDefault="00AF6F4D" w:rsidP="00AF6F4D">
      <w:pPr>
        <w:pStyle w:val="ActHead4"/>
        <w:rPr>
          <w:rFonts w:eastAsiaTheme="minorHAnsi"/>
        </w:rPr>
      </w:pPr>
      <w:bookmarkStart w:id="39" w:name="_Toc514847579"/>
      <w:r w:rsidRPr="00584F4C">
        <w:rPr>
          <w:rStyle w:val="CharSubdNo"/>
          <w:rFonts w:eastAsiaTheme="minorHAnsi"/>
        </w:rPr>
        <w:t>Subdivision C</w:t>
      </w:r>
      <w:r w:rsidRPr="00584F4C">
        <w:rPr>
          <w:rFonts w:eastAsiaTheme="minorHAnsi"/>
        </w:rPr>
        <w:t>—</w:t>
      </w:r>
      <w:r w:rsidRPr="00584F4C">
        <w:rPr>
          <w:rStyle w:val="CharSubdText"/>
          <w:rFonts w:eastAsiaTheme="minorHAnsi"/>
        </w:rPr>
        <w:t>Historical offences, conduct and engaging in conduct</w:t>
      </w:r>
      <w:bookmarkEnd w:id="39"/>
    </w:p>
    <w:p w:rsidR="00AF6F4D" w:rsidRPr="00584F4C" w:rsidRDefault="00AF6F4D" w:rsidP="00AF6F4D">
      <w:pPr>
        <w:pStyle w:val="ActHead5"/>
        <w:rPr>
          <w:rFonts w:eastAsiaTheme="minorHAnsi"/>
        </w:rPr>
      </w:pPr>
      <w:bookmarkStart w:id="40" w:name="_Toc514847580"/>
      <w:r w:rsidRPr="00584F4C">
        <w:rPr>
          <w:rStyle w:val="CharSectno"/>
          <w:rFonts w:eastAsiaTheme="minorHAnsi"/>
        </w:rPr>
        <w:t>60M</w:t>
      </w:r>
      <w:r w:rsidRPr="00584F4C">
        <w:rPr>
          <w:rFonts w:eastAsiaTheme="minorHAnsi"/>
        </w:rPr>
        <w:t xml:space="preserve">  Historical offences</w:t>
      </w:r>
      <w:bookmarkEnd w:id="40"/>
    </w:p>
    <w:p w:rsidR="00AF6F4D" w:rsidRPr="00584F4C" w:rsidRDefault="00AF6F4D" w:rsidP="00AF6F4D">
      <w:pPr>
        <w:pStyle w:val="subsection"/>
      </w:pPr>
      <w:r w:rsidRPr="00584F4C">
        <w:rPr>
          <w:rFonts w:eastAsiaTheme="minorHAnsi"/>
        </w:rPr>
        <w:tab/>
      </w:r>
      <w:r w:rsidRPr="00584F4C">
        <w:rPr>
          <w:rFonts w:eastAsiaTheme="minorHAnsi"/>
        </w:rPr>
        <w:tab/>
        <w:t xml:space="preserve">In this Division, a reference to </w:t>
      </w:r>
      <w:r w:rsidRPr="00584F4C">
        <w:t>an offence against a law of the Territory:</w:t>
      </w:r>
    </w:p>
    <w:p w:rsidR="00AF6F4D" w:rsidRPr="00584F4C" w:rsidRDefault="00AF6F4D" w:rsidP="00AF6F4D">
      <w:pPr>
        <w:pStyle w:val="paragraph"/>
      </w:pPr>
      <w:r w:rsidRPr="00584F4C">
        <w:tab/>
        <w:t>(a)</w:t>
      </w:r>
      <w:r w:rsidRPr="00584F4C">
        <w:tab/>
        <w:t>includes a reference to an offence against a law in force in the Territory at the time the conduct constituting the offence is alleged to have occurred; and</w:t>
      </w:r>
    </w:p>
    <w:p w:rsidR="00AF6F4D" w:rsidRPr="00584F4C" w:rsidRDefault="00AF6F4D" w:rsidP="00AF6F4D">
      <w:pPr>
        <w:pStyle w:val="paragraph"/>
      </w:pPr>
      <w:r w:rsidRPr="00584F4C">
        <w:tab/>
        <w:t>(b)</w:t>
      </w:r>
      <w:r w:rsidRPr="00584F4C">
        <w:tab/>
        <w:t>includes a reference to an offence against a law mentioned in paragraph (a), even if that law has subsequently been amended or repealed.</w:t>
      </w:r>
    </w:p>
    <w:p w:rsidR="00AF6F4D" w:rsidRPr="00584F4C" w:rsidRDefault="00AF6F4D" w:rsidP="00AF6F4D">
      <w:pPr>
        <w:pStyle w:val="ActHead5"/>
        <w:rPr>
          <w:rFonts w:eastAsiaTheme="minorHAnsi"/>
          <w:i/>
        </w:rPr>
      </w:pPr>
      <w:bookmarkStart w:id="41" w:name="_Toc514847581"/>
      <w:r w:rsidRPr="00584F4C">
        <w:rPr>
          <w:rStyle w:val="CharSectno"/>
          <w:rFonts w:eastAsiaTheme="minorHAnsi"/>
        </w:rPr>
        <w:t>60N</w:t>
      </w:r>
      <w:r w:rsidRPr="00584F4C">
        <w:rPr>
          <w:rFonts w:eastAsiaTheme="minorHAnsi"/>
        </w:rPr>
        <w:t xml:space="preserve">  Meanings of </w:t>
      </w:r>
      <w:r w:rsidRPr="00584F4C">
        <w:rPr>
          <w:rFonts w:eastAsiaTheme="minorHAnsi"/>
          <w:i/>
        </w:rPr>
        <w:t xml:space="preserve">conduct </w:t>
      </w:r>
      <w:r w:rsidRPr="00584F4C">
        <w:rPr>
          <w:rFonts w:eastAsiaTheme="minorHAnsi"/>
        </w:rPr>
        <w:t xml:space="preserve">and </w:t>
      </w:r>
      <w:r w:rsidRPr="00584F4C">
        <w:rPr>
          <w:rFonts w:eastAsiaTheme="minorHAnsi"/>
          <w:i/>
        </w:rPr>
        <w:t>engage in conduct</w:t>
      </w:r>
      <w:bookmarkEnd w:id="41"/>
    </w:p>
    <w:p w:rsidR="00AF6F4D" w:rsidRPr="00584F4C" w:rsidRDefault="00AF6F4D" w:rsidP="00AF6F4D">
      <w:pPr>
        <w:pStyle w:val="subsection"/>
        <w:rPr>
          <w:rFonts w:eastAsiaTheme="minorHAnsi"/>
        </w:rPr>
      </w:pPr>
      <w:r w:rsidRPr="00584F4C">
        <w:rPr>
          <w:rFonts w:eastAsiaTheme="minorHAnsi"/>
        </w:rPr>
        <w:tab/>
      </w:r>
      <w:r w:rsidRPr="00584F4C">
        <w:rPr>
          <w:rFonts w:eastAsiaTheme="minorHAnsi"/>
        </w:rPr>
        <w:tab/>
        <w:t>In this Division:</w:t>
      </w:r>
    </w:p>
    <w:p w:rsidR="00AF6F4D" w:rsidRPr="00584F4C" w:rsidRDefault="00AF6F4D" w:rsidP="00AF6F4D">
      <w:pPr>
        <w:pStyle w:val="Definition"/>
        <w:rPr>
          <w:rFonts w:eastAsiaTheme="minorHAnsi"/>
        </w:rPr>
      </w:pPr>
      <w:r w:rsidRPr="00584F4C">
        <w:rPr>
          <w:rFonts w:eastAsiaTheme="minorHAnsi"/>
          <w:b/>
          <w:i/>
        </w:rPr>
        <w:t>conduct</w:t>
      </w:r>
      <w:r w:rsidRPr="00584F4C">
        <w:rPr>
          <w:rFonts w:eastAsiaTheme="minorHAnsi"/>
        </w:rPr>
        <w:t xml:space="preserve"> has the same meaning as in the Commonwealth’s </w:t>
      </w:r>
      <w:r w:rsidRPr="00584F4C">
        <w:rPr>
          <w:rFonts w:eastAsiaTheme="minorHAnsi"/>
          <w:i/>
        </w:rPr>
        <w:t>Criminal Code</w:t>
      </w:r>
      <w:r w:rsidRPr="00584F4C">
        <w:rPr>
          <w:rFonts w:eastAsiaTheme="minorHAnsi"/>
        </w:rPr>
        <w:t>.</w:t>
      </w:r>
    </w:p>
    <w:p w:rsidR="00AF6F4D" w:rsidRPr="00584F4C" w:rsidRDefault="00AF6F4D" w:rsidP="00AF6F4D">
      <w:pPr>
        <w:pStyle w:val="Definition"/>
        <w:rPr>
          <w:rFonts w:eastAsiaTheme="minorHAnsi"/>
        </w:rPr>
      </w:pPr>
      <w:r w:rsidRPr="00584F4C">
        <w:rPr>
          <w:rFonts w:eastAsiaTheme="minorHAnsi"/>
          <w:b/>
          <w:i/>
        </w:rPr>
        <w:lastRenderedPageBreak/>
        <w:t>engage in conduct</w:t>
      </w:r>
      <w:r w:rsidRPr="00584F4C">
        <w:rPr>
          <w:rFonts w:eastAsiaTheme="minorHAnsi"/>
        </w:rPr>
        <w:t xml:space="preserve"> has the same meaning as in the Commonwealth’s </w:t>
      </w:r>
      <w:r w:rsidRPr="00584F4C">
        <w:rPr>
          <w:rFonts w:eastAsiaTheme="minorHAnsi"/>
          <w:i/>
        </w:rPr>
        <w:t>Criminal Code</w:t>
      </w:r>
      <w:r w:rsidRPr="00584F4C">
        <w:rPr>
          <w:rFonts w:eastAsiaTheme="minorHAnsi"/>
        </w:rPr>
        <w:t>.</w:t>
      </w:r>
    </w:p>
    <w:p w:rsidR="00AF6F4D" w:rsidRPr="00584F4C" w:rsidRDefault="00AF6F4D" w:rsidP="00AF6F4D">
      <w:pPr>
        <w:pStyle w:val="ActHead3"/>
        <w:rPr>
          <w:rFonts w:eastAsiaTheme="minorHAnsi"/>
        </w:rPr>
      </w:pPr>
      <w:bookmarkStart w:id="42" w:name="_Toc514847582"/>
      <w:r w:rsidRPr="00584F4C">
        <w:rPr>
          <w:rStyle w:val="CharDivNo"/>
          <w:rFonts w:eastAsiaTheme="minorHAnsi"/>
        </w:rPr>
        <w:t>Division 2</w:t>
      </w:r>
      <w:r w:rsidRPr="00584F4C">
        <w:rPr>
          <w:rFonts w:eastAsiaTheme="minorHAnsi"/>
        </w:rPr>
        <w:t>—</w:t>
      </w:r>
      <w:r w:rsidRPr="00584F4C">
        <w:rPr>
          <w:rStyle w:val="CharDivText"/>
          <w:rFonts w:eastAsiaTheme="minorHAnsi"/>
        </w:rPr>
        <w:t>Civil matters</w:t>
      </w:r>
      <w:bookmarkEnd w:id="42"/>
    </w:p>
    <w:p w:rsidR="00AF6F4D" w:rsidRPr="00584F4C" w:rsidRDefault="00AF6F4D" w:rsidP="00AF6F4D">
      <w:pPr>
        <w:pStyle w:val="ActHead5"/>
      </w:pPr>
      <w:bookmarkStart w:id="43" w:name="_Toc514847583"/>
      <w:r w:rsidRPr="00584F4C">
        <w:rPr>
          <w:rStyle w:val="CharSectno"/>
        </w:rPr>
        <w:t>60P</w:t>
      </w:r>
      <w:r w:rsidRPr="00584F4C">
        <w:t xml:space="preserve">  Commonwealth may enter into arrangements with host jurisdictions</w:t>
      </w:r>
      <w:bookmarkEnd w:id="43"/>
    </w:p>
    <w:p w:rsidR="00AF6F4D" w:rsidRPr="00584F4C" w:rsidRDefault="00AF6F4D" w:rsidP="00AF6F4D">
      <w:pPr>
        <w:pStyle w:val="subsection"/>
      </w:pPr>
      <w:r w:rsidRPr="00584F4C">
        <w:tab/>
        <w:t>(1)</w:t>
      </w:r>
      <w:r w:rsidRPr="00584F4C">
        <w:tab/>
        <w:t>The Commonwealth may enter into arrangements with the government or an authority of any of the following for the purposes of the effective application of the provisions of this Division relating to sittings of the Supreme Court in that jurisdiction in the exercise of the Supreme Court’s jurisdiction in civil matters:</w:t>
      </w:r>
    </w:p>
    <w:p w:rsidR="00AF6F4D" w:rsidRPr="00584F4C" w:rsidRDefault="00AF6F4D" w:rsidP="00AF6F4D">
      <w:pPr>
        <w:pStyle w:val="paragraph"/>
      </w:pPr>
      <w:r w:rsidRPr="00584F4C">
        <w:tab/>
        <w:t>(a)</w:t>
      </w:r>
      <w:r w:rsidRPr="00584F4C">
        <w:tab/>
        <w:t>a State;</w:t>
      </w:r>
    </w:p>
    <w:p w:rsidR="00AF6F4D" w:rsidRPr="00584F4C" w:rsidRDefault="00AF6F4D" w:rsidP="00AF6F4D">
      <w:pPr>
        <w:pStyle w:val="paragraph"/>
      </w:pPr>
      <w:r w:rsidRPr="00584F4C">
        <w:tab/>
        <w:t>(b)</w:t>
      </w:r>
      <w:r w:rsidRPr="00584F4C">
        <w:tab/>
        <w:t>the Australian Capital Territory;</w:t>
      </w:r>
    </w:p>
    <w:p w:rsidR="00AF6F4D" w:rsidRPr="00584F4C" w:rsidRDefault="00AF6F4D" w:rsidP="00AF6F4D">
      <w:pPr>
        <w:pStyle w:val="paragraph"/>
      </w:pPr>
      <w:r w:rsidRPr="00584F4C">
        <w:tab/>
        <w:t>(c)</w:t>
      </w:r>
      <w:r w:rsidRPr="00584F4C">
        <w:tab/>
        <w:t>the Northern Territory.</w:t>
      </w:r>
    </w:p>
    <w:p w:rsidR="00AF6F4D" w:rsidRPr="00584F4C" w:rsidRDefault="00AF6F4D" w:rsidP="00AF6F4D">
      <w:pPr>
        <w:pStyle w:val="subsection"/>
      </w:pPr>
      <w:r w:rsidRPr="00584F4C">
        <w:tab/>
        <w:t>(2)</w:t>
      </w:r>
      <w:r w:rsidRPr="00584F4C">
        <w:tab/>
        <w:t>No power is conferred, or duty or function imposed, on an officer of a State under this Division unless:</w:t>
      </w:r>
    </w:p>
    <w:p w:rsidR="00AF6F4D" w:rsidRPr="00584F4C" w:rsidRDefault="00AF6F4D" w:rsidP="00AF6F4D">
      <w:pPr>
        <w:pStyle w:val="paragraph"/>
      </w:pPr>
      <w:r w:rsidRPr="00584F4C">
        <w:tab/>
        <w:t>(a)</w:t>
      </w:r>
      <w:r w:rsidRPr="00584F4C">
        <w:tab/>
        <w:t>an arrangement has been entered into with the government or an authority of that State under subsection (1); and</w:t>
      </w:r>
    </w:p>
    <w:p w:rsidR="00AF6F4D" w:rsidRPr="00584F4C" w:rsidRDefault="00AF6F4D" w:rsidP="00AF6F4D">
      <w:pPr>
        <w:pStyle w:val="paragraph"/>
      </w:pPr>
      <w:r w:rsidRPr="00584F4C">
        <w:tab/>
        <w:t>(b)</w:t>
      </w:r>
      <w:r w:rsidRPr="00584F4C">
        <w:tab/>
        <w:t>the conferral of the power or imposition of the duty or function is in accordance with that arrangement.</w:t>
      </w:r>
    </w:p>
    <w:p w:rsidR="00AF6F4D" w:rsidRPr="00584F4C" w:rsidRDefault="00AF6F4D" w:rsidP="00AF6F4D">
      <w:pPr>
        <w:pStyle w:val="subsection"/>
      </w:pPr>
      <w:r w:rsidRPr="00584F4C">
        <w:tab/>
        <w:t>(3)</w:t>
      </w:r>
      <w:r w:rsidRPr="00584F4C">
        <w:tab/>
        <w:t xml:space="preserve">Each of the following is referred to as a </w:t>
      </w:r>
      <w:r w:rsidRPr="00584F4C">
        <w:rPr>
          <w:b/>
          <w:i/>
        </w:rPr>
        <w:t>host jurisdiction</w:t>
      </w:r>
      <w:r w:rsidRPr="00584F4C">
        <w:t xml:space="preserve"> in this Division:</w:t>
      </w:r>
    </w:p>
    <w:p w:rsidR="00AF6F4D" w:rsidRPr="00584F4C" w:rsidRDefault="00AF6F4D" w:rsidP="00AF6F4D">
      <w:pPr>
        <w:pStyle w:val="paragraph"/>
      </w:pPr>
      <w:r w:rsidRPr="00584F4C">
        <w:tab/>
        <w:t>(a)</w:t>
      </w:r>
      <w:r w:rsidRPr="00584F4C">
        <w:tab/>
        <w:t>a State in relation to which an arrangement has been entered into under subsection (1);</w:t>
      </w:r>
    </w:p>
    <w:p w:rsidR="00AF6F4D" w:rsidRPr="00584F4C" w:rsidRDefault="00AF6F4D" w:rsidP="00AF6F4D">
      <w:pPr>
        <w:pStyle w:val="paragraph"/>
      </w:pPr>
      <w:r w:rsidRPr="00584F4C">
        <w:tab/>
        <w:t>(b)</w:t>
      </w:r>
      <w:r w:rsidRPr="00584F4C">
        <w:tab/>
        <w:t>the Australian Capital Territory;</w:t>
      </w:r>
    </w:p>
    <w:p w:rsidR="00AF6F4D" w:rsidRPr="00584F4C" w:rsidRDefault="00AF6F4D" w:rsidP="00AF6F4D">
      <w:pPr>
        <w:pStyle w:val="paragraph"/>
      </w:pPr>
      <w:r w:rsidRPr="00584F4C">
        <w:tab/>
        <w:t>(c)</w:t>
      </w:r>
      <w:r w:rsidRPr="00584F4C">
        <w:tab/>
        <w:t>the Northern Territory.</w:t>
      </w:r>
    </w:p>
    <w:p w:rsidR="00AF6F4D" w:rsidRPr="00584F4C" w:rsidRDefault="00AF6F4D" w:rsidP="00AF6F4D">
      <w:pPr>
        <w:pStyle w:val="ActHead5"/>
      </w:pPr>
      <w:bookmarkStart w:id="44" w:name="_Toc514847584"/>
      <w:r w:rsidRPr="00584F4C">
        <w:rPr>
          <w:rStyle w:val="CharSectno"/>
          <w:rFonts w:eastAsiaTheme="minorHAnsi"/>
        </w:rPr>
        <w:t>60Q</w:t>
      </w:r>
      <w:r w:rsidRPr="00584F4C">
        <w:rPr>
          <w:rFonts w:eastAsiaTheme="minorHAnsi"/>
        </w:rPr>
        <w:t xml:space="preserve">  </w:t>
      </w:r>
      <w:r w:rsidRPr="00584F4C">
        <w:t>Supreme Court may sit in a host jurisdiction</w:t>
      </w:r>
      <w:bookmarkEnd w:id="44"/>
    </w:p>
    <w:p w:rsidR="00AF6F4D" w:rsidRPr="00584F4C" w:rsidRDefault="00AF6F4D" w:rsidP="00AF6F4D">
      <w:pPr>
        <w:pStyle w:val="subsection"/>
      </w:pPr>
      <w:r w:rsidRPr="00584F4C">
        <w:tab/>
        <w:t>(1)</w:t>
      </w:r>
      <w:r w:rsidRPr="00584F4C">
        <w:tab/>
        <w:t>The Supreme Court, in the exercise of its jurisdiction in civil matters, may sit in a host jurisdiction under this section if to do so would not be contrary to the interests of justice.</w:t>
      </w:r>
    </w:p>
    <w:p w:rsidR="00AF6F4D" w:rsidRPr="00584F4C" w:rsidRDefault="00AF6F4D" w:rsidP="00AF6F4D">
      <w:pPr>
        <w:pStyle w:val="subsection"/>
      </w:pPr>
      <w:r w:rsidRPr="00584F4C">
        <w:tab/>
        <w:t>(2)</w:t>
      </w:r>
      <w:r w:rsidRPr="00584F4C">
        <w:tab/>
        <w:t xml:space="preserve">If a civil matter is before the Supreme Court for hearing at a sitting of the court, the court may order that the hearing of the matter be </w:t>
      </w:r>
      <w:r w:rsidRPr="00584F4C">
        <w:lastRenderedPageBreak/>
        <w:t>adjourned and continued at a sitting of the court in a host jurisdiction, and at a time and place, specified in the order.</w:t>
      </w:r>
    </w:p>
    <w:p w:rsidR="00AF6F4D" w:rsidRPr="00584F4C" w:rsidRDefault="00AF6F4D" w:rsidP="00AF6F4D">
      <w:pPr>
        <w:pStyle w:val="subsection"/>
      </w:pPr>
      <w:r w:rsidRPr="00584F4C">
        <w:tab/>
        <w:t>(3)</w:t>
      </w:r>
      <w:r w:rsidRPr="00584F4C">
        <w:tab/>
        <w:t>If a civil matter is not before the Supreme Court for hearing, a Judge may order that the matter be heard or continued at a sitting of the court in a host jurisdiction, and at a time and place, specified in the order.</w:t>
      </w:r>
    </w:p>
    <w:p w:rsidR="00AF6F4D" w:rsidRPr="00584F4C" w:rsidRDefault="00AF6F4D" w:rsidP="00AF6F4D">
      <w:pPr>
        <w:pStyle w:val="subsection"/>
      </w:pPr>
      <w:r w:rsidRPr="00584F4C">
        <w:tab/>
        <w:t>(4)</w:t>
      </w:r>
      <w:r w:rsidRPr="00584F4C">
        <w:tab/>
        <w:t>When exercising its jurisdiction in a civil matter in a host jurisdiction, the Supreme Court has, and may exercise, all the powers that it would have if it were exercising its jurisdiction in that matter in the Territory.</w:t>
      </w:r>
    </w:p>
    <w:p w:rsidR="00AF6F4D" w:rsidRPr="00584F4C" w:rsidRDefault="00AF6F4D" w:rsidP="00AF6F4D">
      <w:pPr>
        <w:pStyle w:val="subsection"/>
      </w:pPr>
      <w:r w:rsidRPr="00584F4C">
        <w:tab/>
        <w:t>(5)</w:t>
      </w:r>
      <w:r w:rsidRPr="00584F4C">
        <w:tab/>
        <w:t>A power exercised by the Supreme Court under subsection (4) is taken to have been exercised by the Court at a sittings of the Court in the Territory.</w:t>
      </w:r>
    </w:p>
    <w:p w:rsidR="00AF6F4D" w:rsidRPr="00584F4C" w:rsidRDefault="00AF6F4D" w:rsidP="00AF6F4D">
      <w:pPr>
        <w:pStyle w:val="subsection"/>
      </w:pPr>
      <w:r w:rsidRPr="00584F4C">
        <w:tab/>
        <w:t>(6)</w:t>
      </w:r>
      <w:r w:rsidRPr="00584F4C">
        <w:tab/>
        <w:t>A person who appears as a witness in the Supreme Court in the hearing of a civil matter, or in related proceedings, held wholly or partly in a host jurisdiction, must be paid by the Commonwealth such fees and allowances as would be payable to the person if the person had appeared as a witness in the hearing of the matter held in the Territory.</w:t>
      </w:r>
    </w:p>
    <w:p w:rsidR="00AF6F4D" w:rsidRPr="00584F4C" w:rsidRDefault="00AF6F4D" w:rsidP="00AF6F4D">
      <w:pPr>
        <w:pStyle w:val="subsection"/>
      </w:pPr>
      <w:r w:rsidRPr="00584F4C">
        <w:tab/>
        <w:t>(7)</w:t>
      </w:r>
      <w:r w:rsidRPr="00584F4C">
        <w:tab/>
        <w:t>Where:</w:t>
      </w:r>
    </w:p>
    <w:p w:rsidR="00AF6F4D" w:rsidRPr="00584F4C" w:rsidRDefault="00AF6F4D" w:rsidP="00AF6F4D">
      <w:pPr>
        <w:pStyle w:val="paragraph"/>
      </w:pPr>
      <w:r w:rsidRPr="00584F4C">
        <w:tab/>
        <w:t>(a)</w:t>
      </w:r>
      <w:r w:rsidRPr="00584F4C">
        <w:tab/>
        <w:t>the Supreme Court, when exercising its jurisdiction in a civil matter in a host jurisdiction, makes an order, issues a warrant or summons or gives a judgment; and</w:t>
      </w:r>
    </w:p>
    <w:p w:rsidR="00AF6F4D" w:rsidRPr="00584F4C" w:rsidRDefault="00AF6F4D" w:rsidP="00AF6F4D">
      <w:pPr>
        <w:pStyle w:val="paragraph"/>
      </w:pPr>
      <w:r w:rsidRPr="00584F4C">
        <w:tab/>
        <w:t>(b)</w:t>
      </w:r>
      <w:r w:rsidRPr="00584F4C">
        <w:tab/>
        <w:t>a person fails to comply with that order, warrant, summons or judgment; and</w:t>
      </w:r>
    </w:p>
    <w:p w:rsidR="00AF6F4D" w:rsidRPr="00584F4C" w:rsidRDefault="00AF6F4D" w:rsidP="00AF6F4D">
      <w:pPr>
        <w:pStyle w:val="paragraph"/>
        <w:keepNext/>
      </w:pPr>
      <w:r w:rsidRPr="00584F4C">
        <w:tab/>
        <w:t>(c)</w:t>
      </w:r>
      <w:r w:rsidRPr="00584F4C">
        <w:tab/>
        <w:t>that failure would have constituted an offence against a law of the Territory if it had occurred there;</w:t>
      </w:r>
    </w:p>
    <w:p w:rsidR="00AF6F4D" w:rsidRPr="00584F4C" w:rsidRDefault="00AF6F4D" w:rsidP="00AF6F4D">
      <w:pPr>
        <w:pStyle w:val="subsection2"/>
      </w:pPr>
      <w:r w:rsidRPr="00584F4C">
        <w:t>the person commits an offence against this Act punishable by a penalty that is the same as the penalty for the offence referred to in paragraph (c).</w:t>
      </w:r>
    </w:p>
    <w:p w:rsidR="00AF6F4D" w:rsidRPr="00584F4C" w:rsidRDefault="00AF6F4D" w:rsidP="00AF6F4D">
      <w:pPr>
        <w:pStyle w:val="subsection"/>
      </w:pPr>
      <w:r w:rsidRPr="00584F4C">
        <w:tab/>
        <w:t>(8)</w:t>
      </w:r>
      <w:r w:rsidRPr="00584F4C">
        <w:tab/>
        <w:t>An order made under subsection (2) or (3) to hear or continue a matter in a host jurisdiction, may:</w:t>
      </w:r>
    </w:p>
    <w:p w:rsidR="00AF6F4D" w:rsidRPr="00584F4C" w:rsidRDefault="00AF6F4D" w:rsidP="00AF6F4D">
      <w:pPr>
        <w:pStyle w:val="paragraph"/>
      </w:pPr>
      <w:r w:rsidRPr="00584F4C">
        <w:tab/>
        <w:t>(a)</w:t>
      </w:r>
      <w:r w:rsidRPr="00584F4C">
        <w:tab/>
        <w:t xml:space="preserve">if the matter is before the Supreme Court for hearing at a sitting of the court—be revoked by the court and replaced with an order that the hearing of the matter be adjourned and </w:t>
      </w:r>
      <w:r w:rsidRPr="00584F4C">
        <w:lastRenderedPageBreak/>
        <w:t>continued at a sitting of the court in the Territory, and at a time and place, specified in the order; and</w:t>
      </w:r>
    </w:p>
    <w:p w:rsidR="00AF6F4D" w:rsidRPr="00584F4C" w:rsidRDefault="00AF6F4D" w:rsidP="00AF6F4D">
      <w:pPr>
        <w:pStyle w:val="paragraph"/>
      </w:pPr>
      <w:r w:rsidRPr="00584F4C">
        <w:tab/>
        <w:t>(b)</w:t>
      </w:r>
      <w:r w:rsidRPr="00584F4C">
        <w:tab/>
        <w:t>if the matter is not before the Supreme Court for hearing—be revoked by a judge of the Court and replaced with an order that the matter be heard or continued at a sitting of the court in the Territory, and at a time and place, specified in the order.</w:t>
      </w:r>
    </w:p>
    <w:p w:rsidR="00AF6F4D" w:rsidRPr="00584F4C" w:rsidRDefault="00AF6F4D" w:rsidP="00AF6F4D">
      <w:pPr>
        <w:pStyle w:val="subsection"/>
      </w:pPr>
      <w:r w:rsidRPr="00584F4C">
        <w:tab/>
        <w:t>(9)</w:t>
      </w:r>
      <w:r w:rsidRPr="00584F4C">
        <w:tab/>
        <w:t>An order (made under subsection (8) or otherwise) to hear or continue a civil matter at a sitting of the Supreme Court in the Territory may be revoked and be replaced with an order under subsection (2) or (3).</w:t>
      </w:r>
    </w:p>
    <w:p w:rsidR="00AF6F4D" w:rsidRPr="00584F4C" w:rsidRDefault="00AF6F4D" w:rsidP="00AF6F4D">
      <w:pPr>
        <w:pStyle w:val="ItemHead"/>
      </w:pPr>
      <w:r w:rsidRPr="00584F4C">
        <w:t>4  Paragraph 67(a)</w:t>
      </w:r>
    </w:p>
    <w:p w:rsidR="00AF6F4D" w:rsidRPr="00584F4C" w:rsidRDefault="00AF6F4D" w:rsidP="00AF6F4D">
      <w:pPr>
        <w:pStyle w:val="Item"/>
      </w:pPr>
      <w:r w:rsidRPr="00584F4C">
        <w:t>Repeal the paragraph, substitute:</w:t>
      </w:r>
    </w:p>
    <w:p w:rsidR="00AF6F4D" w:rsidRPr="00584F4C" w:rsidRDefault="00AF6F4D" w:rsidP="00AF6F4D">
      <w:pPr>
        <w:pStyle w:val="paragraph"/>
      </w:pPr>
      <w:r w:rsidRPr="00584F4C">
        <w:tab/>
        <w:t>(a)</w:t>
      </w:r>
      <w:r w:rsidRPr="00584F4C">
        <w:tab/>
        <w:t>prescribing circumstances in which the prosecution for an offence against a law of the Territory (as defined for the purposes of Division 1 of Part VIIA) is taken to have commenced for the purposes of subsection 60C(2); and</w:t>
      </w:r>
    </w:p>
    <w:p w:rsidR="00AF6F4D" w:rsidRPr="00584F4C" w:rsidRDefault="00AF6F4D" w:rsidP="00AF6F4D">
      <w:pPr>
        <w:pStyle w:val="ItemHead"/>
      </w:pPr>
      <w:r w:rsidRPr="00584F4C">
        <w:t>5  At the end of the Act</w:t>
      </w:r>
    </w:p>
    <w:p w:rsidR="00AF6F4D" w:rsidRPr="00584F4C" w:rsidRDefault="00AF6F4D" w:rsidP="00AF6F4D">
      <w:pPr>
        <w:pStyle w:val="Item"/>
      </w:pPr>
      <w:r w:rsidRPr="00584F4C">
        <w:t>Add:</w:t>
      </w:r>
    </w:p>
    <w:p w:rsidR="00AF6F4D" w:rsidRPr="00584F4C" w:rsidRDefault="00AF6F4D" w:rsidP="00AF6F4D">
      <w:pPr>
        <w:pStyle w:val="ActHead1"/>
      </w:pPr>
      <w:bookmarkStart w:id="45" w:name="_Toc514847585"/>
      <w:r w:rsidRPr="00584F4C">
        <w:rPr>
          <w:rStyle w:val="CharChapNo"/>
        </w:rPr>
        <w:t>Schedule 5</w:t>
      </w:r>
      <w:r w:rsidRPr="00584F4C">
        <w:t>—</w:t>
      </w:r>
      <w:r w:rsidRPr="00584F4C">
        <w:rPr>
          <w:rStyle w:val="CharChapText"/>
        </w:rPr>
        <w:t>No limitation period on prosecution of sexual offences</w:t>
      </w:r>
      <w:bookmarkEnd w:id="45"/>
    </w:p>
    <w:p w:rsidR="00AF6F4D" w:rsidRPr="00584F4C" w:rsidRDefault="00AF6F4D" w:rsidP="00AF6F4D">
      <w:pPr>
        <w:pStyle w:val="notemargin"/>
      </w:pPr>
      <w:bookmarkStart w:id="46" w:name="f_Check_Lines_above"/>
      <w:bookmarkEnd w:id="46"/>
      <w:r w:rsidRPr="00584F4C">
        <w:t>Note:</w:t>
      </w:r>
      <w:r w:rsidRPr="00584F4C">
        <w:tab/>
        <w:t>See section 60A.</w:t>
      </w:r>
    </w:p>
    <w:p w:rsidR="00AF6F4D" w:rsidRPr="00584F4C" w:rsidRDefault="00AF6F4D" w:rsidP="00AF6F4D">
      <w:pPr>
        <w:pStyle w:val="Header"/>
      </w:pPr>
      <w:bookmarkStart w:id="47" w:name="f_Check_Lines_below"/>
      <w:bookmarkEnd w:id="47"/>
      <w:r w:rsidRPr="00584F4C">
        <w:rPr>
          <w:rStyle w:val="CharPartNo"/>
        </w:rPr>
        <w:t xml:space="preserve"> </w:t>
      </w:r>
      <w:r w:rsidRPr="00584F4C">
        <w:rPr>
          <w:rStyle w:val="CharPartText"/>
        </w:rPr>
        <w:t xml:space="preserve"> </w:t>
      </w:r>
    </w:p>
    <w:p w:rsidR="00AF6F4D" w:rsidRPr="00584F4C" w:rsidRDefault="00AF6F4D" w:rsidP="00AF6F4D">
      <w:pPr>
        <w:pStyle w:val="Header"/>
      </w:pPr>
      <w:r w:rsidRPr="00584F4C">
        <w:rPr>
          <w:rStyle w:val="CharDivNo"/>
        </w:rPr>
        <w:t xml:space="preserve"> </w:t>
      </w:r>
      <w:r w:rsidRPr="00584F4C">
        <w:rPr>
          <w:rStyle w:val="CharDivText"/>
        </w:rPr>
        <w:t xml:space="preserve"> </w:t>
      </w:r>
    </w:p>
    <w:p w:rsidR="00AF6F4D" w:rsidRPr="00584F4C" w:rsidRDefault="00AF6F4D" w:rsidP="00AF6F4D">
      <w:pPr>
        <w:pStyle w:val="ActHead5"/>
      </w:pPr>
      <w:bookmarkStart w:id="48" w:name="_Toc514847586"/>
      <w:r w:rsidRPr="00584F4C">
        <w:rPr>
          <w:rStyle w:val="CharSectno"/>
        </w:rPr>
        <w:t>1</w:t>
      </w:r>
      <w:r w:rsidRPr="00584F4C">
        <w:t xml:space="preserve">  Offences against certain provisions of the </w:t>
      </w:r>
      <w:r w:rsidRPr="00584F4C">
        <w:rPr>
          <w:i/>
        </w:rPr>
        <w:t>Crimes Act 1900</w:t>
      </w:r>
      <w:r w:rsidRPr="00584F4C">
        <w:t xml:space="preserve"> of Norfolk Island</w:t>
      </w:r>
      <w:bookmarkEnd w:id="48"/>
    </w:p>
    <w:p w:rsidR="00AF6F4D" w:rsidRPr="00584F4C" w:rsidRDefault="00AF6F4D" w:rsidP="00AF6F4D">
      <w:pPr>
        <w:pStyle w:val="subsection"/>
      </w:pPr>
      <w:r w:rsidRPr="00584F4C">
        <w:tab/>
        <w:t>(1)</w:t>
      </w:r>
      <w:r w:rsidRPr="00584F4C">
        <w:tab/>
        <w:t xml:space="preserve">Each of the following provisions of the </w:t>
      </w:r>
      <w:r w:rsidRPr="00584F4C">
        <w:rPr>
          <w:i/>
        </w:rPr>
        <w:t>Crimes Act 1900</w:t>
      </w:r>
      <w:r w:rsidRPr="00584F4C">
        <w:t xml:space="preserve"> of Norfolk Island is listed for the purposes of section 60A:</w:t>
      </w:r>
    </w:p>
    <w:p w:rsidR="00AF6F4D" w:rsidRPr="00584F4C" w:rsidRDefault="00AF6F4D" w:rsidP="00AF6F4D">
      <w:pPr>
        <w:pStyle w:val="paragraph"/>
      </w:pPr>
      <w:r w:rsidRPr="00584F4C">
        <w:tab/>
        <w:t>(a)</w:t>
      </w:r>
      <w:r w:rsidRPr="00584F4C">
        <w:tab/>
        <w:t>sections 62 to 81;</w:t>
      </w:r>
    </w:p>
    <w:p w:rsidR="00AF6F4D" w:rsidRPr="00584F4C" w:rsidRDefault="00AF6F4D" w:rsidP="00AF6F4D">
      <w:pPr>
        <w:pStyle w:val="paragraph"/>
      </w:pPr>
      <w:r w:rsidRPr="00584F4C">
        <w:tab/>
        <w:t>(b)</w:t>
      </w:r>
      <w:r w:rsidRPr="00584F4C">
        <w:tab/>
        <w:t>sections 86 to 91D;</w:t>
      </w:r>
    </w:p>
    <w:p w:rsidR="00AF6F4D" w:rsidRPr="00584F4C" w:rsidRDefault="00AF6F4D" w:rsidP="00AF6F4D">
      <w:pPr>
        <w:pStyle w:val="paragraph"/>
      </w:pPr>
      <w:r w:rsidRPr="00584F4C">
        <w:tab/>
        <w:t>(c)</w:t>
      </w:r>
      <w:r w:rsidRPr="00584F4C">
        <w:tab/>
        <w:t>a provision of Part IIIA;</w:t>
      </w:r>
    </w:p>
    <w:p w:rsidR="00AF6F4D" w:rsidRPr="00584F4C" w:rsidRDefault="00AF6F4D" w:rsidP="00AF6F4D">
      <w:pPr>
        <w:pStyle w:val="paragraph"/>
      </w:pPr>
      <w:r w:rsidRPr="00584F4C">
        <w:tab/>
        <w:t>(d)</w:t>
      </w:r>
      <w:r w:rsidRPr="00584F4C">
        <w:tab/>
        <w:t>a provision of Part IX, as it relates to an offence against one of the provisions mentioned in paragraphs (a) to (c).</w:t>
      </w:r>
    </w:p>
    <w:p w:rsidR="00AF6F4D" w:rsidRPr="00584F4C" w:rsidRDefault="00AF6F4D" w:rsidP="00AF6F4D">
      <w:pPr>
        <w:pStyle w:val="subsection"/>
      </w:pPr>
      <w:r w:rsidRPr="00584F4C">
        <w:tab/>
        <w:t>(2)</w:t>
      </w:r>
      <w:r w:rsidRPr="00584F4C">
        <w:tab/>
        <w:t>In this clause:</w:t>
      </w:r>
    </w:p>
    <w:p w:rsidR="00AF6F4D" w:rsidRPr="00584F4C" w:rsidRDefault="00AF6F4D" w:rsidP="00AF6F4D">
      <w:pPr>
        <w:pStyle w:val="Definition"/>
        <w:rPr>
          <w:sz w:val="20"/>
        </w:rPr>
      </w:pPr>
      <w:r w:rsidRPr="00584F4C">
        <w:rPr>
          <w:b/>
          <w:i/>
        </w:rPr>
        <w:lastRenderedPageBreak/>
        <w:t>Crimes Act 1900 of Norfolk Island</w:t>
      </w:r>
      <w:r w:rsidRPr="00584F4C">
        <w:t xml:space="preserve"> means the </w:t>
      </w:r>
      <w:r w:rsidRPr="00584F4C">
        <w:rPr>
          <w:i/>
        </w:rPr>
        <w:t xml:space="preserve">Crimes Act 1900 </w:t>
      </w:r>
      <w:r w:rsidRPr="00584F4C">
        <w:t>of the State of New South Wales, as amended before 16 December 1936 and applied in Norfolk Island, subject to any modifications made from time to time under laws that were in force in the Territory before</w:t>
      </w:r>
      <w:r w:rsidRPr="00584F4C">
        <w:rPr>
          <w:szCs w:val="22"/>
        </w:rPr>
        <w:t xml:space="preserve"> 1 January</w:t>
      </w:r>
      <w:r w:rsidRPr="00584F4C">
        <w:rPr>
          <w:i/>
          <w:szCs w:val="22"/>
        </w:rPr>
        <w:t xml:space="preserve"> </w:t>
      </w:r>
      <w:r w:rsidRPr="00584F4C">
        <w:rPr>
          <w:szCs w:val="22"/>
        </w:rPr>
        <w:t>2008</w:t>
      </w:r>
      <w:r w:rsidRPr="00584F4C">
        <w:rPr>
          <w:sz w:val="20"/>
        </w:rPr>
        <w:t>.</w:t>
      </w:r>
    </w:p>
    <w:p w:rsidR="00AF6F4D" w:rsidRPr="00584F4C" w:rsidRDefault="00AF6F4D" w:rsidP="00AF6F4D">
      <w:pPr>
        <w:pStyle w:val="ActHead5"/>
      </w:pPr>
      <w:bookmarkStart w:id="49" w:name="_Toc514847587"/>
      <w:r w:rsidRPr="00584F4C">
        <w:rPr>
          <w:rStyle w:val="CharSectno"/>
        </w:rPr>
        <w:t>2</w:t>
      </w:r>
      <w:r w:rsidRPr="00584F4C">
        <w:t xml:space="preserve">  Offences against the </w:t>
      </w:r>
      <w:r w:rsidRPr="00584F4C">
        <w:rPr>
          <w:i/>
        </w:rPr>
        <w:t xml:space="preserve">Criminal Code </w:t>
      </w:r>
      <w:r w:rsidRPr="00584F4C">
        <w:t>of Norfolk Island</w:t>
      </w:r>
      <w:bookmarkEnd w:id="49"/>
    </w:p>
    <w:p w:rsidR="00AF6F4D" w:rsidRPr="00584F4C" w:rsidRDefault="00AF6F4D" w:rsidP="00AF6F4D">
      <w:pPr>
        <w:pStyle w:val="subsection"/>
      </w:pPr>
      <w:r w:rsidRPr="00584F4C">
        <w:tab/>
        <w:t>(1)</w:t>
      </w:r>
      <w:r w:rsidRPr="00584F4C">
        <w:tab/>
        <w:t xml:space="preserve">Each provision of the following Parts of the </w:t>
      </w:r>
      <w:r w:rsidRPr="00584F4C">
        <w:rPr>
          <w:i/>
        </w:rPr>
        <w:t xml:space="preserve">Criminal Code </w:t>
      </w:r>
      <w:r w:rsidRPr="00584F4C">
        <w:t>of Norfolk Island is listed for the purposes of section 60A:</w:t>
      </w:r>
    </w:p>
    <w:p w:rsidR="00AF6F4D" w:rsidRPr="00584F4C" w:rsidRDefault="00AF6F4D" w:rsidP="00AF6F4D">
      <w:pPr>
        <w:pStyle w:val="paragraph"/>
      </w:pPr>
      <w:r w:rsidRPr="00584F4C">
        <w:tab/>
        <w:t>(a)</w:t>
      </w:r>
      <w:r w:rsidRPr="00584F4C">
        <w:tab/>
        <w:t>Part 3.6;</w:t>
      </w:r>
    </w:p>
    <w:p w:rsidR="00AF6F4D" w:rsidRPr="00584F4C" w:rsidRDefault="00AF6F4D" w:rsidP="00AF6F4D">
      <w:pPr>
        <w:pStyle w:val="paragraph"/>
      </w:pPr>
      <w:r w:rsidRPr="00584F4C">
        <w:tab/>
        <w:t>(b)</w:t>
      </w:r>
      <w:r w:rsidRPr="00584F4C">
        <w:tab/>
        <w:t>Part 3.7;</w:t>
      </w:r>
    </w:p>
    <w:p w:rsidR="00AF6F4D" w:rsidRPr="00584F4C" w:rsidRDefault="00AF6F4D" w:rsidP="00AF6F4D">
      <w:pPr>
        <w:pStyle w:val="paragraph"/>
      </w:pPr>
      <w:r w:rsidRPr="00584F4C">
        <w:tab/>
        <w:t>(c)</w:t>
      </w:r>
      <w:r w:rsidRPr="00584F4C">
        <w:tab/>
        <w:t>Part 3.9;</w:t>
      </w:r>
    </w:p>
    <w:p w:rsidR="00AF6F4D" w:rsidRPr="00584F4C" w:rsidRDefault="00AF6F4D" w:rsidP="00AF6F4D">
      <w:pPr>
        <w:pStyle w:val="paragraph"/>
      </w:pPr>
      <w:r w:rsidRPr="00584F4C">
        <w:tab/>
        <w:t>(d)</w:t>
      </w:r>
      <w:r w:rsidRPr="00584F4C">
        <w:tab/>
        <w:t>Part 3.10;</w:t>
      </w:r>
    </w:p>
    <w:p w:rsidR="00AF6F4D" w:rsidRPr="00584F4C" w:rsidRDefault="00AF6F4D" w:rsidP="00AF6F4D">
      <w:pPr>
        <w:pStyle w:val="paragraph"/>
      </w:pPr>
      <w:r w:rsidRPr="00584F4C">
        <w:tab/>
        <w:t>(e)</w:t>
      </w:r>
      <w:r w:rsidRPr="00584F4C">
        <w:tab/>
        <w:t>Part 2.4, as it relates to an offence against any provision of one of the Parts mentioned in paragraphs (a) to (d).</w:t>
      </w:r>
    </w:p>
    <w:p w:rsidR="00AF6F4D" w:rsidRPr="00584F4C" w:rsidRDefault="00AF6F4D" w:rsidP="00AF6F4D">
      <w:pPr>
        <w:pStyle w:val="subsection"/>
      </w:pPr>
      <w:r w:rsidRPr="00584F4C">
        <w:tab/>
        <w:t>(2)</w:t>
      </w:r>
      <w:r w:rsidRPr="00584F4C">
        <w:tab/>
        <w:t>In this clause:</w:t>
      </w:r>
    </w:p>
    <w:p w:rsidR="00AF6F4D" w:rsidRPr="00584F4C" w:rsidRDefault="00AF6F4D" w:rsidP="00AF6F4D">
      <w:pPr>
        <w:pStyle w:val="Definition"/>
      </w:pPr>
      <w:r w:rsidRPr="00584F4C">
        <w:rPr>
          <w:b/>
          <w:i/>
        </w:rPr>
        <w:t>Criminal Code of Norfolk Island</w:t>
      </w:r>
      <w:r w:rsidRPr="00584F4C">
        <w:rPr>
          <w:b/>
        </w:rPr>
        <w:t xml:space="preserve"> </w:t>
      </w:r>
      <w:r w:rsidRPr="00584F4C">
        <w:t xml:space="preserve">means the </w:t>
      </w:r>
      <w:r w:rsidRPr="00584F4C">
        <w:rPr>
          <w:i/>
        </w:rPr>
        <w:t>Criminal Code 2007</w:t>
      </w:r>
      <w:r w:rsidRPr="00584F4C">
        <w:t xml:space="preserve"> of Norfolk Island, as in force from time to time on and after 1 January 2008.</w:t>
      </w:r>
    </w:p>
    <w:p w:rsidR="00AF6F4D" w:rsidRPr="00584F4C" w:rsidRDefault="00AF6F4D" w:rsidP="00AF6F4D">
      <w:pPr>
        <w:pStyle w:val="ItemHead"/>
      </w:pPr>
      <w:r w:rsidRPr="00584F4C">
        <w:t>6  Application of amendments</w:t>
      </w:r>
    </w:p>
    <w:p w:rsidR="00AF6F4D" w:rsidRPr="00584F4C" w:rsidRDefault="00AF6F4D" w:rsidP="00AF6F4D">
      <w:pPr>
        <w:pStyle w:val="SubitemHead"/>
      </w:pPr>
      <w:r w:rsidRPr="00584F4C">
        <w:t>Trial of criminal matters</w:t>
      </w:r>
    </w:p>
    <w:p w:rsidR="00AF6F4D" w:rsidRPr="00584F4C" w:rsidRDefault="00AF6F4D" w:rsidP="00AF6F4D">
      <w:pPr>
        <w:pStyle w:val="Subitem"/>
      </w:pPr>
      <w:r w:rsidRPr="00584F4C">
        <w:t>(1)</w:t>
      </w:r>
      <w:r w:rsidRPr="00584F4C">
        <w:tab/>
        <w:t xml:space="preserve">To avoid doubt, Subdivision B of Division 1 of Part VIIA of the </w:t>
      </w:r>
      <w:r w:rsidRPr="00584F4C">
        <w:rPr>
          <w:i/>
        </w:rPr>
        <w:t>Norfolk Island Act 1979</w:t>
      </w:r>
      <w:r w:rsidRPr="00584F4C">
        <w:t>, inserted by item 3 of this Schedule, applies in relation to the trial of an offence even if the trial has begun before the Subdivision commences.</w:t>
      </w:r>
    </w:p>
    <w:p w:rsidR="00AF6F4D" w:rsidRPr="00584F4C" w:rsidRDefault="00AF6F4D" w:rsidP="00AF6F4D">
      <w:pPr>
        <w:pStyle w:val="SubitemHead"/>
      </w:pPr>
      <w:r w:rsidRPr="00584F4C">
        <w:t>Hearing civil matters</w:t>
      </w:r>
    </w:p>
    <w:p w:rsidR="00AF6F4D" w:rsidRPr="00584F4C" w:rsidRDefault="00AF6F4D" w:rsidP="00AF6F4D">
      <w:pPr>
        <w:pStyle w:val="Subitem"/>
      </w:pPr>
      <w:r w:rsidRPr="00584F4C">
        <w:t>(2)</w:t>
      </w:r>
      <w:r w:rsidRPr="00584F4C">
        <w:tab/>
        <w:t xml:space="preserve">An order that was made under a provision of the </w:t>
      </w:r>
      <w:r w:rsidRPr="00584F4C">
        <w:rPr>
          <w:i/>
        </w:rPr>
        <w:t xml:space="preserve">Norfolk Island Regulations 2017 </w:t>
      </w:r>
      <w:r w:rsidRPr="00584F4C">
        <w:t xml:space="preserve">(the </w:t>
      </w:r>
      <w:r w:rsidRPr="00584F4C">
        <w:rPr>
          <w:b/>
          <w:i/>
        </w:rPr>
        <w:t>Regulations</w:t>
      </w:r>
      <w:r w:rsidRPr="00584F4C">
        <w:t xml:space="preserve">) described in column 1 of an item of the following table and was in force immediately before the commencement of Division 2 of Part VIIA of the </w:t>
      </w:r>
      <w:r w:rsidRPr="00584F4C">
        <w:rPr>
          <w:i/>
        </w:rPr>
        <w:t xml:space="preserve">Norfolk Island Act 1979 </w:t>
      </w:r>
      <w:r w:rsidRPr="00584F4C">
        <w:t xml:space="preserve">(the </w:t>
      </w:r>
      <w:r w:rsidRPr="00584F4C">
        <w:rPr>
          <w:b/>
          <w:i/>
        </w:rPr>
        <w:t>Act</w:t>
      </w:r>
      <w:r w:rsidRPr="00584F4C">
        <w:t>), inserted by item 3 of this Schedule, has effect on and after that commencement as if it were an order described in column 2 of the item.</w:t>
      </w:r>
    </w:p>
    <w:p w:rsidR="00AF6F4D" w:rsidRPr="00584F4C" w:rsidRDefault="00AF6F4D" w:rsidP="00AF6F4D">
      <w:pPr>
        <w:pStyle w:val="Subitem"/>
      </w:pPr>
    </w:p>
    <w:tbl>
      <w:tblPr>
        <w:tblW w:w="0" w:type="auto"/>
        <w:tblInd w:w="108"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9"/>
        <w:gridCol w:w="3186"/>
        <w:gridCol w:w="3186"/>
      </w:tblGrid>
      <w:tr w:rsidR="00AF6F4D" w:rsidRPr="00584F4C" w:rsidTr="00634DEF">
        <w:trPr>
          <w:tblHeader/>
        </w:trPr>
        <w:tc>
          <w:tcPr>
            <w:tcW w:w="7091" w:type="dxa"/>
            <w:gridSpan w:val="3"/>
            <w:tcBorders>
              <w:top w:val="single" w:sz="12" w:space="0" w:color="auto"/>
              <w:bottom w:val="single" w:sz="6" w:space="0" w:color="auto"/>
            </w:tcBorders>
            <w:shd w:val="clear" w:color="auto" w:fill="auto"/>
          </w:tcPr>
          <w:p w:rsidR="00AF6F4D" w:rsidRPr="00584F4C" w:rsidRDefault="00AF6F4D" w:rsidP="00634DEF">
            <w:pPr>
              <w:pStyle w:val="TableHeading"/>
            </w:pPr>
            <w:r w:rsidRPr="00584F4C">
              <w:lastRenderedPageBreak/>
              <w:t>Continuation of orders made under the Regulations</w:t>
            </w:r>
          </w:p>
        </w:tc>
      </w:tr>
      <w:tr w:rsidR="00AF6F4D" w:rsidRPr="00584F4C" w:rsidTr="00634DEF">
        <w:trPr>
          <w:tblHeader/>
        </w:trPr>
        <w:tc>
          <w:tcPr>
            <w:tcW w:w="719" w:type="dxa"/>
            <w:tcBorders>
              <w:top w:val="single" w:sz="6" w:space="0" w:color="auto"/>
              <w:bottom w:val="single" w:sz="12" w:space="0" w:color="auto"/>
            </w:tcBorders>
            <w:shd w:val="clear" w:color="auto" w:fill="auto"/>
          </w:tcPr>
          <w:p w:rsidR="00AF6F4D" w:rsidRPr="00584F4C" w:rsidRDefault="00AF6F4D" w:rsidP="00634DEF">
            <w:pPr>
              <w:pStyle w:val="TableHeading"/>
            </w:pPr>
            <w:r w:rsidRPr="00584F4C">
              <w:t>Item</w:t>
            </w:r>
          </w:p>
        </w:tc>
        <w:tc>
          <w:tcPr>
            <w:tcW w:w="3186" w:type="dxa"/>
            <w:tcBorders>
              <w:top w:val="single" w:sz="6" w:space="0" w:color="auto"/>
              <w:bottom w:val="single" w:sz="12" w:space="0" w:color="auto"/>
            </w:tcBorders>
            <w:shd w:val="clear" w:color="auto" w:fill="auto"/>
          </w:tcPr>
          <w:p w:rsidR="00AF6F4D" w:rsidRPr="00584F4C" w:rsidRDefault="00AF6F4D" w:rsidP="00634DEF">
            <w:pPr>
              <w:pStyle w:val="TableHeading"/>
            </w:pPr>
            <w:r w:rsidRPr="00584F4C">
              <w:t>Column 1</w:t>
            </w:r>
          </w:p>
        </w:tc>
        <w:tc>
          <w:tcPr>
            <w:tcW w:w="3186" w:type="dxa"/>
            <w:tcBorders>
              <w:top w:val="single" w:sz="6" w:space="0" w:color="auto"/>
              <w:bottom w:val="single" w:sz="12" w:space="0" w:color="auto"/>
            </w:tcBorders>
            <w:shd w:val="clear" w:color="auto" w:fill="auto"/>
          </w:tcPr>
          <w:p w:rsidR="00AF6F4D" w:rsidRPr="00584F4C" w:rsidRDefault="00AF6F4D" w:rsidP="00634DEF">
            <w:pPr>
              <w:pStyle w:val="TableHeading"/>
            </w:pPr>
            <w:r w:rsidRPr="00584F4C">
              <w:t>Column 2</w:t>
            </w:r>
          </w:p>
        </w:tc>
      </w:tr>
      <w:tr w:rsidR="00AF6F4D" w:rsidRPr="00584F4C" w:rsidTr="00634DEF">
        <w:tc>
          <w:tcPr>
            <w:tcW w:w="719" w:type="dxa"/>
            <w:tcBorders>
              <w:top w:val="single" w:sz="12" w:space="0" w:color="auto"/>
            </w:tcBorders>
            <w:shd w:val="clear" w:color="auto" w:fill="auto"/>
          </w:tcPr>
          <w:p w:rsidR="00AF6F4D" w:rsidRPr="00584F4C" w:rsidRDefault="00AF6F4D" w:rsidP="00634DEF">
            <w:pPr>
              <w:pStyle w:val="Tabletext"/>
            </w:pPr>
            <w:r w:rsidRPr="00584F4C">
              <w:t>1</w:t>
            </w:r>
          </w:p>
        </w:tc>
        <w:tc>
          <w:tcPr>
            <w:tcW w:w="3186" w:type="dxa"/>
            <w:tcBorders>
              <w:top w:val="single" w:sz="12" w:space="0" w:color="auto"/>
            </w:tcBorders>
            <w:shd w:val="clear" w:color="auto" w:fill="auto"/>
          </w:tcPr>
          <w:p w:rsidR="00AF6F4D" w:rsidRPr="00584F4C" w:rsidRDefault="00AF6F4D" w:rsidP="00634DEF">
            <w:pPr>
              <w:pStyle w:val="Tabletext"/>
              <w:rPr>
                <w:i/>
              </w:rPr>
            </w:pPr>
            <w:r w:rsidRPr="00584F4C">
              <w:t>An order under section 8 of the Regulations</w:t>
            </w:r>
          </w:p>
        </w:tc>
        <w:tc>
          <w:tcPr>
            <w:tcW w:w="3186" w:type="dxa"/>
            <w:tcBorders>
              <w:top w:val="single" w:sz="12" w:space="0" w:color="auto"/>
            </w:tcBorders>
            <w:shd w:val="clear" w:color="auto" w:fill="auto"/>
          </w:tcPr>
          <w:p w:rsidR="00AF6F4D" w:rsidRPr="00584F4C" w:rsidRDefault="00AF6F4D" w:rsidP="00634DEF">
            <w:pPr>
              <w:pStyle w:val="Tabletext"/>
            </w:pPr>
            <w:r w:rsidRPr="00584F4C">
              <w:t>An order under subsection 60Q(2) of the Act</w:t>
            </w:r>
          </w:p>
        </w:tc>
      </w:tr>
      <w:tr w:rsidR="00AF6F4D" w:rsidRPr="00584F4C" w:rsidTr="00634DEF">
        <w:tc>
          <w:tcPr>
            <w:tcW w:w="719" w:type="dxa"/>
            <w:tcBorders>
              <w:bottom w:val="single" w:sz="2" w:space="0" w:color="auto"/>
            </w:tcBorders>
            <w:shd w:val="clear" w:color="auto" w:fill="auto"/>
          </w:tcPr>
          <w:p w:rsidR="00AF6F4D" w:rsidRPr="00584F4C" w:rsidRDefault="00AF6F4D" w:rsidP="00634DEF">
            <w:pPr>
              <w:pStyle w:val="Tabletext"/>
            </w:pPr>
            <w:r w:rsidRPr="00584F4C">
              <w:t>2</w:t>
            </w:r>
          </w:p>
        </w:tc>
        <w:tc>
          <w:tcPr>
            <w:tcW w:w="3186" w:type="dxa"/>
            <w:tcBorders>
              <w:bottom w:val="single" w:sz="2" w:space="0" w:color="auto"/>
            </w:tcBorders>
            <w:shd w:val="clear" w:color="auto" w:fill="auto"/>
          </w:tcPr>
          <w:p w:rsidR="00AF6F4D" w:rsidRPr="00584F4C" w:rsidRDefault="00AF6F4D" w:rsidP="00634DEF">
            <w:pPr>
              <w:pStyle w:val="Tabletext"/>
              <w:rPr>
                <w:i/>
              </w:rPr>
            </w:pPr>
            <w:r w:rsidRPr="00584F4C">
              <w:t>An order under subparagraph 9(a)(i) of the Regulations</w:t>
            </w:r>
          </w:p>
        </w:tc>
        <w:tc>
          <w:tcPr>
            <w:tcW w:w="3186" w:type="dxa"/>
            <w:tcBorders>
              <w:bottom w:val="single" w:sz="2" w:space="0" w:color="auto"/>
            </w:tcBorders>
            <w:shd w:val="clear" w:color="auto" w:fill="auto"/>
          </w:tcPr>
          <w:p w:rsidR="00AF6F4D" w:rsidRPr="00584F4C" w:rsidRDefault="00AF6F4D" w:rsidP="00634DEF">
            <w:pPr>
              <w:pStyle w:val="Tabletext"/>
              <w:rPr>
                <w:i/>
              </w:rPr>
            </w:pPr>
            <w:r w:rsidRPr="00584F4C">
              <w:t>An order under subsection 60Q(3) of the Act</w:t>
            </w:r>
          </w:p>
        </w:tc>
      </w:tr>
      <w:tr w:rsidR="00AF6F4D" w:rsidRPr="00584F4C" w:rsidTr="00634DEF">
        <w:tc>
          <w:tcPr>
            <w:tcW w:w="719" w:type="dxa"/>
            <w:tcBorders>
              <w:top w:val="single" w:sz="2" w:space="0" w:color="auto"/>
              <w:bottom w:val="single" w:sz="12" w:space="0" w:color="auto"/>
            </w:tcBorders>
            <w:shd w:val="clear" w:color="auto" w:fill="auto"/>
          </w:tcPr>
          <w:p w:rsidR="00AF6F4D" w:rsidRPr="00584F4C" w:rsidRDefault="00AF6F4D" w:rsidP="00634DEF">
            <w:pPr>
              <w:pStyle w:val="Tabletext"/>
            </w:pPr>
            <w:r w:rsidRPr="00584F4C">
              <w:t>3</w:t>
            </w:r>
          </w:p>
        </w:tc>
        <w:tc>
          <w:tcPr>
            <w:tcW w:w="3186" w:type="dxa"/>
            <w:tcBorders>
              <w:top w:val="single" w:sz="2" w:space="0" w:color="auto"/>
              <w:bottom w:val="single" w:sz="12" w:space="0" w:color="auto"/>
            </w:tcBorders>
            <w:shd w:val="clear" w:color="auto" w:fill="auto"/>
          </w:tcPr>
          <w:p w:rsidR="00AF6F4D" w:rsidRPr="00584F4C" w:rsidRDefault="00AF6F4D" w:rsidP="00634DEF">
            <w:pPr>
              <w:pStyle w:val="Tabletext"/>
              <w:rPr>
                <w:i/>
              </w:rPr>
            </w:pPr>
            <w:r w:rsidRPr="00584F4C">
              <w:t>An order under subparagraph 9(a)(ii) of the Regulations</w:t>
            </w:r>
          </w:p>
        </w:tc>
        <w:tc>
          <w:tcPr>
            <w:tcW w:w="3186" w:type="dxa"/>
            <w:tcBorders>
              <w:top w:val="single" w:sz="2" w:space="0" w:color="auto"/>
              <w:bottom w:val="single" w:sz="12" w:space="0" w:color="auto"/>
            </w:tcBorders>
            <w:shd w:val="clear" w:color="auto" w:fill="auto"/>
          </w:tcPr>
          <w:p w:rsidR="00AF6F4D" w:rsidRPr="00584F4C" w:rsidRDefault="00AF6F4D" w:rsidP="00634DEF">
            <w:pPr>
              <w:pStyle w:val="Tabletext"/>
            </w:pPr>
            <w:r w:rsidRPr="00584F4C">
              <w:t>An order under paragraph 60Q(8)(b) of the Act</w:t>
            </w:r>
          </w:p>
        </w:tc>
      </w:tr>
    </w:tbl>
    <w:p w:rsidR="009D7562" w:rsidRDefault="009D7562" w:rsidP="009D7562"/>
    <w:p w:rsidR="00634DEF" w:rsidRDefault="00634DEF" w:rsidP="00634DEF"/>
    <w:p w:rsidR="00634DEF" w:rsidRDefault="00634DEF" w:rsidP="00634DEF">
      <w:pPr>
        <w:pStyle w:val="AssentBk"/>
        <w:keepNext/>
        <w:rPr>
          <w:sz w:val="22"/>
        </w:rPr>
      </w:pPr>
    </w:p>
    <w:p w:rsidR="00634DEF" w:rsidRPr="00E251CD" w:rsidRDefault="00634DEF" w:rsidP="00634DEF">
      <w:pPr>
        <w:pStyle w:val="AssentBk"/>
        <w:keepNext/>
        <w:rPr>
          <w:sz w:val="22"/>
        </w:rPr>
      </w:pPr>
    </w:p>
    <w:p w:rsidR="00634DEF" w:rsidRDefault="00634DEF" w:rsidP="00634DEF">
      <w:pPr>
        <w:pStyle w:val="2ndRd"/>
        <w:keepNext/>
        <w:pBdr>
          <w:top w:val="single" w:sz="2" w:space="1" w:color="auto"/>
        </w:pBdr>
      </w:pPr>
    </w:p>
    <w:p w:rsidR="00634DEF" w:rsidRDefault="00634DEF" w:rsidP="00634DEF">
      <w:pPr>
        <w:pStyle w:val="2ndRd"/>
        <w:keepNext/>
        <w:spacing w:line="260" w:lineRule="atLeast"/>
        <w:rPr>
          <w:i/>
        </w:rPr>
      </w:pPr>
      <w:r>
        <w:t>[</w:t>
      </w:r>
      <w:r>
        <w:rPr>
          <w:i/>
        </w:rPr>
        <w:t>Minister’s second reading speech made in—</w:t>
      </w:r>
    </w:p>
    <w:p w:rsidR="00634DEF" w:rsidRDefault="00634DEF" w:rsidP="00634DEF">
      <w:pPr>
        <w:pStyle w:val="2ndRd"/>
        <w:keepNext/>
        <w:spacing w:line="260" w:lineRule="atLeast"/>
        <w:rPr>
          <w:i/>
        </w:rPr>
      </w:pPr>
      <w:r>
        <w:rPr>
          <w:i/>
        </w:rPr>
        <w:t>House of Representatives on 13 September 2017</w:t>
      </w:r>
    </w:p>
    <w:p w:rsidR="00634DEF" w:rsidRDefault="00634DEF" w:rsidP="00634DEF">
      <w:pPr>
        <w:pStyle w:val="2ndRd"/>
        <w:keepNext/>
        <w:spacing w:line="260" w:lineRule="atLeast"/>
        <w:rPr>
          <w:i/>
        </w:rPr>
      </w:pPr>
      <w:r>
        <w:rPr>
          <w:i/>
        </w:rPr>
        <w:t>Senate on 13 February 2018</w:t>
      </w:r>
      <w:r>
        <w:t>]</w:t>
      </w:r>
    </w:p>
    <w:p w:rsidR="00634DEF" w:rsidRDefault="00634DEF" w:rsidP="00634DEF"/>
    <w:p w:rsidR="009D7562" w:rsidRPr="00634DEF" w:rsidRDefault="00634DEF" w:rsidP="00634DEF">
      <w:pPr>
        <w:framePr w:hSpace="180" w:wrap="around" w:vAnchor="text" w:hAnchor="page" w:x="2385" w:y="5760"/>
      </w:pPr>
      <w:r>
        <w:t>(222/17)</w:t>
      </w:r>
    </w:p>
    <w:p w:rsidR="00634DEF" w:rsidRDefault="00634DEF"/>
    <w:sectPr w:rsidR="00634DEF" w:rsidSect="009D7562">
      <w:headerReference w:type="even" r:id="rId23"/>
      <w:headerReference w:type="default" r:id="rId24"/>
      <w:footerReference w:type="even" r:id="rId25"/>
      <w:footerReference w:type="default" r:id="rId26"/>
      <w:headerReference w:type="first" r:id="rId27"/>
      <w:footerReference w:type="first" r:id="rId28"/>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DEF" w:rsidRDefault="00634DEF" w:rsidP="0048364F">
      <w:pPr>
        <w:spacing w:line="240" w:lineRule="auto"/>
      </w:pPr>
      <w:r>
        <w:separator/>
      </w:r>
    </w:p>
  </w:endnote>
  <w:endnote w:type="continuationSeparator" w:id="0">
    <w:p w:rsidR="00634DEF" w:rsidRDefault="00634DE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EF" w:rsidRPr="005F1388" w:rsidRDefault="00634DEF" w:rsidP="00E61609">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EF" w:rsidRDefault="00634DEF" w:rsidP="00634DEF">
    <w:pPr>
      <w:pStyle w:val="ScalePlusRef"/>
    </w:pPr>
    <w:r>
      <w:t>Note: An electronic version of this Act is available on the Federal Register of Legislation (</w:t>
    </w:r>
    <w:hyperlink r:id="rId1" w:history="1">
      <w:r>
        <w:t>https://www.legislation.gov.au/</w:t>
      </w:r>
    </w:hyperlink>
    <w:r>
      <w:t>)</w:t>
    </w:r>
  </w:p>
  <w:p w:rsidR="00634DEF" w:rsidRDefault="00634DEF" w:rsidP="00634DEF"/>
  <w:p w:rsidR="00634DEF" w:rsidRDefault="00634DEF" w:rsidP="00E61609">
    <w:pPr>
      <w:pStyle w:val="Footer"/>
      <w:spacing w:before="120"/>
    </w:pPr>
  </w:p>
  <w:p w:rsidR="00634DEF" w:rsidRPr="005F1388" w:rsidRDefault="00634DE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EF" w:rsidRPr="00ED79B6" w:rsidRDefault="00634DEF" w:rsidP="00E61609">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EF" w:rsidRDefault="00634DEF" w:rsidP="00E6160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34DEF" w:rsidTr="00815B55">
      <w:tc>
        <w:tcPr>
          <w:tcW w:w="646" w:type="dxa"/>
        </w:tcPr>
        <w:p w:rsidR="00634DEF" w:rsidRDefault="00634DEF" w:rsidP="00815B55">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25653">
            <w:rPr>
              <w:i/>
              <w:noProof/>
              <w:sz w:val="18"/>
            </w:rPr>
            <w:t>xv</w:t>
          </w:r>
          <w:r w:rsidRPr="00ED79B6">
            <w:rPr>
              <w:i/>
              <w:sz w:val="18"/>
            </w:rPr>
            <w:fldChar w:fldCharType="end"/>
          </w:r>
        </w:p>
      </w:tc>
      <w:tc>
        <w:tcPr>
          <w:tcW w:w="5387" w:type="dxa"/>
        </w:tcPr>
        <w:p w:rsidR="00634DEF" w:rsidRDefault="00634DEF" w:rsidP="00815B55">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25653">
            <w:rPr>
              <w:i/>
              <w:sz w:val="18"/>
            </w:rPr>
            <w:t>Investigation and Prosecution Measures Act 2018</w:t>
          </w:r>
          <w:r w:rsidRPr="00ED79B6">
            <w:rPr>
              <w:i/>
              <w:sz w:val="18"/>
            </w:rPr>
            <w:fldChar w:fldCharType="end"/>
          </w:r>
        </w:p>
      </w:tc>
      <w:tc>
        <w:tcPr>
          <w:tcW w:w="1270" w:type="dxa"/>
        </w:tcPr>
        <w:p w:rsidR="00634DEF" w:rsidRDefault="00634DEF" w:rsidP="00815B55">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25653">
            <w:rPr>
              <w:i/>
              <w:sz w:val="18"/>
            </w:rPr>
            <w:t>No. 37, 2018</w:t>
          </w:r>
          <w:r w:rsidRPr="00ED79B6">
            <w:rPr>
              <w:i/>
              <w:sz w:val="18"/>
            </w:rPr>
            <w:fldChar w:fldCharType="end"/>
          </w:r>
        </w:p>
      </w:tc>
    </w:tr>
  </w:tbl>
  <w:p w:rsidR="00634DEF" w:rsidRDefault="00634DE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EF" w:rsidRDefault="00634DEF" w:rsidP="00E6160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34DEF" w:rsidTr="00815B55">
      <w:tc>
        <w:tcPr>
          <w:tcW w:w="1247" w:type="dxa"/>
        </w:tcPr>
        <w:p w:rsidR="00634DEF" w:rsidRDefault="00634DEF" w:rsidP="00634DEF">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25653">
            <w:rPr>
              <w:i/>
              <w:sz w:val="18"/>
            </w:rPr>
            <w:t>No. 37, 2018</w:t>
          </w:r>
          <w:r w:rsidRPr="00ED79B6">
            <w:rPr>
              <w:i/>
              <w:sz w:val="18"/>
            </w:rPr>
            <w:fldChar w:fldCharType="end"/>
          </w:r>
        </w:p>
      </w:tc>
      <w:tc>
        <w:tcPr>
          <w:tcW w:w="5387" w:type="dxa"/>
        </w:tcPr>
        <w:p w:rsidR="00634DEF" w:rsidRDefault="00634DEF" w:rsidP="00815B55">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25653">
            <w:rPr>
              <w:i/>
              <w:sz w:val="18"/>
            </w:rPr>
            <w:t>Investigation and Prosecution Measures Act 2018</w:t>
          </w:r>
          <w:r w:rsidRPr="00ED79B6">
            <w:rPr>
              <w:i/>
              <w:sz w:val="18"/>
            </w:rPr>
            <w:fldChar w:fldCharType="end"/>
          </w:r>
        </w:p>
      </w:tc>
      <w:tc>
        <w:tcPr>
          <w:tcW w:w="669" w:type="dxa"/>
        </w:tcPr>
        <w:p w:rsidR="00634DEF" w:rsidRDefault="00634DEF" w:rsidP="00815B55">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C7FFB">
            <w:rPr>
              <w:i/>
              <w:noProof/>
              <w:sz w:val="18"/>
            </w:rPr>
            <w:t>i</w:t>
          </w:r>
          <w:r w:rsidRPr="00ED79B6">
            <w:rPr>
              <w:i/>
              <w:sz w:val="18"/>
            </w:rPr>
            <w:fldChar w:fldCharType="end"/>
          </w:r>
        </w:p>
      </w:tc>
    </w:tr>
  </w:tbl>
  <w:p w:rsidR="00634DEF" w:rsidRPr="00ED79B6" w:rsidRDefault="00634DEF"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EF" w:rsidRPr="00A961C4" w:rsidRDefault="00634DEF" w:rsidP="00E61609">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34DEF" w:rsidTr="00E61609">
      <w:tc>
        <w:tcPr>
          <w:tcW w:w="646" w:type="dxa"/>
        </w:tcPr>
        <w:p w:rsidR="00634DEF" w:rsidRDefault="00634DEF" w:rsidP="00815B55">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C7FFB">
            <w:rPr>
              <w:i/>
              <w:noProof/>
              <w:sz w:val="18"/>
            </w:rPr>
            <w:t>2</w:t>
          </w:r>
          <w:r w:rsidRPr="007A1328">
            <w:rPr>
              <w:i/>
              <w:sz w:val="18"/>
            </w:rPr>
            <w:fldChar w:fldCharType="end"/>
          </w:r>
        </w:p>
      </w:tc>
      <w:tc>
        <w:tcPr>
          <w:tcW w:w="5387" w:type="dxa"/>
        </w:tcPr>
        <w:p w:rsidR="00634DEF" w:rsidRDefault="00634DEF" w:rsidP="00815B5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25653">
            <w:rPr>
              <w:i/>
              <w:sz w:val="18"/>
            </w:rPr>
            <w:t>Investigation and Prosecution Measures Act 2018</w:t>
          </w:r>
          <w:r w:rsidRPr="007A1328">
            <w:rPr>
              <w:i/>
              <w:sz w:val="18"/>
            </w:rPr>
            <w:fldChar w:fldCharType="end"/>
          </w:r>
        </w:p>
      </w:tc>
      <w:tc>
        <w:tcPr>
          <w:tcW w:w="1270" w:type="dxa"/>
        </w:tcPr>
        <w:p w:rsidR="00634DEF" w:rsidRDefault="00634DEF" w:rsidP="00634DEF">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25653">
            <w:rPr>
              <w:i/>
              <w:sz w:val="18"/>
            </w:rPr>
            <w:t>No. 37, 2018</w:t>
          </w:r>
          <w:r w:rsidRPr="007A1328">
            <w:rPr>
              <w:i/>
              <w:sz w:val="18"/>
            </w:rPr>
            <w:fldChar w:fldCharType="end"/>
          </w:r>
        </w:p>
      </w:tc>
    </w:tr>
  </w:tbl>
  <w:p w:rsidR="00634DEF" w:rsidRPr="00A961C4" w:rsidRDefault="00634DEF"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EF" w:rsidRPr="00A961C4" w:rsidRDefault="00634DEF" w:rsidP="00E6160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34DEF" w:rsidTr="00E61609">
      <w:tc>
        <w:tcPr>
          <w:tcW w:w="1247" w:type="dxa"/>
        </w:tcPr>
        <w:p w:rsidR="00634DEF" w:rsidRDefault="00634DEF" w:rsidP="00634DE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25653">
            <w:rPr>
              <w:i/>
              <w:sz w:val="18"/>
            </w:rPr>
            <w:t>No. 37, 2018</w:t>
          </w:r>
          <w:r w:rsidRPr="007A1328">
            <w:rPr>
              <w:i/>
              <w:sz w:val="18"/>
            </w:rPr>
            <w:fldChar w:fldCharType="end"/>
          </w:r>
        </w:p>
      </w:tc>
      <w:tc>
        <w:tcPr>
          <w:tcW w:w="5387" w:type="dxa"/>
        </w:tcPr>
        <w:p w:rsidR="00634DEF" w:rsidRDefault="00634DEF" w:rsidP="00815B5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25653">
            <w:rPr>
              <w:i/>
              <w:sz w:val="18"/>
            </w:rPr>
            <w:t>Investigation and Prosecution Measures Act 2018</w:t>
          </w:r>
          <w:r w:rsidRPr="007A1328">
            <w:rPr>
              <w:i/>
              <w:sz w:val="18"/>
            </w:rPr>
            <w:fldChar w:fldCharType="end"/>
          </w:r>
        </w:p>
      </w:tc>
      <w:tc>
        <w:tcPr>
          <w:tcW w:w="669" w:type="dxa"/>
        </w:tcPr>
        <w:p w:rsidR="00634DEF" w:rsidRDefault="00634DEF" w:rsidP="00815B5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C7FFB">
            <w:rPr>
              <w:i/>
              <w:noProof/>
              <w:sz w:val="18"/>
            </w:rPr>
            <w:t>29</w:t>
          </w:r>
          <w:r w:rsidRPr="007A1328">
            <w:rPr>
              <w:i/>
              <w:sz w:val="18"/>
            </w:rPr>
            <w:fldChar w:fldCharType="end"/>
          </w:r>
        </w:p>
      </w:tc>
    </w:tr>
  </w:tbl>
  <w:p w:rsidR="00634DEF" w:rsidRPr="00055B5C" w:rsidRDefault="00634DEF"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EF" w:rsidRPr="00A961C4" w:rsidRDefault="00634DEF" w:rsidP="00E6160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634DEF" w:rsidTr="00E61609">
      <w:tc>
        <w:tcPr>
          <w:tcW w:w="1247" w:type="dxa"/>
        </w:tcPr>
        <w:p w:rsidR="00634DEF" w:rsidRDefault="00634DEF" w:rsidP="00634DE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25653">
            <w:rPr>
              <w:i/>
              <w:sz w:val="18"/>
            </w:rPr>
            <w:t>No. 37, 2018</w:t>
          </w:r>
          <w:r w:rsidRPr="007A1328">
            <w:rPr>
              <w:i/>
              <w:sz w:val="18"/>
            </w:rPr>
            <w:fldChar w:fldCharType="end"/>
          </w:r>
        </w:p>
      </w:tc>
      <w:tc>
        <w:tcPr>
          <w:tcW w:w="5387" w:type="dxa"/>
        </w:tcPr>
        <w:p w:rsidR="00634DEF" w:rsidRDefault="00634DEF" w:rsidP="00815B5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25653">
            <w:rPr>
              <w:i/>
              <w:sz w:val="18"/>
            </w:rPr>
            <w:t>Investigation and Prosecution Measures Act 2018</w:t>
          </w:r>
          <w:r w:rsidRPr="007A1328">
            <w:rPr>
              <w:i/>
              <w:sz w:val="18"/>
            </w:rPr>
            <w:fldChar w:fldCharType="end"/>
          </w:r>
        </w:p>
      </w:tc>
      <w:tc>
        <w:tcPr>
          <w:tcW w:w="669" w:type="dxa"/>
        </w:tcPr>
        <w:p w:rsidR="00634DEF" w:rsidRDefault="00634DEF" w:rsidP="00815B5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C7FFB">
            <w:rPr>
              <w:i/>
              <w:noProof/>
              <w:sz w:val="18"/>
            </w:rPr>
            <w:t>1</w:t>
          </w:r>
          <w:r w:rsidRPr="007A1328">
            <w:rPr>
              <w:i/>
              <w:sz w:val="18"/>
            </w:rPr>
            <w:fldChar w:fldCharType="end"/>
          </w:r>
        </w:p>
      </w:tc>
    </w:tr>
  </w:tbl>
  <w:p w:rsidR="00634DEF" w:rsidRPr="00A961C4" w:rsidRDefault="00634DEF"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DEF" w:rsidRDefault="00634DEF" w:rsidP="0048364F">
      <w:pPr>
        <w:spacing w:line="240" w:lineRule="auto"/>
      </w:pPr>
      <w:r>
        <w:separator/>
      </w:r>
    </w:p>
  </w:footnote>
  <w:footnote w:type="continuationSeparator" w:id="0">
    <w:p w:rsidR="00634DEF" w:rsidRDefault="00634DEF"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EF" w:rsidRPr="005F1388" w:rsidRDefault="00634DEF"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EF" w:rsidRPr="005F1388" w:rsidRDefault="00634DEF"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EF" w:rsidRPr="005F1388" w:rsidRDefault="00634DE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EF" w:rsidRPr="00ED79B6" w:rsidRDefault="00634DEF"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EF" w:rsidRPr="00ED79B6" w:rsidRDefault="00634DEF"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EF" w:rsidRPr="00ED79B6" w:rsidRDefault="00634DE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EF" w:rsidRPr="00A961C4" w:rsidRDefault="00634DEF"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634DEF" w:rsidRPr="00A961C4" w:rsidRDefault="00634DEF"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634DEF" w:rsidRPr="00A961C4" w:rsidRDefault="00634DEF"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EF" w:rsidRPr="00A961C4" w:rsidRDefault="00634DEF"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0C7FFB">
      <w:rPr>
        <w:noProof/>
        <w:sz w:val="20"/>
      </w:rPr>
      <w:t>Procedure in criminal and civil matters relating to Norfolk Island</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0C7FFB">
      <w:rPr>
        <w:b/>
        <w:noProof/>
        <w:sz w:val="20"/>
      </w:rPr>
      <w:t>Schedule 3</w:t>
    </w:r>
    <w:r>
      <w:rPr>
        <w:b/>
        <w:sz w:val="20"/>
      </w:rPr>
      <w:fldChar w:fldCharType="end"/>
    </w:r>
  </w:p>
  <w:p w:rsidR="00634DEF" w:rsidRPr="00A961C4" w:rsidRDefault="00634DEF"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634DEF" w:rsidRPr="00A961C4" w:rsidRDefault="00634DEF"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EF" w:rsidRPr="00A961C4" w:rsidRDefault="00634DE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F19"/>
    <w:rsid w:val="00010A61"/>
    <w:rsid w:val="000113BC"/>
    <w:rsid w:val="000136AF"/>
    <w:rsid w:val="000145C6"/>
    <w:rsid w:val="0001585A"/>
    <w:rsid w:val="00034C9E"/>
    <w:rsid w:val="000417C9"/>
    <w:rsid w:val="00045074"/>
    <w:rsid w:val="000471BB"/>
    <w:rsid w:val="00055B5C"/>
    <w:rsid w:val="00056391"/>
    <w:rsid w:val="00060FF9"/>
    <w:rsid w:val="000614BF"/>
    <w:rsid w:val="00061B22"/>
    <w:rsid w:val="00062218"/>
    <w:rsid w:val="000658D6"/>
    <w:rsid w:val="0007000F"/>
    <w:rsid w:val="00076173"/>
    <w:rsid w:val="00076E00"/>
    <w:rsid w:val="000929DF"/>
    <w:rsid w:val="00092F91"/>
    <w:rsid w:val="000964B1"/>
    <w:rsid w:val="000A1942"/>
    <w:rsid w:val="000A474E"/>
    <w:rsid w:val="000B1FD2"/>
    <w:rsid w:val="000B22A5"/>
    <w:rsid w:val="000B464F"/>
    <w:rsid w:val="000B55C0"/>
    <w:rsid w:val="000C7FFB"/>
    <w:rsid w:val="000D05EF"/>
    <w:rsid w:val="000D7F19"/>
    <w:rsid w:val="000F1E48"/>
    <w:rsid w:val="000F21C1"/>
    <w:rsid w:val="000F29B4"/>
    <w:rsid w:val="00101D90"/>
    <w:rsid w:val="0010745C"/>
    <w:rsid w:val="00113BD1"/>
    <w:rsid w:val="001165EA"/>
    <w:rsid w:val="00116982"/>
    <w:rsid w:val="001169C8"/>
    <w:rsid w:val="00122206"/>
    <w:rsid w:val="00123638"/>
    <w:rsid w:val="00124C40"/>
    <w:rsid w:val="001252F4"/>
    <w:rsid w:val="00134F76"/>
    <w:rsid w:val="00142E82"/>
    <w:rsid w:val="00145576"/>
    <w:rsid w:val="00154B45"/>
    <w:rsid w:val="00155BC8"/>
    <w:rsid w:val="0015646E"/>
    <w:rsid w:val="00157D12"/>
    <w:rsid w:val="00162585"/>
    <w:rsid w:val="00162737"/>
    <w:rsid w:val="00163DA3"/>
    <w:rsid w:val="0016436C"/>
    <w:rsid w:val="001643C9"/>
    <w:rsid w:val="00165568"/>
    <w:rsid w:val="00165A25"/>
    <w:rsid w:val="00166C2F"/>
    <w:rsid w:val="001716C9"/>
    <w:rsid w:val="00173363"/>
    <w:rsid w:val="00173B94"/>
    <w:rsid w:val="0018381E"/>
    <w:rsid w:val="001854B4"/>
    <w:rsid w:val="0019165B"/>
    <w:rsid w:val="00191B81"/>
    <w:rsid w:val="0019258E"/>
    <w:rsid w:val="001939E1"/>
    <w:rsid w:val="00195382"/>
    <w:rsid w:val="001A0A81"/>
    <w:rsid w:val="001A3658"/>
    <w:rsid w:val="001A759A"/>
    <w:rsid w:val="001B34B4"/>
    <w:rsid w:val="001B7A5D"/>
    <w:rsid w:val="001B7DB0"/>
    <w:rsid w:val="001C14D1"/>
    <w:rsid w:val="001C2418"/>
    <w:rsid w:val="001C69C4"/>
    <w:rsid w:val="001D0A39"/>
    <w:rsid w:val="001D453D"/>
    <w:rsid w:val="001E1B2F"/>
    <w:rsid w:val="001E3590"/>
    <w:rsid w:val="001E7407"/>
    <w:rsid w:val="001F248E"/>
    <w:rsid w:val="001F3B35"/>
    <w:rsid w:val="001F5443"/>
    <w:rsid w:val="001F626F"/>
    <w:rsid w:val="001F66C9"/>
    <w:rsid w:val="00201D27"/>
    <w:rsid w:val="00202618"/>
    <w:rsid w:val="00204BF1"/>
    <w:rsid w:val="00206318"/>
    <w:rsid w:val="00207B57"/>
    <w:rsid w:val="00210F3B"/>
    <w:rsid w:val="00211BE3"/>
    <w:rsid w:val="002202C9"/>
    <w:rsid w:val="00223252"/>
    <w:rsid w:val="00224A6D"/>
    <w:rsid w:val="00224AF8"/>
    <w:rsid w:val="00240749"/>
    <w:rsid w:val="00247857"/>
    <w:rsid w:val="00252BFB"/>
    <w:rsid w:val="002552C2"/>
    <w:rsid w:val="00255B3C"/>
    <w:rsid w:val="0025600D"/>
    <w:rsid w:val="00263820"/>
    <w:rsid w:val="00265CC0"/>
    <w:rsid w:val="00275197"/>
    <w:rsid w:val="00286E57"/>
    <w:rsid w:val="00293B89"/>
    <w:rsid w:val="00297483"/>
    <w:rsid w:val="00297ECB"/>
    <w:rsid w:val="002B5648"/>
    <w:rsid w:val="002B5A30"/>
    <w:rsid w:val="002C3178"/>
    <w:rsid w:val="002D043A"/>
    <w:rsid w:val="002D395A"/>
    <w:rsid w:val="003001B5"/>
    <w:rsid w:val="00300EAE"/>
    <w:rsid w:val="00303C8A"/>
    <w:rsid w:val="0030464C"/>
    <w:rsid w:val="00305FCD"/>
    <w:rsid w:val="00326E47"/>
    <w:rsid w:val="00332B28"/>
    <w:rsid w:val="0033784E"/>
    <w:rsid w:val="003415D3"/>
    <w:rsid w:val="00350417"/>
    <w:rsid w:val="00352B0F"/>
    <w:rsid w:val="00353386"/>
    <w:rsid w:val="00361C0F"/>
    <w:rsid w:val="00372E65"/>
    <w:rsid w:val="00374761"/>
    <w:rsid w:val="00375C6C"/>
    <w:rsid w:val="00381C95"/>
    <w:rsid w:val="00384429"/>
    <w:rsid w:val="00384DB6"/>
    <w:rsid w:val="00390C26"/>
    <w:rsid w:val="00394ACA"/>
    <w:rsid w:val="00397B9F"/>
    <w:rsid w:val="003A6F8F"/>
    <w:rsid w:val="003C5F2B"/>
    <w:rsid w:val="003D0BFE"/>
    <w:rsid w:val="003D3507"/>
    <w:rsid w:val="003D5700"/>
    <w:rsid w:val="003E0FCF"/>
    <w:rsid w:val="003E4B00"/>
    <w:rsid w:val="003F69E8"/>
    <w:rsid w:val="00405579"/>
    <w:rsid w:val="00410B8E"/>
    <w:rsid w:val="004116CD"/>
    <w:rsid w:val="0041182B"/>
    <w:rsid w:val="00416DB3"/>
    <w:rsid w:val="00420D8C"/>
    <w:rsid w:val="00421FC1"/>
    <w:rsid w:val="0042299F"/>
    <w:rsid w:val="004229C7"/>
    <w:rsid w:val="00424CA9"/>
    <w:rsid w:val="004351E6"/>
    <w:rsid w:val="00436785"/>
    <w:rsid w:val="00436BD5"/>
    <w:rsid w:val="004374E0"/>
    <w:rsid w:val="00437E4B"/>
    <w:rsid w:val="0044291A"/>
    <w:rsid w:val="00446BA0"/>
    <w:rsid w:val="0045406E"/>
    <w:rsid w:val="00454613"/>
    <w:rsid w:val="0046004C"/>
    <w:rsid w:val="00465B18"/>
    <w:rsid w:val="0047299E"/>
    <w:rsid w:val="0048196B"/>
    <w:rsid w:val="00481A8A"/>
    <w:rsid w:val="0048364F"/>
    <w:rsid w:val="00483894"/>
    <w:rsid w:val="00490D27"/>
    <w:rsid w:val="00496F97"/>
    <w:rsid w:val="004979BD"/>
    <w:rsid w:val="004B067C"/>
    <w:rsid w:val="004B3964"/>
    <w:rsid w:val="004B3C1E"/>
    <w:rsid w:val="004B58F3"/>
    <w:rsid w:val="004C5FE2"/>
    <w:rsid w:val="004C67F1"/>
    <w:rsid w:val="004C7C8C"/>
    <w:rsid w:val="004E1028"/>
    <w:rsid w:val="004E2A4A"/>
    <w:rsid w:val="004E4F9E"/>
    <w:rsid w:val="004F0D23"/>
    <w:rsid w:val="004F1FAC"/>
    <w:rsid w:val="004F24A5"/>
    <w:rsid w:val="004F7C55"/>
    <w:rsid w:val="005018B1"/>
    <w:rsid w:val="00504AA8"/>
    <w:rsid w:val="005115C2"/>
    <w:rsid w:val="00516B8D"/>
    <w:rsid w:val="005234EF"/>
    <w:rsid w:val="005314C4"/>
    <w:rsid w:val="00537FBC"/>
    <w:rsid w:val="00541210"/>
    <w:rsid w:val="00543469"/>
    <w:rsid w:val="00551B54"/>
    <w:rsid w:val="005647CD"/>
    <w:rsid w:val="00566A02"/>
    <w:rsid w:val="00584811"/>
    <w:rsid w:val="00585CFD"/>
    <w:rsid w:val="00587BB4"/>
    <w:rsid w:val="005910AE"/>
    <w:rsid w:val="00593AA6"/>
    <w:rsid w:val="00594161"/>
    <w:rsid w:val="00594749"/>
    <w:rsid w:val="005A005D"/>
    <w:rsid w:val="005A0D92"/>
    <w:rsid w:val="005A6CAC"/>
    <w:rsid w:val="005B4067"/>
    <w:rsid w:val="005B5C08"/>
    <w:rsid w:val="005B63AF"/>
    <w:rsid w:val="005C3F41"/>
    <w:rsid w:val="005D10DE"/>
    <w:rsid w:val="005E152A"/>
    <w:rsid w:val="005E78DA"/>
    <w:rsid w:val="005F03D4"/>
    <w:rsid w:val="005F2B02"/>
    <w:rsid w:val="005F6BC3"/>
    <w:rsid w:val="00600219"/>
    <w:rsid w:val="00615313"/>
    <w:rsid w:val="00617938"/>
    <w:rsid w:val="006255BF"/>
    <w:rsid w:val="00627813"/>
    <w:rsid w:val="00632101"/>
    <w:rsid w:val="00634DEF"/>
    <w:rsid w:val="00641DE5"/>
    <w:rsid w:val="006427B1"/>
    <w:rsid w:val="00656F0C"/>
    <w:rsid w:val="00663057"/>
    <w:rsid w:val="00677CC2"/>
    <w:rsid w:val="00681F92"/>
    <w:rsid w:val="006842C2"/>
    <w:rsid w:val="00685F42"/>
    <w:rsid w:val="006865C9"/>
    <w:rsid w:val="0069207B"/>
    <w:rsid w:val="006949B5"/>
    <w:rsid w:val="0069514D"/>
    <w:rsid w:val="006A0E94"/>
    <w:rsid w:val="006B1802"/>
    <w:rsid w:val="006B1F79"/>
    <w:rsid w:val="006C0B30"/>
    <w:rsid w:val="006C2874"/>
    <w:rsid w:val="006C6595"/>
    <w:rsid w:val="006C7F8C"/>
    <w:rsid w:val="006D380D"/>
    <w:rsid w:val="006D6935"/>
    <w:rsid w:val="006E0135"/>
    <w:rsid w:val="006E303A"/>
    <w:rsid w:val="006E6662"/>
    <w:rsid w:val="006E7901"/>
    <w:rsid w:val="006F7E19"/>
    <w:rsid w:val="00700928"/>
    <w:rsid w:val="00700B2C"/>
    <w:rsid w:val="0070304D"/>
    <w:rsid w:val="00705A39"/>
    <w:rsid w:val="00712549"/>
    <w:rsid w:val="00712D8D"/>
    <w:rsid w:val="00713084"/>
    <w:rsid w:val="00714B26"/>
    <w:rsid w:val="00714E63"/>
    <w:rsid w:val="007156F4"/>
    <w:rsid w:val="00722603"/>
    <w:rsid w:val="007239C9"/>
    <w:rsid w:val="00723AF7"/>
    <w:rsid w:val="00730638"/>
    <w:rsid w:val="00731E00"/>
    <w:rsid w:val="00733AF4"/>
    <w:rsid w:val="007432B5"/>
    <w:rsid w:val="007440B7"/>
    <w:rsid w:val="0074621F"/>
    <w:rsid w:val="007513DD"/>
    <w:rsid w:val="00753655"/>
    <w:rsid w:val="00755AFD"/>
    <w:rsid w:val="007579D7"/>
    <w:rsid w:val="007604BB"/>
    <w:rsid w:val="007634AD"/>
    <w:rsid w:val="0076443E"/>
    <w:rsid w:val="007661DF"/>
    <w:rsid w:val="007715C9"/>
    <w:rsid w:val="00774EDD"/>
    <w:rsid w:val="007757EC"/>
    <w:rsid w:val="007769DB"/>
    <w:rsid w:val="00781BBD"/>
    <w:rsid w:val="00787362"/>
    <w:rsid w:val="00790F24"/>
    <w:rsid w:val="007913E4"/>
    <w:rsid w:val="007936BA"/>
    <w:rsid w:val="00796DAF"/>
    <w:rsid w:val="007A0543"/>
    <w:rsid w:val="007B10F9"/>
    <w:rsid w:val="007B2EFE"/>
    <w:rsid w:val="007C34C0"/>
    <w:rsid w:val="007C715E"/>
    <w:rsid w:val="007D1D16"/>
    <w:rsid w:val="007D20D7"/>
    <w:rsid w:val="007E0FCB"/>
    <w:rsid w:val="007E7D4A"/>
    <w:rsid w:val="007F74CF"/>
    <w:rsid w:val="008006CC"/>
    <w:rsid w:val="00807F18"/>
    <w:rsid w:val="0081126D"/>
    <w:rsid w:val="00811F9F"/>
    <w:rsid w:val="00815B55"/>
    <w:rsid w:val="008279B7"/>
    <w:rsid w:val="00831441"/>
    <w:rsid w:val="00831E8D"/>
    <w:rsid w:val="0083321E"/>
    <w:rsid w:val="00835A03"/>
    <w:rsid w:val="00836CBA"/>
    <w:rsid w:val="008377E3"/>
    <w:rsid w:val="00843E37"/>
    <w:rsid w:val="008465F8"/>
    <w:rsid w:val="0085094F"/>
    <w:rsid w:val="00856A31"/>
    <w:rsid w:val="00857D6B"/>
    <w:rsid w:val="0086016B"/>
    <w:rsid w:val="00864EFF"/>
    <w:rsid w:val="008754D0"/>
    <w:rsid w:val="00877D48"/>
    <w:rsid w:val="00883781"/>
    <w:rsid w:val="00885570"/>
    <w:rsid w:val="00893958"/>
    <w:rsid w:val="008952DD"/>
    <w:rsid w:val="008967E7"/>
    <w:rsid w:val="008A2E77"/>
    <w:rsid w:val="008B3255"/>
    <w:rsid w:val="008C40E5"/>
    <w:rsid w:val="008C6D1A"/>
    <w:rsid w:val="008C6F6F"/>
    <w:rsid w:val="008D0421"/>
    <w:rsid w:val="008D0A2F"/>
    <w:rsid w:val="008D0EE0"/>
    <w:rsid w:val="008D59BF"/>
    <w:rsid w:val="008E0DF0"/>
    <w:rsid w:val="008E420D"/>
    <w:rsid w:val="008E4893"/>
    <w:rsid w:val="008E5FB8"/>
    <w:rsid w:val="008F18E8"/>
    <w:rsid w:val="008F3E30"/>
    <w:rsid w:val="008F4F1C"/>
    <w:rsid w:val="008F77C4"/>
    <w:rsid w:val="00901514"/>
    <w:rsid w:val="0090708B"/>
    <w:rsid w:val="009103F3"/>
    <w:rsid w:val="00910EAC"/>
    <w:rsid w:val="00931C5D"/>
    <w:rsid w:val="00932377"/>
    <w:rsid w:val="00937EA8"/>
    <w:rsid w:val="00946C7C"/>
    <w:rsid w:val="00965FA2"/>
    <w:rsid w:val="00967042"/>
    <w:rsid w:val="00967D47"/>
    <w:rsid w:val="00974D99"/>
    <w:rsid w:val="00974EE3"/>
    <w:rsid w:val="009759AA"/>
    <w:rsid w:val="0098255A"/>
    <w:rsid w:val="00982E07"/>
    <w:rsid w:val="009845BE"/>
    <w:rsid w:val="00990A71"/>
    <w:rsid w:val="0099153D"/>
    <w:rsid w:val="009969C9"/>
    <w:rsid w:val="009B5818"/>
    <w:rsid w:val="009B63CA"/>
    <w:rsid w:val="009C4E1E"/>
    <w:rsid w:val="009D7562"/>
    <w:rsid w:val="009E0571"/>
    <w:rsid w:val="009F0DDF"/>
    <w:rsid w:val="009F4FDB"/>
    <w:rsid w:val="00A022C5"/>
    <w:rsid w:val="00A048FF"/>
    <w:rsid w:val="00A10775"/>
    <w:rsid w:val="00A1382A"/>
    <w:rsid w:val="00A15D66"/>
    <w:rsid w:val="00A2211A"/>
    <w:rsid w:val="00A22C5C"/>
    <w:rsid w:val="00A231E2"/>
    <w:rsid w:val="00A2519B"/>
    <w:rsid w:val="00A36C48"/>
    <w:rsid w:val="00A41E0B"/>
    <w:rsid w:val="00A50B49"/>
    <w:rsid w:val="00A534D1"/>
    <w:rsid w:val="00A55631"/>
    <w:rsid w:val="00A56A18"/>
    <w:rsid w:val="00A571E3"/>
    <w:rsid w:val="00A64912"/>
    <w:rsid w:val="00A656BB"/>
    <w:rsid w:val="00A67DF8"/>
    <w:rsid w:val="00A70A74"/>
    <w:rsid w:val="00A70FD7"/>
    <w:rsid w:val="00A72751"/>
    <w:rsid w:val="00A73EE9"/>
    <w:rsid w:val="00A74A9A"/>
    <w:rsid w:val="00A867DC"/>
    <w:rsid w:val="00A94761"/>
    <w:rsid w:val="00AA3795"/>
    <w:rsid w:val="00AA5B0A"/>
    <w:rsid w:val="00AB2F2F"/>
    <w:rsid w:val="00AB4DB8"/>
    <w:rsid w:val="00AC1DF2"/>
    <w:rsid w:val="00AC1E75"/>
    <w:rsid w:val="00AD5641"/>
    <w:rsid w:val="00AE1088"/>
    <w:rsid w:val="00AE4977"/>
    <w:rsid w:val="00AF1BA4"/>
    <w:rsid w:val="00AF6F4D"/>
    <w:rsid w:val="00B00753"/>
    <w:rsid w:val="00B032D8"/>
    <w:rsid w:val="00B06E01"/>
    <w:rsid w:val="00B113D0"/>
    <w:rsid w:val="00B13E87"/>
    <w:rsid w:val="00B16A07"/>
    <w:rsid w:val="00B20C72"/>
    <w:rsid w:val="00B26A9E"/>
    <w:rsid w:val="00B33B3C"/>
    <w:rsid w:val="00B547FE"/>
    <w:rsid w:val="00B56028"/>
    <w:rsid w:val="00B6382D"/>
    <w:rsid w:val="00B63E07"/>
    <w:rsid w:val="00B64A47"/>
    <w:rsid w:val="00B676BD"/>
    <w:rsid w:val="00B76129"/>
    <w:rsid w:val="00B94418"/>
    <w:rsid w:val="00B9711D"/>
    <w:rsid w:val="00BA0BE9"/>
    <w:rsid w:val="00BA223C"/>
    <w:rsid w:val="00BA5026"/>
    <w:rsid w:val="00BB40BF"/>
    <w:rsid w:val="00BC0CD1"/>
    <w:rsid w:val="00BD27F2"/>
    <w:rsid w:val="00BE5BC3"/>
    <w:rsid w:val="00BE719A"/>
    <w:rsid w:val="00BE720A"/>
    <w:rsid w:val="00BF0356"/>
    <w:rsid w:val="00BF0461"/>
    <w:rsid w:val="00BF33F7"/>
    <w:rsid w:val="00BF34F7"/>
    <w:rsid w:val="00BF4944"/>
    <w:rsid w:val="00BF56D4"/>
    <w:rsid w:val="00BF6997"/>
    <w:rsid w:val="00C00682"/>
    <w:rsid w:val="00C008D9"/>
    <w:rsid w:val="00C0190C"/>
    <w:rsid w:val="00C043B9"/>
    <w:rsid w:val="00C04409"/>
    <w:rsid w:val="00C05F97"/>
    <w:rsid w:val="00C067E5"/>
    <w:rsid w:val="00C1114F"/>
    <w:rsid w:val="00C142F9"/>
    <w:rsid w:val="00C164CA"/>
    <w:rsid w:val="00C176CF"/>
    <w:rsid w:val="00C17E4F"/>
    <w:rsid w:val="00C212CD"/>
    <w:rsid w:val="00C268AB"/>
    <w:rsid w:val="00C3181F"/>
    <w:rsid w:val="00C3248D"/>
    <w:rsid w:val="00C4079D"/>
    <w:rsid w:val="00C42BF8"/>
    <w:rsid w:val="00C460AE"/>
    <w:rsid w:val="00C50043"/>
    <w:rsid w:val="00C5497A"/>
    <w:rsid w:val="00C54E84"/>
    <w:rsid w:val="00C64CF0"/>
    <w:rsid w:val="00C72A27"/>
    <w:rsid w:val="00C74916"/>
    <w:rsid w:val="00C7573B"/>
    <w:rsid w:val="00C76702"/>
    <w:rsid w:val="00C76CF3"/>
    <w:rsid w:val="00C80BB5"/>
    <w:rsid w:val="00C839EE"/>
    <w:rsid w:val="00C841A9"/>
    <w:rsid w:val="00C86EA6"/>
    <w:rsid w:val="00C8795E"/>
    <w:rsid w:val="00C92817"/>
    <w:rsid w:val="00C93147"/>
    <w:rsid w:val="00C95534"/>
    <w:rsid w:val="00CA11BE"/>
    <w:rsid w:val="00CA7C47"/>
    <w:rsid w:val="00CB30FC"/>
    <w:rsid w:val="00CB34B7"/>
    <w:rsid w:val="00CC4858"/>
    <w:rsid w:val="00CD56E1"/>
    <w:rsid w:val="00CD7E69"/>
    <w:rsid w:val="00CE0C25"/>
    <w:rsid w:val="00CE1E31"/>
    <w:rsid w:val="00CE1FBB"/>
    <w:rsid w:val="00CE52A1"/>
    <w:rsid w:val="00CE6FC5"/>
    <w:rsid w:val="00CE7B6B"/>
    <w:rsid w:val="00CF0BB2"/>
    <w:rsid w:val="00CF3BA8"/>
    <w:rsid w:val="00CF43BC"/>
    <w:rsid w:val="00CF4664"/>
    <w:rsid w:val="00CF4F18"/>
    <w:rsid w:val="00D00EAA"/>
    <w:rsid w:val="00D0732C"/>
    <w:rsid w:val="00D13441"/>
    <w:rsid w:val="00D211E4"/>
    <w:rsid w:val="00D230D2"/>
    <w:rsid w:val="00D243A3"/>
    <w:rsid w:val="00D3593C"/>
    <w:rsid w:val="00D4399F"/>
    <w:rsid w:val="00D477C3"/>
    <w:rsid w:val="00D520E7"/>
    <w:rsid w:val="00D52EFE"/>
    <w:rsid w:val="00D56F95"/>
    <w:rsid w:val="00D60F94"/>
    <w:rsid w:val="00D63EF6"/>
    <w:rsid w:val="00D6434C"/>
    <w:rsid w:val="00D67E44"/>
    <w:rsid w:val="00D70DFB"/>
    <w:rsid w:val="00D72EDD"/>
    <w:rsid w:val="00D73029"/>
    <w:rsid w:val="00D766DF"/>
    <w:rsid w:val="00D91212"/>
    <w:rsid w:val="00DA1576"/>
    <w:rsid w:val="00DA478A"/>
    <w:rsid w:val="00DA683A"/>
    <w:rsid w:val="00DD3266"/>
    <w:rsid w:val="00DD3E5D"/>
    <w:rsid w:val="00DD49BA"/>
    <w:rsid w:val="00DE2002"/>
    <w:rsid w:val="00DF15E6"/>
    <w:rsid w:val="00DF7AE9"/>
    <w:rsid w:val="00E01CE0"/>
    <w:rsid w:val="00E034B1"/>
    <w:rsid w:val="00E04245"/>
    <w:rsid w:val="00E05704"/>
    <w:rsid w:val="00E10D85"/>
    <w:rsid w:val="00E16BA1"/>
    <w:rsid w:val="00E228AA"/>
    <w:rsid w:val="00E22CC6"/>
    <w:rsid w:val="00E24D66"/>
    <w:rsid w:val="00E41DFA"/>
    <w:rsid w:val="00E450E0"/>
    <w:rsid w:val="00E47BCF"/>
    <w:rsid w:val="00E54292"/>
    <w:rsid w:val="00E61609"/>
    <w:rsid w:val="00E674A8"/>
    <w:rsid w:val="00E72015"/>
    <w:rsid w:val="00E720B7"/>
    <w:rsid w:val="00E74DC7"/>
    <w:rsid w:val="00E74E35"/>
    <w:rsid w:val="00E80FC6"/>
    <w:rsid w:val="00E87699"/>
    <w:rsid w:val="00E93FD7"/>
    <w:rsid w:val="00EA2652"/>
    <w:rsid w:val="00EB2EEC"/>
    <w:rsid w:val="00EB686C"/>
    <w:rsid w:val="00EB68FA"/>
    <w:rsid w:val="00EC4DC1"/>
    <w:rsid w:val="00ED1B8F"/>
    <w:rsid w:val="00ED2B47"/>
    <w:rsid w:val="00ED3A48"/>
    <w:rsid w:val="00ED492F"/>
    <w:rsid w:val="00EE3F59"/>
    <w:rsid w:val="00EE500A"/>
    <w:rsid w:val="00EF139A"/>
    <w:rsid w:val="00EF2E3A"/>
    <w:rsid w:val="00F01902"/>
    <w:rsid w:val="00F047E2"/>
    <w:rsid w:val="00F078DC"/>
    <w:rsid w:val="00F13E86"/>
    <w:rsid w:val="00F164E3"/>
    <w:rsid w:val="00F17456"/>
    <w:rsid w:val="00F17B00"/>
    <w:rsid w:val="00F21CB6"/>
    <w:rsid w:val="00F2293F"/>
    <w:rsid w:val="00F250CA"/>
    <w:rsid w:val="00F25653"/>
    <w:rsid w:val="00F27261"/>
    <w:rsid w:val="00F3790F"/>
    <w:rsid w:val="00F41984"/>
    <w:rsid w:val="00F450D5"/>
    <w:rsid w:val="00F60FD2"/>
    <w:rsid w:val="00F620A2"/>
    <w:rsid w:val="00F677A9"/>
    <w:rsid w:val="00F77ECF"/>
    <w:rsid w:val="00F81AFD"/>
    <w:rsid w:val="00F84CF5"/>
    <w:rsid w:val="00F919FA"/>
    <w:rsid w:val="00F92D35"/>
    <w:rsid w:val="00FA1932"/>
    <w:rsid w:val="00FA1956"/>
    <w:rsid w:val="00FA420B"/>
    <w:rsid w:val="00FB0583"/>
    <w:rsid w:val="00FC6B50"/>
    <w:rsid w:val="00FD1E13"/>
    <w:rsid w:val="00FD7EB1"/>
    <w:rsid w:val="00FE25D1"/>
    <w:rsid w:val="00FE41C9"/>
    <w:rsid w:val="00FE4532"/>
    <w:rsid w:val="00FE7F93"/>
    <w:rsid w:val="00FF72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61609"/>
    <w:pPr>
      <w:spacing w:line="260" w:lineRule="atLeast"/>
    </w:pPr>
    <w:rPr>
      <w:sz w:val="22"/>
    </w:rPr>
  </w:style>
  <w:style w:type="paragraph" w:styleId="Heading1">
    <w:name w:val="heading 1"/>
    <w:basedOn w:val="Normal"/>
    <w:next w:val="Normal"/>
    <w:link w:val="Heading1Char"/>
    <w:uiPriority w:val="9"/>
    <w:qFormat/>
    <w:rsid w:val="009D75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D756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D756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D756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D756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D756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D756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D756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D756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61609"/>
  </w:style>
  <w:style w:type="paragraph" w:customStyle="1" w:styleId="OPCParaBase">
    <w:name w:val="OPCParaBase"/>
    <w:link w:val="OPCParaBaseChar"/>
    <w:qFormat/>
    <w:rsid w:val="00E6160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E61609"/>
    <w:pPr>
      <w:spacing w:line="240" w:lineRule="auto"/>
    </w:pPr>
    <w:rPr>
      <w:b/>
      <w:sz w:val="40"/>
    </w:rPr>
  </w:style>
  <w:style w:type="paragraph" w:customStyle="1" w:styleId="ActHead1">
    <w:name w:val="ActHead 1"/>
    <w:aliases w:val="c"/>
    <w:basedOn w:val="OPCParaBase"/>
    <w:next w:val="Normal"/>
    <w:qFormat/>
    <w:rsid w:val="00E6160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6160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616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6160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6160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616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616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616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6160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E61609"/>
  </w:style>
  <w:style w:type="paragraph" w:customStyle="1" w:styleId="Blocks">
    <w:name w:val="Blocks"/>
    <w:aliases w:val="bb"/>
    <w:basedOn w:val="OPCParaBase"/>
    <w:qFormat/>
    <w:rsid w:val="00E61609"/>
    <w:pPr>
      <w:spacing w:line="240" w:lineRule="auto"/>
    </w:pPr>
    <w:rPr>
      <w:sz w:val="24"/>
    </w:rPr>
  </w:style>
  <w:style w:type="paragraph" w:customStyle="1" w:styleId="BoxText">
    <w:name w:val="BoxText"/>
    <w:aliases w:val="bt"/>
    <w:basedOn w:val="OPCParaBase"/>
    <w:qFormat/>
    <w:rsid w:val="00E616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61609"/>
    <w:rPr>
      <w:b/>
    </w:rPr>
  </w:style>
  <w:style w:type="paragraph" w:customStyle="1" w:styleId="BoxHeadItalic">
    <w:name w:val="BoxHeadItalic"/>
    <w:aliases w:val="bhi"/>
    <w:basedOn w:val="BoxText"/>
    <w:next w:val="BoxStep"/>
    <w:qFormat/>
    <w:rsid w:val="00E61609"/>
    <w:rPr>
      <w:i/>
    </w:rPr>
  </w:style>
  <w:style w:type="paragraph" w:customStyle="1" w:styleId="BoxList">
    <w:name w:val="BoxList"/>
    <w:aliases w:val="bl"/>
    <w:basedOn w:val="BoxText"/>
    <w:qFormat/>
    <w:rsid w:val="00E61609"/>
    <w:pPr>
      <w:ind w:left="1559" w:hanging="425"/>
    </w:pPr>
  </w:style>
  <w:style w:type="paragraph" w:customStyle="1" w:styleId="BoxNote">
    <w:name w:val="BoxNote"/>
    <w:aliases w:val="bn"/>
    <w:basedOn w:val="BoxText"/>
    <w:qFormat/>
    <w:rsid w:val="00E61609"/>
    <w:pPr>
      <w:tabs>
        <w:tab w:val="left" w:pos="1985"/>
      </w:tabs>
      <w:spacing w:before="122" w:line="198" w:lineRule="exact"/>
      <w:ind w:left="2948" w:hanging="1814"/>
    </w:pPr>
    <w:rPr>
      <w:sz w:val="18"/>
    </w:rPr>
  </w:style>
  <w:style w:type="paragraph" w:customStyle="1" w:styleId="BoxPara">
    <w:name w:val="BoxPara"/>
    <w:aliases w:val="bp"/>
    <w:basedOn w:val="BoxText"/>
    <w:qFormat/>
    <w:rsid w:val="00E61609"/>
    <w:pPr>
      <w:tabs>
        <w:tab w:val="right" w:pos="2268"/>
      </w:tabs>
      <w:ind w:left="2552" w:hanging="1418"/>
    </w:pPr>
  </w:style>
  <w:style w:type="paragraph" w:customStyle="1" w:styleId="BoxStep">
    <w:name w:val="BoxStep"/>
    <w:aliases w:val="bs"/>
    <w:basedOn w:val="BoxText"/>
    <w:qFormat/>
    <w:rsid w:val="00E61609"/>
    <w:pPr>
      <w:ind w:left="1985" w:hanging="851"/>
    </w:pPr>
  </w:style>
  <w:style w:type="character" w:customStyle="1" w:styleId="CharAmPartNo">
    <w:name w:val="CharAmPartNo"/>
    <w:basedOn w:val="OPCCharBase"/>
    <w:uiPriority w:val="1"/>
    <w:qFormat/>
    <w:rsid w:val="00E61609"/>
  </w:style>
  <w:style w:type="character" w:customStyle="1" w:styleId="CharAmPartText">
    <w:name w:val="CharAmPartText"/>
    <w:basedOn w:val="OPCCharBase"/>
    <w:uiPriority w:val="1"/>
    <w:qFormat/>
    <w:rsid w:val="00E61609"/>
  </w:style>
  <w:style w:type="character" w:customStyle="1" w:styleId="CharAmSchNo">
    <w:name w:val="CharAmSchNo"/>
    <w:basedOn w:val="OPCCharBase"/>
    <w:uiPriority w:val="1"/>
    <w:qFormat/>
    <w:rsid w:val="00E61609"/>
  </w:style>
  <w:style w:type="character" w:customStyle="1" w:styleId="CharAmSchText">
    <w:name w:val="CharAmSchText"/>
    <w:basedOn w:val="OPCCharBase"/>
    <w:uiPriority w:val="1"/>
    <w:qFormat/>
    <w:rsid w:val="00E61609"/>
  </w:style>
  <w:style w:type="character" w:customStyle="1" w:styleId="CharBoldItalic">
    <w:name w:val="CharBoldItalic"/>
    <w:basedOn w:val="OPCCharBase"/>
    <w:uiPriority w:val="1"/>
    <w:qFormat/>
    <w:rsid w:val="00E61609"/>
    <w:rPr>
      <w:b/>
      <w:i/>
    </w:rPr>
  </w:style>
  <w:style w:type="character" w:customStyle="1" w:styleId="CharChapNo">
    <w:name w:val="CharChapNo"/>
    <w:basedOn w:val="OPCCharBase"/>
    <w:uiPriority w:val="1"/>
    <w:qFormat/>
    <w:rsid w:val="00E61609"/>
  </w:style>
  <w:style w:type="character" w:customStyle="1" w:styleId="CharChapText">
    <w:name w:val="CharChapText"/>
    <w:basedOn w:val="OPCCharBase"/>
    <w:uiPriority w:val="1"/>
    <w:qFormat/>
    <w:rsid w:val="00E61609"/>
  </w:style>
  <w:style w:type="character" w:customStyle="1" w:styleId="CharDivNo">
    <w:name w:val="CharDivNo"/>
    <w:basedOn w:val="OPCCharBase"/>
    <w:uiPriority w:val="1"/>
    <w:qFormat/>
    <w:rsid w:val="00E61609"/>
  </w:style>
  <w:style w:type="character" w:customStyle="1" w:styleId="CharDivText">
    <w:name w:val="CharDivText"/>
    <w:basedOn w:val="OPCCharBase"/>
    <w:uiPriority w:val="1"/>
    <w:qFormat/>
    <w:rsid w:val="00E61609"/>
  </w:style>
  <w:style w:type="character" w:customStyle="1" w:styleId="CharItalic">
    <w:name w:val="CharItalic"/>
    <w:basedOn w:val="OPCCharBase"/>
    <w:uiPriority w:val="1"/>
    <w:qFormat/>
    <w:rsid w:val="00E61609"/>
    <w:rPr>
      <w:i/>
    </w:rPr>
  </w:style>
  <w:style w:type="character" w:customStyle="1" w:styleId="CharPartNo">
    <w:name w:val="CharPartNo"/>
    <w:basedOn w:val="OPCCharBase"/>
    <w:uiPriority w:val="1"/>
    <w:qFormat/>
    <w:rsid w:val="00E61609"/>
  </w:style>
  <w:style w:type="character" w:customStyle="1" w:styleId="CharPartText">
    <w:name w:val="CharPartText"/>
    <w:basedOn w:val="OPCCharBase"/>
    <w:uiPriority w:val="1"/>
    <w:qFormat/>
    <w:rsid w:val="00E61609"/>
  </w:style>
  <w:style w:type="character" w:customStyle="1" w:styleId="CharSectno">
    <w:name w:val="CharSectno"/>
    <w:basedOn w:val="OPCCharBase"/>
    <w:uiPriority w:val="1"/>
    <w:qFormat/>
    <w:rsid w:val="00E61609"/>
  </w:style>
  <w:style w:type="character" w:customStyle="1" w:styleId="CharSubdNo">
    <w:name w:val="CharSubdNo"/>
    <w:basedOn w:val="OPCCharBase"/>
    <w:uiPriority w:val="1"/>
    <w:qFormat/>
    <w:rsid w:val="00E61609"/>
  </w:style>
  <w:style w:type="character" w:customStyle="1" w:styleId="CharSubdText">
    <w:name w:val="CharSubdText"/>
    <w:basedOn w:val="OPCCharBase"/>
    <w:uiPriority w:val="1"/>
    <w:qFormat/>
    <w:rsid w:val="00E61609"/>
  </w:style>
  <w:style w:type="paragraph" w:customStyle="1" w:styleId="CTA--">
    <w:name w:val="CTA --"/>
    <w:basedOn w:val="OPCParaBase"/>
    <w:next w:val="Normal"/>
    <w:rsid w:val="00E61609"/>
    <w:pPr>
      <w:spacing w:before="60" w:line="240" w:lineRule="atLeast"/>
      <w:ind w:left="142" w:hanging="142"/>
    </w:pPr>
    <w:rPr>
      <w:sz w:val="20"/>
    </w:rPr>
  </w:style>
  <w:style w:type="paragraph" w:customStyle="1" w:styleId="CTA-">
    <w:name w:val="CTA -"/>
    <w:basedOn w:val="OPCParaBase"/>
    <w:rsid w:val="00E61609"/>
    <w:pPr>
      <w:spacing w:before="60" w:line="240" w:lineRule="atLeast"/>
      <w:ind w:left="85" w:hanging="85"/>
    </w:pPr>
    <w:rPr>
      <w:sz w:val="20"/>
    </w:rPr>
  </w:style>
  <w:style w:type="paragraph" w:customStyle="1" w:styleId="CTA---">
    <w:name w:val="CTA ---"/>
    <w:basedOn w:val="OPCParaBase"/>
    <w:next w:val="Normal"/>
    <w:rsid w:val="00E61609"/>
    <w:pPr>
      <w:spacing w:before="60" w:line="240" w:lineRule="atLeast"/>
      <w:ind w:left="198" w:hanging="198"/>
    </w:pPr>
    <w:rPr>
      <w:sz w:val="20"/>
    </w:rPr>
  </w:style>
  <w:style w:type="paragraph" w:customStyle="1" w:styleId="CTA----">
    <w:name w:val="CTA ----"/>
    <w:basedOn w:val="OPCParaBase"/>
    <w:next w:val="Normal"/>
    <w:rsid w:val="00E61609"/>
    <w:pPr>
      <w:spacing w:before="60" w:line="240" w:lineRule="atLeast"/>
      <w:ind w:left="255" w:hanging="255"/>
    </w:pPr>
    <w:rPr>
      <w:sz w:val="20"/>
    </w:rPr>
  </w:style>
  <w:style w:type="paragraph" w:customStyle="1" w:styleId="CTA1a">
    <w:name w:val="CTA 1(a)"/>
    <w:basedOn w:val="OPCParaBase"/>
    <w:rsid w:val="00E61609"/>
    <w:pPr>
      <w:tabs>
        <w:tab w:val="right" w:pos="414"/>
      </w:tabs>
      <w:spacing w:before="40" w:line="240" w:lineRule="atLeast"/>
      <w:ind w:left="675" w:hanging="675"/>
    </w:pPr>
    <w:rPr>
      <w:sz w:val="20"/>
    </w:rPr>
  </w:style>
  <w:style w:type="paragraph" w:customStyle="1" w:styleId="CTA1ai">
    <w:name w:val="CTA 1(a)(i)"/>
    <w:basedOn w:val="OPCParaBase"/>
    <w:rsid w:val="00E61609"/>
    <w:pPr>
      <w:tabs>
        <w:tab w:val="right" w:pos="1004"/>
      </w:tabs>
      <w:spacing w:before="40" w:line="240" w:lineRule="atLeast"/>
      <w:ind w:left="1253" w:hanging="1253"/>
    </w:pPr>
    <w:rPr>
      <w:sz w:val="20"/>
    </w:rPr>
  </w:style>
  <w:style w:type="paragraph" w:customStyle="1" w:styleId="CTA2a">
    <w:name w:val="CTA 2(a)"/>
    <w:basedOn w:val="OPCParaBase"/>
    <w:rsid w:val="00E61609"/>
    <w:pPr>
      <w:tabs>
        <w:tab w:val="right" w:pos="482"/>
      </w:tabs>
      <w:spacing w:before="40" w:line="240" w:lineRule="atLeast"/>
      <w:ind w:left="748" w:hanging="748"/>
    </w:pPr>
    <w:rPr>
      <w:sz w:val="20"/>
    </w:rPr>
  </w:style>
  <w:style w:type="paragraph" w:customStyle="1" w:styleId="CTA2ai">
    <w:name w:val="CTA 2(a)(i)"/>
    <w:basedOn w:val="OPCParaBase"/>
    <w:rsid w:val="00E61609"/>
    <w:pPr>
      <w:tabs>
        <w:tab w:val="right" w:pos="1089"/>
      </w:tabs>
      <w:spacing w:before="40" w:line="240" w:lineRule="atLeast"/>
      <w:ind w:left="1327" w:hanging="1327"/>
    </w:pPr>
    <w:rPr>
      <w:sz w:val="20"/>
    </w:rPr>
  </w:style>
  <w:style w:type="paragraph" w:customStyle="1" w:styleId="CTA3a">
    <w:name w:val="CTA 3(a)"/>
    <w:basedOn w:val="OPCParaBase"/>
    <w:rsid w:val="00E61609"/>
    <w:pPr>
      <w:tabs>
        <w:tab w:val="right" w:pos="556"/>
      </w:tabs>
      <w:spacing w:before="40" w:line="240" w:lineRule="atLeast"/>
      <w:ind w:left="805" w:hanging="805"/>
    </w:pPr>
    <w:rPr>
      <w:sz w:val="20"/>
    </w:rPr>
  </w:style>
  <w:style w:type="paragraph" w:customStyle="1" w:styleId="CTA3ai">
    <w:name w:val="CTA 3(a)(i)"/>
    <w:basedOn w:val="OPCParaBase"/>
    <w:rsid w:val="00E61609"/>
    <w:pPr>
      <w:tabs>
        <w:tab w:val="right" w:pos="1140"/>
      </w:tabs>
      <w:spacing w:before="40" w:line="240" w:lineRule="atLeast"/>
      <w:ind w:left="1361" w:hanging="1361"/>
    </w:pPr>
    <w:rPr>
      <w:sz w:val="20"/>
    </w:rPr>
  </w:style>
  <w:style w:type="paragraph" w:customStyle="1" w:styleId="CTA4a">
    <w:name w:val="CTA 4(a)"/>
    <w:basedOn w:val="OPCParaBase"/>
    <w:rsid w:val="00E61609"/>
    <w:pPr>
      <w:tabs>
        <w:tab w:val="right" w:pos="624"/>
      </w:tabs>
      <w:spacing w:before="40" w:line="240" w:lineRule="atLeast"/>
      <w:ind w:left="873" w:hanging="873"/>
    </w:pPr>
    <w:rPr>
      <w:sz w:val="20"/>
    </w:rPr>
  </w:style>
  <w:style w:type="paragraph" w:customStyle="1" w:styleId="CTA4ai">
    <w:name w:val="CTA 4(a)(i)"/>
    <w:basedOn w:val="OPCParaBase"/>
    <w:rsid w:val="00E61609"/>
    <w:pPr>
      <w:tabs>
        <w:tab w:val="right" w:pos="1213"/>
      </w:tabs>
      <w:spacing w:before="40" w:line="240" w:lineRule="atLeast"/>
      <w:ind w:left="1452" w:hanging="1452"/>
    </w:pPr>
    <w:rPr>
      <w:sz w:val="20"/>
    </w:rPr>
  </w:style>
  <w:style w:type="paragraph" w:customStyle="1" w:styleId="CTACAPS">
    <w:name w:val="CTA CAPS"/>
    <w:basedOn w:val="OPCParaBase"/>
    <w:rsid w:val="00E61609"/>
    <w:pPr>
      <w:spacing w:before="60" w:line="240" w:lineRule="atLeast"/>
    </w:pPr>
    <w:rPr>
      <w:sz w:val="20"/>
    </w:rPr>
  </w:style>
  <w:style w:type="paragraph" w:customStyle="1" w:styleId="CTAright">
    <w:name w:val="CTA right"/>
    <w:basedOn w:val="OPCParaBase"/>
    <w:rsid w:val="00E61609"/>
    <w:pPr>
      <w:spacing w:before="60" w:line="240" w:lineRule="auto"/>
      <w:jc w:val="right"/>
    </w:pPr>
    <w:rPr>
      <w:sz w:val="20"/>
    </w:rPr>
  </w:style>
  <w:style w:type="paragraph" w:customStyle="1" w:styleId="subsection">
    <w:name w:val="subsection"/>
    <w:aliases w:val="ss"/>
    <w:basedOn w:val="OPCParaBase"/>
    <w:rsid w:val="00E61609"/>
    <w:pPr>
      <w:tabs>
        <w:tab w:val="right" w:pos="1021"/>
      </w:tabs>
      <w:spacing w:before="180" w:line="240" w:lineRule="auto"/>
      <w:ind w:left="1134" w:hanging="1134"/>
    </w:pPr>
  </w:style>
  <w:style w:type="paragraph" w:customStyle="1" w:styleId="Definition">
    <w:name w:val="Definition"/>
    <w:aliases w:val="dd"/>
    <w:basedOn w:val="OPCParaBase"/>
    <w:rsid w:val="00E61609"/>
    <w:pPr>
      <w:spacing w:before="180" w:line="240" w:lineRule="auto"/>
      <w:ind w:left="1134"/>
    </w:pPr>
  </w:style>
  <w:style w:type="paragraph" w:customStyle="1" w:styleId="ETAsubitem">
    <w:name w:val="ETA(subitem)"/>
    <w:basedOn w:val="OPCParaBase"/>
    <w:rsid w:val="00E61609"/>
    <w:pPr>
      <w:tabs>
        <w:tab w:val="right" w:pos="340"/>
      </w:tabs>
      <w:spacing w:before="60" w:line="240" w:lineRule="auto"/>
      <w:ind w:left="454" w:hanging="454"/>
    </w:pPr>
    <w:rPr>
      <w:sz w:val="20"/>
    </w:rPr>
  </w:style>
  <w:style w:type="paragraph" w:customStyle="1" w:styleId="ETApara">
    <w:name w:val="ETA(para)"/>
    <w:basedOn w:val="OPCParaBase"/>
    <w:rsid w:val="00E61609"/>
    <w:pPr>
      <w:tabs>
        <w:tab w:val="right" w:pos="754"/>
      </w:tabs>
      <w:spacing w:before="60" w:line="240" w:lineRule="auto"/>
      <w:ind w:left="828" w:hanging="828"/>
    </w:pPr>
    <w:rPr>
      <w:sz w:val="20"/>
    </w:rPr>
  </w:style>
  <w:style w:type="paragraph" w:customStyle="1" w:styleId="ETAsubpara">
    <w:name w:val="ETA(subpara)"/>
    <w:basedOn w:val="OPCParaBase"/>
    <w:rsid w:val="00E61609"/>
    <w:pPr>
      <w:tabs>
        <w:tab w:val="right" w:pos="1083"/>
      </w:tabs>
      <w:spacing w:before="60" w:line="240" w:lineRule="auto"/>
      <w:ind w:left="1191" w:hanging="1191"/>
    </w:pPr>
    <w:rPr>
      <w:sz w:val="20"/>
    </w:rPr>
  </w:style>
  <w:style w:type="paragraph" w:customStyle="1" w:styleId="ETAsub-subpara">
    <w:name w:val="ETA(sub-subpara)"/>
    <w:basedOn w:val="OPCParaBase"/>
    <w:rsid w:val="00E61609"/>
    <w:pPr>
      <w:tabs>
        <w:tab w:val="right" w:pos="1412"/>
      </w:tabs>
      <w:spacing w:before="60" w:line="240" w:lineRule="auto"/>
      <w:ind w:left="1525" w:hanging="1525"/>
    </w:pPr>
    <w:rPr>
      <w:sz w:val="20"/>
    </w:rPr>
  </w:style>
  <w:style w:type="paragraph" w:customStyle="1" w:styleId="Formula">
    <w:name w:val="Formula"/>
    <w:basedOn w:val="OPCParaBase"/>
    <w:rsid w:val="00E61609"/>
    <w:pPr>
      <w:spacing w:line="240" w:lineRule="auto"/>
      <w:ind w:left="1134"/>
    </w:pPr>
    <w:rPr>
      <w:sz w:val="20"/>
    </w:rPr>
  </w:style>
  <w:style w:type="paragraph" w:styleId="Header">
    <w:name w:val="header"/>
    <w:basedOn w:val="OPCParaBase"/>
    <w:link w:val="HeaderChar"/>
    <w:uiPriority w:val="99"/>
    <w:unhideWhenUsed/>
    <w:rsid w:val="00E6160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E61609"/>
    <w:rPr>
      <w:rFonts w:eastAsia="Times New Roman" w:cs="Times New Roman"/>
      <w:sz w:val="16"/>
      <w:lang w:eastAsia="en-AU"/>
    </w:rPr>
  </w:style>
  <w:style w:type="paragraph" w:customStyle="1" w:styleId="House">
    <w:name w:val="House"/>
    <w:basedOn w:val="OPCParaBase"/>
    <w:rsid w:val="00E61609"/>
    <w:pPr>
      <w:spacing w:line="240" w:lineRule="auto"/>
    </w:pPr>
    <w:rPr>
      <w:sz w:val="28"/>
    </w:rPr>
  </w:style>
  <w:style w:type="paragraph" w:customStyle="1" w:styleId="Item">
    <w:name w:val="Item"/>
    <w:aliases w:val="i"/>
    <w:basedOn w:val="OPCParaBase"/>
    <w:next w:val="ItemHead"/>
    <w:link w:val="ItemChar"/>
    <w:rsid w:val="00E61609"/>
    <w:pPr>
      <w:keepLines/>
      <w:spacing w:before="80" w:line="240" w:lineRule="auto"/>
      <w:ind w:left="709"/>
    </w:pPr>
  </w:style>
  <w:style w:type="paragraph" w:customStyle="1" w:styleId="ItemHead">
    <w:name w:val="ItemHead"/>
    <w:aliases w:val="ih"/>
    <w:basedOn w:val="OPCParaBase"/>
    <w:next w:val="Item"/>
    <w:link w:val="ItemHeadChar"/>
    <w:rsid w:val="00E6160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61609"/>
    <w:pPr>
      <w:spacing w:line="240" w:lineRule="auto"/>
    </w:pPr>
    <w:rPr>
      <w:b/>
      <w:sz w:val="32"/>
    </w:rPr>
  </w:style>
  <w:style w:type="paragraph" w:customStyle="1" w:styleId="notedraft">
    <w:name w:val="note(draft)"/>
    <w:aliases w:val="nd"/>
    <w:basedOn w:val="OPCParaBase"/>
    <w:rsid w:val="00E61609"/>
    <w:pPr>
      <w:spacing w:before="240" w:line="240" w:lineRule="auto"/>
      <w:ind w:left="284" w:hanging="284"/>
    </w:pPr>
    <w:rPr>
      <w:i/>
      <w:sz w:val="24"/>
    </w:rPr>
  </w:style>
  <w:style w:type="paragraph" w:customStyle="1" w:styleId="notemargin">
    <w:name w:val="note(margin)"/>
    <w:aliases w:val="nm"/>
    <w:basedOn w:val="OPCParaBase"/>
    <w:rsid w:val="00E61609"/>
    <w:pPr>
      <w:tabs>
        <w:tab w:val="left" w:pos="709"/>
      </w:tabs>
      <w:spacing w:before="122" w:line="198" w:lineRule="exact"/>
      <w:ind w:left="709" w:hanging="709"/>
    </w:pPr>
    <w:rPr>
      <w:sz w:val="18"/>
    </w:rPr>
  </w:style>
  <w:style w:type="paragraph" w:customStyle="1" w:styleId="noteToPara">
    <w:name w:val="noteToPara"/>
    <w:aliases w:val="ntp"/>
    <w:basedOn w:val="OPCParaBase"/>
    <w:rsid w:val="00E61609"/>
    <w:pPr>
      <w:spacing w:before="122" w:line="198" w:lineRule="exact"/>
      <w:ind w:left="2353" w:hanging="709"/>
    </w:pPr>
    <w:rPr>
      <w:sz w:val="18"/>
    </w:rPr>
  </w:style>
  <w:style w:type="paragraph" w:customStyle="1" w:styleId="noteParlAmend">
    <w:name w:val="note(ParlAmend)"/>
    <w:aliases w:val="npp"/>
    <w:basedOn w:val="OPCParaBase"/>
    <w:next w:val="ParlAmend"/>
    <w:rsid w:val="00E61609"/>
    <w:pPr>
      <w:spacing w:line="240" w:lineRule="auto"/>
      <w:jc w:val="right"/>
    </w:pPr>
    <w:rPr>
      <w:rFonts w:ascii="Arial" w:hAnsi="Arial"/>
      <w:b/>
      <w:i/>
    </w:rPr>
  </w:style>
  <w:style w:type="paragraph" w:customStyle="1" w:styleId="Page1">
    <w:name w:val="Page1"/>
    <w:basedOn w:val="OPCParaBase"/>
    <w:rsid w:val="00E61609"/>
    <w:pPr>
      <w:spacing w:before="400" w:line="240" w:lineRule="auto"/>
    </w:pPr>
    <w:rPr>
      <w:b/>
      <w:sz w:val="32"/>
    </w:rPr>
  </w:style>
  <w:style w:type="paragraph" w:customStyle="1" w:styleId="PageBreak">
    <w:name w:val="PageBreak"/>
    <w:aliases w:val="pb"/>
    <w:basedOn w:val="OPCParaBase"/>
    <w:rsid w:val="00E61609"/>
    <w:pPr>
      <w:spacing w:line="240" w:lineRule="auto"/>
    </w:pPr>
    <w:rPr>
      <w:sz w:val="20"/>
    </w:rPr>
  </w:style>
  <w:style w:type="paragraph" w:customStyle="1" w:styleId="paragraphsub">
    <w:name w:val="paragraph(sub)"/>
    <w:aliases w:val="aa"/>
    <w:basedOn w:val="OPCParaBase"/>
    <w:rsid w:val="00E61609"/>
    <w:pPr>
      <w:tabs>
        <w:tab w:val="right" w:pos="1985"/>
      </w:tabs>
      <w:spacing w:before="40" w:line="240" w:lineRule="auto"/>
      <w:ind w:left="2098" w:hanging="2098"/>
    </w:pPr>
  </w:style>
  <w:style w:type="paragraph" w:customStyle="1" w:styleId="paragraphsub-sub">
    <w:name w:val="paragraph(sub-sub)"/>
    <w:aliases w:val="aaa"/>
    <w:basedOn w:val="OPCParaBase"/>
    <w:rsid w:val="00E61609"/>
    <w:pPr>
      <w:tabs>
        <w:tab w:val="right" w:pos="2722"/>
      </w:tabs>
      <w:spacing w:before="40" w:line="240" w:lineRule="auto"/>
      <w:ind w:left="2835" w:hanging="2835"/>
    </w:pPr>
  </w:style>
  <w:style w:type="paragraph" w:customStyle="1" w:styleId="paragraph">
    <w:name w:val="paragraph"/>
    <w:aliases w:val="a"/>
    <w:basedOn w:val="OPCParaBase"/>
    <w:link w:val="paragraphChar"/>
    <w:rsid w:val="00E61609"/>
    <w:pPr>
      <w:tabs>
        <w:tab w:val="right" w:pos="1531"/>
      </w:tabs>
      <w:spacing w:before="40" w:line="240" w:lineRule="auto"/>
      <w:ind w:left="1644" w:hanging="1644"/>
    </w:pPr>
  </w:style>
  <w:style w:type="paragraph" w:customStyle="1" w:styleId="ParlAmend">
    <w:name w:val="ParlAmend"/>
    <w:aliases w:val="pp"/>
    <w:basedOn w:val="OPCParaBase"/>
    <w:rsid w:val="00E61609"/>
    <w:pPr>
      <w:spacing w:before="240" w:line="240" w:lineRule="atLeast"/>
      <w:ind w:hanging="567"/>
    </w:pPr>
    <w:rPr>
      <w:sz w:val="24"/>
    </w:rPr>
  </w:style>
  <w:style w:type="paragraph" w:customStyle="1" w:styleId="Penalty">
    <w:name w:val="Penalty"/>
    <w:basedOn w:val="OPCParaBase"/>
    <w:rsid w:val="00E61609"/>
    <w:pPr>
      <w:tabs>
        <w:tab w:val="left" w:pos="2977"/>
      </w:tabs>
      <w:spacing w:before="180" w:line="240" w:lineRule="auto"/>
      <w:ind w:left="1985" w:hanging="851"/>
    </w:pPr>
  </w:style>
  <w:style w:type="paragraph" w:customStyle="1" w:styleId="Portfolio">
    <w:name w:val="Portfolio"/>
    <w:basedOn w:val="OPCParaBase"/>
    <w:rsid w:val="00E61609"/>
    <w:pPr>
      <w:spacing w:line="240" w:lineRule="auto"/>
    </w:pPr>
    <w:rPr>
      <w:i/>
      <w:sz w:val="20"/>
    </w:rPr>
  </w:style>
  <w:style w:type="paragraph" w:customStyle="1" w:styleId="Preamble">
    <w:name w:val="Preamble"/>
    <w:basedOn w:val="OPCParaBase"/>
    <w:next w:val="Normal"/>
    <w:rsid w:val="00E616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61609"/>
    <w:pPr>
      <w:spacing w:line="240" w:lineRule="auto"/>
    </w:pPr>
    <w:rPr>
      <w:i/>
      <w:sz w:val="20"/>
    </w:rPr>
  </w:style>
  <w:style w:type="paragraph" w:customStyle="1" w:styleId="Session">
    <w:name w:val="Session"/>
    <w:basedOn w:val="OPCParaBase"/>
    <w:rsid w:val="00E61609"/>
    <w:pPr>
      <w:spacing w:line="240" w:lineRule="auto"/>
    </w:pPr>
    <w:rPr>
      <w:sz w:val="28"/>
    </w:rPr>
  </w:style>
  <w:style w:type="paragraph" w:customStyle="1" w:styleId="Sponsor">
    <w:name w:val="Sponsor"/>
    <w:basedOn w:val="OPCParaBase"/>
    <w:rsid w:val="00E61609"/>
    <w:pPr>
      <w:spacing w:line="240" w:lineRule="auto"/>
    </w:pPr>
    <w:rPr>
      <w:i/>
    </w:rPr>
  </w:style>
  <w:style w:type="paragraph" w:customStyle="1" w:styleId="Subitem">
    <w:name w:val="Subitem"/>
    <w:aliases w:val="iss"/>
    <w:basedOn w:val="OPCParaBase"/>
    <w:rsid w:val="00E61609"/>
    <w:pPr>
      <w:spacing w:before="180" w:line="240" w:lineRule="auto"/>
      <w:ind w:left="709" w:hanging="709"/>
    </w:pPr>
  </w:style>
  <w:style w:type="paragraph" w:customStyle="1" w:styleId="SubitemHead">
    <w:name w:val="SubitemHead"/>
    <w:aliases w:val="issh"/>
    <w:basedOn w:val="OPCParaBase"/>
    <w:rsid w:val="00E616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61609"/>
    <w:pPr>
      <w:spacing w:before="40" w:line="240" w:lineRule="auto"/>
      <w:ind w:left="1134"/>
    </w:pPr>
  </w:style>
  <w:style w:type="paragraph" w:customStyle="1" w:styleId="SubsectionHead">
    <w:name w:val="SubsectionHead"/>
    <w:aliases w:val="ssh"/>
    <w:basedOn w:val="OPCParaBase"/>
    <w:next w:val="subsection"/>
    <w:rsid w:val="00E61609"/>
    <w:pPr>
      <w:keepNext/>
      <w:keepLines/>
      <w:spacing w:before="240" w:line="240" w:lineRule="auto"/>
      <w:ind w:left="1134"/>
    </w:pPr>
    <w:rPr>
      <w:i/>
    </w:rPr>
  </w:style>
  <w:style w:type="paragraph" w:customStyle="1" w:styleId="Tablea">
    <w:name w:val="Table(a)"/>
    <w:aliases w:val="ta"/>
    <w:basedOn w:val="OPCParaBase"/>
    <w:rsid w:val="00E61609"/>
    <w:pPr>
      <w:spacing w:before="60" w:line="240" w:lineRule="auto"/>
      <w:ind w:left="284" w:hanging="284"/>
    </w:pPr>
    <w:rPr>
      <w:sz w:val="20"/>
    </w:rPr>
  </w:style>
  <w:style w:type="paragraph" w:customStyle="1" w:styleId="TableAA">
    <w:name w:val="Table(AA)"/>
    <w:aliases w:val="taaa"/>
    <w:basedOn w:val="OPCParaBase"/>
    <w:rsid w:val="00E6160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616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61609"/>
    <w:pPr>
      <w:spacing w:before="60" w:line="240" w:lineRule="atLeast"/>
    </w:pPr>
    <w:rPr>
      <w:sz w:val="20"/>
    </w:rPr>
  </w:style>
  <w:style w:type="paragraph" w:customStyle="1" w:styleId="TLPBoxTextnote">
    <w:name w:val="TLPBoxText(note"/>
    <w:aliases w:val="right)"/>
    <w:basedOn w:val="OPCParaBase"/>
    <w:rsid w:val="00E616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616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61609"/>
    <w:pPr>
      <w:spacing w:before="122" w:line="198" w:lineRule="exact"/>
      <w:ind w:left="1985" w:hanging="851"/>
      <w:jc w:val="right"/>
    </w:pPr>
    <w:rPr>
      <w:sz w:val="18"/>
    </w:rPr>
  </w:style>
  <w:style w:type="paragraph" w:customStyle="1" w:styleId="TLPTableBullet">
    <w:name w:val="TLPTableBullet"/>
    <w:aliases w:val="ttb"/>
    <w:basedOn w:val="OPCParaBase"/>
    <w:rsid w:val="00E61609"/>
    <w:pPr>
      <w:spacing w:line="240" w:lineRule="exact"/>
      <w:ind w:left="284" w:hanging="284"/>
    </w:pPr>
    <w:rPr>
      <w:sz w:val="20"/>
    </w:rPr>
  </w:style>
  <w:style w:type="paragraph" w:styleId="TOC1">
    <w:name w:val="toc 1"/>
    <w:basedOn w:val="OPCParaBase"/>
    <w:next w:val="Normal"/>
    <w:uiPriority w:val="39"/>
    <w:unhideWhenUsed/>
    <w:rsid w:val="00E6160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6160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6160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6160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6160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6160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6160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6160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6160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61609"/>
    <w:pPr>
      <w:keepLines/>
      <w:spacing w:before="240" w:after="120" w:line="240" w:lineRule="auto"/>
      <w:ind w:left="794"/>
    </w:pPr>
    <w:rPr>
      <w:b/>
      <w:kern w:val="28"/>
      <w:sz w:val="20"/>
    </w:rPr>
  </w:style>
  <w:style w:type="paragraph" w:customStyle="1" w:styleId="TofSectsHeading">
    <w:name w:val="TofSects(Heading)"/>
    <w:basedOn w:val="OPCParaBase"/>
    <w:rsid w:val="00E61609"/>
    <w:pPr>
      <w:spacing w:before="240" w:after="120" w:line="240" w:lineRule="auto"/>
    </w:pPr>
    <w:rPr>
      <w:b/>
      <w:sz w:val="24"/>
    </w:rPr>
  </w:style>
  <w:style w:type="paragraph" w:customStyle="1" w:styleId="TofSectsSection">
    <w:name w:val="TofSects(Section)"/>
    <w:basedOn w:val="OPCParaBase"/>
    <w:rsid w:val="00E61609"/>
    <w:pPr>
      <w:keepLines/>
      <w:spacing w:before="40" w:line="240" w:lineRule="auto"/>
      <w:ind w:left="1588" w:hanging="794"/>
    </w:pPr>
    <w:rPr>
      <w:kern w:val="28"/>
      <w:sz w:val="18"/>
    </w:rPr>
  </w:style>
  <w:style w:type="paragraph" w:customStyle="1" w:styleId="TofSectsSubdiv">
    <w:name w:val="TofSects(Subdiv)"/>
    <w:basedOn w:val="OPCParaBase"/>
    <w:rsid w:val="00E61609"/>
    <w:pPr>
      <w:keepLines/>
      <w:spacing w:before="80" w:line="240" w:lineRule="auto"/>
      <w:ind w:left="1588" w:hanging="794"/>
    </w:pPr>
    <w:rPr>
      <w:kern w:val="28"/>
    </w:rPr>
  </w:style>
  <w:style w:type="paragraph" w:customStyle="1" w:styleId="WRStyle">
    <w:name w:val="WR Style"/>
    <w:aliases w:val="WR"/>
    <w:basedOn w:val="OPCParaBase"/>
    <w:rsid w:val="00E61609"/>
    <w:pPr>
      <w:spacing w:before="240" w:line="240" w:lineRule="auto"/>
      <w:ind w:left="284" w:hanging="284"/>
    </w:pPr>
    <w:rPr>
      <w:b/>
      <w:i/>
      <w:kern w:val="28"/>
      <w:sz w:val="24"/>
    </w:rPr>
  </w:style>
  <w:style w:type="paragraph" w:customStyle="1" w:styleId="notepara">
    <w:name w:val="note(para)"/>
    <w:aliases w:val="na"/>
    <w:basedOn w:val="OPCParaBase"/>
    <w:rsid w:val="00E61609"/>
    <w:pPr>
      <w:spacing w:before="40" w:line="198" w:lineRule="exact"/>
      <w:ind w:left="2354" w:hanging="369"/>
    </w:pPr>
    <w:rPr>
      <w:sz w:val="18"/>
    </w:rPr>
  </w:style>
  <w:style w:type="paragraph" w:styleId="Footer">
    <w:name w:val="footer"/>
    <w:link w:val="FooterChar"/>
    <w:rsid w:val="00E6160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61609"/>
    <w:rPr>
      <w:rFonts w:eastAsia="Times New Roman" w:cs="Times New Roman"/>
      <w:sz w:val="22"/>
      <w:szCs w:val="24"/>
      <w:lang w:eastAsia="en-AU"/>
    </w:rPr>
  </w:style>
  <w:style w:type="character" w:styleId="LineNumber">
    <w:name w:val="line number"/>
    <w:basedOn w:val="OPCCharBase"/>
    <w:uiPriority w:val="99"/>
    <w:semiHidden/>
    <w:unhideWhenUsed/>
    <w:rsid w:val="00E61609"/>
    <w:rPr>
      <w:sz w:val="16"/>
    </w:rPr>
  </w:style>
  <w:style w:type="table" w:customStyle="1" w:styleId="CFlag">
    <w:name w:val="CFlag"/>
    <w:basedOn w:val="TableNormal"/>
    <w:uiPriority w:val="99"/>
    <w:rsid w:val="00E61609"/>
    <w:rPr>
      <w:rFonts w:eastAsia="Times New Roman" w:cs="Times New Roman"/>
      <w:lang w:eastAsia="en-AU"/>
    </w:rPr>
    <w:tblPr/>
  </w:style>
  <w:style w:type="paragraph" w:customStyle="1" w:styleId="NotesHeading1">
    <w:name w:val="NotesHeading 1"/>
    <w:basedOn w:val="OPCParaBase"/>
    <w:next w:val="Normal"/>
    <w:rsid w:val="00E61609"/>
    <w:rPr>
      <w:b/>
      <w:sz w:val="28"/>
      <w:szCs w:val="28"/>
    </w:rPr>
  </w:style>
  <w:style w:type="paragraph" w:customStyle="1" w:styleId="NotesHeading2">
    <w:name w:val="NotesHeading 2"/>
    <w:basedOn w:val="OPCParaBase"/>
    <w:next w:val="Normal"/>
    <w:rsid w:val="00E61609"/>
    <w:rPr>
      <w:b/>
      <w:sz w:val="28"/>
      <w:szCs w:val="28"/>
    </w:rPr>
  </w:style>
  <w:style w:type="paragraph" w:customStyle="1" w:styleId="SignCoverPageEnd">
    <w:name w:val="SignCoverPageEnd"/>
    <w:basedOn w:val="OPCParaBase"/>
    <w:next w:val="Normal"/>
    <w:rsid w:val="00E6160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61609"/>
    <w:pPr>
      <w:pBdr>
        <w:top w:val="single" w:sz="4" w:space="1" w:color="auto"/>
      </w:pBdr>
      <w:spacing w:before="360"/>
      <w:ind w:right="397"/>
      <w:jc w:val="both"/>
    </w:pPr>
  </w:style>
  <w:style w:type="paragraph" w:customStyle="1" w:styleId="Paragraphsub-sub-sub">
    <w:name w:val="Paragraph(sub-sub-sub)"/>
    <w:aliases w:val="aaaa"/>
    <w:basedOn w:val="OPCParaBase"/>
    <w:rsid w:val="00E6160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6160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616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616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61609"/>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E61609"/>
    <w:pPr>
      <w:spacing w:before="120"/>
    </w:pPr>
  </w:style>
  <w:style w:type="paragraph" w:customStyle="1" w:styleId="TableTextEndNotes">
    <w:name w:val="TableTextEndNotes"/>
    <w:aliases w:val="Tten"/>
    <w:basedOn w:val="Normal"/>
    <w:rsid w:val="00E61609"/>
    <w:pPr>
      <w:spacing w:before="60" w:line="240" w:lineRule="auto"/>
    </w:pPr>
    <w:rPr>
      <w:rFonts w:cs="Arial"/>
      <w:sz w:val="20"/>
      <w:szCs w:val="22"/>
    </w:rPr>
  </w:style>
  <w:style w:type="paragraph" w:customStyle="1" w:styleId="TableHeading">
    <w:name w:val="TableHeading"/>
    <w:aliases w:val="th"/>
    <w:basedOn w:val="OPCParaBase"/>
    <w:next w:val="Tabletext"/>
    <w:rsid w:val="00E61609"/>
    <w:pPr>
      <w:keepNext/>
      <w:spacing w:before="60" w:line="240" w:lineRule="atLeast"/>
    </w:pPr>
    <w:rPr>
      <w:b/>
      <w:sz w:val="20"/>
    </w:rPr>
  </w:style>
  <w:style w:type="paragraph" w:customStyle="1" w:styleId="NoteToSubpara">
    <w:name w:val="NoteToSubpara"/>
    <w:aliases w:val="nts"/>
    <w:basedOn w:val="OPCParaBase"/>
    <w:rsid w:val="00E61609"/>
    <w:pPr>
      <w:spacing w:before="40" w:line="198" w:lineRule="exact"/>
      <w:ind w:left="2835" w:hanging="709"/>
    </w:pPr>
    <w:rPr>
      <w:sz w:val="18"/>
    </w:rPr>
  </w:style>
  <w:style w:type="paragraph" w:customStyle="1" w:styleId="ENoteTableHeading">
    <w:name w:val="ENoteTableHeading"/>
    <w:aliases w:val="enth"/>
    <w:basedOn w:val="OPCParaBase"/>
    <w:rsid w:val="00E61609"/>
    <w:pPr>
      <w:keepNext/>
      <w:spacing w:before="60" w:line="240" w:lineRule="atLeast"/>
    </w:pPr>
    <w:rPr>
      <w:rFonts w:ascii="Arial" w:hAnsi="Arial"/>
      <w:b/>
      <w:sz w:val="16"/>
    </w:rPr>
  </w:style>
  <w:style w:type="paragraph" w:customStyle="1" w:styleId="ENoteTTi">
    <w:name w:val="ENoteTTi"/>
    <w:aliases w:val="entti"/>
    <w:basedOn w:val="OPCParaBase"/>
    <w:rsid w:val="00E61609"/>
    <w:pPr>
      <w:keepNext/>
      <w:spacing w:before="60" w:line="240" w:lineRule="atLeast"/>
      <w:ind w:left="170"/>
    </w:pPr>
    <w:rPr>
      <w:sz w:val="16"/>
    </w:rPr>
  </w:style>
  <w:style w:type="paragraph" w:customStyle="1" w:styleId="ENotesHeading1">
    <w:name w:val="ENotesHeading 1"/>
    <w:aliases w:val="Enh1"/>
    <w:basedOn w:val="OPCParaBase"/>
    <w:next w:val="Normal"/>
    <w:rsid w:val="00E61609"/>
    <w:pPr>
      <w:spacing w:before="120"/>
      <w:outlineLvl w:val="1"/>
    </w:pPr>
    <w:rPr>
      <w:b/>
      <w:sz w:val="28"/>
      <w:szCs w:val="28"/>
    </w:rPr>
  </w:style>
  <w:style w:type="paragraph" w:customStyle="1" w:styleId="ENotesHeading2">
    <w:name w:val="ENotesHeading 2"/>
    <w:aliases w:val="Enh2"/>
    <w:basedOn w:val="OPCParaBase"/>
    <w:next w:val="Normal"/>
    <w:rsid w:val="00E61609"/>
    <w:pPr>
      <w:spacing w:before="120" w:after="120"/>
      <w:outlineLvl w:val="2"/>
    </w:pPr>
    <w:rPr>
      <w:b/>
      <w:sz w:val="24"/>
      <w:szCs w:val="28"/>
    </w:rPr>
  </w:style>
  <w:style w:type="paragraph" w:customStyle="1" w:styleId="ENoteTTIndentHeading">
    <w:name w:val="ENoteTTIndentHeading"/>
    <w:aliases w:val="enTTHi"/>
    <w:basedOn w:val="OPCParaBase"/>
    <w:rsid w:val="00E6160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61609"/>
    <w:pPr>
      <w:spacing w:before="60" w:line="240" w:lineRule="atLeast"/>
    </w:pPr>
    <w:rPr>
      <w:sz w:val="16"/>
    </w:rPr>
  </w:style>
  <w:style w:type="paragraph" w:customStyle="1" w:styleId="MadeunderText">
    <w:name w:val="MadeunderText"/>
    <w:basedOn w:val="OPCParaBase"/>
    <w:next w:val="Normal"/>
    <w:rsid w:val="00E61609"/>
    <w:pPr>
      <w:spacing w:before="240"/>
    </w:pPr>
    <w:rPr>
      <w:sz w:val="24"/>
      <w:szCs w:val="24"/>
    </w:rPr>
  </w:style>
  <w:style w:type="paragraph" w:customStyle="1" w:styleId="ENotesHeading3">
    <w:name w:val="ENotesHeading 3"/>
    <w:aliases w:val="Enh3"/>
    <w:basedOn w:val="OPCParaBase"/>
    <w:next w:val="Normal"/>
    <w:rsid w:val="00E61609"/>
    <w:pPr>
      <w:keepNext/>
      <w:spacing w:before="120" w:line="240" w:lineRule="auto"/>
      <w:outlineLvl w:val="4"/>
    </w:pPr>
    <w:rPr>
      <w:b/>
      <w:szCs w:val="24"/>
    </w:rPr>
  </w:style>
  <w:style w:type="paragraph" w:customStyle="1" w:styleId="SubPartCASA">
    <w:name w:val="SubPart(CASA)"/>
    <w:aliases w:val="csp"/>
    <w:basedOn w:val="OPCParaBase"/>
    <w:next w:val="ActHead3"/>
    <w:rsid w:val="00E61609"/>
    <w:pPr>
      <w:keepNext/>
      <w:keepLines/>
      <w:spacing w:before="280"/>
      <w:outlineLvl w:val="1"/>
    </w:pPr>
    <w:rPr>
      <w:b/>
      <w:kern w:val="28"/>
      <w:sz w:val="32"/>
    </w:rPr>
  </w:style>
  <w:style w:type="character" w:customStyle="1" w:styleId="CharSubPartTextCASA">
    <w:name w:val="CharSubPartText(CASA)"/>
    <w:basedOn w:val="OPCCharBase"/>
    <w:uiPriority w:val="1"/>
    <w:rsid w:val="00E61609"/>
  </w:style>
  <w:style w:type="character" w:customStyle="1" w:styleId="CharSubPartNoCASA">
    <w:name w:val="CharSubPartNo(CASA)"/>
    <w:basedOn w:val="OPCCharBase"/>
    <w:uiPriority w:val="1"/>
    <w:rsid w:val="00E61609"/>
  </w:style>
  <w:style w:type="paragraph" w:customStyle="1" w:styleId="ENoteTTIndentHeadingSub">
    <w:name w:val="ENoteTTIndentHeadingSub"/>
    <w:aliases w:val="enTTHis"/>
    <w:basedOn w:val="OPCParaBase"/>
    <w:rsid w:val="00E61609"/>
    <w:pPr>
      <w:keepNext/>
      <w:spacing w:before="60" w:line="240" w:lineRule="atLeast"/>
      <w:ind w:left="340"/>
    </w:pPr>
    <w:rPr>
      <w:b/>
      <w:sz w:val="16"/>
    </w:rPr>
  </w:style>
  <w:style w:type="paragraph" w:customStyle="1" w:styleId="ENoteTTiSub">
    <w:name w:val="ENoteTTiSub"/>
    <w:aliases w:val="enttis"/>
    <w:basedOn w:val="OPCParaBase"/>
    <w:rsid w:val="00E61609"/>
    <w:pPr>
      <w:keepNext/>
      <w:spacing w:before="60" w:line="240" w:lineRule="atLeast"/>
      <w:ind w:left="340"/>
    </w:pPr>
    <w:rPr>
      <w:sz w:val="16"/>
    </w:rPr>
  </w:style>
  <w:style w:type="paragraph" w:customStyle="1" w:styleId="SubDivisionMigration">
    <w:name w:val="SubDivisionMigration"/>
    <w:aliases w:val="sdm"/>
    <w:basedOn w:val="OPCParaBase"/>
    <w:rsid w:val="00E616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61609"/>
    <w:pPr>
      <w:keepNext/>
      <w:keepLines/>
      <w:spacing w:before="240" w:line="240" w:lineRule="auto"/>
      <w:ind w:left="1134" w:hanging="1134"/>
    </w:pPr>
    <w:rPr>
      <w:b/>
      <w:sz w:val="28"/>
    </w:rPr>
  </w:style>
  <w:style w:type="table" w:styleId="TableGrid">
    <w:name w:val="Table Grid"/>
    <w:basedOn w:val="TableNormal"/>
    <w:uiPriority w:val="59"/>
    <w:rsid w:val="00E616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E61609"/>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E6160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61609"/>
    <w:rPr>
      <w:sz w:val="22"/>
    </w:rPr>
  </w:style>
  <w:style w:type="paragraph" w:customStyle="1" w:styleId="SOTextNote">
    <w:name w:val="SO TextNote"/>
    <w:aliases w:val="sont"/>
    <w:basedOn w:val="SOText"/>
    <w:qFormat/>
    <w:rsid w:val="00E61609"/>
    <w:pPr>
      <w:spacing w:before="122" w:line="198" w:lineRule="exact"/>
      <w:ind w:left="1843" w:hanging="709"/>
    </w:pPr>
    <w:rPr>
      <w:sz w:val="18"/>
    </w:rPr>
  </w:style>
  <w:style w:type="paragraph" w:customStyle="1" w:styleId="SOPara">
    <w:name w:val="SO Para"/>
    <w:aliases w:val="soa"/>
    <w:basedOn w:val="SOText"/>
    <w:link w:val="SOParaChar"/>
    <w:qFormat/>
    <w:rsid w:val="00E61609"/>
    <w:pPr>
      <w:tabs>
        <w:tab w:val="right" w:pos="1786"/>
      </w:tabs>
      <w:spacing w:before="40"/>
      <w:ind w:left="2070" w:hanging="936"/>
    </w:pPr>
  </w:style>
  <w:style w:type="character" w:customStyle="1" w:styleId="SOParaChar">
    <w:name w:val="SO Para Char"/>
    <w:aliases w:val="soa Char"/>
    <w:basedOn w:val="DefaultParagraphFont"/>
    <w:link w:val="SOPara"/>
    <w:rsid w:val="00E61609"/>
    <w:rPr>
      <w:sz w:val="22"/>
    </w:rPr>
  </w:style>
  <w:style w:type="paragraph" w:customStyle="1" w:styleId="FileName">
    <w:name w:val="FileName"/>
    <w:basedOn w:val="Normal"/>
    <w:rsid w:val="00E61609"/>
  </w:style>
  <w:style w:type="paragraph" w:customStyle="1" w:styleId="SOHeadBold">
    <w:name w:val="SO HeadBold"/>
    <w:aliases w:val="sohb"/>
    <w:basedOn w:val="SOText"/>
    <w:next w:val="SOText"/>
    <w:link w:val="SOHeadBoldChar"/>
    <w:qFormat/>
    <w:rsid w:val="00E61609"/>
    <w:rPr>
      <w:b/>
    </w:rPr>
  </w:style>
  <w:style w:type="character" w:customStyle="1" w:styleId="SOHeadBoldChar">
    <w:name w:val="SO HeadBold Char"/>
    <w:aliases w:val="sohb Char"/>
    <w:basedOn w:val="DefaultParagraphFont"/>
    <w:link w:val="SOHeadBold"/>
    <w:rsid w:val="00E61609"/>
    <w:rPr>
      <w:b/>
      <w:sz w:val="22"/>
    </w:rPr>
  </w:style>
  <w:style w:type="paragraph" w:customStyle="1" w:styleId="SOHeadItalic">
    <w:name w:val="SO HeadItalic"/>
    <w:aliases w:val="sohi"/>
    <w:basedOn w:val="SOText"/>
    <w:next w:val="SOText"/>
    <w:link w:val="SOHeadItalicChar"/>
    <w:qFormat/>
    <w:rsid w:val="00E61609"/>
    <w:rPr>
      <w:i/>
    </w:rPr>
  </w:style>
  <w:style w:type="character" w:customStyle="1" w:styleId="SOHeadItalicChar">
    <w:name w:val="SO HeadItalic Char"/>
    <w:aliases w:val="sohi Char"/>
    <w:basedOn w:val="DefaultParagraphFont"/>
    <w:link w:val="SOHeadItalic"/>
    <w:rsid w:val="00E61609"/>
    <w:rPr>
      <w:i/>
      <w:sz w:val="22"/>
    </w:rPr>
  </w:style>
  <w:style w:type="paragraph" w:customStyle="1" w:styleId="SOBullet">
    <w:name w:val="SO Bullet"/>
    <w:aliases w:val="sotb"/>
    <w:basedOn w:val="SOText"/>
    <w:link w:val="SOBulletChar"/>
    <w:qFormat/>
    <w:rsid w:val="00E61609"/>
    <w:pPr>
      <w:ind w:left="1559" w:hanging="425"/>
    </w:pPr>
  </w:style>
  <w:style w:type="character" w:customStyle="1" w:styleId="SOBulletChar">
    <w:name w:val="SO Bullet Char"/>
    <w:aliases w:val="sotb Char"/>
    <w:basedOn w:val="DefaultParagraphFont"/>
    <w:link w:val="SOBullet"/>
    <w:rsid w:val="00E61609"/>
    <w:rPr>
      <w:sz w:val="22"/>
    </w:rPr>
  </w:style>
  <w:style w:type="paragraph" w:customStyle="1" w:styleId="SOBulletNote">
    <w:name w:val="SO BulletNote"/>
    <w:aliases w:val="sonb"/>
    <w:basedOn w:val="SOTextNote"/>
    <w:link w:val="SOBulletNoteChar"/>
    <w:qFormat/>
    <w:rsid w:val="00E61609"/>
    <w:pPr>
      <w:tabs>
        <w:tab w:val="left" w:pos="1560"/>
      </w:tabs>
      <w:ind w:left="2268" w:hanging="1134"/>
    </w:pPr>
  </w:style>
  <w:style w:type="character" w:customStyle="1" w:styleId="SOBulletNoteChar">
    <w:name w:val="SO BulletNote Char"/>
    <w:aliases w:val="sonb Char"/>
    <w:basedOn w:val="DefaultParagraphFont"/>
    <w:link w:val="SOBulletNote"/>
    <w:rsid w:val="00E61609"/>
    <w:rPr>
      <w:sz w:val="18"/>
    </w:rPr>
  </w:style>
  <w:style w:type="paragraph" w:customStyle="1" w:styleId="SOText2">
    <w:name w:val="SO Text2"/>
    <w:aliases w:val="sot2"/>
    <w:basedOn w:val="Normal"/>
    <w:next w:val="SOText"/>
    <w:link w:val="SOText2Char"/>
    <w:rsid w:val="00E616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61609"/>
    <w:rPr>
      <w:sz w:val="22"/>
    </w:rPr>
  </w:style>
  <w:style w:type="numbering" w:customStyle="1" w:styleId="OPCBodyList">
    <w:name w:val="OPCBodyList"/>
    <w:uiPriority w:val="99"/>
    <w:rsid w:val="00C3181F"/>
    <w:pPr>
      <w:numPr>
        <w:numId w:val="13"/>
      </w:numPr>
    </w:pPr>
  </w:style>
  <w:style w:type="character" w:customStyle="1" w:styleId="paragraphChar">
    <w:name w:val="paragraph Char"/>
    <w:aliases w:val="a Char"/>
    <w:basedOn w:val="DefaultParagraphFont"/>
    <w:link w:val="paragraph"/>
    <w:rsid w:val="00632101"/>
    <w:rPr>
      <w:rFonts w:eastAsia="Times New Roman" w:cs="Times New Roman"/>
      <w:sz w:val="22"/>
      <w:lang w:eastAsia="en-AU"/>
    </w:rPr>
  </w:style>
  <w:style w:type="character" w:customStyle="1" w:styleId="ItemHeadChar">
    <w:name w:val="ItemHead Char"/>
    <w:aliases w:val="ih Char"/>
    <w:basedOn w:val="DefaultParagraphFont"/>
    <w:link w:val="ItemHead"/>
    <w:locked/>
    <w:rsid w:val="00632101"/>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locked/>
    <w:rsid w:val="00632101"/>
    <w:rPr>
      <w:rFonts w:eastAsia="Times New Roman" w:cs="Times New Roman"/>
      <w:sz w:val="22"/>
      <w:lang w:eastAsia="en-AU"/>
    </w:rPr>
  </w:style>
  <w:style w:type="character" w:styleId="Hyperlink">
    <w:name w:val="Hyperlink"/>
    <w:basedOn w:val="DefaultParagraphFont"/>
    <w:uiPriority w:val="99"/>
    <w:semiHidden/>
    <w:unhideWhenUsed/>
    <w:rsid w:val="009D7562"/>
    <w:rPr>
      <w:color w:val="0000FF" w:themeColor="hyperlink"/>
      <w:u w:val="single"/>
    </w:rPr>
  </w:style>
  <w:style w:type="character" w:styleId="FollowedHyperlink">
    <w:name w:val="FollowedHyperlink"/>
    <w:basedOn w:val="DefaultParagraphFont"/>
    <w:uiPriority w:val="99"/>
    <w:semiHidden/>
    <w:unhideWhenUsed/>
    <w:rsid w:val="009D7562"/>
    <w:rPr>
      <w:color w:val="0000FF" w:themeColor="hyperlink"/>
      <w:u w:val="single"/>
    </w:rPr>
  </w:style>
  <w:style w:type="character" w:customStyle="1" w:styleId="Heading1Char">
    <w:name w:val="Heading 1 Char"/>
    <w:basedOn w:val="DefaultParagraphFont"/>
    <w:link w:val="Heading1"/>
    <w:uiPriority w:val="9"/>
    <w:rsid w:val="009D756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D756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D756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D756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D756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D756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D756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D756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D7562"/>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9D7562"/>
    <w:pPr>
      <w:spacing w:before="800"/>
    </w:pPr>
  </w:style>
  <w:style w:type="character" w:customStyle="1" w:styleId="OPCParaBaseChar">
    <w:name w:val="OPCParaBase Char"/>
    <w:basedOn w:val="DefaultParagraphFont"/>
    <w:link w:val="OPCParaBase"/>
    <w:rsid w:val="009D7562"/>
    <w:rPr>
      <w:rFonts w:eastAsia="Times New Roman" w:cs="Times New Roman"/>
      <w:sz w:val="22"/>
      <w:lang w:eastAsia="en-AU"/>
    </w:rPr>
  </w:style>
  <w:style w:type="character" w:customStyle="1" w:styleId="ShortTChar">
    <w:name w:val="ShortT Char"/>
    <w:basedOn w:val="OPCParaBaseChar"/>
    <w:link w:val="ShortT"/>
    <w:rsid w:val="009D7562"/>
    <w:rPr>
      <w:rFonts w:eastAsia="Times New Roman" w:cs="Times New Roman"/>
      <w:b/>
      <w:sz w:val="40"/>
      <w:lang w:eastAsia="en-AU"/>
    </w:rPr>
  </w:style>
  <w:style w:type="character" w:customStyle="1" w:styleId="ShortTP1Char">
    <w:name w:val="ShortTP1 Char"/>
    <w:basedOn w:val="ShortTChar"/>
    <w:link w:val="ShortTP1"/>
    <w:rsid w:val="009D7562"/>
    <w:rPr>
      <w:rFonts w:eastAsia="Times New Roman" w:cs="Times New Roman"/>
      <w:b/>
      <w:sz w:val="40"/>
      <w:lang w:eastAsia="en-AU"/>
    </w:rPr>
  </w:style>
  <w:style w:type="paragraph" w:customStyle="1" w:styleId="ActNoP1">
    <w:name w:val="ActNoP1"/>
    <w:basedOn w:val="Actno"/>
    <w:link w:val="ActNoP1Char"/>
    <w:rsid w:val="009D7562"/>
    <w:pPr>
      <w:spacing w:before="800"/>
    </w:pPr>
    <w:rPr>
      <w:sz w:val="28"/>
    </w:rPr>
  </w:style>
  <w:style w:type="character" w:customStyle="1" w:styleId="ActnoChar">
    <w:name w:val="Actno Char"/>
    <w:basedOn w:val="ShortTChar"/>
    <w:link w:val="Actno"/>
    <w:rsid w:val="009D7562"/>
    <w:rPr>
      <w:rFonts w:eastAsia="Times New Roman" w:cs="Times New Roman"/>
      <w:b/>
      <w:sz w:val="40"/>
      <w:lang w:eastAsia="en-AU"/>
    </w:rPr>
  </w:style>
  <w:style w:type="character" w:customStyle="1" w:styleId="ActNoP1Char">
    <w:name w:val="ActNoP1 Char"/>
    <w:basedOn w:val="ActnoChar"/>
    <w:link w:val="ActNoP1"/>
    <w:rsid w:val="009D7562"/>
    <w:rPr>
      <w:rFonts w:eastAsia="Times New Roman" w:cs="Times New Roman"/>
      <w:b/>
      <w:sz w:val="28"/>
      <w:lang w:eastAsia="en-AU"/>
    </w:rPr>
  </w:style>
  <w:style w:type="paragraph" w:customStyle="1" w:styleId="ShortTCP">
    <w:name w:val="ShortTCP"/>
    <w:basedOn w:val="ShortT"/>
    <w:link w:val="ShortTCPChar"/>
    <w:rsid w:val="009D7562"/>
  </w:style>
  <w:style w:type="character" w:customStyle="1" w:styleId="ShortTCPChar">
    <w:name w:val="ShortTCP Char"/>
    <w:basedOn w:val="ShortTChar"/>
    <w:link w:val="ShortTCP"/>
    <w:rsid w:val="009D7562"/>
    <w:rPr>
      <w:rFonts w:eastAsia="Times New Roman" w:cs="Times New Roman"/>
      <w:b/>
      <w:sz w:val="40"/>
      <w:lang w:eastAsia="en-AU"/>
    </w:rPr>
  </w:style>
  <w:style w:type="paragraph" w:customStyle="1" w:styleId="ActNoCP">
    <w:name w:val="ActNoCP"/>
    <w:basedOn w:val="Actno"/>
    <w:link w:val="ActNoCPChar"/>
    <w:rsid w:val="009D7562"/>
    <w:pPr>
      <w:spacing w:before="400"/>
    </w:pPr>
  </w:style>
  <w:style w:type="character" w:customStyle="1" w:styleId="ActNoCPChar">
    <w:name w:val="ActNoCP Char"/>
    <w:basedOn w:val="ActnoChar"/>
    <w:link w:val="ActNoCP"/>
    <w:rsid w:val="009D7562"/>
    <w:rPr>
      <w:rFonts w:eastAsia="Times New Roman" w:cs="Times New Roman"/>
      <w:b/>
      <w:sz w:val="40"/>
      <w:lang w:eastAsia="en-AU"/>
    </w:rPr>
  </w:style>
  <w:style w:type="paragraph" w:customStyle="1" w:styleId="AssentBk">
    <w:name w:val="AssentBk"/>
    <w:basedOn w:val="Normal"/>
    <w:rsid w:val="009D7562"/>
    <w:pPr>
      <w:spacing w:line="240" w:lineRule="auto"/>
    </w:pPr>
    <w:rPr>
      <w:rFonts w:eastAsia="Times New Roman" w:cs="Times New Roman"/>
      <w:sz w:val="20"/>
      <w:lang w:eastAsia="en-AU"/>
    </w:rPr>
  </w:style>
  <w:style w:type="paragraph" w:styleId="BalloonText">
    <w:name w:val="Balloon Text"/>
    <w:basedOn w:val="Normal"/>
    <w:link w:val="BalloonTextChar"/>
    <w:uiPriority w:val="99"/>
    <w:semiHidden/>
    <w:unhideWhenUsed/>
    <w:rsid w:val="006B1F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F79"/>
    <w:rPr>
      <w:rFonts w:ascii="Tahoma" w:hAnsi="Tahoma" w:cs="Tahoma"/>
      <w:sz w:val="16"/>
      <w:szCs w:val="16"/>
    </w:rPr>
  </w:style>
  <w:style w:type="paragraph" w:customStyle="1" w:styleId="AssentDt">
    <w:name w:val="AssentDt"/>
    <w:basedOn w:val="Normal"/>
    <w:rsid w:val="00634DEF"/>
    <w:pPr>
      <w:spacing w:line="240" w:lineRule="auto"/>
    </w:pPr>
    <w:rPr>
      <w:rFonts w:eastAsia="Times New Roman" w:cs="Times New Roman"/>
      <w:sz w:val="20"/>
      <w:lang w:eastAsia="en-AU"/>
    </w:rPr>
  </w:style>
  <w:style w:type="paragraph" w:customStyle="1" w:styleId="2ndRd">
    <w:name w:val="2ndRd"/>
    <w:basedOn w:val="Normal"/>
    <w:rsid w:val="00634DEF"/>
    <w:pPr>
      <w:spacing w:line="240" w:lineRule="auto"/>
    </w:pPr>
    <w:rPr>
      <w:rFonts w:eastAsia="Times New Roman" w:cs="Times New Roman"/>
      <w:sz w:val="20"/>
      <w:lang w:eastAsia="en-AU"/>
    </w:rPr>
  </w:style>
  <w:style w:type="paragraph" w:customStyle="1" w:styleId="ScalePlusRef">
    <w:name w:val="ScalePlusRef"/>
    <w:basedOn w:val="Normal"/>
    <w:rsid w:val="00634DEF"/>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61609"/>
    <w:pPr>
      <w:spacing w:line="260" w:lineRule="atLeast"/>
    </w:pPr>
    <w:rPr>
      <w:sz w:val="22"/>
    </w:rPr>
  </w:style>
  <w:style w:type="paragraph" w:styleId="Heading1">
    <w:name w:val="heading 1"/>
    <w:basedOn w:val="Normal"/>
    <w:next w:val="Normal"/>
    <w:link w:val="Heading1Char"/>
    <w:uiPriority w:val="9"/>
    <w:qFormat/>
    <w:rsid w:val="009D75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D756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D756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D756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D756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D756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D756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D756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D756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61609"/>
  </w:style>
  <w:style w:type="paragraph" w:customStyle="1" w:styleId="OPCParaBase">
    <w:name w:val="OPCParaBase"/>
    <w:link w:val="OPCParaBaseChar"/>
    <w:qFormat/>
    <w:rsid w:val="00E6160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E61609"/>
    <w:pPr>
      <w:spacing w:line="240" w:lineRule="auto"/>
    </w:pPr>
    <w:rPr>
      <w:b/>
      <w:sz w:val="40"/>
    </w:rPr>
  </w:style>
  <w:style w:type="paragraph" w:customStyle="1" w:styleId="ActHead1">
    <w:name w:val="ActHead 1"/>
    <w:aliases w:val="c"/>
    <w:basedOn w:val="OPCParaBase"/>
    <w:next w:val="Normal"/>
    <w:qFormat/>
    <w:rsid w:val="00E6160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6160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616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6160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6160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616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616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616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6160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E61609"/>
  </w:style>
  <w:style w:type="paragraph" w:customStyle="1" w:styleId="Blocks">
    <w:name w:val="Blocks"/>
    <w:aliases w:val="bb"/>
    <w:basedOn w:val="OPCParaBase"/>
    <w:qFormat/>
    <w:rsid w:val="00E61609"/>
    <w:pPr>
      <w:spacing w:line="240" w:lineRule="auto"/>
    </w:pPr>
    <w:rPr>
      <w:sz w:val="24"/>
    </w:rPr>
  </w:style>
  <w:style w:type="paragraph" w:customStyle="1" w:styleId="BoxText">
    <w:name w:val="BoxText"/>
    <w:aliases w:val="bt"/>
    <w:basedOn w:val="OPCParaBase"/>
    <w:qFormat/>
    <w:rsid w:val="00E616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61609"/>
    <w:rPr>
      <w:b/>
    </w:rPr>
  </w:style>
  <w:style w:type="paragraph" w:customStyle="1" w:styleId="BoxHeadItalic">
    <w:name w:val="BoxHeadItalic"/>
    <w:aliases w:val="bhi"/>
    <w:basedOn w:val="BoxText"/>
    <w:next w:val="BoxStep"/>
    <w:qFormat/>
    <w:rsid w:val="00E61609"/>
    <w:rPr>
      <w:i/>
    </w:rPr>
  </w:style>
  <w:style w:type="paragraph" w:customStyle="1" w:styleId="BoxList">
    <w:name w:val="BoxList"/>
    <w:aliases w:val="bl"/>
    <w:basedOn w:val="BoxText"/>
    <w:qFormat/>
    <w:rsid w:val="00E61609"/>
    <w:pPr>
      <w:ind w:left="1559" w:hanging="425"/>
    </w:pPr>
  </w:style>
  <w:style w:type="paragraph" w:customStyle="1" w:styleId="BoxNote">
    <w:name w:val="BoxNote"/>
    <w:aliases w:val="bn"/>
    <w:basedOn w:val="BoxText"/>
    <w:qFormat/>
    <w:rsid w:val="00E61609"/>
    <w:pPr>
      <w:tabs>
        <w:tab w:val="left" w:pos="1985"/>
      </w:tabs>
      <w:spacing w:before="122" w:line="198" w:lineRule="exact"/>
      <w:ind w:left="2948" w:hanging="1814"/>
    </w:pPr>
    <w:rPr>
      <w:sz w:val="18"/>
    </w:rPr>
  </w:style>
  <w:style w:type="paragraph" w:customStyle="1" w:styleId="BoxPara">
    <w:name w:val="BoxPara"/>
    <w:aliases w:val="bp"/>
    <w:basedOn w:val="BoxText"/>
    <w:qFormat/>
    <w:rsid w:val="00E61609"/>
    <w:pPr>
      <w:tabs>
        <w:tab w:val="right" w:pos="2268"/>
      </w:tabs>
      <w:ind w:left="2552" w:hanging="1418"/>
    </w:pPr>
  </w:style>
  <w:style w:type="paragraph" w:customStyle="1" w:styleId="BoxStep">
    <w:name w:val="BoxStep"/>
    <w:aliases w:val="bs"/>
    <w:basedOn w:val="BoxText"/>
    <w:qFormat/>
    <w:rsid w:val="00E61609"/>
    <w:pPr>
      <w:ind w:left="1985" w:hanging="851"/>
    </w:pPr>
  </w:style>
  <w:style w:type="character" w:customStyle="1" w:styleId="CharAmPartNo">
    <w:name w:val="CharAmPartNo"/>
    <w:basedOn w:val="OPCCharBase"/>
    <w:uiPriority w:val="1"/>
    <w:qFormat/>
    <w:rsid w:val="00E61609"/>
  </w:style>
  <w:style w:type="character" w:customStyle="1" w:styleId="CharAmPartText">
    <w:name w:val="CharAmPartText"/>
    <w:basedOn w:val="OPCCharBase"/>
    <w:uiPriority w:val="1"/>
    <w:qFormat/>
    <w:rsid w:val="00E61609"/>
  </w:style>
  <w:style w:type="character" w:customStyle="1" w:styleId="CharAmSchNo">
    <w:name w:val="CharAmSchNo"/>
    <w:basedOn w:val="OPCCharBase"/>
    <w:uiPriority w:val="1"/>
    <w:qFormat/>
    <w:rsid w:val="00E61609"/>
  </w:style>
  <w:style w:type="character" w:customStyle="1" w:styleId="CharAmSchText">
    <w:name w:val="CharAmSchText"/>
    <w:basedOn w:val="OPCCharBase"/>
    <w:uiPriority w:val="1"/>
    <w:qFormat/>
    <w:rsid w:val="00E61609"/>
  </w:style>
  <w:style w:type="character" w:customStyle="1" w:styleId="CharBoldItalic">
    <w:name w:val="CharBoldItalic"/>
    <w:basedOn w:val="OPCCharBase"/>
    <w:uiPriority w:val="1"/>
    <w:qFormat/>
    <w:rsid w:val="00E61609"/>
    <w:rPr>
      <w:b/>
      <w:i/>
    </w:rPr>
  </w:style>
  <w:style w:type="character" w:customStyle="1" w:styleId="CharChapNo">
    <w:name w:val="CharChapNo"/>
    <w:basedOn w:val="OPCCharBase"/>
    <w:uiPriority w:val="1"/>
    <w:qFormat/>
    <w:rsid w:val="00E61609"/>
  </w:style>
  <w:style w:type="character" w:customStyle="1" w:styleId="CharChapText">
    <w:name w:val="CharChapText"/>
    <w:basedOn w:val="OPCCharBase"/>
    <w:uiPriority w:val="1"/>
    <w:qFormat/>
    <w:rsid w:val="00E61609"/>
  </w:style>
  <w:style w:type="character" w:customStyle="1" w:styleId="CharDivNo">
    <w:name w:val="CharDivNo"/>
    <w:basedOn w:val="OPCCharBase"/>
    <w:uiPriority w:val="1"/>
    <w:qFormat/>
    <w:rsid w:val="00E61609"/>
  </w:style>
  <w:style w:type="character" w:customStyle="1" w:styleId="CharDivText">
    <w:name w:val="CharDivText"/>
    <w:basedOn w:val="OPCCharBase"/>
    <w:uiPriority w:val="1"/>
    <w:qFormat/>
    <w:rsid w:val="00E61609"/>
  </w:style>
  <w:style w:type="character" w:customStyle="1" w:styleId="CharItalic">
    <w:name w:val="CharItalic"/>
    <w:basedOn w:val="OPCCharBase"/>
    <w:uiPriority w:val="1"/>
    <w:qFormat/>
    <w:rsid w:val="00E61609"/>
    <w:rPr>
      <w:i/>
    </w:rPr>
  </w:style>
  <w:style w:type="character" w:customStyle="1" w:styleId="CharPartNo">
    <w:name w:val="CharPartNo"/>
    <w:basedOn w:val="OPCCharBase"/>
    <w:uiPriority w:val="1"/>
    <w:qFormat/>
    <w:rsid w:val="00E61609"/>
  </w:style>
  <w:style w:type="character" w:customStyle="1" w:styleId="CharPartText">
    <w:name w:val="CharPartText"/>
    <w:basedOn w:val="OPCCharBase"/>
    <w:uiPriority w:val="1"/>
    <w:qFormat/>
    <w:rsid w:val="00E61609"/>
  </w:style>
  <w:style w:type="character" w:customStyle="1" w:styleId="CharSectno">
    <w:name w:val="CharSectno"/>
    <w:basedOn w:val="OPCCharBase"/>
    <w:uiPriority w:val="1"/>
    <w:qFormat/>
    <w:rsid w:val="00E61609"/>
  </w:style>
  <w:style w:type="character" w:customStyle="1" w:styleId="CharSubdNo">
    <w:name w:val="CharSubdNo"/>
    <w:basedOn w:val="OPCCharBase"/>
    <w:uiPriority w:val="1"/>
    <w:qFormat/>
    <w:rsid w:val="00E61609"/>
  </w:style>
  <w:style w:type="character" w:customStyle="1" w:styleId="CharSubdText">
    <w:name w:val="CharSubdText"/>
    <w:basedOn w:val="OPCCharBase"/>
    <w:uiPriority w:val="1"/>
    <w:qFormat/>
    <w:rsid w:val="00E61609"/>
  </w:style>
  <w:style w:type="paragraph" w:customStyle="1" w:styleId="CTA--">
    <w:name w:val="CTA --"/>
    <w:basedOn w:val="OPCParaBase"/>
    <w:next w:val="Normal"/>
    <w:rsid w:val="00E61609"/>
    <w:pPr>
      <w:spacing w:before="60" w:line="240" w:lineRule="atLeast"/>
      <w:ind w:left="142" w:hanging="142"/>
    </w:pPr>
    <w:rPr>
      <w:sz w:val="20"/>
    </w:rPr>
  </w:style>
  <w:style w:type="paragraph" w:customStyle="1" w:styleId="CTA-">
    <w:name w:val="CTA -"/>
    <w:basedOn w:val="OPCParaBase"/>
    <w:rsid w:val="00E61609"/>
    <w:pPr>
      <w:spacing w:before="60" w:line="240" w:lineRule="atLeast"/>
      <w:ind w:left="85" w:hanging="85"/>
    </w:pPr>
    <w:rPr>
      <w:sz w:val="20"/>
    </w:rPr>
  </w:style>
  <w:style w:type="paragraph" w:customStyle="1" w:styleId="CTA---">
    <w:name w:val="CTA ---"/>
    <w:basedOn w:val="OPCParaBase"/>
    <w:next w:val="Normal"/>
    <w:rsid w:val="00E61609"/>
    <w:pPr>
      <w:spacing w:before="60" w:line="240" w:lineRule="atLeast"/>
      <w:ind w:left="198" w:hanging="198"/>
    </w:pPr>
    <w:rPr>
      <w:sz w:val="20"/>
    </w:rPr>
  </w:style>
  <w:style w:type="paragraph" w:customStyle="1" w:styleId="CTA----">
    <w:name w:val="CTA ----"/>
    <w:basedOn w:val="OPCParaBase"/>
    <w:next w:val="Normal"/>
    <w:rsid w:val="00E61609"/>
    <w:pPr>
      <w:spacing w:before="60" w:line="240" w:lineRule="atLeast"/>
      <w:ind w:left="255" w:hanging="255"/>
    </w:pPr>
    <w:rPr>
      <w:sz w:val="20"/>
    </w:rPr>
  </w:style>
  <w:style w:type="paragraph" w:customStyle="1" w:styleId="CTA1a">
    <w:name w:val="CTA 1(a)"/>
    <w:basedOn w:val="OPCParaBase"/>
    <w:rsid w:val="00E61609"/>
    <w:pPr>
      <w:tabs>
        <w:tab w:val="right" w:pos="414"/>
      </w:tabs>
      <w:spacing w:before="40" w:line="240" w:lineRule="atLeast"/>
      <w:ind w:left="675" w:hanging="675"/>
    </w:pPr>
    <w:rPr>
      <w:sz w:val="20"/>
    </w:rPr>
  </w:style>
  <w:style w:type="paragraph" w:customStyle="1" w:styleId="CTA1ai">
    <w:name w:val="CTA 1(a)(i)"/>
    <w:basedOn w:val="OPCParaBase"/>
    <w:rsid w:val="00E61609"/>
    <w:pPr>
      <w:tabs>
        <w:tab w:val="right" w:pos="1004"/>
      </w:tabs>
      <w:spacing w:before="40" w:line="240" w:lineRule="atLeast"/>
      <w:ind w:left="1253" w:hanging="1253"/>
    </w:pPr>
    <w:rPr>
      <w:sz w:val="20"/>
    </w:rPr>
  </w:style>
  <w:style w:type="paragraph" w:customStyle="1" w:styleId="CTA2a">
    <w:name w:val="CTA 2(a)"/>
    <w:basedOn w:val="OPCParaBase"/>
    <w:rsid w:val="00E61609"/>
    <w:pPr>
      <w:tabs>
        <w:tab w:val="right" w:pos="482"/>
      </w:tabs>
      <w:spacing w:before="40" w:line="240" w:lineRule="atLeast"/>
      <w:ind w:left="748" w:hanging="748"/>
    </w:pPr>
    <w:rPr>
      <w:sz w:val="20"/>
    </w:rPr>
  </w:style>
  <w:style w:type="paragraph" w:customStyle="1" w:styleId="CTA2ai">
    <w:name w:val="CTA 2(a)(i)"/>
    <w:basedOn w:val="OPCParaBase"/>
    <w:rsid w:val="00E61609"/>
    <w:pPr>
      <w:tabs>
        <w:tab w:val="right" w:pos="1089"/>
      </w:tabs>
      <w:spacing w:before="40" w:line="240" w:lineRule="atLeast"/>
      <w:ind w:left="1327" w:hanging="1327"/>
    </w:pPr>
    <w:rPr>
      <w:sz w:val="20"/>
    </w:rPr>
  </w:style>
  <w:style w:type="paragraph" w:customStyle="1" w:styleId="CTA3a">
    <w:name w:val="CTA 3(a)"/>
    <w:basedOn w:val="OPCParaBase"/>
    <w:rsid w:val="00E61609"/>
    <w:pPr>
      <w:tabs>
        <w:tab w:val="right" w:pos="556"/>
      </w:tabs>
      <w:spacing w:before="40" w:line="240" w:lineRule="atLeast"/>
      <w:ind w:left="805" w:hanging="805"/>
    </w:pPr>
    <w:rPr>
      <w:sz w:val="20"/>
    </w:rPr>
  </w:style>
  <w:style w:type="paragraph" w:customStyle="1" w:styleId="CTA3ai">
    <w:name w:val="CTA 3(a)(i)"/>
    <w:basedOn w:val="OPCParaBase"/>
    <w:rsid w:val="00E61609"/>
    <w:pPr>
      <w:tabs>
        <w:tab w:val="right" w:pos="1140"/>
      </w:tabs>
      <w:spacing w:before="40" w:line="240" w:lineRule="atLeast"/>
      <w:ind w:left="1361" w:hanging="1361"/>
    </w:pPr>
    <w:rPr>
      <w:sz w:val="20"/>
    </w:rPr>
  </w:style>
  <w:style w:type="paragraph" w:customStyle="1" w:styleId="CTA4a">
    <w:name w:val="CTA 4(a)"/>
    <w:basedOn w:val="OPCParaBase"/>
    <w:rsid w:val="00E61609"/>
    <w:pPr>
      <w:tabs>
        <w:tab w:val="right" w:pos="624"/>
      </w:tabs>
      <w:spacing w:before="40" w:line="240" w:lineRule="atLeast"/>
      <w:ind w:left="873" w:hanging="873"/>
    </w:pPr>
    <w:rPr>
      <w:sz w:val="20"/>
    </w:rPr>
  </w:style>
  <w:style w:type="paragraph" w:customStyle="1" w:styleId="CTA4ai">
    <w:name w:val="CTA 4(a)(i)"/>
    <w:basedOn w:val="OPCParaBase"/>
    <w:rsid w:val="00E61609"/>
    <w:pPr>
      <w:tabs>
        <w:tab w:val="right" w:pos="1213"/>
      </w:tabs>
      <w:spacing w:before="40" w:line="240" w:lineRule="atLeast"/>
      <w:ind w:left="1452" w:hanging="1452"/>
    </w:pPr>
    <w:rPr>
      <w:sz w:val="20"/>
    </w:rPr>
  </w:style>
  <w:style w:type="paragraph" w:customStyle="1" w:styleId="CTACAPS">
    <w:name w:val="CTA CAPS"/>
    <w:basedOn w:val="OPCParaBase"/>
    <w:rsid w:val="00E61609"/>
    <w:pPr>
      <w:spacing w:before="60" w:line="240" w:lineRule="atLeast"/>
    </w:pPr>
    <w:rPr>
      <w:sz w:val="20"/>
    </w:rPr>
  </w:style>
  <w:style w:type="paragraph" w:customStyle="1" w:styleId="CTAright">
    <w:name w:val="CTA right"/>
    <w:basedOn w:val="OPCParaBase"/>
    <w:rsid w:val="00E61609"/>
    <w:pPr>
      <w:spacing w:before="60" w:line="240" w:lineRule="auto"/>
      <w:jc w:val="right"/>
    </w:pPr>
    <w:rPr>
      <w:sz w:val="20"/>
    </w:rPr>
  </w:style>
  <w:style w:type="paragraph" w:customStyle="1" w:styleId="subsection">
    <w:name w:val="subsection"/>
    <w:aliases w:val="ss"/>
    <w:basedOn w:val="OPCParaBase"/>
    <w:rsid w:val="00E61609"/>
    <w:pPr>
      <w:tabs>
        <w:tab w:val="right" w:pos="1021"/>
      </w:tabs>
      <w:spacing w:before="180" w:line="240" w:lineRule="auto"/>
      <w:ind w:left="1134" w:hanging="1134"/>
    </w:pPr>
  </w:style>
  <w:style w:type="paragraph" w:customStyle="1" w:styleId="Definition">
    <w:name w:val="Definition"/>
    <w:aliases w:val="dd"/>
    <w:basedOn w:val="OPCParaBase"/>
    <w:rsid w:val="00E61609"/>
    <w:pPr>
      <w:spacing w:before="180" w:line="240" w:lineRule="auto"/>
      <w:ind w:left="1134"/>
    </w:pPr>
  </w:style>
  <w:style w:type="paragraph" w:customStyle="1" w:styleId="ETAsubitem">
    <w:name w:val="ETA(subitem)"/>
    <w:basedOn w:val="OPCParaBase"/>
    <w:rsid w:val="00E61609"/>
    <w:pPr>
      <w:tabs>
        <w:tab w:val="right" w:pos="340"/>
      </w:tabs>
      <w:spacing w:before="60" w:line="240" w:lineRule="auto"/>
      <w:ind w:left="454" w:hanging="454"/>
    </w:pPr>
    <w:rPr>
      <w:sz w:val="20"/>
    </w:rPr>
  </w:style>
  <w:style w:type="paragraph" w:customStyle="1" w:styleId="ETApara">
    <w:name w:val="ETA(para)"/>
    <w:basedOn w:val="OPCParaBase"/>
    <w:rsid w:val="00E61609"/>
    <w:pPr>
      <w:tabs>
        <w:tab w:val="right" w:pos="754"/>
      </w:tabs>
      <w:spacing w:before="60" w:line="240" w:lineRule="auto"/>
      <w:ind w:left="828" w:hanging="828"/>
    </w:pPr>
    <w:rPr>
      <w:sz w:val="20"/>
    </w:rPr>
  </w:style>
  <w:style w:type="paragraph" w:customStyle="1" w:styleId="ETAsubpara">
    <w:name w:val="ETA(subpara)"/>
    <w:basedOn w:val="OPCParaBase"/>
    <w:rsid w:val="00E61609"/>
    <w:pPr>
      <w:tabs>
        <w:tab w:val="right" w:pos="1083"/>
      </w:tabs>
      <w:spacing w:before="60" w:line="240" w:lineRule="auto"/>
      <w:ind w:left="1191" w:hanging="1191"/>
    </w:pPr>
    <w:rPr>
      <w:sz w:val="20"/>
    </w:rPr>
  </w:style>
  <w:style w:type="paragraph" w:customStyle="1" w:styleId="ETAsub-subpara">
    <w:name w:val="ETA(sub-subpara)"/>
    <w:basedOn w:val="OPCParaBase"/>
    <w:rsid w:val="00E61609"/>
    <w:pPr>
      <w:tabs>
        <w:tab w:val="right" w:pos="1412"/>
      </w:tabs>
      <w:spacing w:before="60" w:line="240" w:lineRule="auto"/>
      <w:ind w:left="1525" w:hanging="1525"/>
    </w:pPr>
    <w:rPr>
      <w:sz w:val="20"/>
    </w:rPr>
  </w:style>
  <w:style w:type="paragraph" w:customStyle="1" w:styleId="Formula">
    <w:name w:val="Formula"/>
    <w:basedOn w:val="OPCParaBase"/>
    <w:rsid w:val="00E61609"/>
    <w:pPr>
      <w:spacing w:line="240" w:lineRule="auto"/>
      <w:ind w:left="1134"/>
    </w:pPr>
    <w:rPr>
      <w:sz w:val="20"/>
    </w:rPr>
  </w:style>
  <w:style w:type="paragraph" w:styleId="Header">
    <w:name w:val="header"/>
    <w:basedOn w:val="OPCParaBase"/>
    <w:link w:val="HeaderChar"/>
    <w:uiPriority w:val="99"/>
    <w:unhideWhenUsed/>
    <w:rsid w:val="00E6160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E61609"/>
    <w:rPr>
      <w:rFonts w:eastAsia="Times New Roman" w:cs="Times New Roman"/>
      <w:sz w:val="16"/>
      <w:lang w:eastAsia="en-AU"/>
    </w:rPr>
  </w:style>
  <w:style w:type="paragraph" w:customStyle="1" w:styleId="House">
    <w:name w:val="House"/>
    <w:basedOn w:val="OPCParaBase"/>
    <w:rsid w:val="00E61609"/>
    <w:pPr>
      <w:spacing w:line="240" w:lineRule="auto"/>
    </w:pPr>
    <w:rPr>
      <w:sz w:val="28"/>
    </w:rPr>
  </w:style>
  <w:style w:type="paragraph" w:customStyle="1" w:styleId="Item">
    <w:name w:val="Item"/>
    <w:aliases w:val="i"/>
    <w:basedOn w:val="OPCParaBase"/>
    <w:next w:val="ItemHead"/>
    <w:link w:val="ItemChar"/>
    <w:rsid w:val="00E61609"/>
    <w:pPr>
      <w:keepLines/>
      <w:spacing w:before="80" w:line="240" w:lineRule="auto"/>
      <w:ind w:left="709"/>
    </w:pPr>
  </w:style>
  <w:style w:type="paragraph" w:customStyle="1" w:styleId="ItemHead">
    <w:name w:val="ItemHead"/>
    <w:aliases w:val="ih"/>
    <w:basedOn w:val="OPCParaBase"/>
    <w:next w:val="Item"/>
    <w:link w:val="ItemHeadChar"/>
    <w:rsid w:val="00E6160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61609"/>
    <w:pPr>
      <w:spacing w:line="240" w:lineRule="auto"/>
    </w:pPr>
    <w:rPr>
      <w:b/>
      <w:sz w:val="32"/>
    </w:rPr>
  </w:style>
  <w:style w:type="paragraph" w:customStyle="1" w:styleId="notedraft">
    <w:name w:val="note(draft)"/>
    <w:aliases w:val="nd"/>
    <w:basedOn w:val="OPCParaBase"/>
    <w:rsid w:val="00E61609"/>
    <w:pPr>
      <w:spacing w:before="240" w:line="240" w:lineRule="auto"/>
      <w:ind w:left="284" w:hanging="284"/>
    </w:pPr>
    <w:rPr>
      <w:i/>
      <w:sz w:val="24"/>
    </w:rPr>
  </w:style>
  <w:style w:type="paragraph" w:customStyle="1" w:styleId="notemargin">
    <w:name w:val="note(margin)"/>
    <w:aliases w:val="nm"/>
    <w:basedOn w:val="OPCParaBase"/>
    <w:rsid w:val="00E61609"/>
    <w:pPr>
      <w:tabs>
        <w:tab w:val="left" w:pos="709"/>
      </w:tabs>
      <w:spacing w:before="122" w:line="198" w:lineRule="exact"/>
      <w:ind w:left="709" w:hanging="709"/>
    </w:pPr>
    <w:rPr>
      <w:sz w:val="18"/>
    </w:rPr>
  </w:style>
  <w:style w:type="paragraph" w:customStyle="1" w:styleId="noteToPara">
    <w:name w:val="noteToPara"/>
    <w:aliases w:val="ntp"/>
    <w:basedOn w:val="OPCParaBase"/>
    <w:rsid w:val="00E61609"/>
    <w:pPr>
      <w:spacing w:before="122" w:line="198" w:lineRule="exact"/>
      <w:ind w:left="2353" w:hanging="709"/>
    </w:pPr>
    <w:rPr>
      <w:sz w:val="18"/>
    </w:rPr>
  </w:style>
  <w:style w:type="paragraph" w:customStyle="1" w:styleId="noteParlAmend">
    <w:name w:val="note(ParlAmend)"/>
    <w:aliases w:val="npp"/>
    <w:basedOn w:val="OPCParaBase"/>
    <w:next w:val="ParlAmend"/>
    <w:rsid w:val="00E61609"/>
    <w:pPr>
      <w:spacing w:line="240" w:lineRule="auto"/>
      <w:jc w:val="right"/>
    </w:pPr>
    <w:rPr>
      <w:rFonts w:ascii="Arial" w:hAnsi="Arial"/>
      <w:b/>
      <w:i/>
    </w:rPr>
  </w:style>
  <w:style w:type="paragraph" w:customStyle="1" w:styleId="Page1">
    <w:name w:val="Page1"/>
    <w:basedOn w:val="OPCParaBase"/>
    <w:rsid w:val="00E61609"/>
    <w:pPr>
      <w:spacing w:before="400" w:line="240" w:lineRule="auto"/>
    </w:pPr>
    <w:rPr>
      <w:b/>
      <w:sz w:val="32"/>
    </w:rPr>
  </w:style>
  <w:style w:type="paragraph" w:customStyle="1" w:styleId="PageBreak">
    <w:name w:val="PageBreak"/>
    <w:aliases w:val="pb"/>
    <w:basedOn w:val="OPCParaBase"/>
    <w:rsid w:val="00E61609"/>
    <w:pPr>
      <w:spacing w:line="240" w:lineRule="auto"/>
    </w:pPr>
    <w:rPr>
      <w:sz w:val="20"/>
    </w:rPr>
  </w:style>
  <w:style w:type="paragraph" w:customStyle="1" w:styleId="paragraphsub">
    <w:name w:val="paragraph(sub)"/>
    <w:aliases w:val="aa"/>
    <w:basedOn w:val="OPCParaBase"/>
    <w:rsid w:val="00E61609"/>
    <w:pPr>
      <w:tabs>
        <w:tab w:val="right" w:pos="1985"/>
      </w:tabs>
      <w:spacing w:before="40" w:line="240" w:lineRule="auto"/>
      <w:ind w:left="2098" w:hanging="2098"/>
    </w:pPr>
  </w:style>
  <w:style w:type="paragraph" w:customStyle="1" w:styleId="paragraphsub-sub">
    <w:name w:val="paragraph(sub-sub)"/>
    <w:aliases w:val="aaa"/>
    <w:basedOn w:val="OPCParaBase"/>
    <w:rsid w:val="00E61609"/>
    <w:pPr>
      <w:tabs>
        <w:tab w:val="right" w:pos="2722"/>
      </w:tabs>
      <w:spacing w:before="40" w:line="240" w:lineRule="auto"/>
      <w:ind w:left="2835" w:hanging="2835"/>
    </w:pPr>
  </w:style>
  <w:style w:type="paragraph" w:customStyle="1" w:styleId="paragraph">
    <w:name w:val="paragraph"/>
    <w:aliases w:val="a"/>
    <w:basedOn w:val="OPCParaBase"/>
    <w:link w:val="paragraphChar"/>
    <w:rsid w:val="00E61609"/>
    <w:pPr>
      <w:tabs>
        <w:tab w:val="right" w:pos="1531"/>
      </w:tabs>
      <w:spacing w:before="40" w:line="240" w:lineRule="auto"/>
      <w:ind w:left="1644" w:hanging="1644"/>
    </w:pPr>
  </w:style>
  <w:style w:type="paragraph" w:customStyle="1" w:styleId="ParlAmend">
    <w:name w:val="ParlAmend"/>
    <w:aliases w:val="pp"/>
    <w:basedOn w:val="OPCParaBase"/>
    <w:rsid w:val="00E61609"/>
    <w:pPr>
      <w:spacing w:before="240" w:line="240" w:lineRule="atLeast"/>
      <w:ind w:hanging="567"/>
    </w:pPr>
    <w:rPr>
      <w:sz w:val="24"/>
    </w:rPr>
  </w:style>
  <w:style w:type="paragraph" w:customStyle="1" w:styleId="Penalty">
    <w:name w:val="Penalty"/>
    <w:basedOn w:val="OPCParaBase"/>
    <w:rsid w:val="00E61609"/>
    <w:pPr>
      <w:tabs>
        <w:tab w:val="left" w:pos="2977"/>
      </w:tabs>
      <w:spacing w:before="180" w:line="240" w:lineRule="auto"/>
      <w:ind w:left="1985" w:hanging="851"/>
    </w:pPr>
  </w:style>
  <w:style w:type="paragraph" w:customStyle="1" w:styleId="Portfolio">
    <w:name w:val="Portfolio"/>
    <w:basedOn w:val="OPCParaBase"/>
    <w:rsid w:val="00E61609"/>
    <w:pPr>
      <w:spacing w:line="240" w:lineRule="auto"/>
    </w:pPr>
    <w:rPr>
      <w:i/>
      <w:sz w:val="20"/>
    </w:rPr>
  </w:style>
  <w:style w:type="paragraph" w:customStyle="1" w:styleId="Preamble">
    <w:name w:val="Preamble"/>
    <w:basedOn w:val="OPCParaBase"/>
    <w:next w:val="Normal"/>
    <w:rsid w:val="00E616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61609"/>
    <w:pPr>
      <w:spacing w:line="240" w:lineRule="auto"/>
    </w:pPr>
    <w:rPr>
      <w:i/>
      <w:sz w:val="20"/>
    </w:rPr>
  </w:style>
  <w:style w:type="paragraph" w:customStyle="1" w:styleId="Session">
    <w:name w:val="Session"/>
    <w:basedOn w:val="OPCParaBase"/>
    <w:rsid w:val="00E61609"/>
    <w:pPr>
      <w:spacing w:line="240" w:lineRule="auto"/>
    </w:pPr>
    <w:rPr>
      <w:sz w:val="28"/>
    </w:rPr>
  </w:style>
  <w:style w:type="paragraph" w:customStyle="1" w:styleId="Sponsor">
    <w:name w:val="Sponsor"/>
    <w:basedOn w:val="OPCParaBase"/>
    <w:rsid w:val="00E61609"/>
    <w:pPr>
      <w:spacing w:line="240" w:lineRule="auto"/>
    </w:pPr>
    <w:rPr>
      <w:i/>
    </w:rPr>
  </w:style>
  <w:style w:type="paragraph" w:customStyle="1" w:styleId="Subitem">
    <w:name w:val="Subitem"/>
    <w:aliases w:val="iss"/>
    <w:basedOn w:val="OPCParaBase"/>
    <w:rsid w:val="00E61609"/>
    <w:pPr>
      <w:spacing w:before="180" w:line="240" w:lineRule="auto"/>
      <w:ind w:left="709" w:hanging="709"/>
    </w:pPr>
  </w:style>
  <w:style w:type="paragraph" w:customStyle="1" w:styleId="SubitemHead">
    <w:name w:val="SubitemHead"/>
    <w:aliases w:val="issh"/>
    <w:basedOn w:val="OPCParaBase"/>
    <w:rsid w:val="00E616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61609"/>
    <w:pPr>
      <w:spacing w:before="40" w:line="240" w:lineRule="auto"/>
      <w:ind w:left="1134"/>
    </w:pPr>
  </w:style>
  <w:style w:type="paragraph" w:customStyle="1" w:styleId="SubsectionHead">
    <w:name w:val="SubsectionHead"/>
    <w:aliases w:val="ssh"/>
    <w:basedOn w:val="OPCParaBase"/>
    <w:next w:val="subsection"/>
    <w:rsid w:val="00E61609"/>
    <w:pPr>
      <w:keepNext/>
      <w:keepLines/>
      <w:spacing w:before="240" w:line="240" w:lineRule="auto"/>
      <w:ind w:left="1134"/>
    </w:pPr>
    <w:rPr>
      <w:i/>
    </w:rPr>
  </w:style>
  <w:style w:type="paragraph" w:customStyle="1" w:styleId="Tablea">
    <w:name w:val="Table(a)"/>
    <w:aliases w:val="ta"/>
    <w:basedOn w:val="OPCParaBase"/>
    <w:rsid w:val="00E61609"/>
    <w:pPr>
      <w:spacing w:before="60" w:line="240" w:lineRule="auto"/>
      <w:ind w:left="284" w:hanging="284"/>
    </w:pPr>
    <w:rPr>
      <w:sz w:val="20"/>
    </w:rPr>
  </w:style>
  <w:style w:type="paragraph" w:customStyle="1" w:styleId="TableAA">
    <w:name w:val="Table(AA)"/>
    <w:aliases w:val="taaa"/>
    <w:basedOn w:val="OPCParaBase"/>
    <w:rsid w:val="00E6160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616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61609"/>
    <w:pPr>
      <w:spacing w:before="60" w:line="240" w:lineRule="atLeast"/>
    </w:pPr>
    <w:rPr>
      <w:sz w:val="20"/>
    </w:rPr>
  </w:style>
  <w:style w:type="paragraph" w:customStyle="1" w:styleId="TLPBoxTextnote">
    <w:name w:val="TLPBoxText(note"/>
    <w:aliases w:val="right)"/>
    <w:basedOn w:val="OPCParaBase"/>
    <w:rsid w:val="00E616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616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61609"/>
    <w:pPr>
      <w:spacing w:before="122" w:line="198" w:lineRule="exact"/>
      <w:ind w:left="1985" w:hanging="851"/>
      <w:jc w:val="right"/>
    </w:pPr>
    <w:rPr>
      <w:sz w:val="18"/>
    </w:rPr>
  </w:style>
  <w:style w:type="paragraph" w:customStyle="1" w:styleId="TLPTableBullet">
    <w:name w:val="TLPTableBullet"/>
    <w:aliases w:val="ttb"/>
    <w:basedOn w:val="OPCParaBase"/>
    <w:rsid w:val="00E61609"/>
    <w:pPr>
      <w:spacing w:line="240" w:lineRule="exact"/>
      <w:ind w:left="284" w:hanging="284"/>
    </w:pPr>
    <w:rPr>
      <w:sz w:val="20"/>
    </w:rPr>
  </w:style>
  <w:style w:type="paragraph" w:styleId="TOC1">
    <w:name w:val="toc 1"/>
    <w:basedOn w:val="OPCParaBase"/>
    <w:next w:val="Normal"/>
    <w:uiPriority w:val="39"/>
    <w:unhideWhenUsed/>
    <w:rsid w:val="00E6160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6160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6160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6160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6160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6160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6160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6160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6160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61609"/>
    <w:pPr>
      <w:keepLines/>
      <w:spacing w:before="240" w:after="120" w:line="240" w:lineRule="auto"/>
      <w:ind w:left="794"/>
    </w:pPr>
    <w:rPr>
      <w:b/>
      <w:kern w:val="28"/>
      <w:sz w:val="20"/>
    </w:rPr>
  </w:style>
  <w:style w:type="paragraph" w:customStyle="1" w:styleId="TofSectsHeading">
    <w:name w:val="TofSects(Heading)"/>
    <w:basedOn w:val="OPCParaBase"/>
    <w:rsid w:val="00E61609"/>
    <w:pPr>
      <w:spacing w:before="240" w:after="120" w:line="240" w:lineRule="auto"/>
    </w:pPr>
    <w:rPr>
      <w:b/>
      <w:sz w:val="24"/>
    </w:rPr>
  </w:style>
  <w:style w:type="paragraph" w:customStyle="1" w:styleId="TofSectsSection">
    <w:name w:val="TofSects(Section)"/>
    <w:basedOn w:val="OPCParaBase"/>
    <w:rsid w:val="00E61609"/>
    <w:pPr>
      <w:keepLines/>
      <w:spacing w:before="40" w:line="240" w:lineRule="auto"/>
      <w:ind w:left="1588" w:hanging="794"/>
    </w:pPr>
    <w:rPr>
      <w:kern w:val="28"/>
      <w:sz w:val="18"/>
    </w:rPr>
  </w:style>
  <w:style w:type="paragraph" w:customStyle="1" w:styleId="TofSectsSubdiv">
    <w:name w:val="TofSects(Subdiv)"/>
    <w:basedOn w:val="OPCParaBase"/>
    <w:rsid w:val="00E61609"/>
    <w:pPr>
      <w:keepLines/>
      <w:spacing w:before="80" w:line="240" w:lineRule="auto"/>
      <w:ind w:left="1588" w:hanging="794"/>
    </w:pPr>
    <w:rPr>
      <w:kern w:val="28"/>
    </w:rPr>
  </w:style>
  <w:style w:type="paragraph" w:customStyle="1" w:styleId="WRStyle">
    <w:name w:val="WR Style"/>
    <w:aliases w:val="WR"/>
    <w:basedOn w:val="OPCParaBase"/>
    <w:rsid w:val="00E61609"/>
    <w:pPr>
      <w:spacing w:before="240" w:line="240" w:lineRule="auto"/>
      <w:ind w:left="284" w:hanging="284"/>
    </w:pPr>
    <w:rPr>
      <w:b/>
      <w:i/>
      <w:kern w:val="28"/>
      <w:sz w:val="24"/>
    </w:rPr>
  </w:style>
  <w:style w:type="paragraph" w:customStyle="1" w:styleId="notepara">
    <w:name w:val="note(para)"/>
    <w:aliases w:val="na"/>
    <w:basedOn w:val="OPCParaBase"/>
    <w:rsid w:val="00E61609"/>
    <w:pPr>
      <w:spacing w:before="40" w:line="198" w:lineRule="exact"/>
      <w:ind w:left="2354" w:hanging="369"/>
    </w:pPr>
    <w:rPr>
      <w:sz w:val="18"/>
    </w:rPr>
  </w:style>
  <w:style w:type="paragraph" w:styleId="Footer">
    <w:name w:val="footer"/>
    <w:link w:val="FooterChar"/>
    <w:rsid w:val="00E6160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61609"/>
    <w:rPr>
      <w:rFonts w:eastAsia="Times New Roman" w:cs="Times New Roman"/>
      <w:sz w:val="22"/>
      <w:szCs w:val="24"/>
      <w:lang w:eastAsia="en-AU"/>
    </w:rPr>
  </w:style>
  <w:style w:type="character" w:styleId="LineNumber">
    <w:name w:val="line number"/>
    <w:basedOn w:val="OPCCharBase"/>
    <w:uiPriority w:val="99"/>
    <w:semiHidden/>
    <w:unhideWhenUsed/>
    <w:rsid w:val="00E61609"/>
    <w:rPr>
      <w:sz w:val="16"/>
    </w:rPr>
  </w:style>
  <w:style w:type="table" w:customStyle="1" w:styleId="CFlag">
    <w:name w:val="CFlag"/>
    <w:basedOn w:val="TableNormal"/>
    <w:uiPriority w:val="99"/>
    <w:rsid w:val="00E61609"/>
    <w:rPr>
      <w:rFonts w:eastAsia="Times New Roman" w:cs="Times New Roman"/>
      <w:lang w:eastAsia="en-AU"/>
    </w:rPr>
    <w:tblPr/>
  </w:style>
  <w:style w:type="paragraph" w:customStyle="1" w:styleId="NotesHeading1">
    <w:name w:val="NotesHeading 1"/>
    <w:basedOn w:val="OPCParaBase"/>
    <w:next w:val="Normal"/>
    <w:rsid w:val="00E61609"/>
    <w:rPr>
      <w:b/>
      <w:sz w:val="28"/>
      <w:szCs w:val="28"/>
    </w:rPr>
  </w:style>
  <w:style w:type="paragraph" w:customStyle="1" w:styleId="NotesHeading2">
    <w:name w:val="NotesHeading 2"/>
    <w:basedOn w:val="OPCParaBase"/>
    <w:next w:val="Normal"/>
    <w:rsid w:val="00E61609"/>
    <w:rPr>
      <w:b/>
      <w:sz w:val="28"/>
      <w:szCs w:val="28"/>
    </w:rPr>
  </w:style>
  <w:style w:type="paragraph" w:customStyle="1" w:styleId="SignCoverPageEnd">
    <w:name w:val="SignCoverPageEnd"/>
    <w:basedOn w:val="OPCParaBase"/>
    <w:next w:val="Normal"/>
    <w:rsid w:val="00E6160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61609"/>
    <w:pPr>
      <w:pBdr>
        <w:top w:val="single" w:sz="4" w:space="1" w:color="auto"/>
      </w:pBdr>
      <w:spacing w:before="360"/>
      <w:ind w:right="397"/>
      <w:jc w:val="both"/>
    </w:pPr>
  </w:style>
  <w:style w:type="paragraph" w:customStyle="1" w:styleId="Paragraphsub-sub-sub">
    <w:name w:val="Paragraph(sub-sub-sub)"/>
    <w:aliases w:val="aaaa"/>
    <w:basedOn w:val="OPCParaBase"/>
    <w:rsid w:val="00E6160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6160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616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616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61609"/>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E61609"/>
    <w:pPr>
      <w:spacing w:before="120"/>
    </w:pPr>
  </w:style>
  <w:style w:type="paragraph" w:customStyle="1" w:styleId="TableTextEndNotes">
    <w:name w:val="TableTextEndNotes"/>
    <w:aliases w:val="Tten"/>
    <w:basedOn w:val="Normal"/>
    <w:rsid w:val="00E61609"/>
    <w:pPr>
      <w:spacing w:before="60" w:line="240" w:lineRule="auto"/>
    </w:pPr>
    <w:rPr>
      <w:rFonts w:cs="Arial"/>
      <w:sz w:val="20"/>
      <w:szCs w:val="22"/>
    </w:rPr>
  </w:style>
  <w:style w:type="paragraph" w:customStyle="1" w:styleId="TableHeading">
    <w:name w:val="TableHeading"/>
    <w:aliases w:val="th"/>
    <w:basedOn w:val="OPCParaBase"/>
    <w:next w:val="Tabletext"/>
    <w:rsid w:val="00E61609"/>
    <w:pPr>
      <w:keepNext/>
      <w:spacing w:before="60" w:line="240" w:lineRule="atLeast"/>
    </w:pPr>
    <w:rPr>
      <w:b/>
      <w:sz w:val="20"/>
    </w:rPr>
  </w:style>
  <w:style w:type="paragraph" w:customStyle="1" w:styleId="NoteToSubpara">
    <w:name w:val="NoteToSubpara"/>
    <w:aliases w:val="nts"/>
    <w:basedOn w:val="OPCParaBase"/>
    <w:rsid w:val="00E61609"/>
    <w:pPr>
      <w:spacing w:before="40" w:line="198" w:lineRule="exact"/>
      <w:ind w:left="2835" w:hanging="709"/>
    </w:pPr>
    <w:rPr>
      <w:sz w:val="18"/>
    </w:rPr>
  </w:style>
  <w:style w:type="paragraph" w:customStyle="1" w:styleId="ENoteTableHeading">
    <w:name w:val="ENoteTableHeading"/>
    <w:aliases w:val="enth"/>
    <w:basedOn w:val="OPCParaBase"/>
    <w:rsid w:val="00E61609"/>
    <w:pPr>
      <w:keepNext/>
      <w:spacing w:before="60" w:line="240" w:lineRule="atLeast"/>
    </w:pPr>
    <w:rPr>
      <w:rFonts w:ascii="Arial" w:hAnsi="Arial"/>
      <w:b/>
      <w:sz w:val="16"/>
    </w:rPr>
  </w:style>
  <w:style w:type="paragraph" w:customStyle="1" w:styleId="ENoteTTi">
    <w:name w:val="ENoteTTi"/>
    <w:aliases w:val="entti"/>
    <w:basedOn w:val="OPCParaBase"/>
    <w:rsid w:val="00E61609"/>
    <w:pPr>
      <w:keepNext/>
      <w:spacing w:before="60" w:line="240" w:lineRule="atLeast"/>
      <w:ind w:left="170"/>
    </w:pPr>
    <w:rPr>
      <w:sz w:val="16"/>
    </w:rPr>
  </w:style>
  <w:style w:type="paragraph" w:customStyle="1" w:styleId="ENotesHeading1">
    <w:name w:val="ENotesHeading 1"/>
    <w:aliases w:val="Enh1"/>
    <w:basedOn w:val="OPCParaBase"/>
    <w:next w:val="Normal"/>
    <w:rsid w:val="00E61609"/>
    <w:pPr>
      <w:spacing w:before="120"/>
      <w:outlineLvl w:val="1"/>
    </w:pPr>
    <w:rPr>
      <w:b/>
      <w:sz w:val="28"/>
      <w:szCs w:val="28"/>
    </w:rPr>
  </w:style>
  <w:style w:type="paragraph" w:customStyle="1" w:styleId="ENotesHeading2">
    <w:name w:val="ENotesHeading 2"/>
    <w:aliases w:val="Enh2"/>
    <w:basedOn w:val="OPCParaBase"/>
    <w:next w:val="Normal"/>
    <w:rsid w:val="00E61609"/>
    <w:pPr>
      <w:spacing w:before="120" w:after="120"/>
      <w:outlineLvl w:val="2"/>
    </w:pPr>
    <w:rPr>
      <w:b/>
      <w:sz w:val="24"/>
      <w:szCs w:val="28"/>
    </w:rPr>
  </w:style>
  <w:style w:type="paragraph" w:customStyle="1" w:styleId="ENoteTTIndentHeading">
    <w:name w:val="ENoteTTIndentHeading"/>
    <w:aliases w:val="enTTHi"/>
    <w:basedOn w:val="OPCParaBase"/>
    <w:rsid w:val="00E6160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61609"/>
    <w:pPr>
      <w:spacing w:before="60" w:line="240" w:lineRule="atLeast"/>
    </w:pPr>
    <w:rPr>
      <w:sz w:val="16"/>
    </w:rPr>
  </w:style>
  <w:style w:type="paragraph" w:customStyle="1" w:styleId="MadeunderText">
    <w:name w:val="MadeunderText"/>
    <w:basedOn w:val="OPCParaBase"/>
    <w:next w:val="Normal"/>
    <w:rsid w:val="00E61609"/>
    <w:pPr>
      <w:spacing w:before="240"/>
    </w:pPr>
    <w:rPr>
      <w:sz w:val="24"/>
      <w:szCs w:val="24"/>
    </w:rPr>
  </w:style>
  <w:style w:type="paragraph" w:customStyle="1" w:styleId="ENotesHeading3">
    <w:name w:val="ENotesHeading 3"/>
    <w:aliases w:val="Enh3"/>
    <w:basedOn w:val="OPCParaBase"/>
    <w:next w:val="Normal"/>
    <w:rsid w:val="00E61609"/>
    <w:pPr>
      <w:keepNext/>
      <w:spacing w:before="120" w:line="240" w:lineRule="auto"/>
      <w:outlineLvl w:val="4"/>
    </w:pPr>
    <w:rPr>
      <w:b/>
      <w:szCs w:val="24"/>
    </w:rPr>
  </w:style>
  <w:style w:type="paragraph" w:customStyle="1" w:styleId="SubPartCASA">
    <w:name w:val="SubPart(CASA)"/>
    <w:aliases w:val="csp"/>
    <w:basedOn w:val="OPCParaBase"/>
    <w:next w:val="ActHead3"/>
    <w:rsid w:val="00E61609"/>
    <w:pPr>
      <w:keepNext/>
      <w:keepLines/>
      <w:spacing w:before="280"/>
      <w:outlineLvl w:val="1"/>
    </w:pPr>
    <w:rPr>
      <w:b/>
      <w:kern w:val="28"/>
      <w:sz w:val="32"/>
    </w:rPr>
  </w:style>
  <w:style w:type="character" w:customStyle="1" w:styleId="CharSubPartTextCASA">
    <w:name w:val="CharSubPartText(CASA)"/>
    <w:basedOn w:val="OPCCharBase"/>
    <w:uiPriority w:val="1"/>
    <w:rsid w:val="00E61609"/>
  </w:style>
  <w:style w:type="character" w:customStyle="1" w:styleId="CharSubPartNoCASA">
    <w:name w:val="CharSubPartNo(CASA)"/>
    <w:basedOn w:val="OPCCharBase"/>
    <w:uiPriority w:val="1"/>
    <w:rsid w:val="00E61609"/>
  </w:style>
  <w:style w:type="paragraph" w:customStyle="1" w:styleId="ENoteTTIndentHeadingSub">
    <w:name w:val="ENoteTTIndentHeadingSub"/>
    <w:aliases w:val="enTTHis"/>
    <w:basedOn w:val="OPCParaBase"/>
    <w:rsid w:val="00E61609"/>
    <w:pPr>
      <w:keepNext/>
      <w:spacing w:before="60" w:line="240" w:lineRule="atLeast"/>
      <w:ind w:left="340"/>
    </w:pPr>
    <w:rPr>
      <w:b/>
      <w:sz w:val="16"/>
    </w:rPr>
  </w:style>
  <w:style w:type="paragraph" w:customStyle="1" w:styleId="ENoteTTiSub">
    <w:name w:val="ENoteTTiSub"/>
    <w:aliases w:val="enttis"/>
    <w:basedOn w:val="OPCParaBase"/>
    <w:rsid w:val="00E61609"/>
    <w:pPr>
      <w:keepNext/>
      <w:spacing w:before="60" w:line="240" w:lineRule="atLeast"/>
      <w:ind w:left="340"/>
    </w:pPr>
    <w:rPr>
      <w:sz w:val="16"/>
    </w:rPr>
  </w:style>
  <w:style w:type="paragraph" w:customStyle="1" w:styleId="SubDivisionMigration">
    <w:name w:val="SubDivisionMigration"/>
    <w:aliases w:val="sdm"/>
    <w:basedOn w:val="OPCParaBase"/>
    <w:rsid w:val="00E616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61609"/>
    <w:pPr>
      <w:keepNext/>
      <w:keepLines/>
      <w:spacing w:before="240" w:line="240" w:lineRule="auto"/>
      <w:ind w:left="1134" w:hanging="1134"/>
    </w:pPr>
    <w:rPr>
      <w:b/>
      <w:sz w:val="28"/>
    </w:rPr>
  </w:style>
  <w:style w:type="table" w:styleId="TableGrid">
    <w:name w:val="Table Grid"/>
    <w:basedOn w:val="TableNormal"/>
    <w:uiPriority w:val="59"/>
    <w:rsid w:val="00E616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E61609"/>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E6160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61609"/>
    <w:rPr>
      <w:sz w:val="22"/>
    </w:rPr>
  </w:style>
  <w:style w:type="paragraph" w:customStyle="1" w:styleId="SOTextNote">
    <w:name w:val="SO TextNote"/>
    <w:aliases w:val="sont"/>
    <w:basedOn w:val="SOText"/>
    <w:qFormat/>
    <w:rsid w:val="00E61609"/>
    <w:pPr>
      <w:spacing w:before="122" w:line="198" w:lineRule="exact"/>
      <w:ind w:left="1843" w:hanging="709"/>
    </w:pPr>
    <w:rPr>
      <w:sz w:val="18"/>
    </w:rPr>
  </w:style>
  <w:style w:type="paragraph" w:customStyle="1" w:styleId="SOPara">
    <w:name w:val="SO Para"/>
    <w:aliases w:val="soa"/>
    <w:basedOn w:val="SOText"/>
    <w:link w:val="SOParaChar"/>
    <w:qFormat/>
    <w:rsid w:val="00E61609"/>
    <w:pPr>
      <w:tabs>
        <w:tab w:val="right" w:pos="1786"/>
      </w:tabs>
      <w:spacing w:before="40"/>
      <w:ind w:left="2070" w:hanging="936"/>
    </w:pPr>
  </w:style>
  <w:style w:type="character" w:customStyle="1" w:styleId="SOParaChar">
    <w:name w:val="SO Para Char"/>
    <w:aliases w:val="soa Char"/>
    <w:basedOn w:val="DefaultParagraphFont"/>
    <w:link w:val="SOPara"/>
    <w:rsid w:val="00E61609"/>
    <w:rPr>
      <w:sz w:val="22"/>
    </w:rPr>
  </w:style>
  <w:style w:type="paragraph" w:customStyle="1" w:styleId="FileName">
    <w:name w:val="FileName"/>
    <w:basedOn w:val="Normal"/>
    <w:rsid w:val="00E61609"/>
  </w:style>
  <w:style w:type="paragraph" w:customStyle="1" w:styleId="SOHeadBold">
    <w:name w:val="SO HeadBold"/>
    <w:aliases w:val="sohb"/>
    <w:basedOn w:val="SOText"/>
    <w:next w:val="SOText"/>
    <w:link w:val="SOHeadBoldChar"/>
    <w:qFormat/>
    <w:rsid w:val="00E61609"/>
    <w:rPr>
      <w:b/>
    </w:rPr>
  </w:style>
  <w:style w:type="character" w:customStyle="1" w:styleId="SOHeadBoldChar">
    <w:name w:val="SO HeadBold Char"/>
    <w:aliases w:val="sohb Char"/>
    <w:basedOn w:val="DefaultParagraphFont"/>
    <w:link w:val="SOHeadBold"/>
    <w:rsid w:val="00E61609"/>
    <w:rPr>
      <w:b/>
      <w:sz w:val="22"/>
    </w:rPr>
  </w:style>
  <w:style w:type="paragraph" w:customStyle="1" w:styleId="SOHeadItalic">
    <w:name w:val="SO HeadItalic"/>
    <w:aliases w:val="sohi"/>
    <w:basedOn w:val="SOText"/>
    <w:next w:val="SOText"/>
    <w:link w:val="SOHeadItalicChar"/>
    <w:qFormat/>
    <w:rsid w:val="00E61609"/>
    <w:rPr>
      <w:i/>
    </w:rPr>
  </w:style>
  <w:style w:type="character" w:customStyle="1" w:styleId="SOHeadItalicChar">
    <w:name w:val="SO HeadItalic Char"/>
    <w:aliases w:val="sohi Char"/>
    <w:basedOn w:val="DefaultParagraphFont"/>
    <w:link w:val="SOHeadItalic"/>
    <w:rsid w:val="00E61609"/>
    <w:rPr>
      <w:i/>
      <w:sz w:val="22"/>
    </w:rPr>
  </w:style>
  <w:style w:type="paragraph" w:customStyle="1" w:styleId="SOBullet">
    <w:name w:val="SO Bullet"/>
    <w:aliases w:val="sotb"/>
    <w:basedOn w:val="SOText"/>
    <w:link w:val="SOBulletChar"/>
    <w:qFormat/>
    <w:rsid w:val="00E61609"/>
    <w:pPr>
      <w:ind w:left="1559" w:hanging="425"/>
    </w:pPr>
  </w:style>
  <w:style w:type="character" w:customStyle="1" w:styleId="SOBulletChar">
    <w:name w:val="SO Bullet Char"/>
    <w:aliases w:val="sotb Char"/>
    <w:basedOn w:val="DefaultParagraphFont"/>
    <w:link w:val="SOBullet"/>
    <w:rsid w:val="00E61609"/>
    <w:rPr>
      <w:sz w:val="22"/>
    </w:rPr>
  </w:style>
  <w:style w:type="paragraph" w:customStyle="1" w:styleId="SOBulletNote">
    <w:name w:val="SO BulletNote"/>
    <w:aliases w:val="sonb"/>
    <w:basedOn w:val="SOTextNote"/>
    <w:link w:val="SOBulletNoteChar"/>
    <w:qFormat/>
    <w:rsid w:val="00E61609"/>
    <w:pPr>
      <w:tabs>
        <w:tab w:val="left" w:pos="1560"/>
      </w:tabs>
      <w:ind w:left="2268" w:hanging="1134"/>
    </w:pPr>
  </w:style>
  <w:style w:type="character" w:customStyle="1" w:styleId="SOBulletNoteChar">
    <w:name w:val="SO BulletNote Char"/>
    <w:aliases w:val="sonb Char"/>
    <w:basedOn w:val="DefaultParagraphFont"/>
    <w:link w:val="SOBulletNote"/>
    <w:rsid w:val="00E61609"/>
    <w:rPr>
      <w:sz w:val="18"/>
    </w:rPr>
  </w:style>
  <w:style w:type="paragraph" w:customStyle="1" w:styleId="SOText2">
    <w:name w:val="SO Text2"/>
    <w:aliases w:val="sot2"/>
    <w:basedOn w:val="Normal"/>
    <w:next w:val="SOText"/>
    <w:link w:val="SOText2Char"/>
    <w:rsid w:val="00E616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61609"/>
    <w:rPr>
      <w:sz w:val="22"/>
    </w:rPr>
  </w:style>
  <w:style w:type="numbering" w:customStyle="1" w:styleId="OPCBodyList">
    <w:name w:val="OPCBodyList"/>
    <w:uiPriority w:val="99"/>
    <w:rsid w:val="00C3181F"/>
    <w:pPr>
      <w:numPr>
        <w:numId w:val="13"/>
      </w:numPr>
    </w:pPr>
  </w:style>
  <w:style w:type="character" w:customStyle="1" w:styleId="paragraphChar">
    <w:name w:val="paragraph Char"/>
    <w:aliases w:val="a Char"/>
    <w:basedOn w:val="DefaultParagraphFont"/>
    <w:link w:val="paragraph"/>
    <w:rsid w:val="00632101"/>
    <w:rPr>
      <w:rFonts w:eastAsia="Times New Roman" w:cs="Times New Roman"/>
      <w:sz w:val="22"/>
      <w:lang w:eastAsia="en-AU"/>
    </w:rPr>
  </w:style>
  <w:style w:type="character" w:customStyle="1" w:styleId="ItemHeadChar">
    <w:name w:val="ItemHead Char"/>
    <w:aliases w:val="ih Char"/>
    <w:basedOn w:val="DefaultParagraphFont"/>
    <w:link w:val="ItemHead"/>
    <w:locked/>
    <w:rsid w:val="00632101"/>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locked/>
    <w:rsid w:val="00632101"/>
    <w:rPr>
      <w:rFonts w:eastAsia="Times New Roman" w:cs="Times New Roman"/>
      <w:sz w:val="22"/>
      <w:lang w:eastAsia="en-AU"/>
    </w:rPr>
  </w:style>
  <w:style w:type="character" w:styleId="Hyperlink">
    <w:name w:val="Hyperlink"/>
    <w:basedOn w:val="DefaultParagraphFont"/>
    <w:uiPriority w:val="99"/>
    <w:semiHidden/>
    <w:unhideWhenUsed/>
    <w:rsid w:val="009D7562"/>
    <w:rPr>
      <w:color w:val="0000FF" w:themeColor="hyperlink"/>
      <w:u w:val="single"/>
    </w:rPr>
  </w:style>
  <w:style w:type="character" w:styleId="FollowedHyperlink">
    <w:name w:val="FollowedHyperlink"/>
    <w:basedOn w:val="DefaultParagraphFont"/>
    <w:uiPriority w:val="99"/>
    <w:semiHidden/>
    <w:unhideWhenUsed/>
    <w:rsid w:val="009D7562"/>
    <w:rPr>
      <w:color w:val="0000FF" w:themeColor="hyperlink"/>
      <w:u w:val="single"/>
    </w:rPr>
  </w:style>
  <w:style w:type="character" w:customStyle="1" w:styleId="Heading1Char">
    <w:name w:val="Heading 1 Char"/>
    <w:basedOn w:val="DefaultParagraphFont"/>
    <w:link w:val="Heading1"/>
    <w:uiPriority w:val="9"/>
    <w:rsid w:val="009D756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D756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D756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D756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D756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D756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D756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D756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D7562"/>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9D7562"/>
    <w:pPr>
      <w:spacing w:before="800"/>
    </w:pPr>
  </w:style>
  <w:style w:type="character" w:customStyle="1" w:styleId="OPCParaBaseChar">
    <w:name w:val="OPCParaBase Char"/>
    <w:basedOn w:val="DefaultParagraphFont"/>
    <w:link w:val="OPCParaBase"/>
    <w:rsid w:val="009D7562"/>
    <w:rPr>
      <w:rFonts w:eastAsia="Times New Roman" w:cs="Times New Roman"/>
      <w:sz w:val="22"/>
      <w:lang w:eastAsia="en-AU"/>
    </w:rPr>
  </w:style>
  <w:style w:type="character" w:customStyle="1" w:styleId="ShortTChar">
    <w:name w:val="ShortT Char"/>
    <w:basedOn w:val="OPCParaBaseChar"/>
    <w:link w:val="ShortT"/>
    <w:rsid w:val="009D7562"/>
    <w:rPr>
      <w:rFonts w:eastAsia="Times New Roman" w:cs="Times New Roman"/>
      <w:b/>
      <w:sz w:val="40"/>
      <w:lang w:eastAsia="en-AU"/>
    </w:rPr>
  </w:style>
  <w:style w:type="character" w:customStyle="1" w:styleId="ShortTP1Char">
    <w:name w:val="ShortTP1 Char"/>
    <w:basedOn w:val="ShortTChar"/>
    <w:link w:val="ShortTP1"/>
    <w:rsid w:val="009D7562"/>
    <w:rPr>
      <w:rFonts w:eastAsia="Times New Roman" w:cs="Times New Roman"/>
      <w:b/>
      <w:sz w:val="40"/>
      <w:lang w:eastAsia="en-AU"/>
    </w:rPr>
  </w:style>
  <w:style w:type="paragraph" w:customStyle="1" w:styleId="ActNoP1">
    <w:name w:val="ActNoP1"/>
    <w:basedOn w:val="Actno"/>
    <w:link w:val="ActNoP1Char"/>
    <w:rsid w:val="009D7562"/>
    <w:pPr>
      <w:spacing w:before="800"/>
    </w:pPr>
    <w:rPr>
      <w:sz w:val="28"/>
    </w:rPr>
  </w:style>
  <w:style w:type="character" w:customStyle="1" w:styleId="ActnoChar">
    <w:name w:val="Actno Char"/>
    <w:basedOn w:val="ShortTChar"/>
    <w:link w:val="Actno"/>
    <w:rsid w:val="009D7562"/>
    <w:rPr>
      <w:rFonts w:eastAsia="Times New Roman" w:cs="Times New Roman"/>
      <w:b/>
      <w:sz w:val="40"/>
      <w:lang w:eastAsia="en-AU"/>
    </w:rPr>
  </w:style>
  <w:style w:type="character" w:customStyle="1" w:styleId="ActNoP1Char">
    <w:name w:val="ActNoP1 Char"/>
    <w:basedOn w:val="ActnoChar"/>
    <w:link w:val="ActNoP1"/>
    <w:rsid w:val="009D7562"/>
    <w:rPr>
      <w:rFonts w:eastAsia="Times New Roman" w:cs="Times New Roman"/>
      <w:b/>
      <w:sz w:val="28"/>
      <w:lang w:eastAsia="en-AU"/>
    </w:rPr>
  </w:style>
  <w:style w:type="paragraph" w:customStyle="1" w:styleId="ShortTCP">
    <w:name w:val="ShortTCP"/>
    <w:basedOn w:val="ShortT"/>
    <w:link w:val="ShortTCPChar"/>
    <w:rsid w:val="009D7562"/>
  </w:style>
  <w:style w:type="character" w:customStyle="1" w:styleId="ShortTCPChar">
    <w:name w:val="ShortTCP Char"/>
    <w:basedOn w:val="ShortTChar"/>
    <w:link w:val="ShortTCP"/>
    <w:rsid w:val="009D7562"/>
    <w:rPr>
      <w:rFonts w:eastAsia="Times New Roman" w:cs="Times New Roman"/>
      <w:b/>
      <w:sz w:val="40"/>
      <w:lang w:eastAsia="en-AU"/>
    </w:rPr>
  </w:style>
  <w:style w:type="paragraph" w:customStyle="1" w:styleId="ActNoCP">
    <w:name w:val="ActNoCP"/>
    <w:basedOn w:val="Actno"/>
    <w:link w:val="ActNoCPChar"/>
    <w:rsid w:val="009D7562"/>
    <w:pPr>
      <w:spacing w:before="400"/>
    </w:pPr>
  </w:style>
  <w:style w:type="character" w:customStyle="1" w:styleId="ActNoCPChar">
    <w:name w:val="ActNoCP Char"/>
    <w:basedOn w:val="ActnoChar"/>
    <w:link w:val="ActNoCP"/>
    <w:rsid w:val="009D7562"/>
    <w:rPr>
      <w:rFonts w:eastAsia="Times New Roman" w:cs="Times New Roman"/>
      <w:b/>
      <w:sz w:val="40"/>
      <w:lang w:eastAsia="en-AU"/>
    </w:rPr>
  </w:style>
  <w:style w:type="paragraph" w:customStyle="1" w:styleId="AssentBk">
    <w:name w:val="AssentBk"/>
    <w:basedOn w:val="Normal"/>
    <w:rsid w:val="009D7562"/>
    <w:pPr>
      <w:spacing w:line="240" w:lineRule="auto"/>
    </w:pPr>
    <w:rPr>
      <w:rFonts w:eastAsia="Times New Roman" w:cs="Times New Roman"/>
      <w:sz w:val="20"/>
      <w:lang w:eastAsia="en-AU"/>
    </w:rPr>
  </w:style>
  <w:style w:type="paragraph" w:styleId="BalloonText">
    <w:name w:val="Balloon Text"/>
    <w:basedOn w:val="Normal"/>
    <w:link w:val="BalloonTextChar"/>
    <w:uiPriority w:val="99"/>
    <w:semiHidden/>
    <w:unhideWhenUsed/>
    <w:rsid w:val="006B1F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F79"/>
    <w:rPr>
      <w:rFonts w:ascii="Tahoma" w:hAnsi="Tahoma" w:cs="Tahoma"/>
      <w:sz w:val="16"/>
      <w:szCs w:val="16"/>
    </w:rPr>
  </w:style>
  <w:style w:type="paragraph" w:customStyle="1" w:styleId="AssentDt">
    <w:name w:val="AssentDt"/>
    <w:basedOn w:val="Normal"/>
    <w:rsid w:val="00634DEF"/>
    <w:pPr>
      <w:spacing w:line="240" w:lineRule="auto"/>
    </w:pPr>
    <w:rPr>
      <w:rFonts w:eastAsia="Times New Roman" w:cs="Times New Roman"/>
      <w:sz w:val="20"/>
      <w:lang w:eastAsia="en-AU"/>
    </w:rPr>
  </w:style>
  <w:style w:type="paragraph" w:customStyle="1" w:styleId="2ndRd">
    <w:name w:val="2ndRd"/>
    <w:basedOn w:val="Normal"/>
    <w:rsid w:val="00634DEF"/>
    <w:pPr>
      <w:spacing w:line="240" w:lineRule="auto"/>
    </w:pPr>
    <w:rPr>
      <w:rFonts w:eastAsia="Times New Roman" w:cs="Times New Roman"/>
      <w:sz w:val="20"/>
      <w:lang w:eastAsia="en-AU"/>
    </w:rPr>
  </w:style>
  <w:style w:type="paragraph" w:customStyle="1" w:styleId="ScalePlusRef">
    <w:name w:val="ScalePlusRef"/>
    <w:basedOn w:val="Normal"/>
    <w:rsid w:val="00634DEF"/>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56F52-E513-4D0E-A08B-4EE189EEF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33</Pages>
  <Words>5797</Words>
  <Characters>33043</Characters>
  <Application>Microsoft Office Word</Application>
  <DocSecurity>0</DocSecurity>
  <PresentationFormat/>
  <Lines>275</Lines>
  <Paragraphs>77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38763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2017-09-05T02:38:00Z</cp:lastPrinted>
  <dcterms:created xsi:type="dcterms:W3CDTF">2018-05-23T03:49:00Z</dcterms:created>
  <dcterms:modified xsi:type="dcterms:W3CDTF">2018-05-23T05:38:00Z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Investigation and Prosecution Measures Act 2018</vt:lpwstr>
  </property>
  <property fmtid="{D5CDD505-2E9C-101B-9397-08002B2CF9AE}" pid="5" name="ActNo">
    <vt:lpwstr>No. 37, 2018</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OPC6488</vt:lpwstr>
  </property>
  <property fmtid="{D5CDD505-2E9C-101B-9397-08002B2CF9AE}" pid="10" name="DoNotAsk">
    <vt:lpwstr>0</vt:lpwstr>
  </property>
  <property fmtid="{D5CDD505-2E9C-101B-9397-08002B2CF9AE}" pid="11" name="ChangedTitle">
    <vt:lpwstr/>
  </property>
</Properties>
</file>