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C" w:rsidRDefault="0050586C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1pt;height:81pt" o:ole="" fillcolor="window">
            <v:imagedata r:id="rId8" o:title=""/>
          </v:shape>
          <o:OLEObject Type="Embed" ProgID="Word.Picture.8" ShapeID="_x0000_i1025" DrawAspect="Content" ObjectID="_1597574621" r:id="rId9"/>
        </w:object>
      </w:r>
    </w:p>
    <w:p w:rsidR="0050586C" w:rsidRDefault="0050586C"/>
    <w:p w:rsidR="0050586C" w:rsidRDefault="0050586C" w:rsidP="0050586C">
      <w:pPr>
        <w:spacing w:line="240" w:lineRule="auto"/>
      </w:pPr>
    </w:p>
    <w:p w:rsidR="0050586C" w:rsidRDefault="0050586C" w:rsidP="0050586C"/>
    <w:p w:rsidR="0050586C" w:rsidRDefault="0050586C" w:rsidP="0050586C"/>
    <w:p w:rsidR="0050586C" w:rsidRDefault="0050586C" w:rsidP="0050586C"/>
    <w:p w:rsidR="0050586C" w:rsidRDefault="0050586C" w:rsidP="0050586C"/>
    <w:p w:rsidR="0048364F" w:rsidRPr="001F0E1B" w:rsidRDefault="00C4744E" w:rsidP="0048364F">
      <w:pPr>
        <w:pStyle w:val="ShortT"/>
      </w:pPr>
      <w:r w:rsidRPr="001F0E1B">
        <w:t xml:space="preserve">Primary Industries Levies and Charges Collection Amendment </w:t>
      </w:r>
      <w:r w:rsidR="0050586C">
        <w:t>Act</w:t>
      </w:r>
      <w:r w:rsidRPr="001F0E1B">
        <w:t xml:space="preserve"> 2018</w:t>
      </w:r>
    </w:p>
    <w:p w:rsidR="0048364F" w:rsidRPr="001F0E1B" w:rsidRDefault="0048364F" w:rsidP="0048364F"/>
    <w:p w:rsidR="00C4744E" w:rsidRPr="001F0E1B" w:rsidRDefault="00C4744E" w:rsidP="0050586C">
      <w:pPr>
        <w:pStyle w:val="Actno"/>
        <w:spacing w:before="400"/>
      </w:pPr>
      <w:r w:rsidRPr="001F0E1B">
        <w:t>No.</w:t>
      </w:r>
      <w:r w:rsidR="00993008">
        <w:t xml:space="preserve"> 91</w:t>
      </w:r>
      <w:r w:rsidRPr="001F0E1B">
        <w:t>, 2018</w:t>
      </w:r>
    </w:p>
    <w:p w:rsidR="0048364F" w:rsidRPr="001F0E1B" w:rsidRDefault="0048364F" w:rsidP="0048364F"/>
    <w:p w:rsidR="0050586C" w:rsidRDefault="0050586C" w:rsidP="0050586C"/>
    <w:p w:rsidR="0050586C" w:rsidRDefault="0050586C" w:rsidP="0050586C"/>
    <w:p w:rsidR="0050586C" w:rsidRDefault="0050586C" w:rsidP="0050586C"/>
    <w:p w:rsidR="0050586C" w:rsidRDefault="0050586C" w:rsidP="0050586C"/>
    <w:p w:rsidR="0048364F" w:rsidRPr="001F0E1B" w:rsidRDefault="0050586C" w:rsidP="0048364F">
      <w:pPr>
        <w:pStyle w:val="LongT"/>
      </w:pPr>
      <w:r>
        <w:t>An Act</w:t>
      </w:r>
      <w:r w:rsidR="00D804A4" w:rsidRPr="001F0E1B">
        <w:t xml:space="preserve"> to amend the </w:t>
      </w:r>
      <w:r w:rsidR="00D804A4" w:rsidRPr="001F0E1B">
        <w:rPr>
          <w:i/>
        </w:rPr>
        <w:t>Primary Industries Levies and Charges Collection Act 1991</w:t>
      </w:r>
      <w:r w:rsidR="00D804A4" w:rsidRPr="001F0E1B">
        <w:t>, and for related purposes</w:t>
      </w:r>
    </w:p>
    <w:p w:rsidR="0048364F" w:rsidRPr="001F0E1B" w:rsidRDefault="0048364F" w:rsidP="0048364F">
      <w:pPr>
        <w:pStyle w:val="Header"/>
        <w:tabs>
          <w:tab w:val="clear" w:pos="4150"/>
          <w:tab w:val="clear" w:pos="8307"/>
        </w:tabs>
      </w:pPr>
      <w:r w:rsidRPr="001F0E1B">
        <w:rPr>
          <w:rStyle w:val="CharAmSchNo"/>
        </w:rPr>
        <w:t xml:space="preserve"> </w:t>
      </w:r>
      <w:r w:rsidRPr="001F0E1B">
        <w:rPr>
          <w:rStyle w:val="CharAmSchText"/>
        </w:rPr>
        <w:t xml:space="preserve"> </w:t>
      </w:r>
    </w:p>
    <w:p w:rsidR="0048364F" w:rsidRPr="001F0E1B" w:rsidRDefault="0048364F" w:rsidP="0048364F">
      <w:pPr>
        <w:pStyle w:val="Header"/>
        <w:tabs>
          <w:tab w:val="clear" w:pos="4150"/>
          <w:tab w:val="clear" w:pos="8307"/>
        </w:tabs>
      </w:pPr>
      <w:r w:rsidRPr="001F0E1B">
        <w:rPr>
          <w:rStyle w:val="CharAmPartNo"/>
        </w:rPr>
        <w:t xml:space="preserve"> </w:t>
      </w:r>
      <w:r w:rsidRPr="001F0E1B">
        <w:rPr>
          <w:rStyle w:val="CharAmPartText"/>
        </w:rPr>
        <w:t xml:space="preserve"> </w:t>
      </w:r>
    </w:p>
    <w:p w:rsidR="0048364F" w:rsidRPr="001F0E1B" w:rsidRDefault="0048364F" w:rsidP="0048364F">
      <w:pPr>
        <w:sectPr w:rsidR="0048364F" w:rsidRPr="001F0E1B" w:rsidSect="005058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1F0E1B" w:rsidRDefault="0048364F" w:rsidP="001C319B">
      <w:pPr>
        <w:rPr>
          <w:sz w:val="36"/>
        </w:rPr>
      </w:pPr>
      <w:r w:rsidRPr="001F0E1B">
        <w:rPr>
          <w:sz w:val="36"/>
        </w:rPr>
        <w:lastRenderedPageBreak/>
        <w:t>Contents</w:t>
      </w:r>
    </w:p>
    <w:p w:rsidR="008001D6" w:rsidRDefault="008001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001D6">
        <w:rPr>
          <w:noProof/>
        </w:rPr>
        <w:tab/>
      </w:r>
      <w:r w:rsidRPr="008001D6">
        <w:rPr>
          <w:noProof/>
        </w:rPr>
        <w:fldChar w:fldCharType="begin"/>
      </w:r>
      <w:r w:rsidRPr="008001D6">
        <w:rPr>
          <w:noProof/>
        </w:rPr>
        <w:instrText xml:space="preserve"> PAGEREF _Toc523832102 \h </w:instrText>
      </w:r>
      <w:r w:rsidRPr="008001D6">
        <w:rPr>
          <w:noProof/>
        </w:rPr>
      </w:r>
      <w:r w:rsidRPr="008001D6">
        <w:rPr>
          <w:noProof/>
        </w:rPr>
        <w:fldChar w:fldCharType="separate"/>
      </w:r>
      <w:r w:rsidR="005C0D38">
        <w:rPr>
          <w:noProof/>
        </w:rPr>
        <w:t>1</w:t>
      </w:r>
      <w:r w:rsidRPr="008001D6">
        <w:rPr>
          <w:noProof/>
        </w:rPr>
        <w:fldChar w:fldCharType="end"/>
      </w:r>
    </w:p>
    <w:p w:rsidR="008001D6" w:rsidRDefault="008001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001D6">
        <w:rPr>
          <w:noProof/>
        </w:rPr>
        <w:tab/>
      </w:r>
      <w:r w:rsidRPr="008001D6">
        <w:rPr>
          <w:noProof/>
        </w:rPr>
        <w:fldChar w:fldCharType="begin"/>
      </w:r>
      <w:r w:rsidRPr="008001D6">
        <w:rPr>
          <w:noProof/>
        </w:rPr>
        <w:instrText xml:space="preserve"> PAGEREF _Toc523832103 \h </w:instrText>
      </w:r>
      <w:r w:rsidRPr="008001D6">
        <w:rPr>
          <w:noProof/>
        </w:rPr>
      </w:r>
      <w:r w:rsidRPr="008001D6">
        <w:rPr>
          <w:noProof/>
        </w:rPr>
        <w:fldChar w:fldCharType="separate"/>
      </w:r>
      <w:r w:rsidR="005C0D38">
        <w:rPr>
          <w:noProof/>
        </w:rPr>
        <w:t>2</w:t>
      </w:r>
      <w:r w:rsidRPr="008001D6">
        <w:rPr>
          <w:noProof/>
        </w:rPr>
        <w:fldChar w:fldCharType="end"/>
      </w:r>
    </w:p>
    <w:p w:rsidR="008001D6" w:rsidRDefault="008001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bookmarkStart w:id="0" w:name="_GoBack"/>
      <w:bookmarkEnd w:id="0"/>
      <w:r w:rsidRPr="008001D6">
        <w:rPr>
          <w:noProof/>
        </w:rPr>
        <w:tab/>
      </w:r>
      <w:r w:rsidRPr="008001D6">
        <w:rPr>
          <w:noProof/>
        </w:rPr>
        <w:fldChar w:fldCharType="begin"/>
      </w:r>
      <w:r w:rsidRPr="008001D6">
        <w:rPr>
          <w:noProof/>
        </w:rPr>
        <w:instrText xml:space="preserve"> PAGEREF _Toc523832104 \h </w:instrText>
      </w:r>
      <w:r w:rsidRPr="008001D6">
        <w:rPr>
          <w:noProof/>
        </w:rPr>
      </w:r>
      <w:r w:rsidRPr="008001D6">
        <w:rPr>
          <w:noProof/>
        </w:rPr>
        <w:fldChar w:fldCharType="separate"/>
      </w:r>
      <w:r w:rsidR="005C0D38">
        <w:rPr>
          <w:noProof/>
        </w:rPr>
        <w:t>2</w:t>
      </w:r>
      <w:r w:rsidRPr="008001D6">
        <w:rPr>
          <w:noProof/>
        </w:rPr>
        <w:fldChar w:fldCharType="end"/>
      </w:r>
    </w:p>
    <w:p w:rsidR="008001D6" w:rsidRDefault="008001D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8001D6">
        <w:rPr>
          <w:b w:val="0"/>
          <w:noProof/>
          <w:sz w:val="18"/>
        </w:rPr>
        <w:tab/>
      </w:r>
      <w:r w:rsidRPr="008001D6">
        <w:rPr>
          <w:b w:val="0"/>
          <w:noProof/>
          <w:sz w:val="18"/>
        </w:rPr>
        <w:fldChar w:fldCharType="begin"/>
      </w:r>
      <w:r w:rsidRPr="008001D6">
        <w:rPr>
          <w:b w:val="0"/>
          <w:noProof/>
          <w:sz w:val="18"/>
        </w:rPr>
        <w:instrText xml:space="preserve"> PAGEREF _Toc523832105 \h </w:instrText>
      </w:r>
      <w:r w:rsidRPr="008001D6">
        <w:rPr>
          <w:b w:val="0"/>
          <w:noProof/>
          <w:sz w:val="18"/>
        </w:rPr>
      </w:r>
      <w:r w:rsidRPr="008001D6">
        <w:rPr>
          <w:b w:val="0"/>
          <w:noProof/>
          <w:sz w:val="18"/>
        </w:rPr>
        <w:fldChar w:fldCharType="separate"/>
      </w:r>
      <w:r w:rsidR="005C0D38">
        <w:rPr>
          <w:b w:val="0"/>
          <w:noProof/>
          <w:sz w:val="18"/>
        </w:rPr>
        <w:t>3</w:t>
      </w:r>
      <w:r w:rsidRPr="008001D6">
        <w:rPr>
          <w:b w:val="0"/>
          <w:noProof/>
          <w:sz w:val="18"/>
        </w:rPr>
        <w:fldChar w:fldCharType="end"/>
      </w:r>
    </w:p>
    <w:p w:rsidR="008001D6" w:rsidRDefault="008001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Primary Industries Levies and Charges Collection Act 1991</w:t>
      </w:r>
      <w:r w:rsidRPr="008001D6">
        <w:rPr>
          <w:i w:val="0"/>
          <w:noProof/>
          <w:sz w:val="18"/>
        </w:rPr>
        <w:tab/>
      </w:r>
      <w:r w:rsidRPr="008001D6">
        <w:rPr>
          <w:i w:val="0"/>
          <w:noProof/>
          <w:sz w:val="18"/>
        </w:rPr>
        <w:fldChar w:fldCharType="begin"/>
      </w:r>
      <w:r w:rsidRPr="008001D6">
        <w:rPr>
          <w:i w:val="0"/>
          <w:noProof/>
          <w:sz w:val="18"/>
        </w:rPr>
        <w:instrText xml:space="preserve"> PAGEREF _Toc523832106 \h </w:instrText>
      </w:r>
      <w:r w:rsidRPr="008001D6">
        <w:rPr>
          <w:i w:val="0"/>
          <w:noProof/>
          <w:sz w:val="18"/>
        </w:rPr>
      </w:r>
      <w:r w:rsidRPr="008001D6">
        <w:rPr>
          <w:i w:val="0"/>
          <w:noProof/>
          <w:sz w:val="18"/>
        </w:rPr>
        <w:fldChar w:fldCharType="separate"/>
      </w:r>
      <w:r w:rsidR="005C0D38">
        <w:rPr>
          <w:i w:val="0"/>
          <w:noProof/>
          <w:sz w:val="18"/>
        </w:rPr>
        <w:t>3</w:t>
      </w:r>
      <w:r w:rsidRPr="008001D6">
        <w:rPr>
          <w:i w:val="0"/>
          <w:noProof/>
          <w:sz w:val="18"/>
        </w:rPr>
        <w:fldChar w:fldCharType="end"/>
      </w:r>
    </w:p>
    <w:p w:rsidR="00060FF9" w:rsidRPr="001F0E1B" w:rsidRDefault="008001D6" w:rsidP="0048364F">
      <w:r>
        <w:fldChar w:fldCharType="end"/>
      </w:r>
    </w:p>
    <w:p w:rsidR="00FE7F93" w:rsidRPr="001F0E1B" w:rsidRDefault="00FE7F93" w:rsidP="0048364F">
      <w:pPr>
        <w:sectPr w:rsidR="00FE7F93" w:rsidRPr="001F0E1B" w:rsidSect="005058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50586C" w:rsidRDefault="0050586C">
      <w:r>
        <w:object w:dxaOrig="2146" w:dyaOrig="1561">
          <v:shape id="_x0000_i1026" type="#_x0000_t75" alt="Commonwealth Coat of Arms of Australia" style="width:111pt;height:81pt" o:ole="" fillcolor="window">
            <v:imagedata r:id="rId8" o:title=""/>
          </v:shape>
          <o:OLEObject Type="Embed" ProgID="Word.Picture.8" ShapeID="_x0000_i1026" DrawAspect="Content" ObjectID="_1597574622" r:id="rId21"/>
        </w:object>
      </w:r>
    </w:p>
    <w:p w:rsidR="0050586C" w:rsidRDefault="0050586C"/>
    <w:p w:rsidR="0050586C" w:rsidRDefault="0050586C" w:rsidP="0050586C">
      <w:pPr>
        <w:spacing w:line="240" w:lineRule="auto"/>
      </w:pPr>
    </w:p>
    <w:p w:rsidR="0050586C" w:rsidRDefault="008001D6" w:rsidP="0050586C">
      <w:pPr>
        <w:pStyle w:val="ShortTP1"/>
      </w:pPr>
      <w:fldSimple w:instr=" STYLEREF ShortT ">
        <w:r w:rsidR="005C0D38">
          <w:rPr>
            <w:noProof/>
          </w:rPr>
          <w:t>Primary Industries Levies and Charges Collection Amendment Act 2018</w:t>
        </w:r>
      </w:fldSimple>
    </w:p>
    <w:p w:rsidR="0050586C" w:rsidRDefault="008001D6" w:rsidP="0050586C">
      <w:pPr>
        <w:pStyle w:val="ActNoP1"/>
      </w:pPr>
      <w:fldSimple w:instr=" STYLEREF Actno ">
        <w:r w:rsidR="005C0D38">
          <w:rPr>
            <w:noProof/>
          </w:rPr>
          <w:t>No. 91, 2018</w:t>
        </w:r>
      </w:fldSimple>
    </w:p>
    <w:p w:rsidR="0050586C" w:rsidRPr="009A0728" w:rsidRDefault="0050586C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50586C" w:rsidRPr="009A0728" w:rsidRDefault="0050586C" w:rsidP="009A0728">
      <w:pPr>
        <w:spacing w:line="40" w:lineRule="exact"/>
        <w:rPr>
          <w:rFonts w:eastAsia="Calibri"/>
          <w:b/>
          <w:sz w:val="28"/>
        </w:rPr>
      </w:pPr>
    </w:p>
    <w:p w:rsidR="0050586C" w:rsidRPr="009A0728" w:rsidRDefault="0050586C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1F0E1B" w:rsidRDefault="0050586C" w:rsidP="001F0E1B">
      <w:pPr>
        <w:pStyle w:val="Page1"/>
      </w:pPr>
      <w:r>
        <w:t>An Act</w:t>
      </w:r>
      <w:r w:rsidR="001F0E1B" w:rsidRPr="001F0E1B">
        <w:t xml:space="preserve"> to amend the </w:t>
      </w:r>
      <w:r w:rsidR="001F0E1B" w:rsidRPr="001F0E1B">
        <w:rPr>
          <w:i/>
        </w:rPr>
        <w:t>Primary Industries Levies and Charges Collection Act 1991</w:t>
      </w:r>
      <w:r w:rsidR="001F0E1B" w:rsidRPr="001F0E1B">
        <w:t>, and for related purposes</w:t>
      </w:r>
    </w:p>
    <w:p w:rsidR="00993008" w:rsidRDefault="00993008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31 August 2018</w:t>
      </w:r>
      <w:r>
        <w:rPr>
          <w:sz w:val="24"/>
        </w:rPr>
        <w:t>]</w:t>
      </w:r>
    </w:p>
    <w:p w:rsidR="0048364F" w:rsidRPr="001F0E1B" w:rsidRDefault="0048364F" w:rsidP="001F0E1B">
      <w:pPr>
        <w:spacing w:before="240" w:line="240" w:lineRule="auto"/>
        <w:rPr>
          <w:sz w:val="32"/>
        </w:rPr>
      </w:pPr>
      <w:r w:rsidRPr="001F0E1B">
        <w:rPr>
          <w:sz w:val="32"/>
        </w:rPr>
        <w:t>The Parliament of Australia enacts:</w:t>
      </w:r>
    </w:p>
    <w:p w:rsidR="0048364F" w:rsidRPr="001F0E1B" w:rsidRDefault="0048364F" w:rsidP="001F0E1B">
      <w:pPr>
        <w:pStyle w:val="ActHead5"/>
      </w:pPr>
      <w:bookmarkStart w:id="1" w:name="_Toc523832102"/>
      <w:r w:rsidRPr="001F0E1B">
        <w:rPr>
          <w:rStyle w:val="CharSectno"/>
        </w:rPr>
        <w:t>1</w:t>
      </w:r>
      <w:r w:rsidRPr="001F0E1B">
        <w:t xml:space="preserve">  Short title</w:t>
      </w:r>
      <w:bookmarkEnd w:id="1"/>
    </w:p>
    <w:p w:rsidR="0048364F" w:rsidRPr="001F0E1B" w:rsidRDefault="0048364F" w:rsidP="001F0E1B">
      <w:pPr>
        <w:pStyle w:val="subsection"/>
      </w:pPr>
      <w:r w:rsidRPr="001F0E1B">
        <w:tab/>
      </w:r>
      <w:r w:rsidRPr="001F0E1B">
        <w:tab/>
        <w:t xml:space="preserve">This Act </w:t>
      </w:r>
      <w:r w:rsidR="00275197" w:rsidRPr="001F0E1B">
        <w:t xml:space="preserve">is </w:t>
      </w:r>
      <w:r w:rsidRPr="001F0E1B">
        <w:t xml:space="preserve">the </w:t>
      </w:r>
      <w:r w:rsidR="00D804A4" w:rsidRPr="001F0E1B">
        <w:rPr>
          <w:i/>
        </w:rPr>
        <w:t>Primary Industries Levies and Charges Collection Amendment Act 2018</w:t>
      </w:r>
      <w:r w:rsidRPr="001F0E1B">
        <w:t>.</w:t>
      </w:r>
    </w:p>
    <w:p w:rsidR="0048364F" w:rsidRPr="001F0E1B" w:rsidRDefault="0048364F" w:rsidP="001F0E1B">
      <w:pPr>
        <w:pStyle w:val="ActHead5"/>
      </w:pPr>
      <w:bookmarkStart w:id="2" w:name="_Toc523832103"/>
      <w:r w:rsidRPr="001F0E1B">
        <w:rPr>
          <w:rStyle w:val="CharSectno"/>
        </w:rPr>
        <w:lastRenderedPageBreak/>
        <w:t>2</w:t>
      </w:r>
      <w:r w:rsidRPr="001F0E1B">
        <w:t xml:space="preserve">  Commencement</w:t>
      </w:r>
      <w:bookmarkEnd w:id="2"/>
    </w:p>
    <w:p w:rsidR="00D804A4" w:rsidRPr="001F0E1B" w:rsidRDefault="00D804A4" w:rsidP="001F0E1B">
      <w:pPr>
        <w:pStyle w:val="subsection"/>
      </w:pPr>
      <w:r w:rsidRPr="001F0E1B">
        <w:tab/>
        <w:t>(1)</w:t>
      </w:r>
      <w:r w:rsidRPr="001F0E1B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D804A4" w:rsidRPr="001F0E1B" w:rsidRDefault="00D804A4" w:rsidP="001F0E1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D804A4" w:rsidRPr="001F0E1B" w:rsidTr="00D4266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Commencement information</w:t>
            </w:r>
          </w:p>
        </w:tc>
      </w:tr>
      <w:tr w:rsidR="00D804A4" w:rsidRPr="001F0E1B" w:rsidTr="00D42666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Column 3</w:t>
            </w:r>
          </w:p>
        </w:tc>
      </w:tr>
      <w:tr w:rsidR="00D804A4" w:rsidRPr="001F0E1B" w:rsidTr="00D42666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Heading"/>
            </w:pPr>
            <w:r w:rsidRPr="001F0E1B">
              <w:t>Date/Details</w:t>
            </w:r>
          </w:p>
        </w:tc>
      </w:tr>
      <w:tr w:rsidR="00D804A4" w:rsidRPr="001F0E1B" w:rsidTr="00D42666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text"/>
            </w:pPr>
            <w:r w:rsidRPr="001F0E1B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804A4" w:rsidRPr="001F0E1B" w:rsidRDefault="00D804A4" w:rsidP="001F0E1B">
            <w:pPr>
              <w:pStyle w:val="Tabletext"/>
            </w:pPr>
            <w:r w:rsidRPr="001F0E1B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04A4" w:rsidRPr="001F0E1B" w:rsidRDefault="00A858D4" w:rsidP="001F0E1B">
            <w:pPr>
              <w:pStyle w:val="Tabletext"/>
            </w:pPr>
            <w:r>
              <w:t>1 September 2018</w:t>
            </w:r>
          </w:p>
        </w:tc>
      </w:tr>
    </w:tbl>
    <w:p w:rsidR="00D804A4" w:rsidRPr="001F0E1B" w:rsidRDefault="00D804A4" w:rsidP="001F0E1B">
      <w:pPr>
        <w:pStyle w:val="notetext"/>
      </w:pPr>
      <w:r w:rsidRPr="001F0E1B">
        <w:rPr>
          <w:snapToGrid w:val="0"/>
          <w:lang w:eastAsia="en-US"/>
        </w:rPr>
        <w:t>Note:</w:t>
      </w:r>
      <w:r w:rsidRPr="001F0E1B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D804A4" w:rsidRPr="001F0E1B" w:rsidRDefault="00D804A4" w:rsidP="001F0E1B">
      <w:pPr>
        <w:pStyle w:val="subsection"/>
      </w:pPr>
      <w:r w:rsidRPr="001F0E1B">
        <w:tab/>
        <w:t>(2)</w:t>
      </w:r>
      <w:r w:rsidRPr="001F0E1B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1F0E1B" w:rsidRDefault="0048364F" w:rsidP="001F0E1B">
      <w:pPr>
        <w:pStyle w:val="ActHead5"/>
      </w:pPr>
      <w:bookmarkStart w:id="3" w:name="_Toc523832104"/>
      <w:r w:rsidRPr="001F0E1B">
        <w:rPr>
          <w:rStyle w:val="CharSectno"/>
        </w:rPr>
        <w:t>3</w:t>
      </w:r>
      <w:r w:rsidRPr="001F0E1B">
        <w:t xml:space="preserve">  Schedules</w:t>
      </w:r>
      <w:bookmarkEnd w:id="3"/>
    </w:p>
    <w:p w:rsidR="0048364F" w:rsidRPr="001F0E1B" w:rsidRDefault="0048364F" w:rsidP="001F0E1B">
      <w:pPr>
        <w:pStyle w:val="subsection"/>
      </w:pPr>
      <w:r w:rsidRPr="001F0E1B">
        <w:tab/>
      </w:r>
      <w:r w:rsidRPr="001F0E1B">
        <w:tab/>
      </w:r>
      <w:r w:rsidR="00202618" w:rsidRPr="001F0E1B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D804A4" w:rsidRPr="001F0E1B" w:rsidRDefault="00D804A4" w:rsidP="001F0E1B">
      <w:pPr>
        <w:pStyle w:val="ActHead6"/>
        <w:pageBreakBefore/>
      </w:pPr>
      <w:bookmarkStart w:id="4" w:name="_Toc523832105"/>
      <w:bookmarkStart w:id="5" w:name="opcAmSched"/>
      <w:bookmarkStart w:id="6" w:name="opcCurrentFind"/>
      <w:r w:rsidRPr="001F0E1B">
        <w:rPr>
          <w:rStyle w:val="CharAmSchNo"/>
        </w:rPr>
        <w:lastRenderedPageBreak/>
        <w:t>Schedule</w:t>
      </w:r>
      <w:r w:rsidR="001F0E1B" w:rsidRPr="001F0E1B">
        <w:rPr>
          <w:rStyle w:val="CharAmSchNo"/>
        </w:rPr>
        <w:t> </w:t>
      </w:r>
      <w:r w:rsidRPr="001F0E1B">
        <w:rPr>
          <w:rStyle w:val="CharAmSchNo"/>
        </w:rPr>
        <w:t>1</w:t>
      </w:r>
      <w:r w:rsidRPr="001F0E1B">
        <w:t>—</w:t>
      </w:r>
      <w:r w:rsidRPr="001F0E1B">
        <w:rPr>
          <w:rStyle w:val="CharAmSchText"/>
        </w:rPr>
        <w:t>Amendments</w:t>
      </w:r>
      <w:bookmarkEnd w:id="4"/>
    </w:p>
    <w:bookmarkEnd w:id="5"/>
    <w:bookmarkEnd w:id="6"/>
    <w:p w:rsidR="00D804A4" w:rsidRPr="001F0E1B" w:rsidRDefault="00D804A4" w:rsidP="001F0E1B">
      <w:pPr>
        <w:pStyle w:val="Header"/>
      </w:pPr>
      <w:r w:rsidRPr="001F0E1B">
        <w:rPr>
          <w:rStyle w:val="CharAmPartNo"/>
        </w:rPr>
        <w:t xml:space="preserve"> </w:t>
      </w:r>
      <w:r w:rsidRPr="001F0E1B">
        <w:rPr>
          <w:rStyle w:val="CharAmPartText"/>
        </w:rPr>
        <w:t xml:space="preserve"> </w:t>
      </w:r>
    </w:p>
    <w:p w:rsidR="00D804A4" w:rsidRPr="001F0E1B" w:rsidRDefault="00D804A4" w:rsidP="001F0E1B">
      <w:pPr>
        <w:pStyle w:val="ActHead9"/>
        <w:rPr>
          <w:i w:val="0"/>
        </w:rPr>
      </w:pPr>
      <w:bookmarkStart w:id="7" w:name="_Toc523832106"/>
      <w:r w:rsidRPr="001F0E1B">
        <w:t>Primary Industries Levies and Charges Collection Act 1991</w:t>
      </w:r>
      <w:bookmarkEnd w:id="7"/>
    </w:p>
    <w:p w:rsidR="000B6F32" w:rsidRPr="001F0E1B" w:rsidRDefault="00727DDB" w:rsidP="001F0E1B">
      <w:pPr>
        <w:pStyle w:val="ItemHead"/>
      </w:pPr>
      <w:r w:rsidRPr="001F0E1B">
        <w:t>1</w:t>
      </w:r>
      <w:r w:rsidR="000B6F32" w:rsidRPr="001F0E1B">
        <w:t xml:space="preserve">  After paragraph</w:t>
      </w:r>
      <w:r w:rsidR="001F0E1B" w:rsidRPr="001F0E1B">
        <w:t> </w:t>
      </w:r>
      <w:r w:rsidR="000B6F32" w:rsidRPr="001F0E1B">
        <w:t>7(1)(c)</w:t>
      </w:r>
    </w:p>
    <w:p w:rsidR="000B6F32" w:rsidRPr="001F0E1B" w:rsidRDefault="000B6F32" w:rsidP="001F0E1B">
      <w:pPr>
        <w:pStyle w:val="Item"/>
      </w:pPr>
      <w:r w:rsidRPr="001F0E1B">
        <w:t>Insert:</w:t>
      </w:r>
    </w:p>
    <w:p w:rsidR="00DB19A0" w:rsidRPr="001F0E1B" w:rsidRDefault="00DB19A0" w:rsidP="001F0E1B">
      <w:pPr>
        <w:pStyle w:val="paragraph"/>
      </w:pPr>
      <w:r w:rsidRPr="001F0E1B">
        <w:tab/>
      </w:r>
      <w:r w:rsidR="00391F8D" w:rsidRPr="001F0E1B">
        <w:t xml:space="preserve">and </w:t>
      </w:r>
      <w:r w:rsidRPr="001F0E1B">
        <w:t>(ca)</w:t>
      </w:r>
      <w:r w:rsidRPr="001F0E1B">
        <w:tab/>
        <w:t>a person who does an act, determined in an instrument under subsection</w:t>
      </w:r>
      <w:r w:rsidR="001F0E1B" w:rsidRPr="001F0E1B">
        <w:t> </w:t>
      </w:r>
      <w:r w:rsidR="008B2F44" w:rsidRPr="001F0E1B">
        <w:t>7A(1)</w:t>
      </w:r>
      <w:r w:rsidR="000A2AF5" w:rsidRPr="001F0E1B">
        <w:t xml:space="preserve"> for the purposes of this paragraph</w:t>
      </w:r>
      <w:r w:rsidRPr="001F0E1B">
        <w:t>, in relation to such products;</w:t>
      </w:r>
    </w:p>
    <w:p w:rsidR="00FF1A12" w:rsidRPr="001F0E1B" w:rsidRDefault="00727DDB" w:rsidP="001F0E1B">
      <w:pPr>
        <w:pStyle w:val="ItemHead"/>
      </w:pPr>
      <w:r w:rsidRPr="001F0E1B">
        <w:t>2</w:t>
      </w:r>
      <w:r w:rsidR="00FF1A12" w:rsidRPr="001F0E1B">
        <w:t xml:space="preserve">  After paragraph</w:t>
      </w:r>
      <w:r w:rsidR="001F0E1B" w:rsidRPr="001F0E1B">
        <w:t> </w:t>
      </w:r>
      <w:r w:rsidR="00FF1A12" w:rsidRPr="001F0E1B">
        <w:t>7(2)(b)</w:t>
      </w:r>
    </w:p>
    <w:p w:rsidR="00FF1A12" w:rsidRPr="001F0E1B" w:rsidRDefault="00FF1A12" w:rsidP="001F0E1B">
      <w:pPr>
        <w:pStyle w:val="Item"/>
      </w:pPr>
      <w:r w:rsidRPr="001F0E1B">
        <w:t>Insert:</w:t>
      </w:r>
    </w:p>
    <w:p w:rsidR="00DB19A0" w:rsidRPr="001F0E1B" w:rsidRDefault="00DB19A0" w:rsidP="001F0E1B">
      <w:pPr>
        <w:pStyle w:val="paragraph"/>
      </w:pPr>
      <w:r w:rsidRPr="001F0E1B">
        <w:tab/>
      </w:r>
      <w:r w:rsidR="00391F8D" w:rsidRPr="001F0E1B">
        <w:t xml:space="preserve">and </w:t>
      </w:r>
      <w:r w:rsidRPr="001F0E1B">
        <w:t>(</w:t>
      </w:r>
      <w:proofErr w:type="spellStart"/>
      <w:r w:rsidRPr="001F0E1B">
        <w:t>ba</w:t>
      </w:r>
      <w:proofErr w:type="spellEnd"/>
      <w:r w:rsidRPr="001F0E1B">
        <w:t>)</w:t>
      </w:r>
      <w:r w:rsidRPr="001F0E1B">
        <w:tab/>
        <w:t>a person who does an act, determined in an instrument under subsection</w:t>
      </w:r>
      <w:r w:rsidR="001F0E1B" w:rsidRPr="001F0E1B">
        <w:t> </w:t>
      </w:r>
      <w:r w:rsidR="008B2F44" w:rsidRPr="001F0E1B">
        <w:t>7A(1)</w:t>
      </w:r>
      <w:r w:rsidR="000A2AF5" w:rsidRPr="001F0E1B">
        <w:t xml:space="preserve"> for the purposes of this paragraph</w:t>
      </w:r>
      <w:r w:rsidRPr="001F0E1B">
        <w:t>, in relation to a product on or in relation to which levy is imposed, being a product declared by the regulations to be a product to which this paragraph applies;</w:t>
      </w:r>
    </w:p>
    <w:p w:rsidR="000A2AF5" w:rsidRPr="001F0E1B" w:rsidRDefault="00727DDB" w:rsidP="001F0E1B">
      <w:pPr>
        <w:pStyle w:val="ItemHead"/>
      </w:pPr>
      <w:r w:rsidRPr="001F0E1B">
        <w:t>3</w:t>
      </w:r>
      <w:r w:rsidR="000A2AF5" w:rsidRPr="001F0E1B">
        <w:t xml:space="preserve">  Subsections</w:t>
      </w:r>
      <w:r w:rsidR="001F0E1B" w:rsidRPr="001F0E1B">
        <w:t> </w:t>
      </w:r>
      <w:r w:rsidR="000A2AF5" w:rsidRPr="001F0E1B">
        <w:t>7(3) and (3A)</w:t>
      </w:r>
    </w:p>
    <w:p w:rsidR="000A2AF5" w:rsidRPr="001F0E1B" w:rsidRDefault="000A2AF5" w:rsidP="001F0E1B">
      <w:pPr>
        <w:pStyle w:val="Item"/>
      </w:pPr>
      <w:r w:rsidRPr="001F0E1B">
        <w:t>Repeal the subsections, substitute:</w:t>
      </w:r>
    </w:p>
    <w:p w:rsidR="000A2AF5" w:rsidRPr="001F0E1B" w:rsidRDefault="000A2AF5" w:rsidP="001F0E1B">
      <w:pPr>
        <w:pStyle w:val="subsection"/>
      </w:pPr>
      <w:r w:rsidRPr="001F0E1B">
        <w:tab/>
        <w:t>(3)</w:t>
      </w:r>
      <w:r w:rsidRPr="001F0E1B">
        <w:tab/>
        <w:t>For better securing the payment of charge:</w:t>
      </w:r>
    </w:p>
    <w:p w:rsidR="000A2AF5" w:rsidRPr="001F0E1B" w:rsidRDefault="000A2AF5" w:rsidP="001F0E1B">
      <w:pPr>
        <w:pStyle w:val="paragraph"/>
      </w:pPr>
      <w:r w:rsidRPr="001F0E1B">
        <w:tab/>
        <w:t>(a)</w:t>
      </w:r>
      <w:r w:rsidRPr="001F0E1B">
        <w:tab/>
        <w:t>an exporting agent who exports prescribed products on which charge is imposed; and</w:t>
      </w:r>
    </w:p>
    <w:p w:rsidR="000A2AF5" w:rsidRPr="001F0E1B" w:rsidRDefault="000A2AF5" w:rsidP="001F0E1B">
      <w:pPr>
        <w:pStyle w:val="paragraph"/>
      </w:pPr>
      <w:r w:rsidRPr="001F0E1B">
        <w:tab/>
        <w:t>(b)</w:t>
      </w:r>
      <w:r w:rsidRPr="001F0E1B">
        <w:tab/>
        <w:t>a person who does an act, determined in an instrument under subsection</w:t>
      </w:r>
      <w:r w:rsidR="001F0E1B" w:rsidRPr="001F0E1B">
        <w:t> </w:t>
      </w:r>
      <w:r w:rsidR="008B2F44" w:rsidRPr="001F0E1B">
        <w:t>7A(1)</w:t>
      </w:r>
      <w:r w:rsidRPr="001F0E1B">
        <w:t xml:space="preserve"> for the purposes of this paragraph, in relation to such products;</w:t>
      </w:r>
    </w:p>
    <w:p w:rsidR="000A2AF5" w:rsidRPr="001F0E1B" w:rsidRDefault="000A2AF5" w:rsidP="001F0E1B">
      <w:pPr>
        <w:pStyle w:val="subsection2"/>
      </w:pPr>
      <w:r w:rsidRPr="001F0E1B">
        <w:t xml:space="preserve">is liable to pay in accordance with </w:t>
      </w:r>
      <w:r w:rsidR="001F0E1B" w:rsidRPr="001F0E1B">
        <w:t>subsection (</w:t>
      </w:r>
      <w:r w:rsidRPr="001F0E1B">
        <w:t>4), on behalf of the producer, an amount equal to the sum of:</w:t>
      </w:r>
    </w:p>
    <w:p w:rsidR="000A2AF5" w:rsidRPr="001F0E1B" w:rsidRDefault="000A2AF5" w:rsidP="001F0E1B">
      <w:pPr>
        <w:pStyle w:val="paragraph"/>
      </w:pPr>
      <w:r w:rsidRPr="001F0E1B">
        <w:tab/>
        <w:t>(c)</w:t>
      </w:r>
      <w:r w:rsidRPr="001F0E1B">
        <w:tab/>
        <w:t>the amount of any charge due for payment on or in relation to the products; and</w:t>
      </w:r>
    </w:p>
    <w:p w:rsidR="000A2AF5" w:rsidRPr="001F0E1B" w:rsidRDefault="000A2AF5" w:rsidP="001F0E1B">
      <w:pPr>
        <w:pStyle w:val="paragraph"/>
      </w:pPr>
      <w:r w:rsidRPr="001F0E1B">
        <w:tab/>
        <w:t>(d)</w:t>
      </w:r>
      <w:r w:rsidRPr="001F0E1B">
        <w:tab/>
        <w:t>any amount payable by the producer under subsection</w:t>
      </w:r>
      <w:r w:rsidR="001F0E1B" w:rsidRPr="001F0E1B">
        <w:t> </w:t>
      </w:r>
      <w:r w:rsidRPr="001F0E1B">
        <w:t>15(1) in relation to that charge.</w:t>
      </w:r>
    </w:p>
    <w:p w:rsidR="000A2AF5" w:rsidRPr="001F0E1B" w:rsidRDefault="000A2AF5" w:rsidP="001F0E1B">
      <w:pPr>
        <w:pStyle w:val="notetext"/>
      </w:pPr>
      <w:r w:rsidRPr="001F0E1B">
        <w:t>Note:</w:t>
      </w:r>
      <w:r w:rsidRPr="001F0E1B">
        <w:tab/>
        <w:t xml:space="preserve">Under </w:t>
      </w:r>
      <w:r w:rsidR="001F0E1B" w:rsidRPr="001F0E1B">
        <w:t>paragraph (</w:t>
      </w:r>
      <w:r w:rsidRPr="001F0E1B">
        <w:t xml:space="preserve">g) of the definition of </w:t>
      </w:r>
      <w:r w:rsidRPr="001F0E1B">
        <w:rPr>
          <w:b/>
          <w:i/>
        </w:rPr>
        <w:t>producer</w:t>
      </w:r>
      <w:r w:rsidRPr="001F0E1B">
        <w:t xml:space="preserve"> in subsection</w:t>
      </w:r>
      <w:r w:rsidR="001F0E1B" w:rsidRPr="001F0E1B">
        <w:t> </w:t>
      </w:r>
      <w:r w:rsidRPr="001F0E1B">
        <w:t xml:space="preserve">4(1), the producer is taken to be the person who exports the products from </w:t>
      </w:r>
      <w:smartTag w:uri="urn:schemas-microsoft-com:office:smarttags" w:element="country-region">
        <w:smartTag w:uri="urn:schemas-microsoft-com:office:smarttags" w:element="place">
          <w:r w:rsidRPr="001F0E1B">
            <w:t>Australia</w:t>
          </w:r>
        </w:smartTag>
      </w:smartTag>
      <w:r w:rsidRPr="001F0E1B">
        <w:t>.</w:t>
      </w:r>
    </w:p>
    <w:p w:rsidR="000A2AF5" w:rsidRPr="001F0E1B" w:rsidRDefault="000A2AF5" w:rsidP="001F0E1B">
      <w:pPr>
        <w:pStyle w:val="subsection"/>
      </w:pPr>
      <w:r w:rsidRPr="001F0E1B">
        <w:tab/>
        <w:t>(3A)</w:t>
      </w:r>
      <w:r w:rsidRPr="001F0E1B">
        <w:tab/>
        <w:t>For better securing the payment of charge:</w:t>
      </w:r>
    </w:p>
    <w:p w:rsidR="000A2AF5" w:rsidRPr="001F0E1B" w:rsidRDefault="000A2AF5" w:rsidP="001F0E1B">
      <w:pPr>
        <w:pStyle w:val="paragraph"/>
      </w:pPr>
      <w:r w:rsidRPr="001F0E1B">
        <w:lastRenderedPageBreak/>
        <w:tab/>
        <w:t>(a)</w:t>
      </w:r>
      <w:r w:rsidRPr="001F0E1B">
        <w:tab/>
        <w:t>an importing agent who imports prescribed products on which charge is imposed; and</w:t>
      </w:r>
    </w:p>
    <w:p w:rsidR="000A2AF5" w:rsidRPr="001F0E1B" w:rsidRDefault="000A2AF5" w:rsidP="001F0E1B">
      <w:pPr>
        <w:pStyle w:val="paragraph"/>
      </w:pPr>
      <w:r w:rsidRPr="001F0E1B">
        <w:tab/>
        <w:t>(b)</w:t>
      </w:r>
      <w:r w:rsidRPr="001F0E1B">
        <w:tab/>
        <w:t>a person who does an act, determined in an instrument under subsection</w:t>
      </w:r>
      <w:r w:rsidR="001F0E1B" w:rsidRPr="001F0E1B">
        <w:t> </w:t>
      </w:r>
      <w:r w:rsidR="008B2F44" w:rsidRPr="001F0E1B">
        <w:t>7A(1)</w:t>
      </w:r>
      <w:r w:rsidRPr="001F0E1B">
        <w:t xml:space="preserve"> for the purposes of this paragraph, in relation to such products;</w:t>
      </w:r>
    </w:p>
    <w:p w:rsidR="000A2AF5" w:rsidRPr="001F0E1B" w:rsidRDefault="000A2AF5" w:rsidP="001F0E1B">
      <w:pPr>
        <w:pStyle w:val="subsection2"/>
      </w:pPr>
      <w:r w:rsidRPr="001F0E1B">
        <w:t xml:space="preserve">is liable to pay in accordance with </w:t>
      </w:r>
      <w:r w:rsidR="001F0E1B" w:rsidRPr="001F0E1B">
        <w:t>subsection (</w:t>
      </w:r>
      <w:r w:rsidRPr="001F0E1B">
        <w:t>4), on behalf of the producer, an amount equal to the sum of:</w:t>
      </w:r>
    </w:p>
    <w:p w:rsidR="000A2AF5" w:rsidRPr="001F0E1B" w:rsidRDefault="000A2AF5" w:rsidP="001F0E1B">
      <w:pPr>
        <w:pStyle w:val="paragraph"/>
      </w:pPr>
      <w:r w:rsidRPr="001F0E1B">
        <w:tab/>
        <w:t>(c)</w:t>
      </w:r>
      <w:r w:rsidRPr="001F0E1B">
        <w:tab/>
        <w:t>the amount of any charge due for payment on or in relation to the products; and</w:t>
      </w:r>
    </w:p>
    <w:p w:rsidR="000A2AF5" w:rsidRPr="001F0E1B" w:rsidRDefault="000A2AF5" w:rsidP="001F0E1B">
      <w:pPr>
        <w:pStyle w:val="paragraph"/>
      </w:pPr>
      <w:r w:rsidRPr="001F0E1B">
        <w:tab/>
        <w:t>(d)</w:t>
      </w:r>
      <w:r w:rsidRPr="001F0E1B">
        <w:tab/>
        <w:t>any amount payable by the producer under subsection</w:t>
      </w:r>
      <w:r w:rsidR="001F0E1B" w:rsidRPr="001F0E1B">
        <w:t> </w:t>
      </w:r>
      <w:r w:rsidRPr="001F0E1B">
        <w:t>15(1) in relation to that charge.</w:t>
      </w:r>
    </w:p>
    <w:p w:rsidR="000A2AF5" w:rsidRPr="001F0E1B" w:rsidRDefault="000A2AF5" w:rsidP="001F0E1B">
      <w:pPr>
        <w:pStyle w:val="notetext"/>
      </w:pPr>
      <w:r w:rsidRPr="001F0E1B">
        <w:t>Note:</w:t>
      </w:r>
      <w:r w:rsidRPr="001F0E1B">
        <w:tab/>
        <w:t xml:space="preserve">Under </w:t>
      </w:r>
      <w:r w:rsidR="001F0E1B" w:rsidRPr="001F0E1B">
        <w:t>paragraph (</w:t>
      </w:r>
      <w:proofErr w:type="spellStart"/>
      <w:r w:rsidRPr="001F0E1B">
        <w:t>ga</w:t>
      </w:r>
      <w:proofErr w:type="spellEnd"/>
      <w:r w:rsidRPr="001F0E1B">
        <w:t xml:space="preserve">) of the definition of </w:t>
      </w:r>
      <w:r w:rsidRPr="001F0E1B">
        <w:rPr>
          <w:b/>
          <w:i/>
        </w:rPr>
        <w:t>producer</w:t>
      </w:r>
      <w:r w:rsidRPr="001F0E1B">
        <w:t xml:space="preserve"> in subsection</w:t>
      </w:r>
      <w:r w:rsidR="001F0E1B" w:rsidRPr="001F0E1B">
        <w:t> </w:t>
      </w:r>
      <w:r w:rsidRPr="001F0E1B">
        <w:t xml:space="preserve">4(1), the producer is taken to be the person who imports the products into </w:t>
      </w:r>
      <w:smartTag w:uri="urn:schemas-microsoft-com:office:smarttags" w:element="country-region">
        <w:smartTag w:uri="urn:schemas-microsoft-com:office:smarttags" w:element="place">
          <w:r w:rsidRPr="001F0E1B">
            <w:t>Australia</w:t>
          </w:r>
        </w:smartTag>
      </w:smartTag>
      <w:r w:rsidRPr="001F0E1B">
        <w:t>.</w:t>
      </w:r>
    </w:p>
    <w:p w:rsidR="008B2F44" w:rsidRPr="001F0E1B" w:rsidRDefault="00727DDB" w:rsidP="001F0E1B">
      <w:pPr>
        <w:pStyle w:val="ItemHead"/>
      </w:pPr>
      <w:r w:rsidRPr="001F0E1B">
        <w:t>4</w:t>
      </w:r>
      <w:r w:rsidR="008B2F44" w:rsidRPr="001F0E1B">
        <w:t xml:space="preserve">  After paragraph</w:t>
      </w:r>
      <w:r w:rsidR="001F0E1B" w:rsidRPr="001F0E1B">
        <w:t> </w:t>
      </w:r>
      <w:r w:rsidR="008B2F44" w:rsidRPr="001F0E1B">
        <w:t>7(6)(e)</w:t>
      </w:r>
    </w:p>
    <w:p w:rsidR="008B2F44" w:rsidRPr="001F0E1B" w:rsidRDefault="008B2F44" w:rsidP="001F0E1B">
      <w:pPr>
        <w:pStyle w:val="Item"/>
      </w:pPr>
      <w:r w:rsidRPr="001F0E1B">
        <w:t>Insert:</w:t>
      </w:r>
    </w:p>
    <w:p w:rsidR="008B2F44" w:rsidRPr="001F0E1B" w:rsidRDefault="008B2F44" w:rsidP="001F0E1B">
      <w:pPr>
        <w:pStyle w:val="paragraph"/>
      </w:pPr>
      <w:r w:rsidRPr="001F0E1B">
        <w:tab/>
      </w:r>
      <w:r w:rsidR="00391F8D" w:rsidRPr="001F0E1B">
        <w:t xml:space="preserve">or </w:t>
      </w:r>
      <w:r w:rsidRPr="001F0E1B">
        <w:t>(f)</w:t>
      </w:r>
      <w:r w:rsidRPr="001F0E1B">
        <w:tab/>
        <w:t>does an act, determined in an instrument under subsection</w:t>
      </w:r>
      <w:r w:rsidR="001F0E1B" w:rsidRPr="001F0E1B">
        <w:t> </w:t>
      </w:r>
      <w:r w:rsidRPr="001F0E1B">
        <w:t>7A(1), in relation to collection products;</w:t>
      </w:r>
    </w:p>
    <w:p w:rsidR="008B2F44" w:rsidRPr="001F0E1B" w:rsidRDefault="00727DDB" w:rsidP="001F0E1B">
      <w:pPr>
        <w:pStyle w:val="ItemHead"/>
      </w:pPr>
      <w:r w:rsidRPr="001F0E1B">
        <w:t>5</w:t>
      </w:r>
      <w:r w:rsidR="008B2F44" w:rsidRPr="001F0E1B">
        <w:t xml:space="preserve">  After section</w:t>
      </w:r>
      <w:r w:rsidR="001F0E1B" w:rsidRPr="001F0E1B">
        <w:t> </w:t>
      </w:r>
      <w:r w:rsidR="008B2F44" w:rsidRPr="001F0E1B">
        <w:t>7</w:t>
      </w:r>
    </w:p>
    <w:p w:rsidR="008B2F44" w:rsidRPr="001F0E1B" w:rsidRDefault="008B2F44" w:rsidP="001F0E1B">
      <w:pPr>
        <w:pStyle w:val="Item"/>
      </w:pPr>
      <w:r w:rsidRPr="001F0E1B">
        <w:t>Insert:</w:t>
      </w:r>
    </w:p>
    <w:p w:rsidR="008B2F44" w:rsidRPr="001F0E1B" w:rsidRDefault="008B2F44" w:rsidP="001F0E1B">
      <w:pPr>
        <w:pStyle w:val="ActHead5"/>
      </w:pPr>
      <w:bookmarkStart w:id="8" w:name="_Toc523832107"/>
      <w:r w:rsidRPr="001F0E1B">
        <w:rPr>
          <w:rStyle w:val="CharSectno"/>
        </w:rPr>
        <w:t>7A</w:t>
      </w:r>
      <w:r w:rsidRPr="001F0E1B">
        <w:t xml:space="preserve">  Secretary’s determination of intermediaries</w:t>
      </w:r>
      <w:bookmarkEnd w:id="8"/>
    </w:p>
    <w:p w:rsidR="008E27F0" w:rsidRPr="001F0E1B" w:rsidRDefault="008E27F0" w:rsidP="001F0E1B">
      <w:pPr>
        <w:pStyle w:val="subsection"/>
      </w:pPr>
      <w:r w:rsidRPr="001F0E1B">
        <w:tab/>
        <w:t>(</w:t>
      </w:r>
      <w:r w:rsidR="008B2F44" w:rsidRPr="001F0E1B">
        <w:t>1</w:t>
      </w:r>
      <w:r w:rsidRPr="001F0E1B">
        <w:t>)</w:t>
      </w:r>
      <w:r w:rsidRPr="001F0E1B">
        <w:tab/>
        <w:t xml:space="preserve">The </w:t>
      </w:r>
      <w:r w:rsidR="008B2F44" w:rsidRPr="001F0E1B">
        <w:t>Secre</w:t>
      </w:r>
      <w:r w:rsidR="000A2AF5" w:rsidRPr="001F0E1B">
        <w:t xml:space="preserve">tary </w:t>
      </w:r>
      <w:r w:rsidRPr="001F0E1B">
        <w:t xml:space="preserve">may, by legislative instrument, determine acts for the purposes of paragraphs </w:t>
      </w:r>
      <w:r w:rsidR="008B2F44" w:rsidRPr="001F0E1B">
        <w:t>7</w:t>
      </w:r>
      <w:r w:rsidRPr="001F0E1B">
        <w:t xml:space="preserve">(1)(ca), </w:t>
      </w:r>
      <w:r w:rsidR="000A2AF5" w:rsidRPr="001F0E1B">
        <w:t>(2)(</w:t>
      </w:r>
      <w:proofErr w:type="spellStart"/>
      <w:r w:rsidR="000A2AF5" w:rsidRPr="001F0E1B">
        <w:t>ba</w:t>
      </w:r>
      <w:proofErr w:type="spellEnd"/>
      <w:r w:rsidR="000A2AF5" w:rsidRPr="001F0E1B">
        <w:t>), (3)(b) and (3A)(b)</w:t>
      </w:r>
      <w:r w:rsidRPr="001F0E1B">
        <w:t>.</w:t>
      </w:r>
    </w:p>
    <w:p w:rsidR="008E27F0" w:rsidRPr="001F0E1B" w:rsidRDefault="008E27F0" w:rsidP="001F0E1B">
      <w:pPr>
        <w:pStyle w:val="notetext"/>
      </w:pPr>
      <w:r w:rsidRPr="001F0E1B">
        <w:t>Note:</w:t>
      </w:r>
      <w:r w:rsidRPr="001F0E1B">
        <w:tab/>
        <w:t xml:space="preserve">Different acts may be determined for different </w:t>
      </w:r>
      <w:r w:rsidR="001F0E1B" w:rsidRPr="001F0E1B">
        <w:t>paragraphs (</w:t>
      </w:r>
      <w:r w:rsidRPr="001F0E1B">
        <w:t>see subsection</w:t>
      </w:r>
      <w:r w:rsidR="001F0E1B" w:rsidRPr="001F0E1B">
        <w:t> </w:t>
      </w:r>
      <w:r w:rsidRPr="001F0E1B">
        <w:t xml:space="preserve">33(3A) of the </w:t>
      </w:r>
      <w:r w:rsidRPr="001F0E1B">
        <w:rPr>
          <w:i/>
        </w:rPr>
        <w:t>Acts Interpretation Act 1901</w:t>
      </w:r>
      <w:r w:rsidRPr="001F0E1B">
        <w:t>).</w:t>
      </w:r>
    </w:p>
    <w:p w:rsidR="008B2F44" w:rsidRPr="001F0E1B" w:rsidRDefault="008B2F44" w:rsidP="001F0E1B">
      <w:pPr>
        <w:pStyle w:val="subsection"/>
      </w:pPr>
      <w:r w:rsidRPr="001F0E1B">
        <w:tab/>
        <w:t>(2)</w:t>
      </w:r>
      <w:r w:rsidRPr="001F0E1B">
        <w:tab/>
        <w:t xml:space="preserve">The Secretary must have regard to any guidelines in force under </w:t>
      </w:r>
      <w:r w:rsidR="001F0E1B" w:rsidRPr="001F0E1B">
        <w:t>subsection (</w:t>
      </w:r>
      <w:r w:rsidRPr="001F0E1B">
        <w:t xml:space="preserve">3) in </w:t>
      </w:r>
      <w:r w:rsidR="00E52EC1" w:rsidRPr="001F0E1B">
        <w:t>exercising</w:t>
      </w:r>
      <w:r w:rsidRPr="001F0E1B">
        <w:t xml:space="preserve"> a power under </w:t>
      </w:r>
      <w:r w:rsidR="001F0E1B" w:rsidRPr="001F0E1B">
        <w:t>subsection (</w:t>
      </w:r>
      <w:r w:rsidRPr="001F0E1B">
        <w:t>1).</w:t>
      </w:r>
    </w:p>
    <w:p w:rsidR="008B2F44" w:rsidRPr="001F0E1B" w:rsidRDefault="008B2F44" w:rsidP="001F0E1B">
      <w:pPr>
        <w:pStyle w:val="subsection"/>
      </w:pPr>
      <w:r w:rsidRPr="001F0E1B">
        <w:tab/>
        <w:t>(3)</w:t>
      </w:r>
      <w:r w:rsidRPr="001F0E1B">
        <w:tab/>
        <w:t>The Minister may, by written instrument, issue guidelines for the purposes of this section.</w:t>
      </w:r>
    </w:p>
    <w:p w:rsidR="008B2F44" w:rsidRPr="001F0E1B" w:rsidRDefault="008B2F44" w:rsidP="001F0E1B">
      <w:pPr>
        <w:pStyle w:val="notetext"/>
      </w:pPr>
      <w:r w:rsidRPr="001F0E1B">
        <w:t>Note:</w:t>
      </w:r>
      <w:r w:rsidRPr="001F0E1B">
        <w:tab/>
        <w:t>For variation and revocation of the instrument, see subsection</w:t>
      </w:r>
      <w:r w:rsidR="001F0E1B" w:rsidRPr="001F0E1B">
        <w:t> </w:t>
      </w:r>
      <w:r w:rsidRPr="001F0E1B">
        <w:t xml:space="preserve">33(3) of the </w:t>
      </w:r>
      <w:r w:rsidRPr="001F0E1B">
        <w:rPr>
          <w:i/>
        </w:rPr>
        <w:t>Acts Interpretation Act 1901</w:t>
      </w:r>
      <w:r w:rsidRPr="001F0E1B">
        <w:t>.</w:t>
      </w:r>
    </w:p>
    <w:p w:rsidR="008B2F44" w:rsidRPr="001F0E1B" w:rsidRDefault="008B2F44" w:rsidP="001F0E1B">
      <w:pPr>
        <w:pStyle w:val="subsection"/>
      </w:pPr>
      <w:r w:rsidRPr="001F0E1B">
        <w:tab/>
        <w:t>(4)</w:t>
      </w:r>
      <w:r w:rsidRPr="001F0E1B">
        <w:tab/>
        <w:t>Guidelines are not legislative instruments.</w:t>
      </w:r>
    </w:p>
    <w:p w:rsidR="008B2F44" w:rsidRPr="001F0E1B" w:rsidRDefault="008B2F44" w:rsidP="001F0E1B">
      <w:pPr>
        <w:pStyle w:val="subsection"/>
      </w:pPr>
      <w:r w:rsidRPr="001F0E1B">
        <w:lastRenderedPageBreak/>
        <w:tab/>
        <w:t>(5)</w:t>
      </w:r>
      <w:r w:rsidRPr="001F0E1B">
        <w:tab/>
        <w:t>The Minister must cause the guidelines to be put on the Department’s website.</w:t>
      </w:r>
    </w:p>
    <w:p w:rsidR="00D804A4" w:rsidRPr="001F0E1B" w:rsidRDefault="00727DDB" w:rsidP="001F0E1B">
      <w:pPr>
        <w:pStyle w:val="ItemHead"/>
      </w:pPr>
      <w:r w:rsidRPr="001F0E1B">
        <w:t>6</w:t>
      </w:r>
      <w:r w:rsidR="00D804A4" w:rsidRPr="001F0E1B">
        <w:t xml:space="preserve">  </w:t>
      </w:r>
      <w:r w:rsidR="006B7062" w:rsidRPr="001F0E1B">
        <w:t>Section</w:t>
      </w:r>
      <w:r w:rsidR="001F0E1B" w:rsidRPr="001F0E1B">
        <w:t> </w:t>
      </w:r>
      <w:r w:rsidR="006B7062" w:rsidRPr="001F0E1B">
        <w:t>27 (heading)</w:t>
      </w:r>
    </w:p>
    <w:p w:rsidR="006B7062" w:rsidRPr="001F0E1B" w:rsidRDefault="006B7062" w:rsidP="001F0E1B">
      <w:pPr>
        <w:pStyle w:val="Item"/>
      </w:pPr>
      <w:r w:rsidRPr="001F0E1B">
        <w:t>Repeal the heading, substitute:</w:t>
      </w:r>
    </w:p>
    <w:p w:rsidR="006B7062" w:rsidRPr="001F0E1B" w:rsidRDefault="006B7062" w:rsidP="001F0E1B">
      <w:pPr>
        <w:pStyle w:val="ActHead5"/>
      </w:pPr>
      <w:bookmarkStart w:id="9" w:name="_Toc523832108"/>
      <w:r w:rsidRPr="001F0E1B">
        <w:rPr>
          <w:rStyle w:val="CharSectno"/>
        </w:rPr>
        <w:t>27</w:t>
      </w:r>
      <w:r w:rsidRPr="001F0E1B">
        <w:t xml:space="preserve">  Giving of information about returns, intermediaries and receipt of levy or charge</w:t>
      </w:r>
      <w:bookmarkEnd w:id="9"/>
    </w:p>
    <w:p w:rsidR="006B7062" w:rsidRPr="001F0E1B" w:rsidRDefault="00727DDB" w:rsidP="001F0E1B">
      <w:pPr>
        <w:pStyle w:val="ItemHead"/>
      </w:pPr>
      <w:r w:rsidRPr="001F0E1B">
        <w:t>7</w:t>
      </w:r>
      <w:r w:rsidR="006B7062" w:rsidRPr="001F0E1B">
        <w:t xml:space="preserve">  Subsection</w:t>
      </w:r>
      <w:r w:rsidR="001F0E1B" w:rsidRPr="001F0E1B">
        <w:t> </w:t>
      </w:r>
      <w:r w:rsidR="006B7062" w:rsidRPr="001F0E1B">
        <w:t>27(1)</w:t>
      </w:r>
    </w:p>
    <w:p w:rsidR="006B7062" w:rsidRPr="001F0E1B" w:rsidRDefault="006B7062" w:rsidP="001F0E1B">
      <w:pPr>
        <w:pStyle w:val="Item"/>
      </w:pPr>
      <w:r w:rsidRPr="001F0E1B">
        <w:t>Omit “may publish”, substitute “</w:t>
      </w:r>
      <w:r w:rsidR="006100E7" w:rsidRPr="001F0E1B">
        <w:t xml:space="preserve">may </w:t>
      </w:r>
      <w:r w:rsidRPr="001F0E1B">
        <w:t>give the following information”.</w:t>
      </w:r>
    </w:p>
    <w:p w:rsidR="00781EE2" w:rsidRPr="001F0E1B" w:rsidRDefault="00727DDB" w:rsidP="001F0E1B">
      <w:pPr>
        <w:pStyle w:val="ItemHead"/>
      </w:pPr>
      <w:r w:rsidRPr="001F0E1B">
        <w:t>8</w:t>
      </w:r>
      <w:r w:rsidR="00781EE2" w:rsidRPr="001F0E1B">
        <w:t xml:space="preserve">  Paragraph 27(1)(a)</w:t>
      </w:r>
    </w:p>
    <w:p w:rsidR="00781EE2" w:rsidRPr="001F0E1B" w:rsidRDefault="00781EE2" w:rsidP="001F0E1B">
      <w:pPr>
        <w:pStyle w:val="Item"/>
      </w:pPr>
      <w:r w:rsidRPr="001F0E1B">
        <w:t>Omit “or” (last occurring).</w:t>
      </w:r>
    </w:p>
    <w:p w:rsidR="008D46BF" w:rsidRPr="001F0E1B" w:rsidRDefault="00727DDB" w:rsidP="001F0E1B">
      <w:pPr>
        <w:pStyle w:val="ItemHead"/>
      </w:pPr>
      <w:r w:rsidRPr="001F0E1B">
        <w:t>9</w:t>
      </w:r>
      <w:r w:rsidR="008D46BF" w:rsidRPr="001F0E1B">
        <w:t xml:space="preserve">  Subsection</w:t>
      </w:r>
      <w:r w:rsidR="001F0E1B" w:rsidRPr="001F0E1B">
        <w:t> </w:t>
      </w:r>
      <w:r w:rsidR="008D46BF" w:rsidRPr="001F0E1B">
        <w:t>27(2)</w:t>
      </w:r>
    </w:p>
    <w:p w:rsidR="008D46BF" w:rsidRPr="001F0E1B" w:rsidRDefault="008D46BF" w:rsidP="001F0E1B">
      <w:pPr>
        <w:pStyle w:val="Item"/>
      </w:pPr>
      <w:r w:rsidRPr="001F0E1B">
        <w:t>Omit “publication”, substitute “giving”.</w:t>
      </w:r>
    </w:p>
    <w:p w:rsidR="00EF01C3" w:rsidRPr="001F0E1B" w:rsidRDefault="00727DDB" w:rsidP="001F0E1B">
      <w:pPr>
        <w:pStyle w:val="ItemHead"/>
      </w:pPr>
      <w:r w:rsidRPr="001F0E1B">
        <w:t>10</w:t>
      </w:r>
      <w:r w:rsidR="00EF01C3" w:rsidRPr="001F0E1B">
        <w:t xml:space="preserve">  Paragraph 27A(1)(a)</w:t>
      </w:r>
    </w:p>
    <w:p w:rsidR="00EF01C3" w:rsidRPr="001F0E1B" w:rsidRDefault="00EF01C3" w:rsidP="001F0E1B">
      <w:pPr>
        <w:pStyle w:val="Item"/>
      </w:pPr>
      <w:r w:rsidRPr="001F0E1B">
        <w:t>Omit “and ABN”, substitute “, ABN (if any) and ACN (if any)”.</w:t>
      </w:r>
    </w:p>
    <w:p w:rsidR="00995153" w:rsidRPr="001F0E1B" w:rsidRDefault="00727DDB" w:rsidP="001F0E1B">
      <w:pPr>
        <w:pStyle w:val="ItemHead"/>
      </w:pPr>
      <w:r w:rsidRPr="001F0E1B">
        <w:t>11</w:t>
      </w:r>
      <w:r w:rsidR="00995153" w:rsidRPr="001F0E1B">
        <w:t xml:space="preserve">  At the end of subsection</w:t>
      </w:r>
      <w:r w:rsidR="001F0E1B" w:rsidRPr="001F0E1B">
        <w:t> </w:t>
      </w:r>
      <w:r w:rsidR="00995153" w:rsidRPr="001F0E1B">
        <w:t>27A(3)</w:t>
      </w:r>
    </w:p>
    <w:p w:rsidR="00995153" w:rsidRPr="001F0E1B" w:rsidRDefault="00995153" w:rsidP="001F0E1B">
      <w:pPr>
        <w:pStyle w:val="Item"/>
      </w:pPr>
      <w:r w:rsidRPr="001F0E1B">
        <w:t>Add:</w:t>
      </w:r>
    </w:p>
    <w:p w:rsidR="00995153" w:rsidRPr="001F0E1B" w:rsidRDefault="00995153" w:rsidP="001F0E1B">
      <w:pPr>
        <w:pStyle w:val="notetext"/>
      </w:pPr>
      <w:r w:rsidRPr="001F0E1B">
        <w:t>Note:</w:t>
      </w:r>
      <w:r w:rsidRPr="001F0E1B">
        <w:tab/>
        <w:t>Different details may be determined for different collection products (see subsection</w:t>
      </w:r>
      <w:r w:rsidR="001F0E1B" w:rsidRPr="001F0E1B">
        <w:t> </w:t>
      </w:r>
      <w:r w:rsidRPr="001F0E1B">
        <w:t xml:space="preserve">33(3A) of the </w:t>
      </w:r>
      <w:r w:rsidRPr="001F0E1B">
        <w:rPr>
          <w:i/>
        </w:rPr>
        <w:t>Acts Interpretation Act 1901</w:t>
      </w:r>
      <w:r w:rsidRPr="001F0E1B">
        <w:t>).</w:t>
      </w:r>
    </w:p>
    <w:p w:rsidR="00EF01C3" w:rsidRPr="001F0E1B" w:rsidRDefault="00727DDB" w:rsidP="001F0E1B">
      <w:pPr>
        <w:pStyle w:val="ItemHead"/>
      </w:pPr>
      <w:r w:rsidRPr="001F0E1B">
        <w:t>12</w:t>
      </w:r>
      <w:r w:rsidR="00EF01C3" w:rsidRPr="001F0E1B">
        <w:t xml:space="preserve">  Subsection</w:t>
      </w:r>
      <w:r w:rsidR="001F0E1B" w:rsidRPr="001F0E1B">
        <w:t> </w:t>
      </w:r>
      <w:r w:rsidR="00EF01C3" w:rsidRPr="001F0E1B">
        <w:t>27A(4) (heading)</w:t>
      </w:r>
    </w:p>
    <w:p w:rsidR="00EF01C3" w:rsidRPr="001F0E1B" w:rsidRDefault="00EF01C3" w:rsidP="001F0E1B">
      <w:pPr>
        <w:pStyle w:val="Item"/>
      </w:pPr>
      <w:r w:rsidRPr="001F0E1B">
        <w:t>Repeal the heading, substitute:</w:t>
      </w:r>
    </w:p>
    <w:p w:rsidR="00EF01C3" w:rsidRPr="001F0E1B" w:rsidRDefault="00EF01C3" w:rsidP="001F0E1B">
      <w:pPr>
        <w:pStyle w:val="SubsectionHead"/>
      </w:pPr>
      <w:r w:rsidRPr="001F0E1B">
        <w:t>Definitions</w:t>
      </w:r>
    </w:p>
    <w:p w:rsidR="00EF01C3" w:rsidRPr="001F0E1B" w:rsidRDefault="00727DDB" w:rsidP="001F0E1B">
      <w:pPr>
        <w:pStyle w:val="ItemHead"/>
      </w:pPr>
      <w:r w:rsidRPr="001F0E1B">
        <w:t>13</w:t>
      </w:r>
      <w:r w:rsidR="00EF01C3" w:rsidRPr="001F0E1B">
        <w:t xml:space="preserve">  Subsection</w:t>
      </w:r>
      <w:r w:rsidR="001F0E1B" w:rsidRPr="001F0E1B">
        <w:t> </w:t>
      </w:r>
      <w:r w:rsidR="00EF01C3" w:rsidRPr="001F0E1B">
        <w:t>27A(4)</w:t>
      </w:r>
    </w:p>
    <w:p w:rsidR="00EF01C3" w:rsidRPr="001F0E1B" w:rsidRDefault="00EF01C3" w:rsidP="001F0E1B">
      <w:pPr>
        <w:pStyle w:val="Item"/>
      </w:pPr>
      <w:r w:rsidRPr="001F0E1B">
        <w:t>Insert:</w:t>
      </w:r>
    </w:p>
    <w:p w:rsidR="00EF01C3" w:rsidRPr="001F0E1B" w:rsidRDefault="00EF01C3" w:rsidP="001F0E1B">
      <w:pPr>
        <w:pStyle w:val="Definition"/>
      </w:pPr>
      <w:r w:rsidRPr="001F0E1B">
        <w:rPr>
          <w:b/>
          <w:i/>
        </w:rPr>
        <w:t>ACN</w:t>
      </w:r>
      <w:r w:rsidRPr="001F0E1B">
        <w:t xml:space="preserve"> has the meaning given by section</w:t>
      </w:r>
      <w:r w:rsidR="001F0E1B" w:rsidRPr="001F0E1B">
        <w:t> </w:t>
      </w:r>
      <w:r w:rsidRPr="001F0E1B">
        <w:t xml:space="preserve">9 of the </w:t>
      </w:r>
      <w:r w:rsidRPr="001F0E1B">
        <w:rPr>
          <w:i/>
        </w:rPr>
        <w:t>Corporations Act 2001</w:t>
      </w:r>
      <w:r w:rsidRPr="001F0E1B">
        <w:t>.</w:t>
      </w:r>
    </w:p>
    <w:p w:rsidR="00101924" w:rsidRPr="001F0E1B" w:rsidRDefault="00727DDB" w:rsidP="001F0E1B">
      <w:pPr>
        <w:pStyle w:val="ItemHead"/>
      </w:pPr>
      <w:r w:rsidRPr="001F0E1B">
        <w:lastRenderedPageBreak/>
        <w:t>14</w:t>
      </w:r>
      <w:r w:rsidR="00101924" w:rsidRPr="001F0E1B">
        <w:t xml:space="preserve">  After subsection</w:t>
      </w:r>
      <w:r w:rsidR="001F0E1B" w:rsidRPr="001F0E1B">
        <w:t> </w:t>
      </w:r>
      <w:r w:rsidR="00101924" w:rsidRPr="001F0E1B">
        <w:t>27B(4)</w:t>
      </w:r>
    </w:p>
    <w:p w:rsidR="00101924" w:rsidRPr="001F0E1B" w:rsidRDefault="00101924" w:rsidP="001F0E1B">
      <w:pPr>
        <w:pStyle w:val="Item"/>
      </w:pPr>
      <w:r w:rsidRPr="001F0E1B">
        <w:t>Insert:</w:t>
      </w:r>
    </w:p>
    <w:p w:rsidR="00101924" w:rsidRPr="001F0E1B" w:rsidRDefault="00101924" w:rsidP="001F0E1B">
      <w:pPr>
        <w:pStyle w:val="subsection"/>
      </w:pPr>
      <w:r w:rsidRPr="001F0E1B">
        <w:tab/>
        <w:t>(4A)</w:t>
      </w:r>
      <w:r w:rsidRPr="001F0E1B">
        <w:tab/>
        <w:t xml:space="preserve">The Secretary may make an approval given under </w:t>
      </w:r>
      <w:r w:rsidR="001F0E1B" w:rsidRPr="001F0E1B">
        <w:t>subsection (</w:t>
      </w:r>
      <w:r w:rsidRPr="001F0E1B">
        <w:t>4) subject to conditions specified in the approval.</w:t>
      </w:r>
    </w:p>
    <w:p w:rsidR="00101924" w:rsidRPr="001F0E1B" w:rsidRDefault="00101924" w:rsidP="001F0E1B">
      <w:pPr>
        <w:pStyle w:val="subsection"/>
      </w:pPr>
      <w:r w:rsidRPr="001F0E1B">
        <w:tab/>
        <w:t>(4B)</w:t>
      </w:r>
      <w:r w:rsidRPr="001F0E1B">
        <w:tab/>
        <w:t xml:space="preserve">The Secretary may, by writing, revoke an approval given under </w:t>
      </w:r>
      <w:r w:rsidR="001F0E1B" w:rsidRPr="001F0E1B">
        <w:t>subsection (</w:t>
      </w:r>
      <w:r w:rsidRPr="001F0E1B">
        <w:t>4) if the Secretary is satisfied that the holder of the approval has breached any conditions of the approval.</w:t>
      </w:r>
    </w:p>
    <w:p w:rsidR="00101924" w:rsidRPr="001F0E1B" w:rsidRDefault="00101924" w:rsidP="001F0E1B">
      <w:pPr>
        <w:pStyle w:val="subsection"/>
      </w:pPr>
      <w:r w:rsidRPr="001F0E1B">
        <w:tab/>
        <w:t>(</w:t>
      </w:r>
      <w:r w:rsidR="005B3827" w:rsidRPr="001F0E1B">
        <w:t>4</w:t>
      </w:r>
      <w:r w:rsidRPr="001F0E1B">
        <w:t>C)</w:t>
      </w:r>
      <w:r w:rsidRPr="001F0E1B">
        <w:tab/>
        <w:t>The Secretary must give notice of the revocation to the holder. The notice must specify the day the revocation takes effect.</w:t>
      </w:r>
    </w:p>
    <w:p w:rsidR="00101924" w:rsidRPr="001F0E1B" w:rsidRDefault="005B3827" w:rsidP="001F0E1B">
      <w:pPr>
        <w:pStyle w:val="subsection"/>
      </w:pPr>
      <w:r w:rsidRPr="001F0E1B">
        <w:tab/>
        <w:t>(4D)</w:t>
      </w:r>
      <w:r w:rsidRPr="001F0E1B">
        <w:tab/>
      </w:r>
      <w:r w:rsidR="001F0E1B" w:rsidRPr="001F0E1B">
        <w:t>Subsection (</w:t>
      </w:r>
      <w:r w:rsidRPr="001F0E1B">
        <w:t>4B) does not limit subsection</w:t>
      </w:r>
      <w:r w:rsidR="001F0E1B" w:rsidRPr="001F0E1B">
        <w:t> </w:t>
      </w:r>
      <w:r w:rsidRPr="001F0E1B">
        <w:t xml:space="preserve">33(3) of the </w:t>
      </w:r>
      <w:r w:rsidRPr="001F0E1B">
        <w:rPr>
          <w:i/>
        </w:rPr>
        <w:t>Acts Interpretation Act 1901</w:t>
      </w:r>
      <w:r w:rsidRPr="001F0E1B">
        <w:t>.</w:t>
      </w:r>
    </w:p>
    <w:p w:rsidR="00FB244F" w:rsidRPr="001F0E1B" w:rsidRDefault="00727DDB" w:rsidP="001F0E1B">
      <w:pPr>
        <w:pStyle w:val="ItemHead"/>
      </w:pPr>
      <w:r w:rsidRPr="001F0E1B">
        <w:t>15</w:t>
      </w:r>
      <w:r w:rsidR="00FB244F" w:rsidRPr="001F0E1B">
        <w:t xml:space="preserve">  After section</w:t>
      </w:r>
      <w:r w:rsidR="001F0E1B" w:rsidRPr="001F0E1B">
        <w:t> </w:t>
      </w:r>
      <w:r w:rsidR="00FB244F" w:rsidRPr="001F0E1B">
        <w:t>27B</w:t>
      </w:r>
    </w:p>
    <w:p w:rsidR="00FB244F" w:rsidRPr="001F0E1B" w:rsidRDefault="00FB244F" w:rsidP="001F0E1B">
      <w:pPr>
        <w:pStyle w:val="Item"/>
      </w:pPr>
      <w:r w:rsidRPr="001F0E1B">
        <w:t>Insert:</w:t>
      </w:r>
    </w:p>
    <w:p w:rsidR="00FB244F" w:rsidRPr="001F0E1B" w:rsidRDefault="00FB244F" w:rsidP="001F0E1B">
      <w:pPr>
        <w:pStyle w:val="ActHead5"/>
      </w:pPr>
      <w:bookmarkStart w:id="10" w:name="_Toc523832109"/>
      <w:r w:rsidRPr="001F0E1B">
        <w:rPr>
          <w:rStyle w:val="CharSectno"/>
        </w:rPr>
        <w:t>27C</w:t>
      </w:r>
      <w:r w:rsidRPr="001F0E1B">
        <w:t xml:space="preserve">  </w:t>
      </w:r>
      <w:r w:rsidR="00C072AC" w:rsidRPr="001F0E1B">
        <w:t>Making public any</w:t>
      </w:r>
      <w:r w:rsidRPr="001F0E1B">
        <w:t xml:space="preserve"> information of a statistical nature</w:t>
      </w:r>
      <w:bookmarkEnd w:id="10"/>
    </w:p>
    <w:p w:rsidR="00FB244F" w:rsidRPr="001F0E1B" w:rsidRDefault="00FB244F" w:rsidP="001F0E1B">
      <w:pPr>
        <w:pStyle w:val="subsection"/>
      </w:pPr>
      <w:r w:rsidRPr="001F0E1B">
        <w:tab/>
      </w:r>
      <w:r w:rsidRPr="001F0E1B">
        <w:tab/>
        <w:t>An authorised person may make public any information of a statistical nature that relates to amounts of levy or charge received or receivable by the Commonwealth.</w:t>
      </w:r>
    </w:p>
    <w:p w:rsidR="005469A2" w:rsidRPr="001F0E1B" w:rsidRDefault="00727DDB" w:rsidP="001F0E1B">
      <w:pPr>
        <w:pStyle w:val="ItemHead"/>
      </w:pPr>
      <w:r w:rsidRPr="001F0E1B">
        <w:t>16</w:t>
      </w:r>
      <w:r w:rsidR="005469A2" w:rsidRPr="001F0E1B">
        <w:t xml:space="preserve">  Subsection</w:t>
      </w:r>
      <w:r w:rsidR="001F0E1B" w:rsidRPr="001F0E1B">
        <w:t> </w:t>
      </w:r>
      <w:r w:rsidR="005469A2" w:rsidRPr="001F0E1B">
        <w:t xml:space="preserve">28(9) (after </w:t>
      </w:r>
      <w:r w:rsidR="001F0E1B" w:rsidRPr="001F0E1B">
        <w:t>paragraph (</w:t>
      </w:r>
      <w:r w:rsidR="005469A2" w:rsidRPr="001F0E1B">
        <w:t xml:space="preserve">a) of the definition of </w:t>
      </w:r>
      <w:r w:rsidR="005469A2" w:rsidRPr="001F0E1B">
        <w:rPr>
          <w:i/>
        </w:rPr>
        <w:t>relevant decision</w:t>
      </w:r>
      <w:r w:rsidR="005469A2" w:rsidRPr="001F0E1B">
        <w:t>)</w:t>
      </w:r>
    </w:p>
    <w:p w:rsidR="005469A2" w:rsidRPr="001F0E1B" w:rsidRDefault="005469A2" w:rsidP="001F0E1B">
      <w:pPr>
        <w:pStyle w:val="Item"/>
      </w:pPr>
      <w:r w:rsidRPr="001F0E1B">
        <w:t>Insert:</w:t>
      </w:r>
    </w:p>
    <w:p w:rsidR="005469A2" w:rsidRPr="001F0E1B" w:rsidRDefault="005469A2" w:rsidP="001F0E1B">
      <w:pPr>
        <w:pStyle w:val="paragraph"/>
      </w:pPr>
      <w:r w:rsidRPr="001F0E1B">
        <w:tab/>
        <w:t>(b)</w:t>
      </w:r>
      <w:r w:rsidRPr="001F0E1B">
        <w:tab/>
        <w:t xml:space="preserve">a decision </w:t>
      </w:r>
      <w:r w:rsidR="00280024" w:rsidRPr="001F0E1B">
        <w:t>under subsection</w:t>
      </w:r>
      <w:r w:rsidR="001F0E1B" w:rsidRPr="001F0E1B">
        <w:t> </w:t>
      </w:r>
      <w:r w:rsidR="00280024" w:rsidRPr="001F0E1B">
        <w:t xml:space="preserve">27B(4) </w:t>
      </w:r>
      <w:r w:rsidRPr="001F0E1B">
        <w:t>to give an approval; or</w:t>
      </w:r>
    </w:p>
    <w:p w:rsidR="005469A2" w:rsidRPr="001F0E1B" w:rsidRDefault="005469A2" w:rsidP="001F0E1B">
      <w:pPr>
        <w:pStyle w:val="paragraph"/>
      </w:pPr>
      <w:r w:rsidRPr="001F0E1B">
        <w:tab/>
        <w:t>(c)</w:t>
      </w:r>
      <w:r w:rsidRPr="001F0E1B">
        <w:tab/>
        <w:t xml:space="preserve">a decision </w:t>
      </w:r>
      <w:r w:rsidR="00280024" w:rsidRPr="001F0E1B">
        <w:t>t</w:t>
      </w:r>
      <w:r w:rsidRPr="001F0E1B">
        <w:t>o specify conditions in an approval</w:t>
      </w:r>
      <w:r w:rsidR="00280024" w:rsidRPr="001F0E1B">
        <w:t xml:space="preserve"> given under subsection</w:t>
      </w:r>
      <w:r w:rsidR="001F0E1B" w:rsidRPr="001F0E1B">
        <w:t> </w:t>
      </w:r>
      <w:r w:rsidR="00280024" w:rsidRPr="001F0E1B">
        <w:t>27B(4)</w:t>
      </w:r>
      <w:r w:rsidRPr="001F0E1B">
        <w:t>; or</w:t>
      </w:r>
    </w:p>
    <w:p w:rsidR="005469A2" w:rsidRPr="001F0E1B" w:rsidRDefault="005469A2" w:rsidP="001F0E1B">
      <w:pPr>
        <w:pStyle w:val="paragraph"/>
      </w:pPr>
      <w:r w:rsidRPr="001F0E1B">
        <w:tab/>
        <w:t>(ca)</w:t>
      </w:r>
      <w:r w:rsidRPr="001F0E1B">
        <w:tab/>
        <w:t xml:space="preserve">a decision to revoke an </w:t>
      </w:r>
      <w:r w:rsidR="00280024" w:rsidRPr="001F0E1B">
        <w:t>approval given under subsection</w:t>
      </w:r>
      <w:r w:rsidR="001F0E1B" w:rsidRPr="001F0E1B">
        <w:t> </w:t>
      </w:r>
      <w:r w:rsidRPr="001F0E1B">
        <w:t>27B(4); or</w:t>
      </w:r>
    </w:p>
    <w:p w:rsidR="008B2F44" w:rsidRPr="001F0E1B" w:rsidRDefault="00727DDB" w:rsidP="001F0E1B">
      <w:pPr>
        <w:pStyle w:val="ItemHead"/>
      </w:pPr>
      <w:r w:rsidRPr="001F0E1B">
        <w:t>17</w:t>
      </w:r>
      <w:r w:rsidR="008B2F44" w:rsidRPr="001F0E1B">
        <w:t xml:space="preserve">  Subsection</w:t>
      </w:r>
      <w:r w:rsidR="001F0E1B" w:rsidRPr="001F0E1B">
        <w:t> </w:t>
      </w:r>
      <w:r w:rsidR="008B2F44" w:rsidRPr="001F0E1B">
        <w:t>29(1)</w:t>
      </w:r>
    </w:p>
    <w:p w:rsidR="008B2F44" w:rsidRPr="001F0E1B" w:rsidRDefault="008B2F44" w:rsidP="001F0E1B">
      <w:pPr>
        <w:pStyle w:val="Item"/>
      </w:pPr>
      <w:r w:rsidRPr="001F0E1B">
        <w:t>After “section”, insert “7A,”.</w:t>
      </w:r>
    </w:p>
    <w:p w:rsidR="00CB0F86" w:rsidRPr="001F0E1B" w:rsidRDefault="00727DDB" w:rsidP="001F0E1B">
      <w:pPr>
        <w:pStyle w:val="ItemHead"/>
      </w:pPr>
      <w:r w:rsidRPr="001F0E1B">
        <w:t>18</w:t>
      </w:r>
      <w:r w:rsidR="00CB0F86" w:rsidRPr="001F0E1B">
        <w:t xml:space="preserve">  Subsection</w:t>
      </w:r>
      <w:r w:rsidR="001F0E1B" w:rsidRPr="001F0E1B">
        <w:t> </w:t>
      </w:r>
      <w:r w:rsidR="00CB0F86" w:rsidRPr="001F0E1B">
        <w:t>29(1)</w:t>
      </w:r>
    </w:p>
    <w:p w:rsidR="00CB0F86" w:rsidRPr="001F0E1B" w:rsidRDefault="00CB0F86" w:rsidP="001F0E1B">
      <w:pPr>
        <w:pStyle w:val="Item"/>
      </w:pPr>
      <w:r w:rsidRPr="001F0E1B">
        <w:t>Omit “or 27B”, substitute “, 27B or 32”.</w:t>
      </w:r>
    </w:p>
    <w:p w:rsidR="00BD15FE" w:rsidRPr="001F0E1B" w:rsidRDefault="00727DDB" w:rsidP="001F0E1B">
      <w:pPr>
        <w:pStyle w:val="ItemHead"/>
      </w:pPr>
      <w:r w:rsidRPr="001F0E1B">
        <w:lastRenderedPageBreak/>
        <w:t>19</w:t>
      </w:r>
      <w:r w:rsidR="00BD15FE" w:rsidRPr="001F0E1B">
        <w:t xml:space="preserve">  Subsection</w:t>
      </w:r>
      <w:r w:rsidR="001F0E1B" w:rsidRPr="001F0E1B">
        <w:t> </w:t>
      </w:r>
      <w:r w:rsidR="00BD15FE" w:rsidRPr="001F0E1B">
        <w:t>29(1A)</w:t>
      </w:r>
    </w:p>
    <w:p w:rsidR="00BD15FE" w:rsidRPr="001F0E1B" w:rsidRDefault="00BD15FE" w:rsidP="001F0E1B">
      <w:pPr>
        <w:pStyle w:val="Item"/>
      </w:pPr>
      <w:r w:rsidRPr="001F0E1B">
        <w:t>Omit “</w:t>
      </w:r>
      <w:r w:rsidR="006B08BF" w:rsidRPr="001F0E1B">
        <w:t>power under subsection</w:t>
      </w:r>
      <w:r w:rsidR="001F0E1B" w:rsidRPr="001F0E1B">
        <w:t> </w:t>
      </w:r>
      <w:r w:rsidR="006B08BF" w:rsidRPr="001F0E1B">
        <w:t>27B(4)</w:t>
      </w:r>
      <w:r w:rsidRPr="001F0E1B">
        <w:t>”, substitute “powers</w:t>
      </w:r>
      <w:r w:rsidR="006B08BF" w:rsidRPr="001F0E1B">
        <w:t xml:space="preserve"> under section</w:t>
      </w:r>
      <w:r w:rsidR="001F0E1B" w:rsidRPr="001F0E1B">
        <w:t> </w:t>
      </w:r>
      <w:r w:rsidR="006B08BF" w:rsidRPr="001F0E1B">
        <w:t>27B</w:t>
      </w:r>
      <w:r w:rsidRPr="001F0E1B">
        <w:t>”.</w:t>
      </w:r>
    </w:p>
    <w:p w:rsidR="00FD435E" w:rsidRPr="001F0E1B" w:rsidRDefault="00727DDB" w:rsidP="001F0E1B">
      <w:pPr>
        <w:pStyle w:val="ItemHead"/>
      </w:pPr>
      <w:r w:rsidRPr="001F0E1B">
        <w:t>20</w:t>
      </w:r>
      <w:r w:rsidR="00FD435E" w:rsidRPr="001F0E1B">
        <w:t xml:space="preserve">  After section</w:t>
      </w:r>
      <w:r w:rsidR="001F0E1B" w:rsidRPr="001F0E1B">
        <w:t> </w:t>
      </w:r>
      <w:r w:rsidR="00FD435E" w:rsidRPr="001F0E1B">
        <w:t>31</w:t>
      </w:r>
    </w:p>
    <w:p w:rsidR="00FD435E" w:rsidRPr="001F0E1B" w:rsidRDefault="00FD435E" w:rsidP="001F0E1B">
      <w:pPr>
        <w:pStyle w:val="Item"/>
      </w:pPr>
      <w:r w:rsidRPr="001F0E1B">
        <w:t>Insert:</w:t>
      </w:r>
    </w:p>
    <w:p w:rsidR="00FD435E" w:rsidRPr="001F0E1B" w:rsidRDefault="00FD435E" w:rsidP="001F0E1B">
      <w:pPr>
        <w:pStyle w:val="ActHead5"/>
      </w:pPr>
      <w:bookmarkStart w:id="11" w:name="_Toc523832110"/>
      <w:r w:rsidRPr="001F0E1B">
        <w:rPr>
          <w:rStyle w:val="CharSectno"/>
        </w:rPr>
        <w:t>32</w:t>
      </w:r>
      <w:r w:rsidRPr="001F0E1B">
        <w:t xml:space="preserve">  Returns under the regulations</w:t>
      </w:r>
      <w:bookmarkEnd w:id="11"/>
    </w:p>
    <w:p w:rsidR="00FD435E" w:rsidRPr="001F0E1B" w:rsidRDefault="00FD435E" w:rsidP="001F0E1B">
      <w:pPr>
        <w:pStyle w:val="subsection"/>
      </w:pPr>
      <w:r w:rsidRPr="001F0E1B">
        <w:tab/>
        <w:t>(1)</w:t>
      </w:r>
      <w:r w:rsidRPr="001F0E1B">
        <w:tab/>
        <w:t xml:space="preserve">A return that is required to be lodged under the regulations in relation to a collection product must contain the details </w:t>
      </w:r>
      <w:r w:rsidR="00CB0F86" w:rsidRPr="001F0E1B">
        <w:t xml:space="preserve">determined in an instrument under </w:t>
      </w:r>
      <w:r w:rsidR="001F0E1B" w:rsidRPr="001F0E1B">
        <w:t>subsection (</w:t>
      </w:r>
      <w:r w:rsidR="00CB0F86" w:rsidRPr="001F0E1B">
        <w:t xml:space="preserve">3), being details </w:t>
      </w:r>
      <w:r w:rsidRPr="001F0E1B">
        <w:t>relating to the production or processing of that collection product</w:t>
      </w:r>
      <w:r w:rsidR="00CB0F86" w:rsidRPr="001F0E1B">
        <w:t>.</w:t>
      </w:r>
    </w:p>
    <w:p w:rsidR="00CB0F86" w:rsidRPr="001F0E1B" w:rsidRDefault="00CB0F86" w:rsidP="001F0E1B">
      <w:pPr>
        <w:pStyle w:val="subsection"/>
      </w:pPr>
      <w:r w:rsidRPr="001F0E1B">
        <w:tab/>
        <w:t>(2)</w:t>
      </w:r>
      <w:r w:rsidRPr="001F0E1B">
        <w:tab/>
      </w:r>
      <w:r w:rsidR="001F0E1B" w:rsidRPr="001F0E1B">
        <w:t>Subsection (</w:t>
      </w:r>
      <w:r w:rsidRPr="001F0E1B">
        <w:t>1) has effect in addition to the regulations dealing with the content of a return.</w:t>
      </w:r>
    </w:p>
    <w:p w:rsidR="00CB0F86" w:rsidRPr="001F0E1B" w:rsidRDefault="00CB0F86" w:rsidP="001F0E1B">
      <w:pPr>
        <w:pStyle w:val="subsection"/>
      </w:pPr>
      <w:r w:rsidRPr="001F0E1B">
        <w:tab/>
        <w:t>(3)</w:t>
      </w:r>
      <w:r w:rsidRPr="001F0E1B">
        <w:tab/>
        <w:t xml:space="preserve">For the purposes of </w:t>
      </w:r>
      <w:r w:rsidR="001F0E1B" w:rsidRPr="001F0E1B">
        <w:t>subsection (</w:t>
      </w:r>
      <w:r w:rsidRPr="001F0E1B">
        <w:t>1), the Secretary may, by legislative instrument, determine details relating to the production or processing of a collection product.</w:t>
      </w:r>
    </w:p>
    <w:p w:rsidR="00C072AC" w:rsidRPr="001F0E1B" w:rsidRDefault="00C072AC" w:rsidP="001F0E1B">
      <w:pPr>
        <w:pStyle w:val="notetext"/>
      </w:pPr>
      <w:r w:rsidRPr="001F0E1B">
        <w:t>Note:</w:t>
      </w:r>
      <w:r w:rsidRPr="001F0E1B">
        <w:tab/>
        <w:t>Different details may be determined for different collection products (see subsection</w:t>
      </w:r>
      <w:r w:rsidR="001F0E1B" w:rsidRPr="001F0E1B">
        <w:t> </w:t>
      </w:r>
      <w:r w:rsidRPr="001F0E1B">
        <w:t xml:space="preserve">33(3A) of the </w:t>
      </w:r>
      <w:r w:rsidRPr="001F0E1B">
        <w:rPr>
          <w:i/>
        </w:rPr>
        <w:t>Acts Interpretation Act 1901</w:t>
      </w:r>
      <w:r w:rsidRPr="001F0E1B">
        <w:t>).</w:t>
      </w:r>
    </w:p>
    <w:p w:rsidR="00D804A4" w:rsidRPr="001F0E1B" w:rsidRDefault="00727DDB" w:rsidP="001F0E1B">
      <w:pPr>
        <w:pStyle w:val="ItemHead"/>
      </w:pPr>
      <w:r w:rsidRPr="001F0E1B">
        <w:t>21</w:t>
      </w:r>
      <w:r w:rsidR="00D804A4" w:rsidRPr="001F0E1B">
        <w:t xml:space="preserve">  Application </w:t>
      </w:r>
      <w:r w:rsidR="000A2AF5" w:rsidRPr="001F0E1B">
        <w:t xml:space="preserve">and saving </w:t>
      </w:r>
      <w:r w:rsidR="00D804A4" w:rsidRPr="001F0E1B">
        <w:t>provisions</w:t>
      </w:r>
    </w:p>
    <w:p w:rsidR="006A6A02" w:rsidRPr="001F0E1B" w:rsidRDefault="006A6A02" w:rsidP="001F0E1B">
      <w:pPr>
        <w:pStyle w:val="Subitem"/>
      </w:pPr>
      <w:r w:rsidRPr="001F0E1B">
        <w:t>(1)</w:t>
      </w:r>
      <w:r w:rsidRPr="001F0E1B">
        <w:tab/>
        <w:t>The amendments of sectio</w:t>
      </w:r>
      <w:r w:rsidR="00F15C5D" w:rsidRPr="001F0E1B">
        <w:t>n</w:t>
      </w:r>
      <w:r w:rsidR="001F0E1B" w:rsidRPr="001F0E1B">
        <w:t> </w:t>
      </w:r>
      <w:r w:rsidRPr="001F0E1B">
        <w:t xml:space="preserve">7 of the </w:t>
      </w:r>
      <w:r w:rsidRPr="001F0E1B">
        <w:rPr>
          <w:i/>
        </w:rPr>
        <w:t>Primary Industries Levies and Charges Collection Act 1991</w:t>
      </w:r>
      <w:r w:rsidRPr="001F0E1B">
        <w:t xml:space="preserve"> made by this Schedule apply in relation to levy or charge that becomes payable on or after </w:t>
      </w:r>
      <w:r w:rsidR="006150E3" w:rsidRPr="001F0E1B">
        <w:t>the day on which the first instrument made under subsection</w:t>
      </w:r>
      <w:r w:rsidR="001F0E1B" w:rsidRPr="001F0E1B">
        <w:t> </w:t>
      </w:r>
      <w:r w:rsidR="006150E3" w:rsidRPr="001F0E1B">
        <w:t>7A(1) of that Act commences</w:t>
      </w:r>
      <w:r w:rsidRPr="001F0E1B">
        <w:t>.</w:t>
      </w:r>
    </w:p>
    <w:p w:rsidR="000A2AF5" w:rsidRPr="001F0E1B" w:rsidRDefault="00BC3833" w:rsidP="001F0E1B">
      <w:pPr>
        <w:pStyle w:val="Subitem"/>
      </w:pPr>
      <w:r w:rsidRPr="001F0E1B">
        <w:t>(2</w:t>
      </w:r>
      <w:r w:rsidR="000A2AF5" w:rsidRPr="001F0E1B">
        <w:t>)</w:t>
      </w:r>
      <w:r w:rsidR="000A2AF5" w:rsidRPr="001F0E1B">
        <w:tab/>
        <w:t>The repeal and substitution of subsections</w:t>
      </w:r>
      <w:r w:rsidR="001F0E1B" w:rsidRPr="001F0E1B">
        <w:t> </w:t>
      </w:r>
      <w:r w:rsidR="000A2AF5" w:rsidRPr="001F0E1B">
        <w:t xml:space="preserve">7(3) and (3A) of the </w:t>
      </w:r>
      <w:r w:rsidR="000A2AF5" w:rsidRPr="001F0E1B">
        <w:rPr>
          <w:i/>
        </w:rPr>
        <w:t>Primary Industries Levies and Charges Collection Act 1991</w:t>
      </w:r>
      <w:r w:rsidR="000A2AF5" w:rsidRPr="001F0E1B">
        <w:t xml:space="preserve"> made by this Schedule does not affect the validity of any regulations in force for the purposes of either of those subsections immediately before the commencement of this item.</w:t>
      </w:r>
    </w:p>
    <w:p w:rsidR="0048364F" w:rsidRPr="001F0E1B" w:rsidRDefault="00BC3833" w:rsidP="001F0E1B">
      <w:pPr>
        <w:pStyle w:val="Subitem"/>
      </w:pPr>
      <w:r w:rsidRPr="001F0E1B">
        <w:t>(3</w:t>
      </w:r>
      <w:r w:rsidR="00D804A4" w:rsidRPr="001F0E1B">
        <w:t>)</w:t>
      </w:r>
      <w:r w:rsidR="00D804A4" w:rsidRPr="001F0E1B">
        <w:tab/>
      </w:r>
      <w:r w:rsidR="0028399C" w:rsidRPr="001F0E1B">
        <w:t>The amendments of section</w:t>
      </w:r>
      <w:r w:rsidR="00F15C5D" w:rsidRPr="001F0E1B">
        <w:t>s</w:t>
      </w:r>
      <w:r w:rsidR="001F0E1B" w:rsidRPr="001F0E1B">
        <w:t> </w:t>
      </w:r>
      <w:r w:rsidR="00F15C5D" w:rsidRPr="001F0E1B">
        <w:t xml:space="preserve">27 and </w:t>
      </w:r>
      <w:r w:rsidR="0028399C" w:rsidRPr="001F0E1B">
        <w:t xml:space="preserve">27A of the </w:t>
      </w:r>
      <w:r w:rsidR="0028399C" w:rsidRPr="001F0E1B">
        <w:rPr>
          <w:i/>
        </w:rPr>
        <w:t>Primary Industries Levies and Charges Collection Act 1991</w:t>
      </w:r>
      <w:r w:rsidR="0028399C" w:rsidRPr="001F0E1B">
        <w:t xml:space="preserve"> made by this Schedule apply in relation to the giving of information on or after the commencement of this item</w:t>
      </w:r>
      <w:r w:rsidR="006642CD" w:rsidRPr="001F0E1B">
        <w:t xml:space="preserve"> (whether the information was obtained before, on or after that commencement)</w:t>
      </w:r>
      <w:r w:rsidR="0028399C" w:rsidRPr="001F0E1B">
        <w:t>.</w:t>
      </w:r>
    </w:p>
    <w:p w:rsidR="00A13BBB" w:rsidRPr="001F0E1B" w:rsidRDefault="00A13BBB" w:rsidP="001F0E1B">
      <w:pPr>
        <w:pStyle w:val="Subitem"/>
      </w:pPr>
      <w:r w:rsidRPr="001F0E1B">
        <w:lastRenderedPageBreak/>
        <w:t>(4)</w:t>
      </w:r>
      <w:r w:rsidRPr="001F0E1B">
        <w:tab/>
        <w:t>Subsections</w:t>
      </w:r>
      <w:r w:rsidR="001F0E1B" w:rsidRPr="001F0E1B">
        <w:t> </w:t>
      </w:r>
      <w:r w:rsidRPr="001F0E1B">
        <w:t>27B(4A) to (</w:t>
      </w:r>
      <w:r w:rsidR="00520634" w:rsidRPr="001F0E1B">
        <w:t>4</w:t>
      </w:r>
      <w:r w:rsidRPr="001F0E1B">
        <w:t xml:space="preserve">D) of the </w:t>
      </w:r>
      <w:r w:rsidRPr="001F0E1B">
        <w:rPr>
          <w:i/>
        </w:rPr>
        <w:t>Primary Industries Levies and Charges Collection Act 1991</w:t>
      </w:r>
      <w:r w:rsidRPr="001F0E1B">
        <w:t>, as inserted by this Schedule, apply in relation to approvals given on or after the commencement of this item.</w:t>
      </w:r>
    </w:p>
    <w:p w:rsidR="00BC3833" w:rsidRPr="001F0E1B" w:rsidRDefault="00BC3833" w:rsidP="001F0E1B">
      <w:pPr>
        <w:pStyle w:val="Subitem"/>
      </w:pPr>
      <w:r w:rsidRPr="001F0E1B">
        <w:t>(</w:t>
      </w:r>
      <w:r w:rsidR="00A13BBB" w:rsidRPr="001F0E1B">
        <w:t>5</w:t>
      </w:r>
      <w:r w:rsidRPr="001F0E1B">
        <w:t>)</w:t>
      </w:r>
      <w:r w:rsidRPr="001F0E1B">
        <w:tab/>
        <w:t>Section</w:t>
      </w:r>
      <w:r w:rsidR="001F0E1B" w:rsidRPr="001F0E1B">
        <w:t> </w:t>
      </w:r>
      <w:r w:rsidRPr="001F0E1B">
        <w:t xml:space="preserve">27C of the </w:t>
      </w:r>
      <w:r w:rsidRPr="001F0E1B">
        <w:rPr>
          <w:i/>
        </w:rPr>
        <w:t>Primary Industries Levies and Charges Collection Act 1991</w:t>
      </w:r>
      <w:r w:rsidRPr="001F0E1B">
        <w:t>, as inserted by this Schedule, applies in relation to information obtained before, on or after the commencement of this item.</w:t>
      </w:r>
    </w:p>
    <w:p w:rsidR="00BD15FE" w:rsidRPr="001F0E1B" w:rsidRDefault="00BD15FE" w:rsidP="001F0E1B">
      <w:pPr>
        <w:pStyle w:val="Subitem"/>
      </w:pPr>
      <w:r w:rsidRPr="001F0E1B">
        <w:t>(6)</w:t>
      </w:r>
      <w:r w:rsidRPr="001F0E1B">
        <w:tab/>
        <w:t>The amendment of section</w:t>
      </w:r>
      <w:r w:rsidR="001F0E1B" w:rsidRPr="001F0E1B">
        <w:t> </w:t>
      </w:r>
      <w:r w:rsidRPr="001F0E1B">
        <w:t xml:space="preserve">28 of the </w:t>
      </w:r>
      <w:r w:rsidRPr="001F0E1B">
        <w:rPr>
          <w:i/>
        </w:rPr>
        <w:t>Primary Industries Levies and Charges Collection Act 1991</w:t>
      </w:r>
      <w:r w:rsidRPr="001F0E1B">
        <w:t xml:space="preserve"> made by this Schedule applies in relation to decisions made on or after the commencement of this item.</w:t>
      </w:r>
    </w:p>
    <w:p w:rsidR="00BA142C" w:rsidRDefault="00BC3833" w:rsidP="001F0E1B">
      <w:pPr>
        <w:pStyle w:val="Subitem"/>
      </w:pPr>
      <w:r w:rsidRPr="001F0E1B">
        <w:t>(</w:t>
      </w:r>
      <w:r w:rsidR="00BD15FE" w:rsidRPr="001F0E1B">
        <w:t>7</w:t>
      </w:r>
      <w:r w:rsidRPr="001F0E1B">
        <w:t>)</w:t>
      </w:r>
      <w:r w:rsidRPr="001F0E1B">
        <w:tab/>
        <w:t>S</w:t>
      </w:r>
      <w:r w:rsidR="006150E3" w:rsidRPr="001F0E1B">
        <w:t>ubs</w:t>
      </w:r>
      <w:r w:rsidRPr="001F0E1B">
        <w:t>ection</w:t>
      </w:r>
      <w:r w:rsidR="001F0E1B" w:rsidRPr="001F0E1B">
        <w:t> </w:t>
      </w:r>
      <w:r w:rsidRPr="001F0E1B">
        <w:t>32</w:t>
      </w:r>
      <w:r w:rsidR="006150E3" w:rsidRPr="001F0E1B">
        <w:t>(1)</w:t>
      </w:r>
      <w:r w:rsidRPr="001F0E1B">
        <w:t xml:space="preserve"> of the </w:t>
      </w:r>
      <w:r w:rsidRPr="001F0E1B">
        <w:rPr>
          <w:i/>
        </w:rPr>
        <w:t>Primary Industries Levies and Charges Collection Act 1991</w:t>
      </w:r>
      <w:r w:rsidRPr="001F0E1B">
        <w:t xml:space="preserve">, as </w:t>
      </w:r>
      <w:r w:rsidR="003E3099" w:rsidRPr="001F0E1B">
        <w:t>inserted</w:t>
      </w:r>
      <w:r w:rsidRPr="001F0E1B">
        <w:t xml:space="preserve"> by this Schedule, applies </w:t>
      </w:r>
      <w:r w:rsidR="00A11CB3" w:rsidRPr="001F0E1B">
        <w:t>to</w:t>
      </w:r>
      <w:r w:rsidRPr="001F0E1B">
        <w:t xml:space="preserve"> a return </w:t>
      </w:r>
      <w:r w:rsidR="006150E3" w:rsidRPr="001F0E1B">
        <w:t xml:space="preserve">that is </w:t>
      </w:r>
      <w:r w:rsidRPr="001F0E1B">
        <w:t xml:space="preserve">required to be lodged under the regulations </w:t>
      </w:r>
      <w:r w:rsidR="00A11CB3" w:rsidRPr="001F0E1B">
        <w:t xml:space="preserve">in relation to a collection product </w:t>
      </w:r>
      <w:r w:rsidRPr="001F0E1B">
        <w:t xml:space="preserve">for a period beginning on or after the </w:t>
      </w:r>
      <w:r w:rsidR="006150E3" w:rsidRPr="001F0E1B">
        <w:t>day on which the first instrument made under subsection</w:t>
      </w:r>
      <w:r w:rsidR="001F0E1B" w:rsidRPr="001F0E1B">
        <w:t> </w:t>
      </w:r>
      <w:r w:rsidR="006150E3" w:rsidRPr="001F0E1B">
        <w:t xml:space="preserve">32(3) of that Act </w:t>
      </w:r>
      <w:r w:rsidR="00A11CB3" w:rsidRPr="001F0E1B">
        <w:t xml:space="preserve">in relation to that collection product </w:t>
      </w:r>
      <w:r w:rsidR="006150E3" w:rsidRPr="001F0E1B">
        <w:t>commences</w:t>
      </w:r>
      <w:r w:rsidRPr="001F0E1B">
        <w:t>.</w:t>
      </w:r>
    </w:p>
    <w:p w:rsidR="00993008" w:rsidRDefault="00993008" w:rsidP="00993008"/>
    <w:p w:rsidR="00993008" w:rsidRDefault="00993008" w:rsidP="00993008">
      <w:pPr>
        <w:pStyle w:val="AssentBk"/>
        <w:keepNext/>
        <w:rPr>
          <w:sz w:val="22"/>
        </w:rPr>
      </w:pPr>
    </w:p>
    <w:p w:rsidR="00993008" w:rsidRDefault="00993008" w:rsidP="00993008">
      <w:pPr>
        <w:pStyle w:val="AssentBk"/>
        <w:keepNext/>
        <w:rPr>
          <w:sz w:val="22"/>
        </w:rPr>
      </w:pPr>
    </w:p>
    <w:p w:rsidR="00993008" w:rsidRDefault="00993008" w:rsidP="00993008">
      <w:pPr>
        <w:pStyle w:val="2ndRd"/>
        <w:keepNext/>
        <w:pBdr>
          <w:top w:val="single" w:sz="2" w:space="1" w:color="auto"/>
        </w:pBdr>
      </w:pPr>
    </w:p>
    <w:p w:rsidR="00993008" w:rsidRDefault="00993008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993008" w:rsidRDefault="0099300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28 March 2018</w:t>
      </w:r>
    </w:p>
    <w:p w:rsidR="00993008" w:rsidRDefault="0099300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14 August 2018</w:t>
      </w:r>
      <w:r>
        <w:t>]</w:t>
      </w:r>
    </w:p>
    <w:p w:rsidR="00993008" w:rsidRDefault="00993008" w:rsidP="000C5962"/>
    <w:p w:rsidR="0050586C" w:rsidRPr="00993008" w:rsidRDefault="00993008" w:rsidP="00993008">
      <w:pPr>
        <w:framePr w:hSpace="180" w:wrap="around" w:vAnchor="text" w:hAnchor="page" w:x="2401" w:y="3809"/>
      </w:pPr>
      <w:r>
        <w:t>(46/18)</w:t>
      </w:r>
    </w:p>
    <w:p w:rsidR="00993008" w:rsidRDefault="00993008"/>
    <w:sectPr w:rsidR="00993008" w:rsidSect="0050586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66" w:rsidRDefault="00D42666" w:rsidP="0048364F">
      <w:pPr>
        <w:spacing w:line="240" w:lineRule="auto"/>
      </w:pPr>
      <w:r>
        <w:separator/>
      </w:r>
    </w:p>
  </w:endnote>
  <w:endnote w:type="continuationSeparator" w:id="0">
    <w:p w:rsidR="00D42666" w:rsidRDefault="00D4266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5F1388" w:rsidRDefault="00D42666" w:rsidP="001F0E1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8" w:rsidRDefault="00993008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993008" w:rsidRDefault="00993008" w:rsidP="00CD12A5"/>
  <w:p w:rsidR="00D42666" w:rsidRDefault="00D42666" w:rsidP="001F0E1B">
    <w:pPr>
      <w:pStyle w:val="Footer"/>
      <w:spacing w:before="120"/>
    </w:pPr>
  </w:p>
  <w:p w:rsidR="00D42666" w:rsidRPr="005F1388" w:rsidRDefault="00D4266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ED79B6" w:rsidRDefault="00D42666" w:rsidP="001F0E1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Default="00D42666" w:rsidP="001F0E1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42666" w:rsidTr="00D42666">
      <w:tc>
        <w:tcPr>
          <w:tcW w:w="646" w:type="dxa"/>
        </w:tcPr>
        <w:p w:rsidR="00D42666" w:rsidRDefault="00D42666" w:rsidP="00D42666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0D38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Primary Industries Levies and Charges Collection Amendment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No. 91,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2666" w:rsidRDefault="00D4266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Default="00D42666" w:rsidP="001F0E1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2666" w:rsidTr="00D42666">
      <w:tc>
        <w:tcPr>
          <w:tcW w:w="1247" w:type="dxa"/>
        </w:tcPr>
        <w:p w:rsidR="00D42666" w:rsidRDefault="00D42666" w:rsidP="00D42666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No. 91,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Primary Industries Levies and Charges Collection Amendment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0D3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2666" w:rsidRPr="00ED79B6" w:rsidRDefault="00D42666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1F0E1B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42666" w:rsidTr="001F0E1B">
      <w:tc>
        <w:tcPr>
          <w:tcW w:w="646" w:type="dxa"/>
        </w:tcPr>
        <w:p w:rsidR="00D42666" w:rsidRDefault="00D42666" w:rsidP="00D426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Primary Industries Levies and Charges Collection Amendment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No. 91,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2666" w:rsidRPr="00A961C4" w:rsidRDefault="00D42666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1F0E1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2666" w:rsidTr="001F0E1B">
      <w:tc>
        <w:tcPr>
          <w:tcW w:w="1247" w:type="dxa"/>
        </w:tcPr>
        <w:p w:rsidR="00D42666" w:rsidRDefault="00D42666" w:rsidP="00D426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No. 91,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Primary Industries Levies and Charges Collection Amendment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2666" w:rsidRPr="00055B5C" w:rsidRDefault="00D42666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1F0E1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2666" w:rsidTr="001F0E1B">
      <w:tc>
        <w:tcPr>
          <w:tcW w:w="1247" w:type="dxa"/>
        </w:tcPr>
        <w:p w:rsidR="00D42666" w:rsidRDefault="00D42666" w:rsidP="00D426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No. 91,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2666" w:rsidRDefault="00D42666" w:rsidP="00D426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sz w:val="18"/>
            </w:rPr>
            <w:t>Primary Industries Levies and Charges Collection Amendment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2666" w:rsidRDefault="00D42666" w:rsidP="00D426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C0D38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2666" w:rsidRPr="00A961C4" w:rsidRDefault="00D42666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66" w:rsidRDefault="00D42666" w:rsidP="0048364F">
      <w:pPr>
        <w:spacing w:line="240" w:lineRule="auto"/>
      </w:pPr>
      <w:r>
        <w:separator/>
      </w:r>
    </w:p>
  </w:footnote>
  <w:footnote w:type="continuationSeparator" w:id="0">
    <w:p w:rsidR="00D42666" w:rsidRDefault="00D4266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5F1388" w:rsidRDefault="00D4266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5F1388" w:rsidRDefault="00D4266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5F1388" w:rsidRDefault="00D4266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ED79B6" w:rsidRDefault="00D42666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ED79B6" w:rsidRDefault="00D42666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ED79B6" w:rsidRDefault="00D4266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C0D38">
      <w:rPr>
        <w:b/>
        <w:sz w:val="20"/>
      </w:rPr>
      <w:fldChar w:fldCharType="separate"/>
    </w:r>
    <w:r w:rsidR="005C0D3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C0D38">
      <w:rPr>
        <w:sz w:val="20"/>
      </w:rPr>
      <w:fldChar w:fldCharType="separate"/>
    </w:r>
    <w:r w:rsidR="005C0D38">
      <w:rPr>
        <w:noProof/>
        <w:sz w:val="20"/>
      </w:rPr>
      <w:t>Amendments</w:t>
    </w:r>
    <w:r>
      <w:rPr>
        <w:sz w:val="20"/>
      </w:rPr>
      <w:fldChar w:fldCharType="end"/>
    </w:r>
  </w:p>
  <w:p w:rsidR="00D42666" w:rsidRPr="00A961C4" w:rsidRDefault="00D4266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42666" w:rsidRPr="00A961C4" w:rsidRDefault="00D42666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5C0D38">
      <w:rPr>
        <w:sz w:val="20"/>
      </w:rPr>
      <w:fldChar w:fldCharType="separate"/>
    </w:r>
    <w:r w:rsidR="005C0D3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C0D38">
      <w:rPr>
        <w:b/>
        <w:sz w:val="20"/>
      </w:rPr>
      <w:fldChar w:fldCharType="separate"/>
    </w:r>
    <w:r w:rsidR="005C0D3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42666" w:rsidRPr="00A961C4" w:rsidRDefault="00D4266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42666" w:rsidRPr="00A961C4" w:rsidRDefault="00D42666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6" w:rsidRPr="00A961C4" w:rsidRDefault="00D42666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C6E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1AF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28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A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9C2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8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462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0C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48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C0F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E"/>
    <w:rsid w:val="000113BC"/>
    <w:rsid w:val="000136AF"/>
    <w:rsid w:val="0003450D"/>
    <w:rsid w:val="000417C9"/>
    <w:rsid w:val="00043B87"/>
    <w:rsid w:val="00055B5C"/>
    <w:rsid w:val="00056391"/>
    <w:rsid w:val="00060FF9"/>
    <w:rsid w:val="000614BF"/>
    <w:rsid w:val="00080C36"/>
    <w:rsid w:val="00080D1F"/>
    <w:rsid w:val="00092E30"/>
    <w:rsid w:val="000A2AF5"/>
    <w:rsid w:val="000B1FD2"/>
    <w:rsid w:val="000B6F32"/>
    <w:rsid w:val="000D05EF"/>
    <w:rsid w:val="000E4430"/>
    <w:rsid w:val="000F21C1"/>
    <w:rsid w:val="000F4757"/>
    <w:rsid w:val="000F71CC"/>
    <w:rsid w:val="00101924"/>
    <w:rsid w:val="00101D90"/>
    <w:rsid w:val="0010745C"/>
    <w:rsid w:val="00113BD1"/>
    <w:rsid w:val="00122206"/>
    <w:rsid w:val="0015646E"/>
    <w:rsid w:val="001643C9"/>
    <w:rsid w:val="00165568"/>
    <w:rsid w:val="00166C2F"/>
    <w:rsid w:val="00170BC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319B"/>
    <w:rsid w:val="001C69C4"/>
    <w:rsid w:val="001E3590"/>
    <w:rsid w:val="001E7407"/>
    <w:rsid w:val="001E7F8E"/>
    <w:rsid w:val="001F0E1B"/>
    <w:rsid w:val="00201D27"/>
    <w:rsid w:val="00202618"/>
    <w:rsid w:val="002041D8"/>
    <w:rsid w:val="00240749"/>
    <w:rsid w:val="00263820"/>
    <w:rsid w:val="00270E83"/>
    <w:rsid w:val="00275197"/>
    <w:rsid w:val="00280024"/>
    <w:rsid w:val="0028399C"/>
    <w:rsid w:val="00293B89"/>
    <w:rsid w:val="00297ECB"/>
    <w:rsid w:val="002B5A30"/>
    <w:rsid w:val="002D043A"/>
    <w:rsid w:val="002D395A"/>
    <w:rsid w:val="00327BB1"/>
    <w:rsid w:val="003415D3"/>
    <w:rsid w:val="00350417"/>
    <w:rsid w:val="00352B0F"/>
    <w:rsid w:val="00375C6C"/>
    <w:rsid w:val="00391F8D"/>
    <w:rsid w:val="003A7B3C"/>
    <w:rsid w:val="003C5F2B"/>
    <w:rsid w:val="003D0BFE"/>
    <w:rsid w:val="003D5700"/>
    <w:rsid w:val="003E3099"/>
    <w:rsid w:val="00405579"/>
    <w:rsid w:val="00410B8E"/>
    <w:rsid w:val="004116CD"/>
    <w:rsid w:val="00421FC1"/>
    <w:rsid w:val="004229C7"/>
    <w:rsid w:val="00424CA9"/>
    <w:rsid w:val="00425C6B"/>
    <w:rsid w:val="00436785"/>
    <w:rsid w:val="00436BD5"/>
    <w:rsid w:val="00437E4B"/>
    <w:rsid w:val="0044291A"/>
    <w:rsid w:val="0048196B"/>
    <w:rsid w:val="0048364F"/>
    <w:rsid w:val="00496F97"/>
    <w:rsid w:val="004A31FE"/>
    <w:rsid w:val="004C2E15"/>
    <w:rsid w:val="004C5A01"/>
    <w:rsid w:val="004C7C8C"/>
    <w:rsid w:val="004E2A4A"/>
    <w:rsid w:val="004F0D23"/>
    <w:rsid w:val="004F1FAC"/>
    <w:rsid w:val="0050586C"/>
    <w:rsid w:val="00516B8D"/>
    <w:rsid w:val="00520634"/>
    <w:rsid w:val="00524137"/>
    <w:rsid w:val="0052495C"/>
    <w:rsid w:val="00537FBC"/>
    <w:rsid w:val="00543469"/>
    <w:rsid w:val="005469A2"/>
    <w:rsid w:val="00551B54"/>
    <w:rsid w:val="00567075"/>
    <w:rsid w:val="00584811"/>
    <w:rsid w:val="00593AA6"/>
    <w:rsid w:val="00594161"/>
    <w:rsid w:val="00594749"/>
    <w:rsid w:val="00596A8E"/>
    <w:rsid w:val="005A0D92"/>
    <w:rsid w:val="005B3827"/>
    <w:rsid w:val="005B3BEA"/>
    <w:rsid w:val="005B4067"/>
    <w:rsid w:val="005C0D38"/>
    <w:rsid w:val="005C3F41"/>
    <w:rsid w:val="005C644A"/>
    <w:rsid w:val="005D1F9C"/>
    <w:rsid w:val="005D7E6F"/>
    <w:rsid w:val="005E152A"/>
    <w:rsid w:val="00600219"/>
    <w:rsid w:val="006100E7"/>
    <w:rsid w:val="006136C1"/>
    <w:rsid w:val="006150E3"/>
    <w:rsid w:val="00617E6D"/>
    <w:rsid w:val="00641DE5"/>
    <w:rsid w:val="00656F0C"/>
    <w:rsid w:val="006642CD"/>
    <w:rsid w:val="00677CC2"/>
    <w:rsid w:val="00681F92"/>
    <w:rsid w:val="006842C2"/>
    <w:rsid w:val="00685F42"/>
    <w:rsid w:val="0069207B"/>
    <w:rsid w:val="006A6A02"/>
    <w:rsid w:val="006B08BF"/>
    <w:rsid w:val="006B1109"/>
    <w:rsid w:val="006B7062"/>
    <w:rsid w:val="006C2874"/>
    <w:rsid w:val="006C731F"/>
    <w:rsid w:val="006C7F8C"/>
    <w:rsid w:val="006D380D"/>
    <w:rsid w:val="006E0135"/>
    <w:rsid w:val="006E303A"/>
    <w:rsid w:val="006F13E4"/>
    <w:rsid w:val="006F7E19"/>
    <w:rsid w:val="00700B2C"/>
    <w:rsid w:val="00712D8D"/>
    <w:rsid w:val="00713084"/>
    <w:rsid w:val="00714B26"/>
    <w:rsid w:val="00723A23"/>
    <w:rsid w:val="00727DDB"/>
    <w:rsid w:val="00731E00"/>
    <w:rsid w:val="007440B7"/>
    <w:rsid w:val="00757A1E"/>
    <w:rsid w:val="007634AD"/>
    <w:rsid w:val="007715C9"/>
    <w:rsid w:val="00774EDD"/>
    <w:rsid w:val="007757EC"/>
    <w:rsid w:val="00781EE2"/>
    <w:rsid w:val="007A40C4"/>
    <w:rsid w:val="007B7DB6"/>
    <w:rsid w:val="007E7D4A"/>
    <w:rsid w:val="007F727B"/>
    <w:rsid w:val="008001D6"/>
    <w:rsid w:val="008006CC"/>
    <w:rsid w:val="00807F18"/>
    <w:rsid w:val="00816A71"/>
    <w:rsid w:val="00831E8D"/>
    <w:rsid w:val="00834D8B"/>
    <w:rsid w:val="00856A31"/>
    <w:rsid w:val="00857D6B"/>
    <w:rsid w:val="008754D0"/>
    <w:rsid w:val="00877D48"/>
    <w:rsid w:val="00883781"/>
    <w:rsid w:val="00885570"/>
    <w:rsid w:val="00893958"/>
    <w:rsid w:val="008A2E77"/>
    <w:rsid w:val="008B2F44"/>
    <w:rsid w:val="008C6F6F"/>
    <w:rsid w:val="008D0EE0"/>
    <w:rsid w:val="008D46BF"/>
    <w:rsid w:val="008E27F0"/>
    <w:rsid w:val="008E7DDF"/>
    <w:rsid w:val="008F4F1C"/>
    <w:rsid w:val="008F77C4"/>
    <w:rsid w:val="009103F3"/>
    <w:rsid w:val="00914F0B"/>
    <w:rsid w:val="00932377"/>
    <w:rsid w:val="009650E9"/>
    <w:rsid w:val="00965F60"/>
    <w:rsid w:val="00967042"/>
    <w:rsid w:val="0098255A"/>
    <w:rsid w:val="009845BE"/>
    <w:rsid w:val="00993008"/>
    <w:rsid w:val="00995153"/>
    <w:rsid w:val="009969C9"/>
    <w:rsid w:val="009A467F"/>
    <w:rsid w:val="009B73C4"/>
    <w:rsid w:val="009F2986"/>
    <w:rsid w:val="00A008EC"/>
    <w:rsid w:val="00A048FF"/>
    <w:rsid w:val="00A10775"/>
    <w:rsid w:val="00A11CB3"/>
    <w:rsid w:val="00A13BBB"/>
    <w:rsid w:val="00A231E2"/>
    <w:rsid w:val="00A31635"/>
    <w:rsid w:val="00A36C48"/>
    <w:rsid w:val="00A41E0B"/>
    <w:rsid w:val="00A529BE"/>
    <w:rsid w:val="00A55631"/>
    <w:rsid w:val="00A64912"/>
    <w:rsid w:val="00A70A74"/>
    <w:rsid w:val="00A858D4"/>
    <w:rsid w:val="00AA3795"/>
    <w:rsid w:val="00AC1E75"/>
    <w:rsid w:val="00AD5641"/>
    <w:rsid w:val="00AE1088"/>
    <w:rsid w:val="00AF0FD5"/>
    <w:rsid w:val="00AF1BA4"/>
    <w:rsid w:val="00B032D8"/>
    <w:rsid w:val="00B14F99"/>
    <w:rsid w:val="00B33B3C"/>
    <w:rsid w:val="00B34F72"/>
    <w:rsid w:val="00B6382D"/>
    <w:rsid w:val="00B74F6F"/>
    <w:rsid w:val="00BA142C"/>
    <w:rsid w:val="00BA4238"/>
    <w:rsid w:val="00BA5026"/>
    <w:rsid w:val="00BB40BF"/>
    <w:rsid w:val="00BC0CD1"/>
    <w:rsid w:val="00BC3833"/>
    <w:rsid w:val="00BD15FE"/>
    <w:rsid w:val="00BE719A"/>
    <w:rsid w:val="00BE720A"/>
    <w:rsid w:val="00BF0461"/>
    <w:rsid w:val="00BF2EFE"/>
    <w:rsid w:val="00BF4944"/>
    <w:rsid w:val="00BF56D4"/>
    <w:rsid w:val="00C006D7"/>
    <w:rsid w:val="00C04409"/>
    <w:rsid w:val="00C067E5"/>
    <w:rsid w:val="00C072AC"/>
    <w:rsid w:val="00C164CA"/>
    <w:rsid w:val="00C176CF"/>
    <w:rsid w:val="00C42BF8"/>
    <w:rsid w:val="00C460AE"/>
    <w:rsid w:val="00C4744E"/>
    <w:rsid w:val="00C50043"/>
    <w:rsid w:val="00C544E2"/>
    <w:rsid w:val="00C54E84"/>
    <w:rsid w:val="00C7573B"/>
    <w:rsid w:val="00C76CF3"/>
    <w:rsid w:val="00CB0F86"/>
    <w:rsid w:val="00CC27F0"/>
    <w:rsid w:val="00CE1E31"/>
    <w:rsid w:val="00CF0BB2"/>
    <w:rsid w:val="00CF3D83"/>
    <w:rsid w:val="00CF5452"/>
    <w:rsid w:val="00D00EAA"/>
    <w:rsid w:val="00D13441"/>
    <w:rsid w:val="00D243A3"/>
    <w:rsid w:val="00D36C1C"/>
    <w:rsid w:val="00D42666"/>
    <w:rsid w:val="00D477C3"/>
    <w:rsid w:val="00D52EFE"/>
    <w:rsid w:val="00D63EF6"/>
    <w:rsid w:val="00D66584"/>
    <w:rsid w:val="00D70DFB"/>
    <w:rsid w:val="00D73029"/>
    <w:rsid w:val="00D766DF"/>
    <w:rsid w:val="00D772D6"/>
    <w:rsid w:val="00D804A4"/>
    <w:rsid w:val="00DB19A0"/>
    <w:rsid w:val="00DE2002"/>
    <w:rsid w:val="00DF7AE9"/>
    <w:rsid w:val="00E05704"/>
    <w:rsid w:val="00E05B4C"/>
    <w:rsid w:val="00E24D66"/>
    <w:rsid w:val="00E52EC1"/>
    <w:rsid w:val="00E54292"/>
    <w:rsid w:val="00E74DC7"/>
    <w:rsid w:val="00E76C17"/>
    <w:rsid w:val="00E87699"/>
    <w:rsid w:val="00EA12BA"/>
    <w:rsid w:val="00EB2894"/>
    <w:rsid w:val="00EB29CC"/>
    <w:rsid w:val="00ED492F"/>
    <w:rsid w:val="00EE0DD3"/>
    <w:rsid w:val="00EF01C3"/>
    <w:rsid w:val="00EF2E3A"/>
    <w:rsid w:val="00F047E2"/>
    <w:rsid w:val="00F078DC"/>
    <w:rsid w:val="00F13E86"/>
    <w:rsid w:val="00F15C5D"/>
    <w:rsid w:val="00F15C79"/>
    <w:rsid w:val="00F1732C"/>
    <w:rsid w:val="00F17B00"/>
    <w:rsid w:val="00F4714F"/>
    <w:rsid w:val="00F677A9"/>
    <w:rsid w:val="00F73607"/>
    <w:rsid w:val="00F84CF5"/>
    <w:rsid w:val="00F92D35"/>
    <w:rsid w:val="00FA420B"/>
    <w:rsid w:val="00FB244F"/>
    <w:rsid w:val="00FD1E13"/>
    <w:rsid w:val="00FD435E"/>
    <w:rsid w:val="00FD7EB1"/>
    <w:rsid w:val="00FE41C9"/>
    <w:rsid w:val="00FE7F93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E1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F0E1B"/>
  </w:style>
  <w:style w:type="paragraph" w:customStyle="1" w:styleId="OPCParaBase">
    <w:name w:val="OPCParaBase"/>
    <w:link w:val="OPCParaBaseChar"/>
    <w:qFormat/>
    <w:rsid w:val="001F0E1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1F0E1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F0E1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F0E1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F0E1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F0E1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F0E1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F0E1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F0E1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F0E1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F0E1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1F0E1B"/>
  </w:style>
  <w:style w:type="paragraph" w:customStyle="1" w:styleId="Blocks">
    <w:name w:val="Blocks"/>
    <w:aliases w:val="bb"/>
    <w:basedOn w:val="OPCParaBase"/>
    <w:qFormat/>
    <w:rsid w:val="001F0E1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F0E1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F0E1B"/>
    <w:rPr>
      <w:i/>
    </w:rPr>
  </w:style>
  <w:style w:type="paragraph" w:customStyle="1" w:styleId="BoxList">
    <w:name w:val="BoxList"/>
    <w:aliases w:val="bl"/>
    <w:basedOn w:val="BoxText"/>
    <w:qFormat/>
    <w:rsid w:val="001F0E1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F0E1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F0E1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F0E1B"/>
    <w:pPr>
      <w:ind w:left="1985" w:hanging="851"/>
    </w:pPr>
  </w:style>
  <w:style w:type="character" w:customStyle="1" w:styleId="CharAmPartNo">
    <w:name w:val="CharAmPartNo"/>
    <w:basedOn w:val="OPCCharBase"/>
    <w:qFormat/>
    <w:rsid w:val="001F0E1B"/>
  </w:style>
  <w:style w:type="character" w:customStyle="1" w:styleId="CharAmPartText">
    <w:name w:val="CharAmPartText"/>
    <w:basedOn w:val="OPCCharBase"/>
    <w:qFormat/>
    <w:rsid w:val="001F0E1B"/>
  </w:style>
  <w:style w:type="character" w:customStyle="1" w:styleId="CharAmSchNo">
    <w:name w:val="CharAmSchNo"/>
    <w:basedOn w:val="OPCCharBase"/>
    <w:qFormat/>
    <w:rsid w:val="001F0E1B"/>
  </w:style>
  <w:style w:type="character" w:customStyle="1" w:styleId="CharAmSchText">
    <w:name w:val="CharAmSchText"/>
    <w:basedOn w:val="OPCCharBase"/>
    <w:qFormat/>
    <w:rsid w:val="001F0E1B"/>
  </w:style>
  <w:style w:type="character" w:customStyle="1" w:styleId="CharBoldItalic">
    <w:name w:val="CharBoldItalic"/>
    <w:basedOn w:val="OPCCharBase"/>
    <w:uiPriority w:val="1"/>
    <w:qFormat/>
    <w:rsid w:val="001F0E1B"/>
    <w:rPr>
      <w:b/>
      <w:i/>
    </w:rPr>
  </w:style>
  <w:style w:type="character" w:customStyle="1" w:styleId="CharChapNo">
    <w:name w:val="CharChapNo"/>
    <w:basedOn w:val="OPCCharBase"/>
    <w:uiPriority w:val="1"/>
    <w:qFormat/>
    <w:rsid w:val="001F0E1B"/>
  </w:style>
  <w:style w:type="character" w:customStyle="1" w:styleId="CharChapText">
    <w:name w:val="CharChapText"/>
    <w:basedOn w:val="OPCCharBase"/>
    <w:uiPriority w:val="1"/>
    <w:qFormat/>
    <w:rsid w:val="001F0E1B"/>
  </w:style>
  <w:style w:type="character" w:customStyle="1" w:styleId="CharDivNo">
    <w:name w:val="CharDivNo"/>
    <w:basedOn w:val="OPCCharBase"/>
    <w:uiPriority w:val="1"/>
    <w:qFormat/>
    <w:rsid w:val="001F0E1B"/>
  </w:style>
  <w:style w:type="character" w:customStyle="1" w:styleId="CharDivText">
    <w:name w:val="CharDivText"/>
    <w:basedOn w:val="OPCCharBase"/>
    <w:uiPriority w:val="1"/>
    <w:qFormat/>
    <w:rsid w:val="001F0E1B"/>
  </w:style>
  <w:style w:type="character" w:customStyle="1" w:styleId="CharItalic">
    <w:name w:val="CharItalic"/>
    <w:basedOn w:val="OPCCharBase"/>
    <w:uiPriority w:val="1"/>
    <w:qFormat/>
    <w:rsid w:val="001F0E1B"/>
    <w:rPr>
      <w:i/>
    </w:rPr>
  </w:style>
  <w:style w:type="character" w:customStyle="1" w:styleId="CharPartNo">
    <w:name w:val="CharPartNo"/>
    <w:basedOn w:val="OPCCharBase"/>
    <w:uiPriority w:val="1"/>
    <w:qFormat/>
    <w:rsid w:val="001F0E1B"/>
  </w:style>
  <w:style w:type="character" w:customStyle="1" w:styleId="CharPartText">
    <w:name w:val="CharPartText"/>
    <w:basedOn w:val="OPCCharBase"/>
    <w:uiPriority w:val="1"/>
    <w:qFormat/>
    <w:rsid w:val="001F0E1B"/>
  </w:style>
  <w:style w:type="character" w:customStyle="1" w:styleId="CharSectno">
    <w:name w:val="CharSectno"/>
    <w:basedOn w:val="OPCCharBase"/>
    <w:qFormat/>
    <w:rsid w:val="001F0E1B"/>
  </w:style>
  <w:style w:type="character" w:customStyle="1" w:styleId="CharSubdNo">
    <w:name w:val="CharSubdNo"/>
    <w:basedOn w:val="OPCCharBase"/>
    <w:uiPriority w:val="1"/>
    <w:qFormat/>
    <w:rsid w:val="001F0E1B"/>
  </w:style>
  <w:style w:type="character" w:customStyle="1" w:styleId="CharSubdText">
    <w:name w:val="CharSubdText"/>
    <w:basedOn w:val="OPCCharBase"/>
    <w:uiPriority w:val="1"/>
    <w:qFormat/>
    <w:rsid w:val="001F0E1B"/>
  </w:style>
  <w:style w:type="paragraph" w:customStyle="1" w:styleId="CTA--">
    <w:name w:val="CTA --"/>
    <w:basedOn w:val="OPCParaBase"/>
    <w:next w:val="Normal"/>
    <w:rsid w:val="001F0E1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F0E1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F0E1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F0E1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F0E1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F0E1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F0E1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F0E1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F0E1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F0E1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F0E1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F0E1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F0E1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F0E1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F0E1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F0E1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F0E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F0E1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F0E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F0E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F0E1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F0E1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F0E1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F0E1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F0E1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F0E1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F0E1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F0E1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F0E1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F0E1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F0E1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F0E1B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F0E1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F0E1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F0E1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F0E1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F0E1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F0E1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F0E1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F0E1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F0E1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F0E1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F0E1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F0E1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F0E1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F0E1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F0E1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F0E1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F0E1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F0E1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F0E1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F0E1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F0E1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F0E1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F0E1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F0E1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F0E1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F0E1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F0E1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F0E1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F0E1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F0E1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F0E1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F0E1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F0E1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F0E1B"/>
    <w:rPr>
      <w:sz w:val="16"/>
    </w:rPr>
  </w:style>
  <w:style w:type="table" w:customStyle="1" w:styleId="CFlag">
    <w:name w:val="CFlag"/>
    <w:basedOn w:val="TableNormal"/>
    <w:uiPriority w:val="99"/>
    <w:rsid w:val="001F0E1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F0E1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F0E1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F0E1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F0E1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F0E1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F0E1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F0E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F0E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F0E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F0E1B"/>
    <w:pPr>
      <w:spacing w:before="120"/>
    </w:pPr>
  </w:style>
  <w:style w:type="paragraph" w:customStyle="1" w:styleId="TableTextEndNotes">
    <w:name w:val="TableTextEndNotes"/>
    <w:aliases w:val="Tten"/>
    <w:basedOn w:val="Normal"/>
    <w:rsid w:val="001F0E1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F0E1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F0E1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F0E1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F0E1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F0E1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F0E1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F0E1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F0E1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F0E1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F0E1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F0E1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F0E1B"/>
  </w:style>
  <w:style w:type="character" w:customStyle="1" w:styleId="CharSubPartNoCASA">
    <w:name w:val="CharSubPartNo(CASA)"/>
    <w:basedOn w:val="OPCCharBase"/>
    <w:uiPriority w:val="1"/>
    <w:rsid w:val="001F0E1B"/>
  </w:style>
  <w:style w:type="paragraph" w:customStyle="1" w:styleId="ENoteTTIndentHeadingSub">
    <w:name w:val="ENoteTTIndentHeadingSub"/>
    <w:aliases w:val="enTTHis"/>
    <w:basedOn w:val="OPCParaBase"/>
    <w:rsid w:val="001F0E1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F0E1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F0E1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F0E1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F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1F0E1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F0E1B"/>
    <w:rPr>
      <w:sz w:val="22"/>
    </w:rPr>
  </w:style>
  <w:style w:type="paragraph" w:customStyle="1" w:styleId="SOTextNote">
    <w:name w:val="SO TextNote"/>
    <w:aliases w:val="sont"/>
    <w:basedOn w:val="SOText"/>
    <w:qFormat/>
    <w:rsid w:val="001F0E1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F0E1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F0E1B"/>
    <w:rPr>
      <w:sz w:val="22"/>
    </w:rPr>
  </w:style>
  <w:style w:type="paragraph" w:customStyle="1" w:styleId="FileName">
    <w:name w:val="FileName"/>
    <w:basedOn w:val="Normal"/>
    <w:rsid w:val="001F0E1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F0E1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F0E1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F0E1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F0E1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F0E1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F0E1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F0E1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F0E1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F0E1B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804A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804A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80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A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A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A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0A2AF5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C73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31F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50586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0586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0586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0586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0586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0586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0586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0586C"/>
  </w:style>
  <w:style w:type="character" w:customStyle="1" w:styleId="ShortTCPChar">
    <w:name w:val="ShortTCP Char"/>
    <w:basedOn w:val="ShortTChar"/>
    <w:link w:val="ShortTCP"/>
    <w:rsid w:val="0050586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0586C"/>
    <w:pPr>
      <w:spacing w:before="400"/>
    </w:pPr>
  </w:style>
  <w:style w:type="character" w:customStyle="1" w:styleId="ActNoCPChar">
    <w:name w:val="ActNoCP Char"/>
    <w:basedOn w:val="ActnoChar"/>
    <w:link w:val="ActNoCP"/>
    <w:rsid w:val="0050586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0586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DF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99300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9300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9300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E1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F0E1B"/>
  </w:style>
  <w:style w:type="paragraph" w:customStyle="1" w:styleId="OPCParaBase">
    <w:name w:val="OPCParaBase"/>
    <w:link w:val="OPCParaBaseChar"/>
    <w:qFormat/>
    <w:rsid w:val="001F0E1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1F0E1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F0E1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F0E1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F0E1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F0E1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F0E1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F0E1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F0E1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F0E1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F0E1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1F0E1B"/>
  </w:style>
  <w:style w:type="paragraph" w:customStyle="1" w:styleId="Blocks">
    <w:name w:val="Blocks"/>
    <w:aliases w:val="bb"/>
    <w:basedOn w:val="OPCParaBase"/>
    <w:qFormat/>
    <w:rsid w:val="001F0E1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F0E1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F0E1B"/>
    <w:rPr>
      <w:i/>
    </w:rPr>
  </w:style>
  <w:style w:type="paragraph" w:customStyle="1" w:styleId="BoxList">
    <w:name w:val="BoxList"/>
    <w:aliases w:val="bl"/>
    <w:basedOn w:val="BoxText"/>
    <w:qFormat/>
    <w:rsid w:val="001F0E1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F0E1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F0E1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F0E1B"/>
    <w:pPr>
      <w:ind w:left="1985" w:hanging="851"/>
    </w:pPr>
  </w:style>
  <w:style w:type="character" w:customStyle="1" w:styleId="CharAmPartNo">
    <w:name w:val="CharAmPartNo"/>
    <w:basedOn w:val="OPCCharBase"/>
    <w:qFormat/>
    <w:rsid w:val="001F0E1B"/>
  </w:style>
  <w:style w:type="character" w:customStyle="1" w:styleId="CharAmPartText">
    <w:name w:val="CharAmPartText"/>
    <w:basedOn w:val="OPCCharBase"/>
    <w:qFormat/>
    <w:rsid w:val="001F0E1B"/>
  </w:style>
  <w:style w:type="character" w:customStyle="1" w:styleId="CharAmSchNo">
    <w:name w:val="CharAmSchNo"/>
    <w:basedOn w:val="OPCCharBase"/>
    <w:qFormat/>
    <w:rsid w:val="001F0E1B"/>
  </w:style>
  <w:style w:type="character" w:customStyle="1" w:styleId="CharAmSchText">
    <w:name w:val="CharAmSchText"/>
    <w:basedOn w:val="OPCCharBase"/>
    <w:qFormat/>
    <w:rsid w:val="001F0E1B"/>
  </w:style>
  <w:style w:type="character" w:customStyle="1" w:styleId="CharBoldItalic">
    <w:name w:val="CharBoldItalic"/>
    <w:basedOn w:val="OPCCharBase"/>
    <w:uiPriority w:val="1"/>
    <w:qFormat/>
    <w:rsid w:val="001F0E1B"/>
    <w:rPr>
      <w:b/>
      <w:i/>
    </w:rPr>
  </w:style>
  <w:style w:type="character" w:customStyle="1" w:styleId="CharChapNo">
    <w:name w:val="CharChapNo"/>
    <w:basedOn w:val="OPCCharBase"/>
    <w:uiPriority w:val="1"/>
    <w:qFormat/>
    <w:rsid w:val="001F0E1B"/>
  </w:style>
  <w:style w:type="character" w:customStyle="1" w:styleId="CharChapText">
    <w:name w:val="CharChapText"/>
    <w:basedOn w:val="OPCCharBase"/>
    <w:uiPriority w:val="1"/>
    <w:qFormat/>
    <w:rsid w:val="001F0E1B"/>
  </w:style>
  <w:style w:type="character" w:customStyle="1" w:styleId="CharDivNo">
    <w:name w:val="CharDivNo"/>
    <w:basedOn w:val="OPCCharBase"/>
    <w:uiPriority w:val="1"/>
    <w:qFormat/>
    <w:rsid w:val="001F0E1B"/>
  </w:style>
  <w:style w:type="character" w:customStyle="1" w:styleId="CharDivText">
    <w:name w:val="CharDivText"/>
    <w:basedOn w:val="OPCCharBase"/>
    <w:uiPriority w:val="1"/>
    <w:qFormat/>
    <w:rsid w:val="001F0E1B"/>
  </w:style>
  <w:style w:type="character" w:customStyle="1" w:styleId="CharItalic">
    <w:name w:val="CharItalic"/>
    <w:basedOn w:val="OPCCharBase"/>
    <w:uiPriority w:val="1"/>
    <w:qFormat/>
    <w:rsid w:val="001F0E1B"/>
    <w:rPr>
      <w:i/>
    </w:rPr>
  </w:style>
  <w:style w:type="character" w:customStyle="1" w:styleId="CharPartNo">
    <w:name w:val="CharPartNo"/>
    <w:basedOn w:val="OPCCharBase"/>
    <w:uiPriority w:val="1"/>
    <w:qFormat/>
    <w:rsid w:val="001F0E1B"/>
  </w:style>
  <w:style w:type="character" w:customStyle="1" w:styleId="CharPartText">
    <w:name w:val="CharPartText"/>
    <w:basedOn w:val="OPCCharBase"/>
    <w:uiPriority w:val="1"/>
    <w:qFormat/>
    <w:rsid w:val="001F0E1B"/>
  </w:style>
  <w:style w:type="character" w:customStyle="1" w:styleId="CharSectno">
    <w:name w:val="CharSectno"/>
    <w:basedOn w:val="OPCCharBase"/>
    <w:qFormat/>
    <w:rsid w:val="001F0E1B"/>
  </w:style>
  <w:style w:type="character" w:customStyle="1" w:styleId="CharSubdNo">
    <w:name w:val="CharSubdNo"/>
    <w:basedOn w:val="OPCCharBase"/>
    <w:uiPriority w:val="1"/>
    <w:qFormat/>
    <w:rsid w:val="001F0E1B"/>
  </w:style>
  <w:style w:type="character" w:customStyle="1" w:styleId="CharSubdText">
    <w:name w:val="CharSubdText"/>
    <w:basedOn w:val="OPCCharBase"/>
    <w:uiPriority w:val="1"/>
    <w:qFormat/>
    <w:rsid w:val="001F0E1B"/>
  </w:style>
  <w:style w:type="paragraph" w:customStyle="1" w:styleId="CTA--">
    <w:name w:val="CTA --"/>
    <w:basedOn w:val="OPCParaBase"/>
    <w:next w:val="Normal"/>
    <w:rsid w:val="001F0E1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F0E1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F0E1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F0E1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F0E1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F0E1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F0E1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F0E1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F0E1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F0E1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F0E1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F0E1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F0E1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F0E1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F0E1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F0E1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F0E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F0E1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F0E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F0E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F0E1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F0E1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F0E1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F0E1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F0E1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F0E1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F0E1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F0E1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F0E1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F0E1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F0E1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F0E1B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F0E1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F0E1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F0E1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F0E1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F0E1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F0E1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F0E1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F0E1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F0E1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F0E1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F0E1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F0E1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F0E1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F0E1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F0E1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F0E1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F0E1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F0E1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F0E1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F0E1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F0E1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F0E1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F0E1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F0E1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F0E1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F0E1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F0E1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F0E1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F0E1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F0E1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F0E1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F0E1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F0E1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F0E1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F0E1B"/>
    <w:rPr>
      <w:sz w:val="16"/>
    </w:rPr>
  </w:style>
  <w:style w:type="table" w:customStyle="1" w:styleId="CFlag">
    <w:name w:val="CFlag"/>
    <w:basedOn w:val="TableNormal"/>
    <w:uiPriority w:val="99"/>
    <w:rsid w:val="001F0E1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F0E1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F0E1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F0E1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F0E1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F0E1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F0E1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F0E1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F0E1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F0E1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F0E1B"/>
    <w:pPr>
      <w:spacing w:before="120"/>
    </w:pPr>
  </w:style>
  <w:style w:type="paragraph" w:customStyle="1" w:styleId="TableTextEndNotes">
    <w:name w:val="TableTextEndNotes"/>
    <w:aliases w:val="Tten"/>
    <w:basedOn w:val="Normal"/>
    <w:rsid w:val="001F0E1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F0E1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F0E1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F0E1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F0E1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F0E1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F0E1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F0E1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F0E1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F0E1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F0E1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F0E1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F0E1B"/>
  </w:style>
  <w:style w:type="character" w:customStyle="1" w:styleId="CharSubPartNoCASA">
    <w:name w:val="CharSubPartNo(CASA)"/>
    <w:basedOn w:val="OPCCharBase"/>
    <w:uiPriority w:val="1"/>
    <w:rsid w:val="001F0E1B"/>
  </w:style>
  <w:style w:type="paragraph" w:customStyle="1" w:styleId="ENoteTTIndentHeadingSub">
    <w:name w:val="ENoteTTIndentHeadingSub"/>
    <w:aliases w:val="enTTHis"/>
    <w:basedOn w:val="OPCParaBase"/>
    <w:rsid w:val="001F0E1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F0E1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F0E1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F0E1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F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1F0E1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F0E1B"/>
    <w:rPr>
      <w:sz w:val="22"/>
    </w:rPr>
  </w:style>
  <w:style w:type="paragraph" w:customStyle="1" w:styleId="SOTextNote">
    <w:name w:val="SO TextNote"/>
    <w:aliases w:val="sont"/>
    <w:basedOn w:val="SOText"/>
    <w:qFormat/>
    <w:rsid w:val="001F0E1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F0E1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F0E1B"/>
    <w:rPr>
      <w:sz w:val="22"/>
    </w:rPr>
  </w:style>
  <w:style w:type="paragraph" w:customStyle="1" w:styleId="FileName">
    <w:name w:val="FileName"/>
    <w:basedOn w:val="Normal"/>
    <w:rsid w:val="001F0E1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F0E1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F0E1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F0E1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F0E1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F0E1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F0E1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F0E1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F0E1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F0E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F0E1B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804A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804A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80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A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A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A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0A2AF5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C73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31F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50586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0586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0586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0586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0586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0586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0586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0586C"/>
  </w:style>
  <w:style w:type="character" w:customStyle="1" w:styleId="ShortTCPChar">
    <w:name w:val="ShortTCP Char"/>
    <w:basedOn w:val="ShortTChar"/>
    <w:link w:val="ShortTCP"/>
    <w:rsid w:val="0050586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0586C"/>
    <w:pPr>
      <w:spacing w:before="400"/>
    </w:pPr>
  </w:style>
  <w:style w:type="character" w:customStyle="1" w:styleId="ActNoCPChar">
    <w:name w:val="ActNoCP Char"/>
    <w:basedOn w:val="ActnoChar"/>
    <w:link w:val="ActNoCP"/>
    <w:rsid w:val="0050586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0586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DF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99300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9300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9300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12</Pages>
  <Words>1719</Words>
  <Characters>8202</Characters>
  <Application>Microsoft Office Word</Application>
  <DocSecurity>0</DocSecurity>
  <PresentationFormat/>
  <Lines>1640</Lines>
  <Paragraphs>992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2018-02-11T23:51:00Z</cp:lastPrinted>
  <dcterms:created xsi:type="dcterms:W3CDTF">2018-09-04T03:40:00Z</dcterms:created>
  <dcterms:modified xsi:type="dcterms:W3CDTF">2018-09-04T03:51:00Z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Primary Industries Levies and Charges Collection Amendment Act 2018</vt:lpwstr>
  </property>
  <property fmtid="{D5CDD505-2E9C-101B-9397-08002B2CF9AE}" pid="5" name="ActNo">
    <vt:lpwstr>No. 91, 2018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OPC6637</vt:lpwstr>
  </property>
</Properties>
</file>