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C" w:rsidRDefault="004759D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9" o:title=""/>
          </v:shape>
          <o:OLEObject Type="Embed" ProgID="Word.Picture.8" ShapeID="_x0000_i1025" DrawAspect="Content" ObjectID="_1599393541" r:id="rId10"/>
        </w:object>
      </w:r>
    </w:p>
    <w:p w:rsidR="004759DC" w:rsidRDefault="004759DC"/>
    <w:p w:rsidR="004759DC" w:rsidRDefault="004759DC" w:rsidP="004759DC">
      <w:pPr>
        <w:spacing w:line="240" w:lineRule="auto"/>
      </w:pPr>
    </w:p>
    <w:p w:rsidR="004759DC" w:rsidRDefault="004759DC" w:rsidP="004759DC"/>
    <w:p w:rsidR="004759DC" w:rsidRDefault="004759DC" w:rsidP="004759DC"/>
    <w:p w:rsidR="004759DC" w:rsidRDefault="004759DC" w:rsidP="004759DC"/>
    <w:p w:rsidR="004759DC" w:rsidRDefault="004759DC" w:rsidP="004759DC"/>
    <w:p w:rsidR="0048364F" w:rsidRPr="00DA4084" w:rsidRDefault="00805096" w:rsidP="0048364F">
      <w:pPr>
        <w:pStyle w:val="ShortT"/>
      </w:pPr>
      <w:r w:rsidRPr="00DA4084">
        <w:t>Corporations Amendment (Crowd</w:t>
      </w:r>
      <w:r w:rsidR="00DD52F5">
        <w:noBreakHyphen/>
      </w:r>
      <w:r w:rsidRPr="00DA4084">
        <w:t>sourced Funding for Proprietary Companies)</w:t>
      </w:r>
      <w:r w:rsidR="005D7D10" w:rsidRPr="00DA4084">
        <w:t xml:space="preserve"> </w:t>
      </w:r>
      <w:r w:rsidR="004759DC">
        <w:t>Act</w:t>
      </w:r>
      <w:r w:rsidR="004432BC" w:rsidRPr="00DA4084">
        <w:t xml:space="preserve"> 201</w:t>
      </w:r>
      <w:r w:rsidR="00516D36">
        <w:t>8</w:t>
      </w:r>
    </w:p>
    <w:p w:rsidR="0048364F" w:rsidRPr="00DA4084" w:rsidRDefault="0048364F" w:rsidP="0048364F"/>
    <w:p w:rsidR="0048364F" w:rsidRPr="00DA4084" w:rsidRDefault="00C164CA" w:rsidP="004759DC">
      <w:pPr>
        <w:pStyle w:val="Actno"/>
        <w:spacing w:before="400"/>
      </w:pPr>
      <w:r w:rsidRPr="00DA4084">
        <w:t>No.</w:t>
      </w:r>
      <w:r w:rsidR="006B0390">
        <w:t xml:space="preserve"> 106</w:t>
      </w:r>
      <w:r w:rsidRPr="00DA4084">
        <w:t>, 201</w:t>
      </w:r>
      <w:r w:rsidR="00516D36">
        <w:t>8</w:t>
      </w:r>
    </w:p>
    <w:p w:rsidR="0048364F" w:rsidRPr="00DA4084" w:rsidRDefault="0048364F" w:rsidP="0048364F"/>
    <w:p w:rsidR="004759DC" w:rsidRDefault="004759DC" w:rsidP="004759DC"/>
    <w:p w:rsidR="004759DC" w:rsidRDefault="004759DC" w:rsidP="004759DC"/>
    <w:p w:rsidR="004759DC" w:rsidRDefault="004759DC" w:rsidP="004759DC"/>
    <w:p w:rsidR="004759DC" w:rsidRDefault="004759DC" w:rsidP="004759DC"/>
    <w:p w:rsidR="0048364F" w:rsidRPr="00DA4084" w:rsidRDefault="004759DC" w:rsidP="0048364F">
      <w:pPr>
        <w:pStyle w:val="LongT"/>
      </w:pPr>
      <w:r>
        <w:t>An Act</w:t>
      </w:r>
      <w:r w:rsidR="0048364F" w:rsidRPr="00DA4084">
        <w:t xml:space="preserve"> to </w:t>
      </w:r>
      <w:r w:rsidR="00B9399A" w:rsidRPr="00DA4084">
        <w:t xml:space="preserve">amend the law relating to corporations, </w:t>
      </w:r>
      <w:r w:rsidR="0048364F" w:rsidRPr="00DA4084">
        <w:t>and for related purposes</w:t>
      </w:r>
    </w:p>
    <w:p w:rsidR="0048364F" w:rsidRPr="00DA4084" w:rsidRDefault="0048364F" w:rsidP="0048364F">
      <w:pPr>
        <w:pStyle w:val="Header"/>
        <w:tabs>
          <w:tab w:val="clear" w:pos="4150"/>
          <w:tab w:val="clear" w:pos="8307"/>
        </w:tabs>
      </w:pPr>
      <w:r w:rsidRPr="00DA4084">
        <w:rPr>
          <w:rStyle w:val="CharAmSchNo"/>
        </w:rPr>
        <w:t xml:space="preserve"> </w:t>
      </w:r>
      <w:r w:rsidRPr="00DA4084">
        <w:rPr>
          <w:rStyle w:val="CharAmSchText"/>
        </w:rPr>
        <w:t xml:space="preserve"> </w:t>
      </w:r>
    </w:p>
    <w:p w:rsidR="0048364F" w:rsidRPr="00DA4084" w:rsidRDefault="0048364F" w:rsidP="0048364F">
      <w:pPr>
        <w:pStyle w:val="Header"/>
        <w:tabs>
          <w:tab w:val="clear" w:pos="4150"/>
          <w:tab w:val="clear" w:pos="8307"/>
        </w:tabs>
      </w:pPr>
      <w:r w:rsidRPr="00DA4084">
        <w:rPr>
          <w:rStyle w:val="CharAmPartNo"/>
        </w:rPr>
        <w:t xml:space="preserve"> </w:t>
      </w:r>
      <w:r w:rsidRPr="00DA4084">
        <w:rPr>
          <w:rStyle w:val="CharAmPartText"/>
        </w:rPr>
        <w:t xml:space="preserve"> </w:t>
      </w:r>
    </w:p>
    <w:p w:rsidR="0048364F" w:rsidRPr="00DA4084" w:rsidRDefault="0048364F" w:rsidP="0048364F">
      <w:pPr>
        <w:sectPr w:rsidR="0048364F" w:rsidRPr="00DA4084" w:rsidSect="00475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A4084" w:rsidRDefault="0048364F" w:rsidP="003E5367">
      <w:pPr>
        <w:rPr>
          <w:sz w:val="36"/>
        </w:rPr>
      </w:pPr>
      <w:r w:rsidRPr="00DA4084">
        <w:rPr>
          <w:sz w:val="36"/>
        </w:rPr>
        <w:lastRenderedPageBreak/>
        <w:t>Contents</w:t>
      </w:r>
    </w:p>
    <w:p w:rsidR="00585BC9" w:rsidRDefault="00585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85BC9">
        <w:rPr>
          <w:noProof/>
        </w:rPr>
        <w:tab/>
      </w:r>
      <w:r w:rsidRPr="00585BC9">
        <w:rPr>
          <w:noProof/>
        </w:rPr>
        <w:fldChar w:fldCharType="begin"/>
      </w:r>
      <w:r w:rsidRPr="00585BC9">
        <w:rPr>
          <w:noProof/>
        </w:rPr>
        <w:instrText xml:space="preserve"> PAGEREF _Toc525650872 \h </w:instrText>
      </w:r>
      <w:r w:rsidRPr="00585BC9">
        <w:rPr>
          <w:noProof/>
        </w:rPr>
      </w:r>
      <w:r w:rsidRPr="00585BC9">
        <w:rPr>
          <w:noProof/>
        </w:rPr>
        <w:fldChar w:fldCharType="separate"/>
      </w:r>
      <w:r w:rsidR="005F0101">
        <w:rPr>
          <w:noProof/>
        </w:rPr>
        <w:t>1</w:t>
      </w:r>
      <w:r w:rsidRPr="00585BC9">
        <w:rPr>
          <w:noProof/>
        </w:rPr>
        <w:fldChar w:fldCharType="end"/>
      </w:r>
    </w:p>
    <w:p w:rsidR="00585BC9" w:rsidRDefault="00585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5BC9">
        <w:rPr>
          <w:noProof/>
        </w:rPr>
        <w:tab/>
      </w:r>
      <w:r w:rsidRPr="00585BC9">
        <w:rPr>
          <w:noProof/>
        </w:rPr>
        <w:fldChar w:fldCharType="begin"/>
      </w:r>
      <w:r w:rsidRPr="00585BC9">
        <w:rPr>
          <w:noProof/>
        </w:rPr>
        <w:instrText xml:space="preserve"> PAGEREF _Toc525650873 \h </w:instrText>
      </w:r>
      <w:r w:rsidRPr="00585BC9">
        <w:rPr>
          <w:noProof/>
        </w:rPr>
      </w:r>
      <w:r w:rsidRPr="00585BC9">
        <w:rPr>
          <w:noProof/>
        </w:rPr>
        <w:fldChar w:fldCharType="separate"/>
      </w:r>
      <w:r w:rsidR="005F0101">
        <w:rPr>
          <w:noProof/>
        </w:rPr>
        <w:t>2</w:t>
      </w:r>
      <w:r w:rsidRPr="00585BC9">
        <w:rPr>
          <w:noProof/>
        </w:rPr>
        <w:fldChar w:fldCharType="end"/>
      </w:r>
    </w:p>
    <w:p w:rsidR="00585BC9" w:rsidRDefault="00585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</w:t>
      </w:r>
      <w:bookmarkStart w:id="0" w:name="_GoBack"/>
      <w:bookmarkEnd w:id="0"/>
      <w:r>
        <w:rPr>
          <w:noProof/>
        </w:rPr>
        <w:t>dules</w:t>
      </w:r>
      <w:r w:rsidRPr="00585BC9">
        <w:rPr>
          <w:noProof/>
        </w:rPr>
        <w:tab/>
      </w:r>
      <w:r w:rsidRPr="00585BC9">
        <w:rPr>
          <w:noProof/>
        </w:rPr>
        <w:fldChar w:fldCharType="begin"/>
      </w:r>
      <w:r w:rsidRPr="00585BC9">
        <w:rPr>
          <w:noProof/>
        </w:rPr>
        <w:instrText xml:space="preserve"> PAGEREF _Toc525650874 \h </w:instrText>
      </w:r>
      <w:r w:rsidRPr="00585BC9">
        <w:rPr>
          <w:noProof/>
        </w:rPr>
      </w:r>
      <w:r w:rsidRPr="00585BC9">
        <w:rPr>
          <w:noProof/>
        </w:rPr>
        <w:fldChar w:fldCharType="separate"/>
      </w:r>
      <w:r w:rsidR="005F0101">
        <w:rPr>
          <w:noProof/>
        </w:rPr>
        <w:t>2</w:t>
      </w:r>
      <w:r w:rsidRPr="00585BC9">
        <w:rPr>
          <w:noProof/>
        </w:rPr>
        <w:fldChar w:fldCharType="end"/>
      </w:r>
    </w:p>
    <w:p w:rsidR="00585BC9" w:rsidRDefault="00585B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85BC9">
        <w:rPr>
          <w:b w:val="0"/>
          <w:noProof/>
          <w:sz w:val="18"/>
        </w:rPr>
        <w:tab/>
      </w:r>
      <w:r w:rsidRPr="00585BC9">
        <w:rPr>
          <w:b w:val="0"/>
          <w:noProof/>
          <w:sz w:val="18"/>
        </w:rPr>
        <w:fldChar w:fldCharType="begin"/>
      </w:r>
      <w:r w:rsidRPr="00585BC9">
        <w:rPr>
          <w:b w:val="0"/>
          <w:noProof/>
          <w:sz w:val="18"/>
        </w:rPr>
        <w:instrText xml:space="preserve"> PAGEREF _Toc525650875 \h </w:instrText>
      </w:r>
      <w:r w:rsidRPr="00585BC9">
        <w:rPr>
          <w:b w:val="0"/>
          <w:noProof/>
          <w:sz w:val="18"/>
        </w:rPr>
      </w:r>
      <w:r w:rsidRPr="00585BC9">
        <w:rPr>
          <w:b w:val="0"/>
          <w:noProof/>
          <w:sz w:val="18"/>
        </w:rPr>
        <w:fldChar w:fldCharType="separate"/>
      </w:r>
      <w:r w:rsidR="005F0101">
        <w:rPr>
          <w:b w:val="0"/>
          <w:noProof/>
          <w:sz w:val="18"/>
        </w:rPr>
        <w:t>3</w:t>
      </w:r>
      <w:r w:rsidRPr="00585BC9">
        <w:rPr>
          <w:b w:val="0"/>
          <w:noProof/>
          <w:sz w:val="18"/>
        </w:rPr>
        <w:fldChar w:fldCharType="end"/>
      </w:r>
    </w:p>
    <w:p w:rsidR="00585BC9" w:rsidRDefault="00585B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585BC9">
        <w:rPr>
          <w:noProof/>
          <w:sz w:val="18"/>
        </w:rPr>
        <w:tab/>
      </w:r>
      <w:r w:rsidRPr="00585BC9">
        <w:rPr>
          <w:noProof/>
          <w:sz w:val="18"/>
        </w:rPr>
        <w:fldChar w:fldCharType="begin"/>
      </w:r>
      <w:r w:rsidRPr="00585BC9">
        <w:rPr>
          <w:noProof/>
          <w:sz w:val="18"/>
        </w:rPr>
        <w:instrText xml:space="preserve"> PAGEREF _Toc525650876 \h </w:instrText>
      </w:r>
      <w:r w:rsidRPr="00585BC9">
        <w:rPr>
          <w:noProof/>
          <w:sz w:val="18"/>
        </w:rPr>
      </w:r>
      <w:r w:rsidRPr="00585BC9">
        <w:rPr>
          <w:noProof/>
          <w:sz w:val="18"/>
        </w:rPr>
        <w:fldChar w:fldCharType="separate"/>
      </w:r>
      <w:r w:rsidR="005F0101">
        <w:rPr>
          <w:noProof/>
          <w:sz w:val="18"/>
        </w:rPr>
        <w:t>3</w:t>
      </w:r>
      <w:r w:rsidRPr="00585BC9">
        <w:rPr>
          <w:noProof/>
          <w:sz w:val="18"/>
        </w:rPr>
        <w:fldChar w:fldCharType="end"/>
      </w:r>
    </w:p>
    <w:p w:rsidR="00585BC9" w:rsidRDefault="00585B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585BC9">
        <w:rPr>
          <w:i w:val="0"/>
          <w:noProof/>
          <w:sz w:val="18"/>
        </w:rPr>
        <w:tab/>
      </w:r>
      <w:r w:rsidRPr="00585BC9">
        <w:rPr>
          <w:i w:val="0"/>
          <w:noProof/>
          <w:sz w:val="18"/>
        </w:rPr>
        <w:fldChar w:fldCharType="begin"/>
      </w:r>
      <w:r w:rsidRPr="00585BC9">
        <w:rPr>
          <w:i w:val="0"/>
          <w:noProof/>
          <w:sz w:val="18"/>
        </w:rPr>
        <w:instrText xml:space="preserve"> PAGEREF _Toc525650877 \h </w:instrText>
      </w:r>
      <w:r w:rsidRPr="00585BC9">
        <w:rPr>
          <w:i w:val="0"/>
          <w:noProof/>
          <w:sz w:val="18"/>
        </w:rPr>
      </w:r>
      <w:r w:rsidRPr="00585BC9">
        <w:rPr>
          <w:i w:val="0"/>
          <w:noProof/>
          <w:sz w:val="18"/>
        </w:rPr>
        <w:fldChar w:fldCharType="separate"/>
      </w:r>
      <w:r w:rsidR="005F0101">
        <w:rPr>
          <w:i w:val="0"/>
          <w:noProof/>
          <w:sz w:val="18"/>
        </w:rPr>
        <w:t>3</w:t>
      </w:r>
      <w:r w:rsidRPr="00585BC9">
        <w:rPr>
          <w:i w:val="0"/>
          <w:noProof/>
          <w:sz w:val="18"/>
        </w:rPr>
        <w:fldChar w:fldCharType="end"/>
      </w:r>
    </w:p>
    <w:p w:rsidR="00585BC9" w:rsidRDefault="00585BC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585BC9">
        <w:rPr>
          <w:noProof/>
          <w:sz w:val="18"/>
        </w:rPr>
        <w:tab/>
      </w:r>
      <w:r w:rsidRPr="00585BC9">
        <w:rPr>
          <w:noProof/>
          <w:sz w:val="18"/>
        </w:rPr>
        <w:fldChar w:fldCharType="begin"/>
      </w:r>
      <w:r w:rsidRPr="00585BC9">
        <w:rPr>
          <w:noProof/>
          <w:sz w:val="18"/>
        </w:rPr>
        <w:instrText xml:space="preserve"> PAGEREF _Toc525650882 \h </w:instrText>
      </w:r>
      <w:r w:rsidRPr="00585BC9">
        <w:rPr>
          <w:noProof/>
          <w:sz w:val="18"/>
        </w:rPr>
      </w:r>
      <w:r w:rsidRPr="00585BC9">
        <w:rPr>
          <w:noProof/>
          <w:sz w:val="18"/>
        </w:rPr>
        <w:fldChar w:fldCharType="separate"/>
      </w:r>
      <w:r w:rsidR="005F0101">
        <w:rPr>
          <w:noProof/>
          <w:sz w:val="18"/>
        </w:rPr>
        <w:t>14</w:t>
      </w:r>
      <w:r w:rsidRPr="00585BC9">
        <w:rPr>
          <w:noProof/>
          <w:sz w:val="18"/>
        </w:rPr>
        <w:fldChar w:fldCharType="end"/>
      </w:r>
    </w:p>
    <w:p w:rsidR="00585BC9" w:rsidRDefault="00585B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585BC9">
        <w:rPr>
          <w:i w:val="0"/>
          <w:noProof/>
          <w:sz w:val="18"/>
        </w:rPr>
        <w:tab/>
      </w:r>
      <w:r w:rsidRPr="00585BC9">
        <w:rPr>
          <w:i w:val="0"/>
          <w:noProof/>
          <w:sz w:val="18"/>
        </w:rPr>
        <w:fldChar w:fldCharType="begin"/>
      </w:r>
      <w:r w:rsidRPr="00585BC9">
        <w:rPr>
          <w:i w:val="0"/>
          <w:noProof/>
          <w:sz w:val="18"/>
        </w:rPr>
        <w:instrText xml:space="preserve"> PAGEREF _Toc525650883 \h </w:instrText>
      </w:r>
      <w:r w:rsidRPr="00585BC9">
        <w:rPr>
          <w:i w:val="0"/>
          <w:noProof/>
          <w:sz w:val="18"/>
        </w:rPr>
      </w:r>
      <w:r w:rsidRPr="00585BC9">
        <w:rPr>
          <w:i w:val="0"/>
          <w:noProof/>
          <w:sz w:val="18"/>
        </w:rPr>
        <w:fldChar w:fldCharType="separate"/>
      </w:r>
      <w:r w:rsidR="005F0101">
        <w:rPr>
          <w:i w:val="0"/>
          <w:noProof/>
          <w:sz w:val="18"/>
        </w:rPr>
        <w:t>14</w:t>
      </w:r>
      <w:r w:rsidRPr="00585BC9">
        <w:rPr>
          <w:i w:val="0"/>
          <w:noProof/>
          <w:sz w:val="18"/>
        </w:rPr>
        <w:fldChar w:fldCharType="end"/>
      </w:r>
    </w:p>
    <w:p w:rsidR="00060FF9" w:rsidRPr="00DA4084" w:rsidRDefault="00585BC9" w:rsidP="0048364F">
      <w:r>
        <w:fldChar w:fldCharType="end"/>
      </w:r>
    </w:p>
    <w:p w:rsidR="00FE7F93" w:rsidRPr="00DA4084" w:rsidRDefault="00FE7F93" w:rsidP="0048364F">
      <w:pPr>
        <w:sectPr w:rsidR="00FE7F93" w:rsidRPr="00DA4084" w:rsidSect="004759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759DC" w:rsidRDefault="004759DC">
      <w:r>
        <w:object w:dxaOrig="2146" w:dyaOrig="1561"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599393542" r:id="rId22"/>
        </w:object>
      </w:r>
    </w:p>
    <w:p w:rsidR="004759DC" w:rsidRDefault="004759DC"/>
    <w:p w:rsidR="004759DC" w:rsidRDefault="004759DC" w:rsidP="004759DC">
      <w:pPr>
        <w:spacing w:line="240" w:lineRule="auto"/>
      </w:pPr>
    </w:p>
    <w:p w:rsidR="004759DC" w:rsidRDefault="005F0101" w:rsidP="004759D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Corporations Amendment (Crowd-sourced Funding for Proprietary Companies) Act 2018</w:t>
      </w:r>
      <w:r>
        <w:rPr>
          <w:noProof/>
        </w:rPr>
        <w:fldChar w:fldCharType="end"/>
      </w:r>
    </w:p>
    <w:p w:rsidR="004759DC" w:rsidRDefault="005F0101" w:rsidP="004759D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106, 2018</w:t>
      </w:r>
      <w:r>
        <w:rPr>
          <w:noProof/>
        </w:rPr>
        <w:fldChar w:fldCharType="end"/>
      </w:r>
    </w:p>
    <w:p w:rsidR="004759DC" w:rsidRPr="009A0728" w:rsidRDefault="004759D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759DC" w:rsidRPr="009A0728" w:rsidRDefault="004759DC" w:rsidP="009A0728">
      <w:pPr>
        <w:spacing w:line="40" w:lineRule="exact"/>
        <w:rPr>
          <w:rFonts w:eastAsia="Calibri"/>
          <w:b/>
          <w:sz w:val="28"/>
        </w:rPr>
      </w:pPr>
    </w:p>
    <w:p w:rsidR="004759DC" w:rsidRPr="009A0728" w:rsidRDefault="004759D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A4084" w:rsidRDefault="004759DC" w:rsidP="00DA4084">
      <w:pPr>
        <w:pStyle w:val="Page1"/>
      </w:pPr>
      <w:r>
        <w:t>An Act</w:t>
      </w:r>
      <w:r w:rsidR="00DA4084" w:rsidRPr="00DA4084">
        <w:t xml:space="preserve"> to amend the law relating to corporations, and for related purposes</w:t>
      </w:r>
    </w:p>
    <w:p w:rsidR="006B0390" w:rsidRDefault="006B039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September 2018</w:t>
      </w:r>
      <w:r>
        <w:rPr>
          <w:sz w:val="24"/>
        </w:rPr>
        <w:t>]</w:t>
      </w:r>
    </w:p>
    <w:p w:rsidR="0048364F" w:rsidRPr="00DA4084" w:rsidRDefault="0048364F" w:rsidP="00DA4084">
      <w:pPr>
        <w:spacing w:before="240" w:line="240" w:lineRule="auto"/>
        <w:rPr>
          <w:sz w:val="32"/>
        </w:rPr>
      </w:pPr>
      <w:r w:rsidRPr="00DA4084">
        <w:rPr>
          <w:sz w:val="32"/>
        </w:rPr>
        <w:t>The Parliament of Australia enacts:</w:t>
      </w:r>
    </w:p>
    <w:p w:rsidR="0048364F" w:rsidRPr="00DA4084" w:rsidRDefault="0048364F" w:rsidP="00DA4084">
      <w:pPr>
        <w:pStyle w:val="ActHead5"/>
      </w:pPr>
      <w:bookmarkStart w:id="1" w:name="_Toc525650872"/>
      <w:r w:rsidRPr="00DA4084">
        <w:rPr>
          <w:rStyle w:val="CharSectno"/>
        </w:rPr>
        <w:t>1</w:t>
      </w:r>
      <w:r w:rsidRPr="00DA4084">
        <w:t xml:space="preserve">  Short title</w:t>
      </w:r>
      <w:bookmarkEnd w:id="1"/>
    </w:p>
    <w:p w:rsidR="0048364F" w:rsidRPr="00DA4084" w:rsidRDefault="0048364F" w:rsidP="00DA4084">
      <w:pPr>
        <w:pStyle w:val="subsection"/>
      </w:pPr>
      <w:r w:rsidRPr="00DA4084">
        <w:tab/>
      </w:r>
      <w:r w:rsidRPr="00DA4084">
        <w:tab/>
        <w:t xml:space="preserve">This Act </w:t>
      </w:r>
      <w:r w:rsidR="00275197" w:rsidRPr="00DA4084">
        <w:t xml:space="preserve">is </w:t>
      </w:r>
      <w:r w:rsidRPr="00DA4084">
        <w:t xml:space="preserve">the </w:t>
      </w:r>
      <w:r w:rsidR="00B9399A" w:rsidRPr="00DA4084">
        <w:rPr>
          <w:i/>
        </w:rPr>
        <w:t>Corporations Amendment (Crowd</w:t>
      </w:r>
      <w:r w:rsidR="00DD52F5">
        <w:rPr>
          <w:i/>
        </w:rPr>
        <w:noBreakHyphen/>
      </w:r>
      <w:r w:rsidR="00B9399A" w:rsidRPr="00DA4084">
        <w:rPr>
          <w:i/>
        </w:rPr>
        <w:t>sourced Funding for Proprietary Companies)</w:t>
      </w:r>
      <w:r w:rsidR="00B9399A" w:rsidRPr="00DA4084">
        <w:t xml:space="preserve"> </w:t>
      </w:r>
      <w:r w:rsidR="00C164CA" w:rsidRPr="00DA4084">
        <w:rPr>
          <w:i/>
        </w:rPr>
        <w:t>Act 201</w:t>
      </w:r>
      <w:r w:rsidR="00516D36">
        <w:rPr>
          <w:i/>
        </w:rPr>
        <w:t>8</w:t>
      </w:r>
      <w:r w:rsidRPr="00DA4084">
        <w:t>.</w:t>
      </w:r>
    </w:p>
    <w:p w:rsidR="0048364F" w:rsidRPr="00DA4084" w:rsidRDefault="0048364F" w:rsidP="00DA4084">
      <w:pPr>
        <w:pStyle w:val="ActHead5"/>
      </w:pPr>
      <w:bookmarkStart w:id="2" w:name="_Toc525650873"/>
      <w:r w:rsidRPr="00DA4084">
        <w:rPr>
          <w:rStyle w:val="CharSectno"/>
        </w:rPr>
        <w:lastRenderedPageBreak/>
        <w:t>2</w:t>
      </w:r>
      <w:r w:rsidRPr="00DA4084">
        <w:t xml:space="preserve">  Commencement</w:t>
      </w:r>
      <w:bookmarkEnd w:id="2"/>
    </w:p>
    <w:p w:rsidR="0048364F" w:rsidRPr="00DA4084" w:rsidRDefault="0048364F" w:rsidP="00DA4084">
      <w:pPr>
        <w:pStyle w:val="subsection"/>
      </w:pPr>
      <w:r w:rsidRPr="00DA4084">
        <w:tab/>
        <w:t>(1)</w:t>
      </w:r>
      <w:r w:rsidRPr="00DA408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A4084" w:rsidRDefault="0048364F" w:rsidP="00DA408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A4084" w:rsidTr="004911F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Commencement information</w:t>
            </w:r>
          </w:p>
        </w:tc>
      </w:tr>
      <w:tr w:rsidR="0048364F" w:rsidRPr="00DA4084" w:rsidTr="004911F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Column 3</w:t>
            </w:r>
          </w:p>
        </w:tc>
      </w:tr>
      <w:tr w:rsidR="0048364F" w:rsidRPr="00DA4084" w:rsidTr="004911F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4084" w:rsidRDefault="0048364F" w:rsidP="00DA4084">
            <w:pPr>
              <w:pStyle w:val="TableHeading"/>
            </w:pPr>
            <w:r w:rsidRPr="00DA4084">
              <w:t>Date/Details</w:t>
            </w:r>
          </w:p>
        </w:tc>
      </w:tr>
      <w:tr w:rsidR="004911FA" w:rsidRPr="00DA4084" w:rsidTr="004911FA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911FA" w:rsidRPr="00DA4084" w:rsidRDefault="004911FA" w:rsidP="00DA4084">
            <w:pPr>
              <w:pStyle w:val="Tabletext"/>
            </w:pPr>
            <w:r w:rsidRPr="00DA4084">
              <w:t>1.  Sections</w:t>
            </w:r>
            <w:r w:rsidR="00DA4084" w:rsidRPr="00DA4084">
              <w:t> </w:t>
            </w:r>
            <w:r w:rsidRPr="00DA408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911FA" w:rsidRPr="00DA4084" w:rsidRDefault="004911FA" w:rsidP="00DA4084">
            <w:pPr>
              <w:pStyle w:val="Tabletext"/>
            </w:pPr>
            <w:r w:rsidRPr="00DA408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911FA" w:rsidRPr="00DA4084" w:rsidRDefault="006B0390" w:rsidP="006B0390">
            <w:pPr>
              <w:pStyle w:val="Tabletext"/>
            </w:pPr>
            <w:r>
              <w:t>21 September 2018</w:t>
            </w:r>
          </w:p>
        </w:tc>
      </w:tr>
      <w:tr w:rsidR="0048364F" w:rsidRPr="00DA4084" w:rsidTr="004911FA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48364F" w:rsidRPr="00DA4084" w:rsidRDefault="004911FA" w:rsidP="00DA4084">
            <w:pPr>
              <w:pStyle w:val="Tabletext"/>
            </w:pPr>
            <w:r w:rsidRPr="00DA4084">
              <w:t>2</w:t>
            </w:r>
            <w:r w:rsidR="00657E55" w:rsidRPr="00DA4084">
              <w:t xml:space="preserve">.  </w:t>
            </w:r>
            <w:r w:rsidRPr="00DA4084">
              <w:t>Schedule</w:t>
            </w:r>
            <w:r w:rsidR="00DA4084" w:rsidRPr="00DA4084">
              <w:t> </w:t>
            </w:r>
            <w:r w:rsidRPr="00DA4084">
              <w:t>1, Part</w:t>
            </w:r>
            <w:r w:rsidR="00DA4084" w:rsidRPr="00DA4084">
              <w:t> </w:t>
            </w:r>
            <w:r w:rsidRPr="00DA4084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48364F" w:rsidRPr="00DA4084" w:rsidRDefault="00E9407E" w:rsidP="00146B0B">
            <w:pPr>
              <w:pStyle w:val="Tabletext"/>
            </w:pPr>
            <w:r w:rsidRPr="00DA4084">
              <w:t xml:space="preserve">The </w:t>
            </w:r>
            <w:r w:rsidR="00146B0B">
              <w:t>28</w:t>
            </w:r>
            <w:r w:rsidR="00146B0B" w:rsidRPr="00146B0B">
              <w:t>th</w:t>
            </w:r>
            <w:r w:rsidR="00146B0B">
              <w:t xml:space="preserve"> day after</w:t>
            </w:r>
            <w:r w:rsidRPr="00DA4084">
              <w:t xml:space="preserve">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48364F" w:rsidRPr="00DA4084" w:rsidRDefault="006B0390" w:rsidP="00DA4084">
            <w:pPr>
              <w:pStyle w:val="Tabletext"/>
            </w:pPr>
            <w:r>
              <w:t>19 October 2018</w:t>
            </w:r>
          </w:p>
        </w:tc>
      </w:tr>
      <w:tr w:rsidR="004911FA" w:rsidRPr="00DA4084" w:rsidTr="004911FA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911FA" w:rsidRPr="00DA4084" w:rsidRDefault="004911FA" w:rsidP="00DA4084">
            <w:pPr>
              <w:pStyle w:val="Tabletext"/>
            </w:pPr>
            <w:r w:rsidRPr="00DA4084">
              <w:t>3.  Schedule</w:t>
            </w:r>
            <w:r w:rsidR="00DA4084" w:rsidRPr="00DA4084">
              <w:t> </w:t>
            </w:r>
            <w:r w:rsidRPr="00DA4084">
              <w:t>1, Part</w:t>
            </w:r>
            <w:r w:rsidR="00DA4084" w:rsidRPr="00DA4084">
              <w:t> </w:t>
            </w:r>
            <w:r w:rsidRPr="00DA4084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911FA" w:rsidRPr="00DA4084" w:rsidRDefault="00F074A4" w:rsidP="00DA4084">
            <w:pPr>
              <w:pStyle w:val="Tabletext"/>
            </w:pPr>
            <w:r w:rsidRPr="00DA408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911FA" w:rsidRPr="00DA4084" w:rsidRDefault="006B0390" w:rsidP="00DA4084">
            <w:pPr>
              <w:pStyle w:val="Tabletext"/>
            </w:pPr>
            <w:r>
              <w:t>22 September 2018</w:t>
            </w:r>
          </w:p>
        </w:tc>
      </w:tr>
    </w:tbl>
    <w:p w:rsidR="0048364F" w:rsidRPr="00DA4084" w:rsidRDefault="00201D27" w:rsidP="00DA4084">
      <w:pPr>
        <w:pStyle w:val="notetext"/>
      </w:pPr>
      <w:r w:rsidRPr="00DA4084">
        <w:t>Note:</w:t>
      </w:r>
      <w:r w:rsidRPr="00DA4084">
        <w:tab/>
        <w:t>This table relates only to the provisions of this Act as originally enacted. It will not be amended to deal with any later amendments of this Act.</w:t>
      </w:r>
    </w:p>
    <w:p w:rsidR="0048364F" w:rsidRPr="00DA4084" w:rsidRDefault="0048364F" w:rsidP="00DA4084">
      <w:pPr>
        <w:pStyle w:val="subsection"/>
      </w:pPr>
      <w:r w:rsidRPr="00DA4084">
        <w:tab/>
        <w:t>(2)</w:t>
      </w:r>
      <w:r w:rsidRPr="00DA4084">
        <w:tab/>
      </w:r>
      <w:r w:rsidR="00201D27" w:rsidRPr="00DA4084">
        <w:t xml:space="preserve">Any information in </w:t>
      </w:r>
      <w:r w:rsidR="00877D48" w:rsidRPr="00DA4084">
        <w:t>c</w:t>
      </w:r>
      <w:r w:rsidR="00201D27" w:rsidRPr="00DA4084">
        <w:t>olumn 3 of the table is not part of this Act. Information may be inserted in this column, or information in it may be edited, in any published version of this Act.</w:t>
      </w:r>
    </w:p>
    <w:p w:rsidR="0048364F" w:rsidRPr="00DA4084" w:rsidRDefault="0048364F" w:rsidP="00DA4084">
      <w:pPr>
        <w:pStyle w:val="ActHead5"/>
      </w:pPr>
      <w:bookmarkStart w:id="3" w:name="_Toc525650874"/>
      <w:r w:rsidRPr="00DA4084">
        <w:rPr>
          <w:rStyle w:val="CharSectno"/>
        </w:rPr>
        <w:t>3</w:t>
      </w:r>
      <w:r w:rsidRPr="00DA4084">
        <w:t xml:space="preserve">  Schedules</w:t>
      </w:r>
      <w:bookmarkEnd w:id="3"/>
    </w:p>
    <w:p w:rsidR="0048364F" w:rsidRPr="00DA4084" w:rsidRDefault="0048364F" w:rsidP="00DA4084">
      <w:pPr>
        <w:pStyle w:val="subsection"/>
      </w:pPr>
      <w:r w:rsidRPr="00DA4084">
        <w:tab/>
      </w:r>
      <w:r w:rsidRPr="00DA4084">
        <w:tab/>
      </w:r>
      <w:r w:rsidR="00202618" w:rsidRPr="00DA408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A4084" w:rsidRDefault="0048364F" w:rsidP="00DA4084">
      <w:pPr>
        <w:pStyle w:val="ActHead6"/>
        <w:pageBreakBefore/>
      </w:pPr>
      <w:bookmarkStart w:id="4" w:name="_Toc525650875"/>
      <w:bookmarkStart w:id="5" w:name="opcAmSched"/>
      <w:bookmarkStart w:id="6" w:name="opcCurrentFind"/>
      <w:r w:rsidRPr="00DA4084">
        <w:rPr>
          <w:rStyle w:val="CharAmSchNo"/>
        </w:rPr>
        <w:lastRenderedPageBreak/>
        <w:t>Schedule</w:t>
      </w:r>
      <w:r w:rsidR="00DA4084" w:rsidRPr="00DA4084">
        <w:rPr>
          <w:rStyle w:val="CharAmSchNo"/>
        </w:rPr>
        <w:t> </w:t>
      </w:r>
      <w:r w:rsidRPr="00DA4084">
        <w:rPr>
          <w:rStyle w:val="CharAmSchNo"/>
        </w:rPr>
        <w:t>1</w:t>
      </w:r>
      <w:r w:rsidRPr="00DA4084">
        <w:t>—</w:t>
      </w:r>
      <w:r w:rsidR="003E5367" w:rsidRPr="00DA4084">
        <w:rPr>
          <w:rStyle w:val="CharAmSchText"/>
        </w:rPr>
        <w:t>Amendments</w:t>
      </w:r>
      <w:bookmarkEnd w:id="4"/>
    </w:p>
    <w:p w:rsidR="00BF3803" w:rsidRPr="00DA4084" w:rsidRDefault="004911FA" w:rsidP="00DA4084">
      <w:pPr>
        <w:pStyle w:val="ActHead7"/>
      </w:pPr>
      <w:bookmarkStart w:id="7" w:name="_Toc525650876"/>
      <w:bookmarkEnd w:id="5"/>
      <w:bookmarkEnd w:id="6"/>
      <w:r w:rsidRPr="00DA4084">
        <w:rPr>
          <w:rStyle w:val="CharAmPartNo"/>
        </w:rPr>
        <w:t>Part</w:t>
      </w:r>
      <w:r w:rsidR="00DA4084" w:rsidRPr="00DA4084">
        <w:rPr>
          <w:rStyle w:val="CharAmPartNo"/>
        </w:rPr>
        <w:t> </w:t>
      </w:r>
      <w:r w:rsidRPr="00DA4084">
        <w:rPr>
          <w:rStyle w:val="CharAmPartNo"/>
        </w:rPr>
        <w:t>1</w:t>
      </w:r>
      <w:r w:rsidRPr="00DA4084">
        <w:t>—</w:t>
      </w:r>
      <w:r w:rsidRPr="00DA4084">
        <w:rPr>
          <w:rStyle w:val="CharAmPartText"/>
        </w:rPr>
        <w:t>Main amendments</w:t>
      </w:r>
      <w:bookmarkEnd w:id="7"/>
    </w:p>
    <w:p w:rsidR="003E5367" w:rsidRPr="00DA4084" w:rsidRDefault="003E5367" w:rsidP="00DA4084">
      <w:pPr>
        <w:pStyle w:val="ActHead9"/>
        <w:rPr>
          <w:i w:val="0"/>
        </w:rPr>
      </w:pPr>
      <w:bookmarkStart w:id="8" w:name="_Toc525650877"/>
      <w:r w:rsidRPr="00DA4084">
        <w:t>Corporations Act 2001</w:t>
      </w:r>
      <w:bookmarkEnd w:id="8"/>
    </w:p>
    <w:p w:rsidR="00CF2B99" w:rsidRPr="00DA4084" w:rsidRDefault="009B6B78" w:rsidP="00DA4084">
      <w:pPr>
        <w:pStyle w:val="ItemHead"/>
      </w:pPr>
      <w:r w:rsidRPr="00DA4084">
        <w:t>1</w:t>
      </w:r>
      <w:r w:rsidR="00CF2B99" w:rsidRPr="00DA4084">
        <w:t xml:space="preserve">  Section</w:t>
      </w:r>
      <w:r w:rsidR="00DA4084" w:rsidRPr="00DA4084">
        <w:t> </w:t>
      </w:r>
      <w:r w:rsidR="00CF2B99" w:rsidRPr="00DA4084">
        <w:t>9</w:t>
      </w:r>
    </w:p>
    <w:p w:rsidR="00CF2B99" w:rsidRPr="00DA4084" w:rsidRDefault="00CF2B99" w:rsidP="00DA4084">
      <w:pPr>
        <w:pStyle w:val="Item"/>
      </w:pPr>
      <w:r w:rsidRPr="00DA4084">
        <w:t>Insert:</w:t>
      </w:r>
    </w:p>
    <w:p w:rsidR="006E2D4C" w:rsidRPr="00DA4084" w:rsidRDefault="006E2D4C" w:rsidP="00DA4084">
      <w:pPr>
        <w:pStyle w:val="Definition"/>
      </w:pPr>
      <w:r w:rsidRPr="00DA4084">
        <w:rPr>
          <w:b/>
          <w:i/>
        </w:rPr>
        <w:t>CSF audit threshold</w:t>
      </w:r>
      <w:r w:rsidRPr="00DA4084">
        <w:t xml:space="preserve"> means:</w:t>
      </w:r>
    </w:p>
    <w:p w:rsidR="006E2D4C" w:rsidRPr="00DA4084" w:rsidRDefault="006E2D4C" w:rsidP="00DA4084">
      <w:pPr>
        <w:pStyle w:val="paragraph"/>
      </w:pPr>
      <w:r w:rsidRPr="00DA4084">
        <w:tab/>
        <w:t>(a)</w:t>
      </w:r>
      <w:r w:rsidRPr="00DA4084">
        <w:tab/>
        <w:t xml:space="preserve">unless </w:t>
      </w:r>
      <w:r w:rsidR="00DA4084" w:rsidRPr="00DA4084">
        <w:t>paragraph (</w:t>
      </w:r>
      <w:r w:rsidRPr="00DA4084">
        <w:t>b) applies—$3 million; or</w:t>
      </w:r>
    </w:p>
    <w:p w:rsidR="006E2D4C" w:rsidRPr="00DA4084" w:rsidRDefault="006E2D4C" w:rsidP="00DA4084">
      <w:pPr>
        <w:pStyle w:val="paragraph"/>
      </w:pPr>
      <w:r w:rsidRPr="00DA4084">
        <w:tab/>
        <w:t>(b)</w:t>
      </w:r>
      <w:r w:rsidRPr="00DA4084">
        <w:tab/>
        <w:t>any amount prescribed by the regulations for the purposes of this paragraph.</w:t>
      </w:r>
    </w:p>
    <w:p w:rsidR="00B326D0" w:rsidRPr="00DA4084" w:rsidRDefault="00B326D0" w:rsidP="00DA4084">
      <w:pPr>
        <w:pStyle w:val="Definition"/>
      </w:pPr>
      <w:r w:rsidRPr="00DA4084">
        <w:rPr>
          <w:b/>
          <w:i/>
        </w:rPr>
        <w:t>CSF shareholder</w:t>
      </w:r>
      <w:r w:rsidRPr="00DA4084">
        <w:t>, of a proprietary company, means an entity that holds one or more securities of the company due to being issued with the securities pursuant to a CSF offer by the company.</w:t>
      </w:r>
    </w:p>
    <w:p w:rsidR="00E8019E" w:rsidRPr="00DA4084" w:rsidRDefault="009B6B78" w:rsidP="00DA4084">
      <w:pPr>
        <w:pStyle w:val="ItemHead"/>
      </w:pPr>
      <w:r w:rsidRPr="00DA4084">
        <w:t>2</w:t>
      </w:r>
      <w:r w:rsidR="00E8019E" w:rsidRPr="00DA4084">
        <w:t xml:space="preserve">  Subsection</w:t>
      </w:r>
      <w:r w:rsidR="00DA4084" w:rsidRPr="00DA4084">
        <w:t> </w:t>
      </w:r>
      <w:r w:rsidR="00E8019E" w:rsidRPr="00DA4084">
        <w:t>45A(1) (note 2)</w:t>
      </w:r>
    </w:p>
    <w:p w:rsidR="00E8019E" w:rsidRPr="00DA4084" w:rsidRDefault="00E8019E" w:rsidP="00DA4084">
      <w:pPr>
        <w:pStyle w:val="Item"/>
      </w:pPr>
      <w:r w:rsidRPr="00DA4084">
        <w:t>Repeal the note, substitute:</w:t>
      </w:r>
    </w:p>
    <w:p w:rsidR="00E8019E" w:rsidRPr="00DA4084" w:rsidRDefault="00E8019E" w:rsidP="00DA4084">
      <w:pPr>
        <w:pStyle w:val="notetext"/>
      </w:pPr>
      <w:r w:rsidRPr="00DA4084">
        <w:t>Note 2:</w:t>
      </w:r>
      <w:r w:rsidRPr="00DA4084">
        <w:tab/>
        <w:t>A proprietary company needs to be limited by shares or be an unlimited company with a share capital (see subsection</w:t>
      </w:r>
      <w:r w:rsidR="00DA4084" w:rsidRPr="00DA4084">
        <w:t> </w:t>
      </w:r>
      <w:r w:rsidRPr="00DA4084">
        <w:t>112(1)).</w:t>
      </w:r>
    </w:p>
    <w:p w:rsidR="00E8019E" w:rsidRPr="00DA4084" w:rsidRDefault="00E8019E" w:rsidP="00DA4084">
      <w:pPr>
        <w:pStyle w:val="notetext"/>
      </w:pPr>
      <w:r w:rsidRPr="00DA4084">
        <w:t>Note 3:</w:t>
      </w:r>
      <w:r w:rsidRPr="00DA4084">
        <w:tab/>
        <w:t>A proprietary company needs to:</w:t>
      </w:r>
    </w:p>
    <w:p w:rsidR="00E8019E" w:rsidRPr="00DA4084" w:rsidRDefault="00E8019E" w:rsidP="00DA4084">
      <w:pPr>
        <w:pStyle w:val="notepara"/>
      </w:pPr>
      <w:r w:rsidRPr="00DA4084">
        <w:t>(a)</w:t>
      </w:r>
      <w:r w:rsidRPr="00DA4084">
        <w:tab/>
        <w:t>have no more than 50 shareholders, although employee shareholders and shareholders connected with CSF offers do not count for this purpose; and</w:t>
      </w:r>
    </w:p>
    <w:p w:rsidR="00E8019E" w:rsidRPr="00DA4084" w:rsidRDefault="00E8019E" w:rsidP="00DA4084">
      <w:pPr>
        <w:pStyle w:val="notepara"/>
      </w:pPr>
      <w:r w:rsidRPr="00DA4084">
        <w:t>(b)</w:t>
      </w:r>
      <w:r w:rsidRPr="00DA4084">
        <w:tab/>
        <w:t>not do anything to require disclosure to investors under Chapter</w:t>
      </w:r>
      <w:r w:rsidR="00DA4084" w:rsidRPr="00DA4084">
        <w:t> </w:t>
      </w:r>
      <w:r w:rsidRPr="00DA4084">
        <w:t>6D (except in limited circumstances);</w:t>
      </w:r>
    </w:p>
    <w:p w:rsidR="00E8019E" w:rsidRPr="00DA4084" w:rsidRDefault="00E8019E" w:rsidP="00DA4084">
      <w:pPr>
        <w:pStyle w:val="notepara"/>
      </w:pPr>
      <w:r w:rsidRPr="00DA4084">
        <w:t>(see section</w:t>
      </w:r>
      <w:r w:rsidR="00DA4084" w:rsidRPr="00DA4084">
        <w:t> </w:t>
      </w:r>
      <w:r w:rsidRPr="00DA4084">
        <w:t>113).</w:t>
      </w:r>
    </w:p>
    <w:p w:rsidR="00752C5E" w:rsidRPr="00DA4084" w:rsidRDefault="009B6B78" w:rsidP="00DA4084">
      <w:pPr>
        <w:pStyle w:val="ItemHead"/>
      </w:pPr>
      <w:r w:rsidRPr="00DA4084">
        <w:t>3</w:t>
      </w:r>
      <w:r w:rsidR="00752C5E" w:rsidRPr="00DA4084">
        <w:t xml:space="preserve">  Paragraph 2.1 of the small business guide in Part</w:t>
      </w:r>
      <w:r w:rsidR="00DA4084" w:rsidRPr="00DA4084">
        <w:t> </w:t>
      </w:r>
      <w:r w:rsidR="00752C5E" w:rsidRPr="00DA4084">
        <w:t>1.5</w:t>
      </w:r>
    </w:p>
    <w:p w:rsidR="00752C5E" w:rsidRPr="00DA4084" w:rsidRDefault="00752C5E" w:rsidP="00DA4084">
      <w:pPr>
        <w:pStyle w:val="Item"/>
      </w:pPr>
      <w:r w:rsidRPr="00DA4084">
        <w:t xml:space="preserve">After “not counting employee shareholders”, </w:t>
      </w:r>
      <w:r w:rsidR="007C0866" w:rsidRPr="00DA4084">
        <w:t xml:space="preserve">insert “, </w:t>
      </w:r>
      <w:r w:rsidRPr="00DA4084">
        <w:t>CSF shareholders</w:t>
      </w:r>
      <w:r w:rsidR="007C0866" w:rsidRPr="00DA4084">
        <w:t>, or holders of shares issued pursuant to CSF offers that have yet to be traded in certain ways</w:t>
      </w:r>
      <w:r w:rsidRPr="00DA4084">
        <w:t>”.</w:t>
      </w:r>
    </w:p>
    <w:p w:rsidR="00E24DFF" w:rsidRPr="00DA4084" w:rsidRDefault="009B6B78" w:rsidP="00DA4084">
      <w:pPr>
        <w:pStyle w:val="ItemHead"/>
      </w:pPr>
      <w:r w:rsidRPr="00DA4084">
        <w:t>4</w:t>
      </w:r>
      <w:r w:rsidR="00E24DFF" w:rsidRPr="00DA4084">
        <w:t xml:space="preserve">  Paragraph 8</w:t>
      </w:r>
      <w:r w:rsidR="009149E3" w:rsidRPr="00DA4084">
        <w:t xml:space="preserve"> of the sm</w:t>
      </w:r>
      <w:r w:rsidR="00E24DFF" w:rsidRPr="00DA4084">
        <w:t>all business guide in Part</w:t>
      </w:r>
      <w:r w:rsidR="00DA4084" w:rsidRPr="00DA4084">
        <w:t> </w:t>
      </w:r>
      <w:r w:rsidR="00E24DFF" w:rsidRPr="00DA4084">
        <w:t>1.5</w:t>
      </w:r>
    </w:p>
    <w:p w:rsidR="00E24DFF" w:rsidRPr="00DA4084" w:rsidRDefault="00E24DFF" w:rsidP="00DA4084">
      <w:pPr>
        <w:pStyle w:val="Item"/>
      </w:pPr>
      <w:r w:rsidRPr="00DA4084">
        <w:t>After “own employees or shareholders”, insert “or under a CSF offer”.</w:t>
      </w:r>
    </w:p>
    <w:p w:rsidR="00694485" w:rsidRPr="00DA4084" w:rsidRDefault="009B6B78" w:rsidP="00DA4084">
      <w:pPr>
        <w:pStyle w:val="ItemHead"/>
      </w:pPr>
      <w:r w:rsidRPr="00DA4084">
        <w:lastRenderedPageBreak/>
        <w:t>5</w:t>
      </w:r>
      <w:r w:rsidR="00694485" w:rsidRPr="00DA4084">
        <w:t xml:space="preserve">  Paragraph 10.3 of the small business guide in Part</w:t>
      </w:r>
      <w:r w:rsidR="00DA4084" w:rsidRPr="00DA4084">
        <w:t> </w:t>
      </w:r>
      <w:r w:rsidR="00694485" w:rsidRPr="00DA4084">
        <w:t>1.5</w:t>
      </w:r>
    </w:p>
    <w:p w:rsidR="00694485" w:rsidRPr="00DA4084" w:rsidRDefault="00694485" w:rsidP="00DA4084">
      <w:pPr>
        <w:pStyle w:val="Item"/>
      </w:pPr>
      <w:r w:rsidRPr="00DA4084">
        <w:t>Omit:</w:t>
      </w:r>
    </w:p>
    <w:p w:rsidR="00694485" w:rsidRPr="00DA4084" w:rsidRDefault="00694485" w:rsidP="00DA4084">
      <w:pPr>
        <w:pStyle w:val="parabullet"/>
        <w:rPr>
          <w:sz w:val="22"/>
          <w:szCs w:val="22"/>
        </w:rPr>
      </w:pPr>
      <w:r w:rsidRPr="00DA4084">
        <w:rPr>
          <w:sz w:val="22"/>
          <w:szCs w:val="22"/>
        </w:rPr>
        <w:t>•</w:t>
      </w:r>
      <w:r w:rsidRPr="00DA4084">
        <w:rPr>
          <w:sz w:val="22"/>
          <w:szCs w:val="22"/>
        </w:rPr>
        <w:tab/>
        <w:t>ASIC directs it to do so.</w:t>
      </w:r>
    </w:p>
    <w:p w:rsidR="00694485" w:rsidRPr="00DA4084" w:rsidRDefault="00694485" w:rsidP="00DA4084">
      <w:pPr>
        <w:pStyle w:val="Item"/>
        <w:rPr>
          <w:szCs w:val="22"/>
        </w:rPr>
      </w:pPr>
      <w:r w:rsidRPr="00DA4084">
        <w:rPr>
          <w:szCs w:val="22"/>
        </w:rPr>
        <w:t>substitute:</w:t>
      </w:r>
    </w:p>
    <w:p w:rsidR="00877E76" w:rsidRPr="00DA4084" w:rsidRDefault="00877E76" w:rsidP="00DA4084">
      <w:pPr>
        <w:pStyle w:val="parabullet"/>
        <w:rPr>
          <w:sz w:val="22"/>
          <w:szCs w:val="22"/>
        </w:rPr>
      </w:pPr>
      <w:r w:rsidRPr="00DA4084">
        <w:rPr>
          <w:sz w:val="22"/>
          <w:szCs w:val="22"/>
        </w:rPr>
        <w:t>•</w:t>
      </w:r>
      <w:r w:rsidRPr="00DA4084">
        <w:rPr>
          <w:sz w:val="22"/>
          <w:szCs w:val="22"/>
        </w:rPr>
        <w:tab/>
        <w:t>ASIC directs it to do so; or</w:t>
      </w:r>
    </w:p>
    <w:p w:rsidR="00877E76" w:rsidRPr="00DA4084" w:rsidRDefault="00877E76" w:rsidP="00DA4084">
      <w:pPr>
        <w:pStyle w:val="parabullet"/>
        <w:rPr>
          <w:sz w:val="22"/>
          <w:szCs w:val="22"/>
        </w:rPr>
      </w:pPr>
      <w:r w:rsidRPr="00DA4084">
        <w:rPr>
          <w:sz w:val="22"/>
          <w:szCs w:val="22"/>
        </w:rPr>
        <w:t>•</w:t>
      </w:r>
      <w:r w:rsidRPr="00DA4084">
        <w:rPr>
          <w:sz w:val="22"/>
          <w:szCs w:val="22"/>
        </w:rPr>
        <w:tab/>
      </w:r>
      <w:r w:rsidR="00D56AB7" w:rsidRPr="00DA4084">
        <w:rPr>
          <w:sz w:val="22"/>
          <w:szCs w:val="22"/>
        </w:rPr>
        <w:t>it has one or more CSF shareholders at any time during the financial year</w:t>
      </w:r>
      <w:r w:rsidRPr="00DA4084">
        <w:rPr>
          <w:sz w:val="22"/>
          <w:szCs w:val="22"/>
        </w:rPr>
        <w:t>.</w:t>
      </w:r>
    </w:p>
    <w:p w:rsidR="005215A0" w:rsidRPr="00DA4084" w:rsidRDefault="009B6B78" w:rsidP="00DA4084">
      <w:pPr>
        <w:pStyle w:val="ItemHead"/>
      </w:pPr>
      <w:r w:rsidRPr="00DA4084">
        <w:t>6</w:t>
      </w:r>
      <w:r w:rsidR="005215A0" w:rsidRPr="00DA4084">
        <w:t xml:space="preserve">  At the end of subsection</w:t>
      </w:r>
      <w:r w:rsidR="00DA4084" w:rsidRPr="00DA4084">
        <w:t> </w:t>
      </w:r>
      <w:r w:rsidR="005215A0" w:rsidRPr="00DA4084">
        <w:t>113(2)</w:t>
      </w:r>
    </w:p>
    <w:p w:rsidR="005215A0" w:rsidRPr="00DA4084" w:rsidRDefault="005215A0" w:rsidP="00DA4084">
      <w:pPr>
        <w:pStyle w:val="Item"/>
      </w:pPr>
      <w:r w:rsidRPr="00DA4084">
        <w:t>Add:</w:t>
      </w:r>
    </w:p>
    <w:p w:rsidR="005215A0" w:rsidRPr="00DA4084" w:rsidRDefault="005215A0" w:rsidP="00DA4084">
      <w:pPr>
        <w:pStyle w:val="paragraph"/>
      </w:pPr>
      <w:r w:rsidRPr="00DA4084">
        <w:tab/>
      </w:r>
      <w:r w:rsidR="00473D2E" w:rsidRPr="00DA4084">
        <w:t xml:space="preserve">; and </w:t>
      </w:r>
      <w:r w:rsidRPr="00DA4084">
        <w:t>(c)</w:t>
      </w:r>
      <w:r w:rsidRPr="00DA4084">
        <w:tab/>
      </w:r>
      <w:r w:rsidR="00473D2E" w:rsidRPr="00DA4084">
        <w:t xml:space="preserve">do not count </w:t>
      </w:r>
      <w:r w:rsidR="0096788F" w:rsidRPr="00DA4084">
        <w:t xml:space="preserve">as a shareholder any </w:t>
      </w:r>
      <w:r w:rsidR="00473D2E" w:rsidRPr="00DA4084">
        <w:t>CSF shareholder</w:t>
      </w:r>
      <w:r w:rsidR="0096788F" w:rsidRPr="00DA4084">
        <w:t xml:space="preserve"> of the company</w:t>
      </w:r>
      <w:r w:rsidR="00473D2E" w:rsidRPr="00DA4084">
        <w:t>; and</w:t>
      </w:r>
    </w:p>
    <w:p w:rsidR="00681111" w:rsidRPr="00DA4084" w:rsidRDefault="00473D2E" w:rsidP="00DA4084">
      <w:pPr>
        <w:pStyle w:val="paragraph"/>
      </w:pPr>
      <w:r w:rsidRPr="00DA4084">
        <w:tab/>
        <w:t>(d)</w:t>
      </w:r>
      <w:r w:rsidRPr="00DA4084">
        <w:tab/>
      </w:r>
      <w:r w:rsidR="00681111" w:rsidRPr="00DA4084">
        <w:t xml:space="preserve">do not count </w:t>
      </w:r>
      <w:r w:rsidR="0096788F" w:rsidRPr="00DA4084">
        <w:t xml:space="preserve">as a shareholder </w:t>
      </w:r>
      <w:r w:rsidR="00681111" w:rsidRPr="00DA4084">
        <w:t>an entity, in relation to a security of the company held by the entity, if:</w:t>
      </w:r>
    </w:p>
    <w:p w:rsidR="00681111" w:rsidRPr="00DA4084" w:rsidRDefault="00681111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that security was originally issued to another entity pursuant to a CSF offer by the company; and</w:t>
      </w:r>
    </w:p>
    <w:p w:rsidR="00F135E5" w:rsidRPr="00DA4084" w:rsidRDefault="00F135E5" w:rsidP="00DA4084">
      <w:pPr>
        <w:pStyle w:val="paragraphsub"/>
      </w:pPr>
      <w:r w:rsidRPr="00DA4084">
        <w:tab/>
        <w:t>(ii)</w:t>
      </w:r>
      <w:r w:rsidRPr="00DA4084">
        <w:tab/>
      </w:r>
      <w:r w:rsidR="00D13388" w:rsidRPr="00DA4084">
        <w:t>unless the circumstances (if any) prescribed by the regulations for the purposes of this subparagraph exist—</w:t>
      </w:r>
      <w:r w:rsidRPr="00DA4084">
        <w:t>no securities of the company have been traded on a financial market</w:t>
      </w:r>
      <w:r w:rsidR="00DC6C36" w:rsidRPr="00DA4084">
        <w:t xml:space="preserve"> (whether in Australia or elsewhere)</w:t>
      </w:r>
      <w:r w:rsidRPr="00DA4084">
        <w:t>; and</w:t>
      </w:r>
    </w:p>
    <w:p w:rsidR="002F7255" w:rsidRPr="00DA4084" w:rsidRDefault="002F7255" w:rsidP="00DA4084">
      <w:pPr>
        <w:pStyle w:val="paragraphsub"/>
      </w:pPr>
      <w:r w:rsidRPr="00DA4084">
        <w:tab/>
        <w:t>(iii)</w:t>
      </w:r>
      <w:r w:rsidRPr="00DA4084">
        <w:tab/>
      </w:r>
      <w:r w:rsidR="00F135E5" w:rsidRPr="00DA4084">
        <w:t>all the other requirements (if any) prescribed by the regulations for the purposes of this subparagraph are met.</w:t>
      </w:r>
    </w:p>
    <w:p w:rsidR="000915DB" w:rsidRPr="00DA4084" w:rsidRDefault="009B6B78" w:rsidP="00DA4084">
      <w:pPr>
        <w:pStyle w:val="ItemHead"/>
      </w:pPr>
      <w:r w:rsidRPr="00DA4084">
        <w:t>7</w:t>
      </w:r>
      <w:r w:rsidR="000915DB" w:rsidRPr="00DA4084">
        <w:t xml:space="preserve">  Subsection</w:t>
      </w:r>
      <w:r w:rsidR="00DA4084" w:rsidRPr="00DA4084">
        <w:t> </w:t>
      </w:r>
      <w:r w:rsidR="000915DB" w:rsidRPr="00DA4084">
        <w:t>113(3)</w:t>
      </w:r>
    </w:p>
    <w:p w:rsidR="000915DB" w:rsidRPr="00DA4084" w:rsidRDefault="000915DB" w:rsidP="00DA4084">
      <w:pPr>
        <w:pStyle w:val="Item"/>
      </w:pPr>
      <w:r w:rsidRPr="00DA4084">
        <w:t>Repeal the subsection, substitute:</w:t>
      </w:r>
    </w:p>
    <w:p w:rsidR="000915DB" w:rsidRPr="00DA4084" w:rsidRDefault="000915DB" w:rsidP="00DA4084">
      <w:pPr>
        <w:pStyle w:val="subsection"/>
      </w:pPr>
      <w:r w:rsidRPr="00DA4084">
        <w:tab/>
        <w:t>(3)</w:t>
      </w:r>
      <w:r w:rsidRPr="00DA4084">
        <w:tab/>
        <w:t>A proprietary company must not engage in any activity that would require disclosure to investors under Chapter</w:t>
      </w:r>
      <w:r w:rsidR="00DA4084" w:rsidRPr="00DA4084">
        <w:t> </w:t>
      </w:r>
      <w:r w:rsidRPr="00DA4084">
        <w:t>6D, except for:</w:t>
      </w:r>
    </w:p>
    <w:p w:rsidR="000915DB" w:rsidRPr="00DA4084" w:rsidRDefault="000915DB" w:rsidP="00DA4084">
      <w:pPr>
        <w:pStyle w:val="paragraph"/>
      </w:pPr>
      <w:r w:rsidRPr="00DA4084">
        <w:tab/>
        <w:t>(a)</w:t>
      </w:r>
      <w:r w:rsidRPr="00DA4084">
        <w:tab/>
        <w:t>an offer of its shares to:</w:t>
      </w:r>
    </w:p>
    <w:p w:rsidR="000915DB" w:rsidRPr="00DA4084" w:rsidRDefault="000915DB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existing shareholders of the company; or</w:t>
      </w:r>
    </w:p>
    <w:p w:rsidR="000915DB" w:rsidRPr="00DA4084" w:rsidRDefault="000915DB" w:rsidP="00DA4084">
      <w:pPr>
        <w:pStyle w:val="paragraphsub"/>
      </w:pPr>
      <w:r w:rsidRPr="00DA4084">
        <w:tab/>
        <w:t>(ii)</w:t>
      </w:r>
      <w:r w:rsidRPr="00DA4084">
        <w:tab/>
        <w:t>employees of the company or of a subsidiary of the company; or</w:t>
      </w:r>
    </w:p>
    <w:p w:rsidR="000915DB" w:rsidRPr="00DA4084" w:rsidRDefault="000915DB" w:rsidP="00DA4084">
      <w:pPr>
        <w:pStyle w:val="paragraph"/>
      </w:pPr>
      <w:r w:rsidRPr="00DA4084">
        <w:tab/>
        <w:t>(b)</w:t>
      </w:r>
      <w:r w:rsidRPr="00DA4084">
        <w:tab/>
        <w:t>a CSF offer.</w:t>
      </w:r>
    </w:p>
    <w:p w:rsidR="00CD569A" w:rsidRPr="00DA4084" w:rsidRDefault="009B6B78" w:rsidP="00DA4084">
      <w:pPr>
        <w:pStyle w:val="ItemHead"/>
      </w:pPr>
      <w:r w:rsidRPr="00DA4084">
        <w:lastRenderedPageBreak/>
        <w:t>8</w:t>
      </w:r>
      <w:r w:rsidR="00CD569A" w:rsidRPr="00DA4084">
        <w:t xml:space="preserve">  Paragraph 117(2)(mc)</w:t>
      </w:r>
    </w:p>
    <w:p w:rsidR="00CD569A" w:rsidRPr="00DA4084" w:rsidRDefault="00CD569A" w:rsidP="00DA4084">
      <w:pPr>
        <w:pStyle w:val="Item"/>
      </w:pPr>
      <w:r w:rsidRPr="00DA4084">
        <w:t>Repeal the paragraph.</w:t>
      </w:r>
    </w:p>
    <w:p w:rsidR="00950357" w:rsidRPr="00DA4084" w:rsidRDefault="009B6B78" w:rsidP="00DA4084">
      <w:pPr>
        <w:pStyle w:val="ItemHead"/>
      </w:pPr>
      <w:r w:rsidRPr="00DA4084">
        <w:t>9</w:t>
      </w:r>
      <w:r w:rsidR="00950357" w:rsidRPr="00DA4084">
        <w:t xml:space="preserve">  Subparagraph</w:t>
      </w:r>
      <w:r w:rsidR="00AC380E" w:rsidRPr="00DA4084">
        <w:t>s</w:t>
      </w:r>
      <w:r w:rsidR="00DA4084" w:rsidRPr="00DA4084">
        <w:t> </w:t>
      </w:r>
      <w:r w:rsidR="00950357" w:rsidRPr="00DA4084">
        <w:t>163(2)(d)</w:t>
      </w:r>
      <w:r w:rsidR="00AC380E" w:rsidRPr="00DA4084">
        <w:t xml:space="preserve">(ii) and </w:t>
      </w:r>
      <w:r w:rsidR="00950357" w:rsidRPr="00DA4084">
        <w:t>(iii)</w:t>
      </w:r>
    </w:p>
    <w:p w:rsidR="00950357" w:rsidRPr="00DA4084" w:rsidRDefault="00950357" w:rsidP="00DA4084">
      <w:pPr>
        <w:pStyle w:val="Item"/>
      </w:pPr>
      <w:r w:rsidRPr="00DA4084">
        <w:t>Repeal the subparagraph</w:t>
      </w:r>
      <w:r w:rsidR="00AC380E" w:rsidRPr="00DA4084">
        <w:t>s, substitute:</w:t>
      </w:r>
    </w:p>
    <w:p w:rsidR="00AC380E" w:rsidRPr="00DA4084" w:rsidRDefault="00AC380E" w:rsidP="00DA4084">
      <w:pPr>
        <w:pStyle w:val="paragraphsub"/>
      </w:pPr>
      <w:r w:rsidRPr="00DA4084">
        <w:tab/>
        <w:t>(ii)</w:t>
      </w:r>
      <w:r w:rsidRPr="00DA4084">
        <w:tab/>
        <w:t>a copy of each document (including an agreement or consent) or resolution that is necessary to ascertain the rights attached to issued or unissued shares of the company.</w:t>
      </w:r>
    </w:p>
    <w:p w:rsidR="006C0C54" w:rsidRPr="00DA4084" w:rsidRDefault="009B6B78" w:rsidP="00DA4084">
      <w:pPr>
        <w:pStyle w:val="ItemHead"/>
      </w:pPr>
      <w:r w:rsidRPr="00DA4084">
        <w:t>10</w:t>
      </w:r>
      <w:r w:rsidR="006C0C54" w:rsidRPr="00DA4084">
        <w:t xml:space="preserve">  After subsection</w:t>
      </w:r>
      <w:r w:rsidR="00DA4084" w:rsidRPr="00DA4084">
        <w:t> </w:t>
      </w:r>
      <w:r w:rsidR="001A76FB" w:rsidRPr="00DA4084">
        <w:t>169(6</w:t>
      </w:r>
      <w:r w:rsidR="006C0C54" w:rsidRPr="00DA4084">
        <w:t>)</w:t>
      </w:r>
    </w:p>
    <w:p w:rsidR="006C0C54" w:rsidRPr="00DA4084" w:rsidRDefault="006C0C54" w:rsidP="00DA4084">
      <w:pPr>
        <w:pStyle w:val="Item"/>
      </w:pPr>
      <w:r w:rsidRPr="00DA4084">
        <w:t>Insert:</w:t>
      </w:r>
    </w:p>
    <w:p w:rsidR="006C0C54" w:rsidRPr="00DA4084" w:rsidRDefault="006C0C54" w:rsidP="00DA4084">
      <w:pPr>
        <w:pStyle w:val="SubsectionHead"/>
      </w:pPr>
      <w:r w:rsidRPr="00DA4084">
        <w:t xml:space="preserve">Proprietary companies that have </w:t>
      </w:r>
      <w:r w:rsidR="008254AE" w:rsidRPr="00DA4084">
        <w:t>made CSF offers</w:t>
      </w:r>
    </w:p>
    <w:p w:rsidR="006C0C54" w:rsidRPr="00DA4084" w:rsidRDefault="001A76FB" w:rsidP="00DA4084">
      <w:pPr>
        <w:pStyle w:val="subsection"/>
      </w:pPr>
      <w:r w:rsidRPr="00DA4084">
        <w:tab/>
        <w:t>(6AA</w:t>
      </w:r>
      <w:r w:rsidR="006C0C54" w:rsidRPr="00DA4084">
        <w:t>)</w:t>
      </w:r>
      <w:r w:rsidR="006C0C54" w:rsidRPr="00DA4084">
        <w:tab/>
        <w:t xml:space="preserve">The register of a proprietary company that has </w:t>
      </w:r>
      <w:r w:rsidR="008254AE" w:rsidRPr="00DA4084">
        <w:t>made one or more</w:t>
      </w:r>
      <w:r w:rsidR="006C0C54" w:rsidRPr="00DA4084">
        <w:t xml:space="preserve"> CSF </w:t>
      </w:r>
      <w:r w:rsidR="008254AE" w:rsidRPr="00DA4084">
        <w:t>offers</w:t>
      </w:r>
      <w:r w:rsidR="006C0C54" w:rsidRPr="00DA4084">
        <w:t xml:space="preserve"> must also show:</w:t>
      </w:r>
    </w:p>
    <w:p w:rsidR="006C0C54" w:rsidRPr="00DA4084" w:rsidRDefault="006C0C54" w:rsidP="00DA4084">
      <w:pPr>
        <w:pStyle w:val="paragraph"/>
      </w:pPr>
      <w:r w:rsidRPr="00DA4084">
        <w:tab/>
        <w:t>(a)</w:t>
      </w:r>
      <w:r w:rsidRPr="00DA4084">
        <w:tab/>
      </w:r>
      <w:r w:rsidR="001A76FB" w:rsidRPr="00DA4084">
        <w:t>the</w:t>
      </w:r>
      <w:r w:rsidRPr="00DA4084">
        <w:t xml:space="preserve"> date on which </w:t>
      </w:r>
      <w:r w:rsidR="001A76FB" w:rsidRPr="00DA4084">
        <w:t xml:space="preserve">every issue of </w:t>
      </w:r>
      <w:r w:rsidRPr="00DA4084">
        <w:t xml:space="preserve">shares in the company </w:t>
      </w:r>
      <w:r w:rsidR="001A76FB" w:rsidRPr="00DA4084">
        <w:t xml:space="preserve">pursuant to each </w:t>
      </w:r>
      <w:r w:rsidRPr="00DA4084">
        <w:t>CSF offer</w:t>
      </w:r>
      <w:r w:rsidR="001A76FB" w:rsidRPr="00DA4084">
        <w:t xml:space="preserve"> takes place</w:t>
      </w:r>
      <w:r w:rsidRPr="00DA4084">
        <w:t>; and</w:t>
      </w:r>
    </w:p>
    <w:p w:rsidR="006C0C54" w:rsidRPr="00DA4084" w:rsidRDefault="006C0C54" w:rsidP="00DA4084">
      <w:pPr>
        <w:pStyle w:val="paragraph"/>
      </w:pPr>
      <w:r w:rsidRPr="00DA4084">
        <w:tab/>
        <w:t>(b)</w:t>
      </w:r>
      <w:r w:rsidRPr="00DA4084">
        <w:tab/>
        <w:t>the number of</w:t>
      </w:r>
      <w:r w:rsidR="00B36F89" w:rsidRPr="00DA4084">
        <w:t xml:space="preserve"> shares issued </w:t>
      </w:r>
      <w:r w:rsidR="001A76FB" w:rsidRPr="00DA4084">
        <w:t xml:space="preserve">pursuant to </w:t>
      </w:r>
      <w:r w:rsidR="00B36F89" w:rsidRPr="00DA4084">
        <w:t>each CSF offer; and</w:t>
      </w:r>
    </w:p>
    <w:p w:rsidR="00B36F89" w:rsidRPr="00DA4084" w:rsidRDefault="00B36F89" w:rsidP="00DA4084">
      <w:pPr>
        <w:pStyle w:val="paragraph"/>
      </w:pPr>
      <w:r w:rsidRPr="00DA4084">
        <w:tab/>
        <w:t>(c)</w:t>
      </w:r>
      <w:r w:rsidRPr="00DA4084">
        <w:tab/>
        <w:t xml:space="preserve">the shares issued to each member </w:t>
      </w:r>
      <w:r w:rsidR="001A76FB" w:rsidRPr="00DA4084">
        <w:t xml:space="preserve">pursuant to </w:t>
      </w:r>
      <w:r w:rsidRPr="00DA4084">
        <w:t>each CSF offer</w:t>
      </w:r>
      <w:r w:rsidR="00BC43ED" w:rsidRPr="00DA4084">
        <w:t>;</w:t>
      </w:r>
      <w:r w:rsidR="00B80C29" w:rsidRPr="00DA4084">
        <w:t xml:space="preserve"> and</w:t>
      </w:r>
    </w:p>
    <w:p w:rsidR="00B80C29" w:rsidRPr="00DA4084" w:rsidRDefault="00B80C29" w:rsidP="00DA4084">
      <w:pPr>
        <w:pStyle w:val="paragraph"/>
      </w:pPr>
      <w:r w:rsidRPr="00DA4084">
        <w:tab/>
        <w:t>(d)</w:t>
      </w:r>
      <w:r w:rsidRPr="00DA4084">
        <w:tab/>
        <w:t xml:space="preserve">the date </w:t>
      </w:r>
      <w:r w:rsidR="009A470E" w:rsidRPr="00DA4084">
        <w:t>on which</w:t>
      </w:r>
      <w:r w:rsidRPr="00DA4084">
        <w:t xml:space="preserve"> an entity ceases to be a CSF shareholder of the company for a particular share in the company;</w:t>
      </w:r>
    </w:p>
    <w:p w:rsidR="00BC43ED" w:rsidRPr="00DA4084" w:rsidRDefault="00BC43ED" w:rsidP="00DA4084">
      <w:pPr>
        <w:pStyle w:val="subsection2"/>
      </w:pPr>
      <w:r w:rsidRPr="00DA4084">
        <w:t xml:space="preserve">during any period </w:t>
      </w:r>
      <w:r w:rsidR="009A470E" w:rsidRPr="00DA4084">
        <w:t>in which</w:t>
      </w:r>
      <w:r w:rsidRPr="00DA4084">
        <w:t xml:space="preserve"> the c</w:t>
      </w:r>
      <w:r w:rsidR="009A470E" w:rsidRPr="00DA4084">
        <w:t>ompany has one or more CSF shareholders</w:t>
      </w:r>
      <w:r w:rsidRPr="00DA4084">
        <w:t>.</w:t>
      </w:r>
    </w:p>
    <w:p w:rsidR="00B36F89" w:rsidRPr="00DA4084" w:rsidRDefault="009B6B78" w:rsidP="00DA4084">
      <w:pPr>
        <w:pStyle w:val="ItemHead"/>
      </w:pPr>
      <w:r w:rsidRPr="00DA4084">
        <w:t>11</w:t>
      </w:r>
      <w:r w:rsidR="001277EF" w:rsidRPr="00DA4084">
        <w:t xml:space="preserve">  At the end of paragraph</w:t>
      </w:r>
      <w:r w:rsidR="00DA4084" w:rsidRPr="00DA4084">
        <w:t> </w:t>
      </w:r>
      <w:r w:rsidR="001277EF" w:rsidRPr="00DA4084">
        <w:t>178A(1)(b)</w:t>
      </w:r>
    </w:p>
    <w:p w:rsidR="001277EF" w:rsidRPr="00DA4084" w:rsidRDefault="001277EF" w:rsidP="00DA4084">
      <w:pPr>
        <w:pStyle w:val="Item"/>
      </w:pPr>
      <w:r w:rsidRPr="00DA4084">
        <w:t>Add:</w:t>
      </w:r>
    </w:p>
    <w:p w:rsidR="001277EF" w:rsidRPr="00DA4084" w:rsidRDefault="001277EF" w:rsidP="00DA4084">
      <w:pPr>
        <w:pStyle w:val="paragraphsub"/>
      </w:pPr>
      <w:r w:rsidRPr="00DA4084">
        <w:tab/>
        <w:t>; (ix)</w:t>
      </w:r>
      <w:r w:rsidRPr="00DA4084">
        <w:tab/>
        <w:t>subsection</w:t>
      </w:r>
      <w:r w:rsidR="00DA4084" w:rsidRPr="00DA4084">
        <w:t> </w:t>
      </w:r>
      <w:r w:rsidRPr="00DA4084">
        <w:t>169(6</w:t>
      </w:r>
      <w:r w:rsidR="002642E3" w:rsidRPr="00DA4084">
        <w:t>AA</w:t>
      </w:r>
      <w:r w:rsidRPr="00DA4084">
        <w:t>) (shares issued as a result of CSF offers).</w:t>
      </w:r>
    </w:p>
    <w:p w:rsidR="001277EF" w:rsidRPr="00DA4084" w:rsidRDefault="009B6B78" w:rsidP="00DA4084">
      <w:pPr>
        <w:pStyle w:val="ItemHead"/>
      </w:pPr>
      <w:r w:rsidRPr="00DA4084">
        <w:t>12</w:t>
      </w:r>
      <w:r w:rsidR="001277EF" w:rsidRPr="00DA4084">
        <w:t xml:space="preserve">  </w:t>
      </w:r>
      <w:r w:rsidR="007B3201" w:rsidRPr="00DA4084">
        <w:t>At the end of subsection</w:t>
      </w:r>
      <w:r w:rsidR="00DA4084" w:rsidRPr="00DA4084">
        <w:t> </w:t>
      </w:r>
      <w:r w:rsidR="007B3201" w:rsidRPr="00DA4084">
        <w:t>178C(1)</w:t>
      </w:r>
    </w:p>
    <w:p w:rsidR="007B3201" w:rsidRPr="00DA4084" w:rsidRDefault="007B3201" w:rsidP="00DA4084">
      <w:pPr>
        <w:pStyle w:val="Item"/>
      </w:pPr>
      <w:r w:rsidRPr="00DA4084">
        <w:t>Add:</w:t>
      </w:r>
    </w:p>
    <w:p w:rsidR="007B3201" w:rsidRPr="00DA4084" w:rsidRDefault="007B3201" w:rsidP="00DA4084">
      <w:pPr>
        <w:pStyle w:val="paragraph"/>
      </w:pPr>
      <w:r w:rsidRPr="00DA4084">
        <w:tab/>
        <w:t>; (d)</w:t>
      </w:r>
      <w:r w:rsidRPr="00DA4084">
        <w:tab/>
      </w:r>
      <w:r w:rsidR="00791201" w:rsidRPr="00DA4084">
        <w:t>that</w:t>
      </w:r>
      <w:r w:rsidRPr="00DA4084">
        <w:t xml:space="preserve"> the company </w:t>
      </w:r>
      <w:r w:rsidR="00D20055" w:rsidRPr="00DA4084">
        <w:t xml:space="preserve">has </w:t>
      </w:r>
      <w:r w:rsidRPr="00DA4084">
        <w:t>start</w:t>
      </w:r>
      <w:r w:rsidR="00D20055" w:rsidRPr="00DA4084">
        <w:t>ed</w:t>
      </w:r>
      <w:r w:rsidRPr="00DA4084">
        <w:t xml:space="preserve"> to have one or more CSF shareholders;</w:t>
      </w:r>
    </w:p>
    <w:p w:rsidR="007B3201" w:rsidRPr="00DA4084" w:rsidRDefault="00791201" w:rsidP="00DA4084">
      <w:pPr>
        <w:pStyle w:val="paragraph"/>
      </w:pPr>
      <w:r w:rsidRPr="00DA4084">
        <w:tab/>
        <w:t>(e)</w:t>
      </w:r>
      <w:r w:rsidRPr="00DA4084">
        <w:tab/>
        <w:t>that</w:t>
      </w:r>
      <w:r w:rsidR="007B3201" w:rsidRPr="00DA4084">
        <w:t xml:space="preserve"> the company has ceased to have any CSF shareholders.</w:t>
      </w:r>
    </w:p>
    <w:p w:rsidR="005B02FE" w:rsidRPr="00DA4084" w:rsidRDefault="009B6B78" w:rsidP="00DA4084">
      <w:pPr>
        <w:pStyle w:val="ItemHead"/>
      </w:pPr>
      <w:r w:rsidRPr="00DA4084">
        <w:lastRenderedPageBreak/>
        <w:t>13</w:t>
      </w:r>
      <w:r w:rsidR="005B02FE" w:rsidRPr="00DA4084">
        <w:t xml:space="preserve">  After subsection</w:t>
      </w:r>
      <w:r w:rsidR="00DA4084" w:rsidRPr="00DA4084">
        <w:t> </w:t>
      </w:r>
      <w:r w:rsidR="005B02FE" w:rsidRPr="00DA4084">
        <w:t>201A(1)</w:t>
      </w:r>
    </w:p>
    <w:p w:rsidR="005B02FE" w:rsidRPr="00DA4084" w:rsidRDefault="005B02FE" w:rsidP="00DA4084">
      <w:pPr>
        <w:pStyle w:val="Item"/>
      </w:pPr>
      <w:r w:rsidRPr="00DA4084">
        <w:t>Insert:</w:t>
      </w:r>
    </w:p>
    <w:p w:rsidR="00DF652D" w:rsidRPr="00DA4084" w:rsidRDefault="00DF652D" w:rsidP="00DA4084">
      <w:pPr>
        <w:pStyle w:val="subsection"/>
      </w:pPr>
      <w:r w:rsidRPr="00DA4084">
        <w:tab/>
        <w:t>(1A)</w:t>
      </w:r>
      <w:r w:rsidRPr="00DA4084">
        <w:tab/>
        <w:t>However, a proprietary company must have at least 2 directors while the company has one or more CSF shareholders. Of those directors:</w:t>
      </w:r>
    </w:p>
    <w:p w:rsidR="00DF652D" w:rsidRPr="00DA4084" w:rsidRDefault="00DF652D" w:rsidP="00DA4084">
      <w:pPr>
        <w:pStyle w:val="paragraph"/>
      </w:pPr>
      <w:r w:rsidRPr="00DA4084">
        <w:tab/>
        <w:t>(a)</w:t>
      </w:r>
      <w:r w:rsidRPr="00DA4084">
        <w:tab/>
        <w:t>if there are only 2 of them—at least one of them must ordinarily reside in Australia; or</w:t>
      </w:r>
    </w:p>
    <w:p w:rsidR="00DF652D" w:rsidRPr="00DA4084" w:rsidRDefault="00DF652D" w:rsidP="00DA4084">
      <w:pPr>
        <w:pStyle w:val="paragraph"/>
      </w:pPr>
      <w:r w:rsidRPr="00DA4084">
        <w:tab/>
        <w:t>(b)</w:t>
      </w:r>
      <w:r w:rsidRPr="00DA4084">
        <w:tab/>
        <w:t>otherwise—a majority of them must ordinarily reside in Australia.</w:t>
      </w:r>
    </w:p>
    <w:p w:rsidR="00413C45" w:rsidRPr="00DA4084" w:rsidRDefault="00413C45" w:rsidP="00DA4084">
      <w:pPr>
        <w:pStyle w:val="notetext"/>
      </w:pPr>
      <w:r w:rsidRPr="00DA4084">
        <w:t>Note:</w:t>
      </w:r>
      <w:r w:rsidRPr="00DA4084">
        <w:tab/>
        <w:t>The company must also have at least 2 directors when making the CSF offer (see paragraph</w:t>
      </w:r>
      <w:r w:rsidR="00DA4084" w:rsidRPr="00DA4084">
        <w:t> </w:t>
      </w:r>
      <w:r w:rsidRPr="00DA4084">
        <w:t>738H(1)(a)).</w:t>
      </w:r>
    </w:p>
    <w:p w:rsidR="0084072B" w:rsidRPr="00DA4084" w:rsidRDefault="009B6B78" w:rsidP="00DA4084">
      <w:pPr>
        <w:pStyle w:val="ItemHead"/>
      </w:pPr>
      <w:r w:rsidRPr="00DA4084">
        <w:t>14</w:t>
      </w:r>
      <w:r w:rsidR="0084072B" w:rsidRPr="00DA4084">
        <w:t xml:space="preserve">  At the end of subsection</w:t>
      </w:r>
      <w:r w:rsidR="00DA4084" w:rsidRPr="00DA4084">
        <w:t> </w:t>
      </w:r>
      <w:r w:rsidR="0084072B" w:rsidRPr="00DA4084">
        <w:t>254X(1)</w:t>
      </w:r>
      <w:r w:rsidR="00791201" w:rsidRPr="00DA4084">
        <w:t xml:space="preserve"> (before the notes)</w:t>
      </w:r>
    </w:p>
    <w:p w:rsidR="0084072B" w:rsidRPr="00DA4084" w:rsidRDefault="0084072B" w:rsidP="00DA4084">
      <w:pPr>
        <w:pStyle w:val="Item"/>
      </w:pPr>
      <w:r w:rsidRPr="00DA4084">
        <w:t>Add:</w:t>
      </w:r>
    </w:p>
    <w:p w:rsidR="0084072B" w:rsidRPr="00DA4084" w:rsidRDefault="0084072B" w:rsidP="00DA4084">
      <w:pPr>
        <w:pStyle w:val="paragraph"/>
      </w:pPr>
      <w:r w:rsidRPr="00DA4084">
        <w:tab/>
        <w:t>; and (f)</w:t>
      </w:r>
      <w:r w:rsidRPr="00DA4084">
        <w:tab/>
        <w:t xml:space="preserve">if the company is a proprietary company and the shares are issued </w:t>
      </w:r>
      <w:r w:rsidR="00D1344D" w:rsidRPr="00DA4084">
        <w:t>pursuant to</w:t>
      </w:r>
      <w:r w:rsidRPr="00DA4084">
        <w:t xml:space="preserve"> a CSF offer—that the company has </w:t>
      </w:r>
      <w:r w:rsidR="00963C7B" w:rsidRPr="00DA4084">
        <w:t xml:space="preserve">one or more </w:t>
      </w:r>
      <w:r w:rsidRPr="00DA4084">
        <w:t>CSF shareholders as a result of the issuing of the shares.</w:t>
      </w:r>
    </w:p>
    <w:p w:rsidR="0084072B" w:rsidRPr="00DA4084" w:rsidRDefault="009B6B78" w:rsidP="00DA4084">
      <w:pPr>
        <w:pStyle w:val="ItemHead"/>
      </w:pPr>
      <w:r w:rsidRPr="00DA4084">
        <w:t>15</w:t>
      </w:r>
      <w:r w:rsidR="0084072B" w:rsidRPr="00DA4084">
        <w:t xml:space="preserve">  At the end of subsection</w:t>
      </w:r>
      <w:r w:rsidR="00DA4084" w:rsidRPr="00DA4084">
        <w:t> </w:t>
      </w:r>
      <w:r w:rsidR="0084072B" w:rsidRPr="00DA4084">
        <w:t>254Y(1) (before the note)</w:t>
      </w:r>
    </w:p>
    <w:p w:rsidR="0084072B" w:rsidRPr="00DA4084" w:rsidRDefault="0084072B" w:rsidP="00DA4084">
      <w:pPr>
        <w:pStyle w:val="Item"/>
      </w:pPr>
      <w:r w:rsidRPr="00DA4084">
        <w:t>Add:</w:t>
      </w:r>
    </w:p>
    <w:p w:rsidR="0084072B" w:rsidRPr="00DA4084" w:rsidRDefault="0084072B" w:rsidP="00DA4084">
      <w:pPr>
        <w:pStyle w:val="paragraph"/>
      </w:pPr>
      <w:r w:rsidRPr="00DA4084">
        <w:tab/>
        <w:t>; and (e)</w:t>
      </w:r>
      <w:r w:rsidRPr="00DA4084">
        <w:tab/>
        <w:t>if the company is a proprietary company that has made one or more CSF offers—whether the cancellation has resulted in the company ceasing to have any CSF shareholders.</w:t>
      </w:r>
    </w:p>
    <w:p w:rsidR="00F62178" w:rsidRPr="00DA4084" w:rsidRDefault="009B6B78" w:rsidP="00DA4084">
      <w:pPr>
        <w:pStyle w:val="ItemHead"/>
      </w:pPr>
      <w:r w:rsidRPr="00DA4084">
        <w:t>16</w:t>
      </w:r>
      <w:r w:rsidR="00F62178" w:rsidRPr="00DA4084">
        <w:t xml:space="preserve">  Subsection</w:t>
      </w:r>
      <w:r w:rsidR="00DA4084" w:rsidRPr="00DA4084">
        <w:t> </w:t>
      </w:r>
      <w:r w:rsidR="00F62178" w:rsidRPr="00DA4084">
        <w:t>285(1) (table item</w:t>
      </w:r>
      <w:r w:rsidR="00DA4084" w:rsidRPr="00DA4084">
        <w:t> </w:t>
      </w:r>
      <w:r w:rsidR="00F62178" w:rsidRPr="00DA4084">
        <w:t>3, column headed “comments”)</w:t>
      </w:r>
    </w:p>
    <w:p w:rsidR="00F62178" w:rsidRPr="00DA4084" w:rsidRDefault="00F62178" w:rsidP="00DA4084">
      <w:pPr>
        <w:pStyle w:val="Item"/>
      </w:pPr>
      <w:r w:rsidRPr="00DA4084">
        <w:t>Before “A small proprietary company”, insert “A small proprietary company preparing a financial report because it has CSF shareholders only has to have an audit if it has raised</w:t>
      </w:r>
      <w:r w:rsidR="001A0BF2" w:rsidRPr="00DA4084">
        <w:t xml:space="preserve"> </w:t>
      </w:r>
      <w:r w:rsidR="00DC6C36" w:rsidRPr="00DA4084">
        <w:t xml:space="preserve">a total equal to or exceeding </w:t>
      </w:r>
      <w:r w:rsidR="001A0BF2" w:rsidRPr="00DA4084">
        <w:t xml:space="preserve">the </w:t>
      </w:r>
      <w:r w:rsidR="00474BEE" w:rsidRPr="00DA4084">
        <w:t>CSF audit threshold</w:t>
      </w:r>
      <w:r w:rsidRPr="00DA4084">
        <w:t xml:space="preserve"> from CSF offers.”.</w:t>
      </w:r>
    </w:p>
    <w:p w:rsidR="00F62178" w:rsidRPr="00DA4084" w:rsidRDefault="009B6B78" w:rsidP="00DA4084">
      <w:pPr>
        <w:pStyle w:val="ItemHead"/>
      </w:pPr>
      <w:r w:rsidRPr="00DA4084">
        <w:t>17</w:t>
      </w:r>
      <w:r w:rsidR="00F62178" w:rsidRPr="00DA4084">
        <w:t xml:space="preserve">  Subsection</w:t>
      </w:r>
      <w:r w:rsidR="00DA4084" w:rsidRPr="00DA4084">
        <w:t> </w:t>
      </w:r>
      <w:r w:rsidR="00F62178" w:rsidRPr="00DA4084">
        <w:t>285(1) (table item</w:t>
      </w:r>
      <w:r w:rsidR="00DA4084" w:rsidRPr="00DA4084">
        <w:t> </w:t>
      </w:r>
      <w:r w:rsidR="00F62178" w:rsidRPr="00DA4084">
        <w:t>3, column headed “comments”)</w:t>
      </w:r>
    </w:p>
    <w:p w:rsidR="00F62178" w:rsidRPr="00DA4084" w:rsidRDefault="00F62178" w:rsidP="00DA4084">
      <w:pPr>
        <w:pStyle w:val="Item"/>
      </w:pPr>
      <w:r w:rsidRPr="00DA4084">
        <w:t>Omit “under s. 293 only”, substitute “under section</w:t>
      </w:r>
      <w:r w:rsidR="00DA4084" w:rsidRPr="00DA4084">
        <w:t> </w:t>
      </w:r>
      <w:r w:rsidRPr="00DA4084">
        <w:t xml:space="preserve">293 </w:t>
      </w:r>
      <w:r w:rsidR="00E0146A" w:rsidRPr="00DA4084">
        <w:t xml:space="preserve">usually </w:t>
      </w:r>
      <w:r w:rsidRPr="00DA4084">
        <w:t>only”.</w:t>
      </w:r>
    </w:p>
    <w:p w:rsidR="005012B2" w:rsidRPr="00DA4084" w:rsidRDefault="009B6B78" w:rsidP="00DA4084">
      <w:pPr>
        <w:pStyle w:val="ItemHead"/>
      </w:pPr>
      <w:r w:rsidRPr="00DA4084">
        <w:lastRenderedPageBreak/>
        <w:t>18</w:t>
      </w:r>
      <w:r w:rsidR="005012B2" w:rsidRPr="00DA4084">
        <w:t xml:space="preserve">  </w:t>
      </w:r>
      <w:r w:rsidR="00176FC6" w:rsidRPr="00DA4084">
        <w:t>After paragraph</w:t>
      </w:r>
      <w:r w:rsidR="00DA4084" w:rsidRPr="00DA4084">
        <w:t> </w:t>
      </w:r>
      <w:r w:rsidR="00176FC6" w:rsidRPr="00DA4084">
        <w:t>292(2)(b)</w:t>
      </w:r>
    </w:p>
    <w:p w:rsidR="00176FC6" w:rsidRPr="00DA4084" w:rsidRDefault="00176FC6" w:rsidP="00DA4084">
      <w:pPr>
        <w:pStyle w:val="Item"/>
      </w:pPr>
      <w:r w:rsidRPr="00DA4084">
        <w:t>Insert:</w:t>
      </w:r>
    </w:p>
    <w:p w:rsidR="00176FC6" w:rsidRPr="00DA4084" w:rsidRDefault="00176FC6" w:rsidP="00DA4084">
      <w:pPr>
        <w:pStyle w:val="paragraph"/>
      </w:pPr>
      <w:r w:rsidRPr="00DA4084">
        <w:tab/>
        <w:t>; or (c)</w:t>
      </w:r>
      <w:r w:rsidRPr="00DA4084">
        <w:tab/>
        <w:t xml:space="preserve">it has </w:t>
      </w:r>
      <w:r w:rsidR="00D1344D" w:rsidRPr="00DA4084">
        <w:t>one or more</w:t>
      </w:r>
      <w:r w:rsidRPr="00DA4084">
        <w:t xml:space="preserve"> CSF shareholder</w:t>
      </w:r>
      <w:r w:rsidR="00D1344D" w:rsidRPr="00DA4084">
        <w:t>s</w:t>
      </w:r>
      <w:r w:rsidRPr="00DA4084">
        <w:t xml:space="preserve"> at any tim</w:t>
      </w:r>
      <w:r w:rsidR="00D1344D" w:rsidRPr="00DA4084">
        <w:t>e during the financial year.</w:t>
      </w:r>
    </w:p>
    <w:p w:rsidR="00B80D24" w:rsidRPr="00DA4084" w:rsidRDefault="009B6B78" w:rsidP="00DA4084">
      <w:pPr>
        <w:pStyle w:val="ItemHead"/>
      </w:pPr>
      <w:r w:rsidRPr="00DA4084">
        <w:t>19</w:t>
      </w:r>
      <w:r w:rsidR="00B80D24" w:rsidRPr="00DA4084">
        <w:t xml:space="preserve">  At the end of subsection</w:t>
      </w:r>
      <w:r w:rsidR="00DA4084" w:rsidRPr="00DA4084">
        <w:t> </w:t>
      </w:r>
      <w:r w:rsidR="00B80D24" w:rsidRPr="00DA4084">
        <w:t>296(1A)</w:t>
      </w:r>
    </w:p>
    <w:p w:rsidR="00B80D24" w:rsidRPr="00DA4084" w:rsidRDefault="00B80D24" w:rsidP="00DA4084">
      <w:pPr>
        <w:pStyle w:val="Item"/>
      </w:pPr>
      <w:r w:rsidRPr="00DA4084">
        <w:t>Add:</w:t>
      </w:r>
    </w:p>
    <w:p w:rsidR="00B80D24" w:rsidRPr="00DA4084" w:rsidRDefault="00B80D24" w:rsidP="00DA4084">
      <w:pPr>
        <w:pStyle w:val="paragraph"/>
      </w:pPr>
      <w:r w:rsidRPr="00DA4084">
        <w:tab/>
        <w:t>; and (c)</w:t>
      </w:r>
      <w:r w:rsidRPr="00DA4084">
        <w:tab/>
        <w:t>paragraph</w:t>
      </w:r>
      <w:r w:rsidR="00DA4084" w:rsidRPr="00DA4084">
        <w:t> </w:t>
      </w:r>
      <w:r w:rsidRPr="00DA4084">
        <w:t>292(2)(c) (about having CSF shareholders) does not apply to the company for the financial year.</w:t>
      </w:r>
    </w:p>
    <w:p w:rsidR="008E347E" w:rsidRPr="00DA4084" w:rsidRDefault="009B6B78" w:rsidP="00DA4084">
      <w:pPr>
        <w:pStyle w:val="ItemHead"/>
      </w:pPr>
      <w:r w:rsidRPr="00DA4084">
        <w:t>20</w:t>
      </w:r>
      <w:r w:rsidR="008E347E" w:rsidRPr="00DA4084">
        <w:t xml:space="preserve">  </w:t>
      </w:r>
      <w:r w:rsidR="004613B7" w:rsidRPr="00DA4084">
        <w:t>Subsection</w:t>
      </w:r>
      <w:r w:rsidR="00DA4084" w:rsidRPr="00DA4084">
        <w:t> </w:t>
      </w:r>
      <w:r w:rsidR="004613B7" w:rsidRPr="00DA4084">
        <w:t>298(1AC)</w:t>
      </w:r>
    </w:p>
    <w:p w:rsidR="004613B7" w:rsidRPr="00DA4084" w:rsidRDefault="004613B7" w:rsidP="00DA4084">
      <w:pPr>
        <w:pStyle w:val="Item"/>
      </w:pPr>
      <w:r w:rsidRPr="00DA4084">
        <w:t>Repeal the subsection, substitute:</w:t>
      </w:r>
    </w:p>
    <w:p w:rsidR="004613B7" w:rsidRPr="00DA4084" w:rsidRDefault="004613B7" w:rsidP="00DA4084">
      <w:pPr>
        <w:pStyle w:val="subsection"/>
      </w:pPr>
      <w:r w:rsidRPr="00DA4084">
        <w:tab/>
        <w:t>(1AC)</w:t>
      </w:r>
      <w:r w:rsidRPr="00DA4084">
        <w:tab/>
        <w:t>This subsection covers a company if</w:t>
      </w:r>
      <w:r w:rsidR="00F70A91" w:rsidRPr="00DA4084">
        <w:t xml:space="preserve"> </w:t>
      </w:r>
      <w:r w:rsidRPr="00DA4084">
        <w:t xml:space="preserve">the company has not had its financial report for the </w:t>
      </w:r>
      <w:r w:rsidR="00F70A91" w:rsidRPr="00DA4084">
        <w:t xml:space="preserve">relevant </w:t>
      </w:r>
      <w:r w:rsidRPr="00DA4084">
        <w:t>financial year audited because subsection</w:t>
      </w:r>
      <w:r w:rsidR="00DA4084" w:rsidRPr="00DA4084">
        <w:t> </w:t>
      </w:r>
      <w:r w:rsidRPr="00DA4084">
        <w:t>301(2) or (5) exempts it from the requirement to do so under subsection</w:t>
      </w:r>
      <w:r w:rsidR="00DA4084" w:rsidRPr="00DA4084">
        <w:t> </w:t>
      </w:r>
      <w:r w:rsidRPr="00DA4084">
        <w:t>301(1).</w:t>
      </w:r>
    </w:p>
    <w:p w:rsidR="00666586" w:rsidRPr="00DA4084" w:rsidRDefault="009B6B78" w:rsidP="00DA4084">
      <w:pPr>
        <w:pStyle w:val="ItemHead"/>
      </w:pPr>
      <w:r w:rsidRPr="00DA4084">
        <w:t>21</w:t>
      </w:r>
      <w:r w:rsidR="00666586" w:rsidRPr="00DA4084">
        <w:t xml:space="preserve">  At the end of subsection</w:t>
      </w:r>
      <w:r w:rsidR="00DA4084" w:rsidRPr="00DA4084">
        <w:t> </w:t>
      </w:r>
      <w:r w:rsidR="00666586" w:rsidRPr="00DA4084">
        <w:t>298(3)</w:t>
      </w:r>
    </w:p>
    <w:p w:rsidR="00666586" w:rsidRPr="00DA4084" w:rsidRDefault="00666586" w:rsidP="00DA4084">
      <w:pPr>
        <w:pStyle w:val="Item"/>
      </w:pPr>
      <w:r w:rsidRPr="00DA4084">
        <w:t>Add:</w:t>
      </w:r>
    </w:p>
    <w:p w:rsidR="00666586" w:rsidRPr="00DA4084" w:rsidRDefault="00666586" w:rsidP="00DA4084">
      <w:pPr>
        <w:pStyle w:val="paragraph"/>
      </w:pPr>
      <w:r w:rsidRPr="00DA4084">
        <w:tab/>
        <w:t>; and (c)</w:t>
      </w:r>
      <w:r w:rsidRPr="00DA4084">
        <w:tab/>
        <w:t>paragraph</w:t>
      </w:r>
      <w:r w:rsidR="00DA4084" w:rsidRPr="00DA4084">
        <w:t> </w:t>
      </w:r>
      <w:r w:rsidRPr="00DA4084">
        <w:t>292(2)(c) (about having CSF shareholders) does not apply to the company for the financial year.</w:t>
      </w:r>
    </w:p>
    <w:p w:rsidR="00F23E63" w:rsidRPr="00DA4084" w:rsidRDefault="009B6B78" w:rsidP="00DA4084">
      <w:pPr>
        <w:pStyle w:val="ItemHead"/>
      </w:pPr>
      <w:r w:rsidRPr="00DA4084">
        <w:t>22</w:t>
      </w:r>
      <w:r w:rsidR="00F23E63" w:rsidRPr="00DA4084">
        <w:t xml:space="preserve">  </w:t>
      </w:r>
      <w:r w:rsidR="00437993" w:rsidRPr="00DA4084">
        <w:t>Subsection</w:t>
      </w:r>
      <w:r w:rsidR="00DA4084" w:rsidRPr="00DA4084">
        <w:t> </w:t>
      </w:r>
      <w:r w:rsidR="00F23E63" w:rsidRPr="00DA4084">
        <w:t>301(2)</w:t>
      </w:r>
    </w:p>
    <w:p w:rsidR="00F23E63" w:rsidRPr="00DA4084" w:rsidRDefault="00437993" w:rsidP="00DA4084">
      <w:pPr>
        <w:pStyle w:val="Item"/>
      </w:pPr>
      <w:r w:rsidRPr="00DA4084">
        <w:t>Repeal the subsection</w:t>
      </w:r>
      <w:r w:rsidR="00F23E63" w:rsidRPr="00DA4084">
        <w:t>, substitute:</w:t>
      </w:r>
    </w:p>
    <w:p w:rsidR="00C00967" w:rsidRPr="00DA4084" w:rsidRDefault="00437993" w:rsidP="00DA4084">
      <w:pPr>
        <w:pStyle w:val="SubsectionHead"/>
      </w:pPr>
      <w:r w:rsidRPr="00DA4084">
        <w:t>Small proprietary companies</w:t>
      </w:r>
    </w:p>
    <w:p w:rsidR="006F5E26" w:rsidRPr="00DA4084" w:rsidRDefault="006B387D" w:rsidP="00DA4084">
      <w:pPr>
        <w:pStyle w:val="subsection"/>
      </w:pPr>
      <w:r w:rsidRPr="00DA4084">
        <w:tab/>
        <w:t>(2)</w:t>
      </w:r>
      <w:r w:rsidRPr="00DA4084">
        <w:tab/>
      </w:r>
      <w:r w:rsidR="000C0974" w:rsidRPr="00DA4084">
        <w:t>A small proprietary company’s financial report for a financial year does not have to be audited if</w:t>
      </w:r>
      <w:r w:rsidR="006F5E26" w:rsidRPr="00DA4084">
        <w:t>:</w:t>
      </w:r>
    </w:p>
    <w:p w:rsidR="000C0974" w:rsidRPr="00DA4084" w:rsidRDefault="006F5E26" w:rsidP="00DA4084">
      <w:pPr>
        <w:pStyle w:val="paragraph"/>
      </w:pPr>
      <w:r w:rsidRPr="00DA4084">
        <w:tab/>
        <w:t>(a)</w:t>
      </w:r>
      <w:r w:rsidRPr="00DA4084">
        <w:tab/>
        <w:t xml:space="preserve">the report is required </w:t>
      </w:r>
      <w:r w:rsidR="00EF02D0" w:rsidRPr="00DA4084">
        <w:t>only because of</w:t>
      </w:r>
      <w:r w:rsidRPr="00DA4084">
        <w:t>:</w:t>
      </w:r>
    </w:p>
    <w:p w:rsidR="006B387D" w:rsidRPr="00DA4084" w:rsidRDefault="006B387D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paragraph</w:t>
      </w:r>
      <w:r w:rsidR="00DA4084" w:rsidRPr="00DA4084">
        <w:t> </w:t>
      </w:r>
      <w:r w:rsidRPr="00DA4084">
        <w:t>292(2)(c) (about having CSF shareholders);</w:t>
      </w:r>
      <w:r w:rsidR="00EF02D0" w:rsidRPr="00DA4084">
        <w:t xml:space="preserve"> or</w:t>
      </w:r>
    </w:p>
    <w:p w:rsidR="000C0974" w:rsidRPr="00DA4084" w:rsidRDefault="006F5E26" w:rsidP="00DA4084">
      <w:pPr>
        <w:pStyle w:val="paragraphsub"/>
      </w:pPr>
      <w:r w:rsidRPr="00DA4084">
        <w:tab/>
        <w:t>(</w:t>
      </w:r>
      <w:r w:rsidR="006B387D" w:rsidRPr="00DA4084">
        <w:t>i</w:t>
      </w:r>
      <w:r w:rsidRPr="00DA4084">
        <w:t>i</w:t>
      </w:r>
      <w:r w:rsidR="000C0974" w:rsidRPr="00DA4084">
        <w:t>)</w:t>
      </w:r>
      <w:r w:rsidR="000C0974" w:rsidRPr="00DA4084">
        <w:tab/>
        <w:t>a direction under section</w:t>
      </w:r>
      <w:r w:rsidR="00DA4084" w:rsidRPr="00DA4084">
        <w:t> </w:t>
      </w:r>
      <w:r w:rsidR="000C0974" w:rsidRPr="00DA4084">
        <w:t>293</w:t>
      </w:r>
      <w:r w:rsidR="006B387D" w:rsidRPr="00DA4084">
        <w:t>;</w:t>
      </w:r>
      <w:r w:rsidR="00EF02D0" w:rsidRPr="00DA4084">
        <w:t xml:space="preserve"> or</w:t>
      </w:r>
    </w:p>
    <w:p w:rsidR="006F5E26" w:rsidRPr="00DA4084" w:rsidRDefault="006F5E26" w:rsidP="00DA4084">
      <w:pPr>
        <w:pStyle w:val="paragraphsub"/>
      </w:pPr>
      <w:r w:rsidRPr="00DA4084">
        <w:tab/>
        <w:t>(ii</w:t>
      </w:r>
      <w:r w:rsidR="006B387D" w:rsidRPr="00DA4084">
        <w:t>i</w:t>
      </w:r>
      <w:r w:rsidRPr="00DA4084">
        <w:t>)</w:t>
      </w:r>
      <w:r w:rsidRPr="00DA4084">
        <w:tab/>
      </w:r>
      <w:r w:rsidR="006B387D" w:rsidRPr="00DA4084">
        <w:t>both paragraph</w:t>
      </w:r>
      <w:r w:rsidR="00DA4084" w:rsidRPr="00DA4084">
        <w:t> </w:t>
      </w:r>
      <w:r w:rsidR="006B387D" w:rsidRPr="00DA4084">
        <w:t>292(2)(c) and a direction under section</w:t>
      </w:r>
      <w:r w:rsidR="00DA4084" w:rsidRPr="00DA4084">
        <w:t> </w:t>
      </w:r>
      <w:r w:rsidR="006B387D" w:rsidRPr="00DA4084">
        <w:t>293</w:t>
      </w:r>
      <w:r w:rsidRPr="00DA4084">
        <w:t>; and</w:t>
      </w:r>
    </w:p>
    <w:p w:rsidR="006B387D" w:rsidRPr="00DA4084" w:rsidRDefault="006B387D" w:rsidP="00DA4084">
      <w:pPr>
        <w:pStyle w:val="paragraph"/>
      </w:pPr>
      <w:r w:rsidRPr="00DA4084">
        <w:tab/>
        <w:t>(b)</w:t>
      </w:r>
      <w:r w:rsidRPr="00DA4084">
        <w:tab/>
        <w:t xml:space="preserve">in a case where </w:t>
      </w:r>
      <w:r w:rsidR="00DA4084" w:rsidRPr="00DA4084">
        <w:t>subparagraph (</w:t>
      </w:r>
      <w:r w:rsidRPr="00DA4084">
        <w:t>a)(</w:t>
      </w:r>
      <w:proofErr w:type="spellStart"/>
      <w:r w:rsidRPr="00DA4084">
        <w:t>i</w:t>
      </w:r>
      <w:proofErr w:type="spellEnd"/>
      <w:r w:rsidRPr="00DA4084">
        <w:t xml:space="preserve">) or (iii) applies—as at the end of the financial year, the company has raised </w:t>
      </w:r>
      <w:r w:rsidR="007D3497" w:rsidRPr="00DA4084">
        <w:t xml:space="preserve">a total </w:t>
      </w:r>
      <w:r w:rsidRPr="00DA4084">
        <w:t xml:space="preserve">less </w:t>
      </w:r>
      <w:r w:rsidRPr="00DA4084">
        <w:lastRenderedPageBreak/>
        <w:t xml:space="preserve">than </w:t>
      </w:r>
      <w:r w:rsidR="001A0BF2" w:rsidRPr="00DA4084">
        <w:t xml:space="preserve">the </w:t>
      </w:r>
      <w:r w:rsidR="00474BEE" w:rsidRPr="00DA4084">
        <w:t>CSF audit threshold</w:t>
      </w:r>
      <w:r w:rsidRPr="00DA4084">
        <w:t xml:space="preserve"> from all </w:t>
      </w:r>
      <w:r w:rsidR="004B3CE2" w:rsidRPr="00DA4084">
        <w:t xml:space="preserve">the </w:t>
      </w:r>
      <w:r w:rsidRPr="00DA4084">
        <w:t xml:space="preserve">CSF offers it has </w:t>
      </w:r>
      <w:r w:rsidR="00EF02D0" w:rsidRPr="00DA4084">
        <w:t xml:space="preserve">ever </w:t>
      </w:r>
      <w:r w:rsidRPr="00DA4084">
        <w:t>made; and</w:t>
      </w:r>
    </w:p>
    <w:p w:rsidR="006F5E26" w:rsidRPr="00DA4084" w:rsidRDefault="006B387D" w:rsidP="00DA4084">
      <w:pPr>
        <w:pStyle w:val="paragraph"/>
      </w:pPr>
      <w:r w:rsidRPr="00DA4084">
        <w:tab/>
        <w:t>(c</w:t>
      </w:r>
      <w:r w:rsidR="006F5E26" w:rsidRPr="00DA4084">
        <w:t>)</w:t>
      </w:r>
      <w:r w:rsidR="006F5E26" w:rsidRPr="00DA4084">
        <w:tab/>
      </w:r>
      <w:r w:rsidRPr="00DA4084">
        <w:t xml:space="preserve">in a case where </w:t>
      </w:r>
      <w:r w:rsidR="00DA4084" w:rsidRPr="00DA4084">
        <w:t>subparagraph (</w:t>
      </w:r>
      <w:r w:rsidRPr="00DA4084">
        <w:t>a)(ii) or (iii) applies—</w:t>
      </w:r>
      <w:r w:rsidR="006F5E26" w:rsidRPr="00DA4084">
        <w:t>the direction did not ask for the financial report to be audited</w:t>
      </w:r>
      <w:r w:rsidRPr="00DA4084">
        <w:t>.</w:t>
      </w:r>
    </w:p>
    <w:p w:rsidR="00E04CC9" w:rsidRPr="00DA4084" w:rsidRDefault="009B6B78" w:rsidP="00DA4084">
      <w:pPr>
        <w:pStyle w:val="ItemHead"/>
      </w:pPr>
      <w:r w:rsidRPr="00DA4084">
        <w:t>23</w:t>
      </w:r>
      <w:r w:rsidR="00E04CC9" w:rsidRPr="00DA4084">
        <w:t xml:space="preserve">  Paragraph 314(1)(a)</w:t>
      </w:r>
    </w:p>
    <w:p w:rsidR="00E04CC9" w:rsidRPr="00DA4084" w:rsidRDefault="00E04CC9" w:rsidP="00DA4084">
      <w:pPr>
        <w:pStyle w:val="Item"/>
      </w:pPr>
      <w:r w:rsidRPr="00DA4084">
        <w:t>After “reports”, insert “(that are required to be prepared)”.</w:t>
      </w:r>
    </w:p>
    <w:p w:rsidR="00957B5C" w:rsidRPr="00DA4084" w:rsidRDefault="009B6B78" w:rsidP="00DA4084">
      <w:pPr>
        <w:pStyle w:val="ItemHead"/>
      </w:pPr>
      <w:r w:rsidRPr="00DA4084">
        <w:t>24</w:t>
      </w:r>
      <w:r w:rsidR="00947A35" w:rsidRPr="00DA4084">
        <w:t xml:space="preserve">  </w:t>
      </w:r>
      <w:r w:rsidR="00957B5C" w:rsidRPr="00DA4084">
        <w:t>Subsection</w:t>
      </w:r>
      <w:r w:rsidR="00DA4084" w:rsidRPr="00DA4084">
        <w:t> </w:t>
      </w:r>
      <w:r w:rsidR="00957B5C" w:rsidRPr="00DA4084">
        <w:t>314(1AF)</w:t>
      </w:r>
    </w:p>
    <w:p w:rsidR="00957B5C" w:rsidRPr="00DA4084" w:rsidRDefault="00957B5C" w:rsidP="00DA4084">
      <w:pPr>
        <w:pStyle w:val="Item"/>
      </w:pPr>
      <w:r w:rsidRPr="00DA4084">
        <w:t>Repeal the subsection, substitute:</w:t>
      </w:r>
    </w:p>
    <w:p w:rsidR="00957B5C" w:rsidRPr="00DA4084" w:rsidRDefault="00957B5C" w:rsidP="00DA4084">
      <w:pPr>
        <w:pStyle w:val="subsection"/>
      </w:pPr>
      <w:r w:rsidRPr="00DA4084">
        <w:tab/>
        <w:t>(1AF)</w:t>
      </w:r>
      <w:r w:rsidRPr="00DA4084">
        <w:tab/>
        <w:t>If a company:</w:t>
      </w:r>
    </w:p>
    <w:p w:rsidR="00957B5C" w:rsidRPr="00DA4084" w:rsidRDefault="00957B5C" w:rsidP="00DA4084">
      <w:pPr>
        <w:pStyle w:val="paragraph"/>
      </w:pPr>
      <w:r w:rsidRPr="00DA4084">
        <w:tab/>
        <w:t>(a)</w:t>
      </w:r>
      <w:r w:rsidRPr="00DA4084">
        <w:tab/>
      </w:r>
      <w:r w:rsidR="00B95E15" w:rsidRPr="00DA4084">
        <w:t xml:space="preserve">is a public company that </w:t>
      </w:r>
      <w:r w:rsidRPr="00DA4084">
        <w:t>is covered under section</w:t>
      </w:r>
      <w:r w:rsidR="00DA4084" w:rsidRPr="00DA4084">
        <w:t> </w:t>
      </w:r>
      <w:r w:rsidRPr="00DA4084">
        <w:t xml:space="preserve">738ZI at the end of the financial year mentioned in </w:t>
      </w:r>
      <w:r w:rsidR="00DA4084" w:rsidRPr="00DA4084">
        <w:t>subsection (</w:t>
      </w:r>
      <w:r w:rsidRPr="00DA4084">
        <w:t>1); or</w:t>
      </w:r>
    </w:p>
    <w:p w:rsidR="00957B5C" w:rsidRPr="00DA4084" w:rsidRDefault="00957B5C" w:rsidP="00DA4084">
      <w:pPr>
        <w:pStyle w:val="paragraph"/>
      </w:pPr>
      <w:r w:rsidRPr="00DA4084">
        <w:tab/>
        <w:t>(b)</w:t>
      </w:r>
      <w:r w:rsidRPr="00DA4084">
        <w:tab/>
      </w:r>
      <w:r w:rsidR="00B95E15" w:rsidRPr="00DA4084">
        <w:t xml:space="preserve">is a small proprietary company that </w:t>
      </w:r>
      <w:r w:rsidRPr="00DA4084">
        <w:t>has one or more CSF shareholders at any time during the financial year</w:t>
      </w:r>
      <w:r w:rsidR="00E04CC9" w:rsidRPr="00DA4084">
        <w:t xml:space="preserve"> mentioned in </w:t>
      </w:r>
      <w:r w:rsidR="00DA4084" w:rsidRPr="00DA4084">
        <w:t>subsection (</w:t>
      </w:r>
      <w:r w:rsidR="00E04CC9" w:rsidRPr="00DA4084">
        <w:t>1)</w:t>
      </w:r>
      <w:r w:rsidRPr="00DA4084">
        <w:t>;</w:t>
      </w:r>
    </w:p>
    <w:p w:rsidR="00957B5C" w:rsidRPr="00DA4084" w:rsidRDefault="00957B5C" w:rsidP="00DA4084">
      <w:pPr>
        <w:pStyle w:val="subsection2"/>
      </w:pPr>
      <w:r w:rsidRPr="00DA4084">
        <w:t xml:space="preserve">it may provide the reports, or the concise report, for that financial year by making a copy of the reports, or the concise report, readily accessible on a website. The company also need not comply with </w:t>
      </w:r>
      <w:r w:rsidR="00DA4084" w:rsidRPr="00DA4084">
        <w:t>subsection (</w:t>
      </w:r>
      <w:r w:rsidRPr="00DA4084">
        <w:t>1AB).</w:t>
      </w:r>
    </w:p>
    <w:p w:rsidR="00957B5C" w:rsidRPr="00DA4084" w:rsidRDefault="009B6B78" w:rsidP="00DA4084">
      <w:pPr>
        <w:pStyle w:val="ItemHead"/>
      </w:pPr>
      <w:r w:rsidRPr="00DA4084">
        <w:t>25</w:t>
      </w:r>
      <w:r w:rsidR="006E1F08" w:rsidRPr="00DA4084">
        <w:t xml:space="preserve">  </w:t>
      </w:r>
      <w:r w:rsidR="00957B5C" w:rsidRPr="00DA4084">
        <w:t>Subsection</w:t>
      </w:r>
      <w:r w:rsidR="00DA4084" w:rsidRPr="00DA4084">
        <w:t> </w:t>
      </w:r>
      <w:r w:rsidR="00957B5C" w:rsidRPr="00DA4084">
        <w:t>314(2A)</w:t>
      </w:r>
    </w:p>
    <w:p w:rsidR="00957B5C" w:rsidRPr="00DA4084" w:rsidRDefault="00957B5C" w:rsidP="00DA4084">
      <w:pPr>
        <w:pStyle w:val="Item"/>
      </w:pPr>
      <w:r w:rsidRPr="00DA4084">
        <w:t>Repeal the subsection, substitute:</w:t>
      </w:r>
    </w:p>
    <w:p w:rsidR="00957B5C" w:rsidRPr="00DA4084" w:rsidRDefault="00957B5C" w:rsidP="00DA4084">
      <w:pPr>
        <w:pStyle w:val="subsection"/>
      </w:pPr>
      <w:r w:rsidRPr="00DA4084">
        <w:tab/>
        <w:t>(2A)</w:t>
      </w:r>
      <w:r w:rsidRPr="00DA4084">
        <w:tab/>
        <w:t xml:space="preserve">If </w:t>
      </w:r>
      <w:r w:rsidR="00DA4084" w:rsidRPr="00DA4084">
        <w:t>paragraph (</w:t>
      </w:r>
      <w:r w:rsidRPr="00DA4084">
        <w:t xml:space="preserve">1AF)(a) or (b) applies to the company for the financial year mentioned in </w:t>
      </w:r>
      <w:r w:rsidR="00DA4084" w:rsidRPr="00DA4084">
        <w:t>subsection (</w:t>
      </w:r>
      <w:r w:rsidRPr="00DA4084">
        <w:t xml:space="preserve">1), apply </w:t>
      </w:r>
      <w:r w:rsidR="00DA4084" w:rsidRPr="00DA4084">
        <w:t>subsection (</w:t>
      </w:r>
      <w:r w:rsidRPr="00DA4084">
        <w:t>2) to the company in relation to that financial year with the following modifications:</w:t>
      </w:r>
    </w:p>
    <w:p w:rsidR="004500A9" w:rsidRPr="00DA4084" w:rsidRDefault="004500A9" w:rsidP="00DA4084">
      <w:pPr>
        <w:pStyle w:val="paragraph"/>
      </w:pPr>
      <w:r w:rsidRPr="00DA4084">
        <w:tab/>
        <w:t>(a)</w:t>
      </w:r>
      <w:r w:rsidRPr="00DA4084">
        <w:tab/>
        <w:t xml:space="preserve">insert the words “if the company’s financial report for the year is required to be audited—” at the start of each of </w:t>
      </w:r>
      <w:r w:rsidR="00DA4084" w:rsidRPr="00DA4084">
        <w:t>paragraphs (</w:t>
      </w:r>
      <w:r w:rsidRPr="00DA4084">
        <w:t>2)(c) and (d);</w:t>
      </w:r>
    </w:p>
    <w:p w:rsidR="009272A1" w:rsidRPr="00DA4084" w:rsidRDefault="00957B5C" w:rsidP="00DA4084">
      <w:pPr>
        <w:pStyle w:val="paragraph"/>
      </w:pPr>
      <w:r w:rsidRPr="00DA4084">
        <w:tab/>
        <w:t>(b)</w:t>
      </w:r>
      <w:r w:rsidRPr="00DA4084">
        <w:tab/>
      </w:r>
      <w:r w:rsidR="003F5F3C" w:rsidRPr="00DA4084">
        <w:t xml:space="preserve">omit the words “and that the full financial report and auditor’s report will be sent to the member free of charge if the member asks for them” in </w:t>
      </w:r>
      <w:r w:rsidR="00DA4084" w:rsidRPr="00DA4084">
        <w:t>paragraph (</w:t>
      </w:r>
      <w:r w:rsidR="003F5F3C" w:rsidRPr="00DA4084">
        <w:t>2)(e).</w:t>
      </w:r>
    </w:p>
    <w:p w:rsidR="002F2DE7" w:rsidRPr="00DA4084" w:rsidRDefault="009B6B78" w:rsidP="00DA4084">
      <w:pPr>
        <w:pStyle w:val="ItemHead"/>
      </w:pPr>
      <w:r w:rsidRPr="00DA4084">
        <w:t>26</w:t>
      </w:r>
      <w:r w:rsidR="002F2DE7" w:rsidRPr="00DA4084">
        <w:t xml:space="preserve">  Paragraph 319(2)(a)</w:t>
      </w:r>
    </w:p>
    <w:p w:rsidR="002F2DE7" w:rsidRPr="00DA4084" w:rsidRDefault="002F2DE7" w:rsidP="00DA4084">
      <w:pPr>
        <w:pStyle w:val="Item"/>
      </w:pPr>
      <w:r w:rsidRPr="00DA4084">
        <w:t>Repeal the paragraph, substitute:</w:t>
      </w:r>
    </w:p>
    <w:p w:rsidR="002F2DE7" w:rsidRPr="00DA4084" w:rsidRDefault="002F2DE7" w:rsidP="00DA4084">
      <w:pPr>
        <w:pStyle w:val="paragraph"/>
      </w:pPr>
      <w:r w:rsidRPr="00DA4084">
        <w:lastRenderedPageBreak/>
        <w:tab/>
        <w:t>(a)</w:t>
      </w:r>
      <w:r w:rsidRPr="00DA4084">
        <w:tab/>
        <w:t>a small proprietary company that prepares a report in response to:</w:t>
      </w:r>
    </w:p>
    <w:p w:rsidR="002F2DE7" w:rsidRPr="00DA4084" w:rsidRDefault="002F2DE7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a shareholder direction under section</w:t>
      </w:r>
      <w:r w:rsidR="00DA4084" w:rsidRPr="00DA4084">
        <w:t> </w:t>
      </w:r>
      <w:r w:rsidRPr="00DA4084">
        <w:t>293; or</w:t>
      </w:r>
    </w:p>
    <w:p w:rsidR="002F2DE7" w:rsidRPr="00DA4084" w:rsidRDefault="002F2DE7" w:rsidP="00DA4084">
      <w:pPr>
        <w:pStyle w:val="paragraphsub"/>
      </w:pPr>
      <w:r w:rsidRPr="00DA4084">
        <w:tab/>
        <w:t>(ii)</w:t>
      </w:r>
      <w:r w:rsidRPr="00DA4084">
        <w:tab/>
        <w:t>an ASIC direction under section</w:t>
      </w:r>
      <w:r w:rsidR="00DA4084" w:rsidRPr="00DA4084">
        <w:t> </w:t>
      </w:r>
      <w:r w:rsidRPr="00DA4084">
        <w:t>294;</w:t>
      </w:r>
    </w:p>
    <w:p w:rsidR="002F2DE7" w:rsidRPr="00DA4084" w:rsidRDefault="002F2DE7" w:rsidP="00DA4084">
      <w:pPr>
        <w:pStyle w:val="paragraph"/>
      </w:pPr>
      <w:r w:rsidRPr="00DA4084">
        <w:tab/>
      </w:r>
      <w:r w:rsidRPr="00DA4084">
        <w:tab/>
        <w:t>if paragraph</w:t>
      </w:r>
      <w:r w:rsidR="00DA4084" w:rsidRPr="00DA4084">
        <w:t> </w:t>
      </w:r>
      <w:r w:rsidRPr="00DA4084">
        <w:t>292(2)(c) (about having CSF shareholders) does not also apply to the company for the financial year; and</w:t>
      </w:r>
    </w:p>
    <w:p w:rsidR="00C0145A" w:rsidRPr="00DA4084" w:rsidRDefault="009B6B78" w:rsidP="00DA4084">
      <w:pPr>
        <w:pStyle w:val="ItemHead"/>
      </w:pPr>
      <w:r w:rsidRPr="00DA4084">
        <w:t>27</w:t>
      </w:r>
      <w:r w:rsidR="00C0145A" w:rsidRPr="00DA4084">
        <w:t xml:space="preserve">  Subsection</w:t>
      </w:r>
      <w:r w:rsidR="00DA4084" w:rsidRPr="00DA4084">
        <w:t> </w:t>
      </w:r>
      <w:r w:rsidR="00C0145A" w:rsidRPr="00DA4084">
        <w:t>324CH(1) (table items</w:t>
      </w:r>
      <w:r w:rsidR="00DA4084" w:rsidRPr="00DA4084">
        <w:t> </w:t>
      </w:r>
      <w:r w:rsidR="00C0145A" w:rsidRPr="00DA4084">
        <w:t>1 to 9)</w:t>
      </w:r>
    </w:p>
    <w:p w:rsidR="00C0145A" w:rsidRPr="00DA4084" w:rsidRDefault="00C0145A" w:rsidP="00DA4084">
      <w:pPr>
        <w:pStyle w:val="Item"/>
      </w:pPr>
      <w:r w:rsidRPr="00DA4084">
        <w:t>Omit “</w:t>
      </w:r>
      <w:r w:rsidR="00887DDF" w:rsidRPr="00DA4084">
        <w:t>the audited body is a smal</w:t>
      </w:r>
      <w:r w:rsidR="00E7726A" w:rsidRPr="00DA4084">
        <w:t>l proprietary company</w:t>
      </w:r>
      <w:r w:rsidRPr="00DA4084">
        <w:t>”, substitute</w:t>
      </w:r>
      <w:r w:rsidR="00CF7B68" w:rsidRPr="00DA4084">
        <w:t xml:space="preserve"> “</w:t>
      </w:r>
      <w:r w:rsidR="00DA4084" w:rsidRPr="00DA4084">
        <w:t>subsection (</w:t>
      </w:r>
      <w:r w:rsidR="00CF7B68" w:rsidRPr="00DA4084">
        <w:t>3A) (about small proprietary companies)</w:t>
      </w:r>
      <w:r w:rsidR="00887DDF" w:rsidRPr="00DA4084">
        <w:t xml:space="preserve"> applies to the audited body</w:t>
      </w:r>
      <w:r w:rsidR="00CF7B68" w:rsidRPr="00DA4084">
        <w:t>”</w:t>
      </w:r>
      <w:r w:rsidR="00A73B0F" w:rsidRPr="00DA4084">
        <w:t>.</w:t>
      </w:r>
    </w:p>
    <w:p w:rsidR="00C0145A" w:rsidRPr="00DA4084" w:rsidRDefault="009B6B78" w:rsidP="00DA4084">
      <w:pPr>
        <w:pStyle w:val="ItemHead"/>
      </w:pPr>
      <w:r w:rsidRPr="00DA4084">
        <w:t>28</w:t>
      </w:r>
      <w:r w:rsidR="00CF7B68" w:rsidRPr="00DA4084">
        <w:t xml:space="preserve">  After subsection</w:t>
      </w:r>
      <w:r w:rsidR="00DA4084" w:rsidRPr="00DA4084">
        <w:t> </w:t>
      </w:r>
      <w:r w:rsidR="00CF7B68" w:rsidRPr="00DA4084">
        <w:t>324CH(3)</w:t>
      </w:r>
    </w:p>
    <w:p w:rsidR="00CF7B68" w:rsidRPr="00DA4084" w:rsidRDefault="00CF7B68" w:rsidP="00DA4084">
      <w:pPr>
        <w:pStyle w:val="Item"/>
      </w:pPr>
      <w:r w:rsidRPr="00DA4084">
        <w:t>Insert:</w:t>
      </w:r>
    </w:p>
    <w:p w:rsidR="00CF7B68" w:rsidRPr="00DA4084" w:rsidRDefault="00CF7B68" w:rsidP="00DA4084">
      <w:pPr>
        <w:pStyle w:val="SubsectionHead"/>
      </w:pPr>
      <w:r w:rsidRPr="00DA4084">
        <w:t>Small proprietary companies</w:t>
      </w:r>
    </w:p>
    <w:p w:rsidR="00E7726A" w:rsidRPr="00DA4084" w:rsidRDefault="00CF7B68" w:rsidP="00DA4084">
      <w:pPr>
        <w:pStyle w:val="subsection"/>
      </w:pPr>
      <w:r w:rsidRPr="00DA4084">
        <w:tab/>
        <w:t>(3A)</w:t>
      </w:r>
      <w:r w:rsidRPr="00DA4084">
        <w:tab/>
        <w:t xml:space="preserve">This subsection </w:t>
      </w:r>
      <w:r w:rsidR="00887DDF" w:rsidRPr="00DA4084">
        <w:t>applies to an audited body</w:t>
      </w:r>
      <w:r w:rsidR="00E7726A" w:rsidRPr="00DA4084">
        <w:t xml:space="preserve"> for a financial year</w:t>
      </w:r>
      <w:r w:rsidR="00887DDF" w:rsidRPr="00DA4084">
        <w:t xml:space="preserve"> </w:t>
      </w:r>
      <w:r w:rsidR="00E7726A" w:rsidRPr="00DA4084">
        <w:t>if</w:t>
      </w:r>
      <w:r w:rsidR="00213153" w:rsidRPr="00DA4084">
        <w:t xml:space="preserve"> the body</w:t>
      </w:r>
      <w:r w:rsidR="00E7726A" w:rsidRPr="00DA4084">
        <w:t>:</w:t>
      </w:r>
    </w:p>
    <w:p w:rsidR="00CF7B68" w:rsidRPr="00DA4084" w:rsidRDefault="00E7726A" w:rsidP="00DA4084">
      <w:pPr>
        <w:pStyle w:val="paragraph"/>
      </w:pPr>
      <w:r w:rsidRPr="00DA4084">
        <w:tab/>
        <w:t>(a)</w:t>
      </w:r>
      <w:r w:rsidRPr="00DA4084">
        <w:tab/>
        <w:t>is</w:t>
      </w:r>
      <w:r w:rsidR="00887DDF" w:rsidRPr="00DA4084">
        <w:t xml:space="preserve"> a small proprietary company for the financial year</w:t>
      </w:r>
      <w:r w:rsidRPr="00DA4084">
        <w:t>;</w:t>
      </w:r>
      <w:r w:rsidR="00887DDF" w:rsidRPr="00DA4084">
        <w:t xml:space="preserve"> </w:t>
      </w:r>
      <w:r w:rsidRPr="00DA4084">
        <w:t>and</w:t>
      </w:r>
    </w:p>
    <w:p w:rsidR="00E7726A" w:rsidRPr="00DA4084" w:rsidRDefault="00E7726A" w:rsidP="00DA4084">
      <w:pPr>
        <w:pStyle w:val="paragraph"/>
      </w:pPr>
      <w:r w:rsidRPr="00DA4084">
        <w:tab/>
        <w:t>(b)</w:t>
      </w:r>
      <w:r w:rsidRPr="00DA4084">
        <w:tab/>
      </w:r>
      <w:r w:rsidR="00213153" w:rsidRPr="00DA4084">
        <w:t>either</w:t>
      </w:r>
      <w:r w:rsidRPr="00DA4084">
        <w:t>:</w:t>
      </w:r>
    </w:p>
    <w:p w:rsidR="00887DDF" w:rsidRPr="00DA4084" w:rsidRDefault="00887DDF" w:rsidP="00DA4084">
      <w:pPr>
        <w:pStyle w:val="paragraphsub"/>
      </w:pPr>
      <w:r w:rsidRPr="00DA4084">
        <w:tab/>
        <w:t>(</w:t>
      </w:r>
      <w:proofErr w:type="spellStart"/>
      <w:r w:rsidR="00E7726A" w:rsidRPr="00DA4084">
        <w:t>i</w:t>
      </w:r>
      <w:proofErr w:type="spellEnd"/>
      <w:r w:rsidRPr="00DA4084">
        <w:t>)</w:t>
      </w:r>
      <w:r w:rsidRPr="00DA4084">
        <w:tab/>
        <w:t>does not have any CSF shareholders at any time during the financial year; or</w:t>
      </w:r>
    </w:p>
    <w:p w:rsidR="00887DDF" w:rsidRPr="00DA4084" w:rsidRDefault="00E7726A" w:rsidP="00DA4084">
      <w:pPr>
        <w:pStyle w:val="paragraphsub"/>
      </w:pPr>
      <w:r w:rsidRPr="00DA4084">
        <w:tab/>
        <w:t>(ii</w:t>
      </w:r>
      <w:r w:rsidR="00887DDF" w:rsidRPr="00DA4084">
        <w:t>)</w:t>
      </w:r>
      <w:r w:rsidR="00887DDF" w:rsidRPr="00DA4084">
        <w:tab/>
        <w:t xml:space="preserve">has, as at the end of the financial year, raised a total less than </w:t>
      </w:r>
      <w:r w:rsidR="001A0BF2" w:rsidRPr="00DA4084">
        <w:t xml:space="preserve">the </w:t>
      </w:r>
      <w:r w:rsidR="00474BEE" w:rsidRPr="00DA4084">
        <w:t>CSF audit threshold</w:t>
      </w:r>
      <w:r w:rsidR="00887DDF" w:rsidRPr="00DA4084">
        <w:t xml:space="preserve"> from all the CSF offers it has ever made.</w:t>
      </w:r>
    </w:p>
    <w:p w:rsidR="000A44C8" w:rsidRPr="00DA4084" w:rsidRDefault="009B6B78" w:rsidP="00DA4084">
      <w:pPr>
        <w:pStyle w:val="ItemHead"/>
      </w:pPr>
      <w:r w:rsidRPr="00DA4084">
        <w:t>29</w:t>
      </w:r>
      <w:r w:rsidR="00E02C33" w:rsidRPr="00DA4084">
        <w:t xml:space="preserve">  Paragraph</w:t>
      </w:r>
      <w:r w:rsidR="00213153" w:rsidRPr="00DA4084">
        <w:t>s</w:t>
      </w:r>
      <w:r w:rsidR="00E02C33" w:rsidRPr="00DA4084">
        <w:t xml:space="preserve"> 324CI(e)</w:t>
      </w:r>
      <w:r w:rsidR="00213153" w:rsidRPr="00DA4084">
        <w:t>, 324CJ(e) and 324CK(e)</w:t>
      </w:r>
    </w:p>
    <w:p w:rsidR="00E02C33" w:rsidRPr="00DA4084" w:rsidRDefault="00E02C33" w:rsidP="00DA4084">
      <w:pPr>
        <w:pStyle w:val="Item"/>
      </w:pPr>
      <w:r w:rsidRPr="00DA4084">
        <w:t>Repeal the paragraph</w:t>
      </w:r>
      <w:r w:rsidR="00213153" w:rsidRPr="00DA4084">
        <w:t>s</w:t>
      </w:r>
      <w:r w:rsidRPr="00DA4084">
        <w:t>, substitute:</w:t>
      </w:r>
    </w:p>
    <w:p w:rsidR="00213153" w:rsidRPr="00DA4084" w:rsidRDefault="00E02C33" w:rsidP="00DA4084">
      <w:pPr>
        <w:pStyle w:val="paragraph"/>
      </w:pPr>
      <w:r w:rsidRPr="00DA4084">
        <w:tab/>
        <w:t>(e)</w:t>
      </w:r>
      <w:r w:rsidRPr="00DA4084">
        <w:tab/>
      </w:r>
      <w:r w:rsidR="00213153" w:rsidRPr="00DA4084">
        <w:t>subsection</w:t>
      </w:r>
      <w:r w:rsidR="00DA4084" w:rsidRPr="00DA4084">
        <w:t> </w:t>
      </w:r>
      <w:r w:rsidR="00213153" w:rsidRPr="00DA4084">
        <w:t>324CH(3A) (about small proprietary companies) does not apply to the audited body for the most recently ended financial year.</w:t>
      </w:r>
    </w:p>
    <w:p w:rsidR="006365FE" w:rsidRPr="00DA4084" w:rsidRDefault="009B6B78" w:rsidP="00DA4084">
      <w:pPr>
        <w:pStyle w:val="ItemHead"/>
      </w:pPr>
      <w:r w:rsidRPr="00DA4084">
        <w:t>30</w:t>
      </w:r>
      <w:r w:rsidR="006365FE" w:rsidRPr="00DA4084">
        <w:t xml:space="preserve">  Section</w:t>
      </w:r>
      <w:r w:rsidR="00DA4084" w:rsidRPr="00DA4084">
        <w:t> </w:t>
      </w:r>
      <w:r w:rsidR="006365FE" w:rsidRPr="00DA4084">
        <w:t>325</w:t>
      </w:r>
    </w:p>
    <w:p w:rsidR="006365FE" w:rsidRPr="00DA4084" w:rsidRDefault="006365FE" w:rsidP="00DA4084">
      <w:pPr>
        <w:pStyle w:val="Item"/>
      </w:pPr>
      <w:r w:rsidRPr="00DA4084">
        <w:t>Before “The”, insert “(1)”.</w:t>
      </w:r>
    </w:p>
    <w:p w:rsidR="006365FE" w:rsidRPr="00DA4084" w:rsidRDefault="009B6B78" w:rsidP="00DA4084">
      <w:pPr>
        <w:pStyle w:val="ItemHead"/>
      </w:pPr>
      <w:r w:rsidRPr="00DA4084">
        <w:t>31</w:t>
      </w:r>
      <w:r w:rsidR="006365FE" w:rsidRPr="00DA4084">
        <w:t xml:space="preserve">  At the end of section</w:t>
      </w:r>
      <w:r w:rsidR="00DA4084" w:rsidRPr="00DA4084">
        <w:t> </w:t>
      </w:r>
      <w:r w:rsidR="006365FE" w:rsidRPr="00DA4084">
        <w:t>325</w:t>
      </w:r>
    </w:p>
    <w:p w:rsidR="006365FE" w:rsidRPr="00DA4084" w:rsidRDefault="006365FE" w:rsidP="00DA4084">
      <w:pPr>
        <w:pStyle w:val="Item"/>
      </w:pPr>
      <w:r w:rsidRPr="00DA4084">
        <w:t>Add:</w:t>
      </w:r>
    </w:p>
    <w:p w:rsidR="00C00967" w:rsidRPr="00DA4084" w:rsidRDefault="006365FE" w:rsidP="00DA4084">
      <w:pPr>
        <w:pStyle w:val="subsection"/>
      </w:pPr>
      <w:r w:rsidRPr="00DA4084">
        <w:lastRenderedPageBreak/>
        <w:tab/>
        <w:t>(2)</w:t>
      </w:r>
      <w:r w:rsidRPr="00DA4084">
        <w:tab/>
      </w:r>
      <w:r w:rsidR="001047D0" w:rsidRPr="00DA4084">
        <w:t>T</w:t>
      </w:r>
      <w:r w:rsidRPr="00DA4084">
        <w:t xml:space="preserve">he directors of a proprietary company must </w:t>
      </w:r>
      <w:r w:rsidR="00F251AF" w:rsidRPr="00DA4084">
        <w:t xml:space="preserve">ensure </w:t>
      </w:r>
      <w:r w:rsidR="007D3497" w:rsidRPr="00DA4084">
        <w:t xml:space="preserve">that </w:t>
      </w:r>
      <w:r w:rsidR="00F251AF" w:rsidRPr="00DA4084">
        <w:t xml:space="preserve">there is an auditor </w:t>
      </w:r>
      <w:r w:rsidR="00B924AE" w:rsidRPr="00DA4084">
        <w:t>for</w:t>
      </w:r>
      <w:r w:rsidR="00F251AF" w:rsidRPr="00DA4084">
        <w:t xml:space="preserve"> the company </w:t>
      </w:r>
      <w:r w:rsidR="001047D0" w:rsidRPr="00DA4084">
        <w:t xml:space="preserve">at all times </w:t>
      </w:r>
      <w:r w:rsidR="0011280C" w:rsidRPr="00DA4084">
        <w:t>during the period:</w:t>
      </w:r>
    </w:p>
    <w:p w:rsidR="00517AD8" w:rsidRPr="00DA4084" w:rsidRDefault="00C00967" w:rsidP="00DA4084">
      <w:pPr>
        <w:pStyle w:val="paragraph"/>
      </w:pPr>
      <w:r w:rsidRPr="00DA4084">
        <w:tab/>
        <w:t>(a)</w:t>
      </w:r>
      <w:r w:rsidRPr="00DA4084">
        <w:tab/>
      </w:r>
      <w:r w:rsidR="00517AD8" w:rsidRPr="00DA4084">
        <w:t>starting 1 month after:</w:t>
      </w:r>
    </w:p>
    <w:p w:rsidR="00517AD8" w:rsidRPr="00DA4084" w:rsidRDefault="00517AD8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 xml:space="preserve">the </w:t>
      </w:r>
      <w:r w:rsidR="0011280C" w:rsidRPr="00DA4084">
        <w:t>time the</w:t>
      </w:r>
      <w:r w:rsidR="00B924AE" w:rsidRPr="00DA4084">
        <w:t xml:space="preserve"> company </w:t>
      </w:r>
      <w:r w:rsidR="00E942B8" w:rsidRPr="00DA4084">
        <w:t xml:space="preserve">first </w:t>
      </w:r>
      <w:r w:rsidR="001047D0" w:rsidRPr="00DA4084">
        <w:t>raise</w:t>
      </w:r>
      <w:r w:rsidR="007D3497" w:rsidRPr="00DA4084">
        <w:t>s</w:t>
      </w:r>
      <w:r w:rsidR="00B924AE" w:rsidRPr="00DA4084">
        <w:t xml:space="preserve"> </w:t>
      </w:r>
      <w:r w:rsidR="001047D0" w:rsidRPr="00DA4084">
        <w:t xml:space="preserve">a total </w:t>
      </w:r>
      <w:r w:rsidR="001A0BF2" w:rsidRPr="00DA4084">
        <w:t>equal to</w:t>
      </w:r>
      <w:r w:rsidR="001047D0" w:rsidRPr="00DA4084">
        <w:t xml:space="preserve"> </w:t>
      </w:r>
      <w:r w:rsidR="00E942B8" w:rsidRPr="00DA4084">
        <w:t xml:space="preserve">or exceeding </w:t>
      </w:r>
      <w:r w:rsidR="001A0BF2" w:rsidRPr="00DA4084">
        <w:t xml:space="preserve">the </w:t>
      </w:r>
      <w:r w:rsidR="00474BEE" w:rsidRPr="00DA4084">
        <w:t>CSF audit threshold</w:t>
      </w:r>
      <w:r w:rsidR="00B924AE" w:rsidRPr="00DA4084">
        <w:t xml:space="preserve"> from all </w:t>
      </w:r>
      <w:r w:rsidR="001C77E1" w:rsidRPr="00DA4084">
        <w:t xml:space="preserve">the </w:t>
      </w:r>
      <w:r w:rsidR="00B924AE" w:rsidRPr="00DA4084">
        <w:t xml:space="preserve">CSF offers it has </w:t>
      </w:r>
      <w:r w:rsidR="007D3497" w:rsidRPr="00DA4084">
        <w:t xml:space="preserve">ever </w:t>
      </w:r>
      <w:r w:rsidR="00B924AE" w:rsidRPr="00DA4084">
        <w:t xml:space="preserve">made; </w:t>
      </w:r>
      <w:r w:rsidRPr="00DA4084">
        <w:t>or</w:t>
      </w:r>
    </w:p>
    <w:p w:rsidR="0011280C" w:rsidRPr="00DA4084" w:rsidRDefault="00517AD8" w:rsidP="00DA4084">
      <w:pPr>
        <w:pStyle w:val="paragraphsub"/>
      </w:pPr>
      <w:r w:rsidRPr="00DA4084">
        <w:tab/>
        <w:t>(ii)</w:t>
      </w:r>
      <w:r w:rsidRPr="00DA4084">
        <w:tab/>
        <w:t xml:space="preserve">if the period starting because of </w:t>
      </w:r>
      <w:r w:rsidR="00DA4084" w:rsidRPr="00DA4084">
        <w:t>subparagraph (</w:t>
      </w:r>
      <w:proofErr w:type="spellStart"/>
      <w:r w:rsidRPr="00DA4084">
        <w:t>i</w:t>
      </w:r>
      <w:proofErr w:type="spellEnd"/>
      <w:r w:rsidRPr="00DA4084">
        <w:t xml:space="preserve">), or because of an earlier operation of this subparagraph, has ended—the time the company makes a later CSF offer; </w:t>
      </w:r>
      <w:r w:rsidR="0011280C" w:rsidRPr="00DA4084">
        <w:t>and</w:t>
      </w:r>
    </w:p>
    <w:p w:rsidR="00FE3080" w:rsidRPr="00DA4084" w:rsidRDefault="00FE3080" w:rsidP="00DA4084">
      <w:pPr>
        <w:pStyle w:val="paragraph"/>
      </w:pPr>
      <w:r w:rsidRPr="00DA4084">
        <w:tab/>
        <w:t>(b)</w:t>
      </w:r>
      <w:r w:rsidRPr="00DA4084">
        <w:tab/>
        <w:t xml:space="preserve">when the company ceases to have any CSF shareholders at a later time in a particular financial year—ending </w:t>
      </w:r>
      <w:r w:rsidR="00E62C3C" w:rsidRPr="00DA4084">
        <w:t>when</w:t>
      </w:r>
      <w:r w:rsidRPr="00DA4084">
        <w:t xml:space="preserve"> the company’s financial report for that financial year has been audited.</w:t>
      </w:r>
    </w:p>
    <w:p w:rsidR="001047D0" w:rsidRPr="00DA4084" w:rsidRDefault="001047D0" w:rsidP="00DA4084">
      <w:pPr>
        <w:pStyle w:val="subsection"/>
      </w:pPr>
      <w:r w:rsidRPr="00DA4084">
        <w:tab/>
        <w:t>(3)</w:t>
      </w:r>
      <w:r w:rsidRPr="00DA4084">
        <w:tab/>
        <w:t xml:space="preserve">However, </w:t>
      </w:r>
      <w:r w:rsidR="00DA4084" w:rsidRPr="00DA4084">
        <w:t>subsection (</w:t>
      </w:r>
      <w:r w:rsidR="001C77E1" w:rsidRPr="00DA4084">
        <w:t>2) does not apply for</w:t>
      </w:r>
      <w:r w:rsidRPr="00DA4084">
        <w:t xml:space="preserve"> any period </w:t>
      </w:r>
      <w:r w:rsidR="00E703FE" w:rsidRPr="00DA4084">
        <w:t xml:space="preserve">of </w:t>
      </w:r>
      <w:r w:rsidRPr="00DA4084">
        <w:t>1 month</w:t>
      </w:r>
      <w:r w:rsidR="00E703FE" w:rsidRPr="00DA4084">
        <w:t xml:space="preserve"> or less starting</w:t>
      </w:r>
      <w:r w:rsidRPr="00DA4084">
        <w:t xml:space="preserve"> </w:t>
      </w:r>
      <w:r w:rsidR="003646E9" w:rsidRPr="00DA4084">
        <w:t>when</w:t>
      </w:r>
      <w:r w:rsidRPr="00DA4084">
        <w:t xml:space="preserve"> a vacancy occurs in the office of auditor of the company (however that vacancy is caused).</w:t>
      </w:r>
    </w:p>
    <w:p w:rsidR="001C77E1" w:rsidRPr="00DA4084" w:rsidRDefault="001C77E1" w:rsidP="00DA4084">
      <w:pPr>
        <w:pStyle w:val="subsection"/>
      </w:pPr>
      <w:r w:rsidRPr="00DA4084">
        <w:tab/>
        <w:t>(4</w:t>
      </w:r>
      <w:r w:rsidR="00C9658B" w:rsidRPr="00DA4084">
        <w:t>)</w:t>
      </w:r>
      <w:r w:rsidR="00C9658B" w:rsidRPr="00DA4084">
        <w:tab/>
        <w:t xml:space="preserve">A director of a company must take all reasonable steps to comply with, or to secure compliance with, </w:t>
      </w:r>
      <w:r w:rsidR="00DA4084" w:rsidRPr="00DA4084">
        <w:t>subsection (</w:t>
      </w:r>
      <w:r w:rsidR="00C9658B" w:rsidRPr="00DA4084">
        <w:t>2).</w:t>
      </w:r>
    </w:p>
    <w:p w:rsidR="001832D9" w:rsidRPr="00DA4084" w:rsidRDefault="009B6B78" w:rsidP="00DA4084">
      <w:pPr>
        <w:pStyle w:val="ItemHead"/>
      </w:pPr>
      <w:r w:rsidRPr="00DA4084">
        <w:t>32</w:t>
      </w:r>
      <w:r w:rsidR="00BC055C" w:rsidRPr="00DA4084">
        <w:t xml:space="preserve">  Section</w:t>
      </w:r>
      <w:r w:rsidR="00DA4084" w:rsidRPr="00DA4084">
        <w:t> </w:t>
      </w:r>
      <w:r w:rsidR="00BC055C" w:rsidRPr="00DA4084">
        <w:t>327E (heading)</w:t>
      </w:r>
    </w:p>
    <w:p w:rsidR="00BC055C" w:rsidRPr="00DA4084" w:rsidRDefault="00BC055C" w:rsidP="00DA4084">
      <w:pPr>
        <w:pStyle w:val="Item"/>
      </w:pPr>
      <w:r w:rsidRPr="00DA4084">
        <w:t>Repeal the heading, substitute:</w:t>
      </w:r>
    </w:p>
    <w:p w:rsidR="00BC055C" w:rsidRPr="00DA4084" w:rsidRDefault="00BC055C" w:rsidP="00DA4084">
      <w:pPr>
        <w:pStyle w:val="ActHead5"/>
      </w:pPr>
      <w:bookmarkStart w:id="9" w:name="_Toc525650878"/>
      <w:r w:rsidRPr="00DA4084">
        <w:rPr>
          <w:rStyle w:val="CharSectno"/>
        </w:rPr>
        <w:t>327E</w:t>
      </w:r>
      <w:r w:rsidRPr="00DA4084">
        <w:t xml:space="preserve">  ASIC may appoint </w:t>
      </w:r>
      <w:r w:rsidR="00DC5031" w:rsidRPr="00DA4084">
        <w:t xml:space="preserve">a </w:t>
      </w:r>
      <w:r w:rsidRPr="00DA4084">
        <w:t>company auditor if auditor removed but not replaced</w:t>
      </w:r>
      <w:bookmarkEnd w:id="9"/>
    </w:p>
    <w:p w:rsidR="00BC055C" w:rsidRPr="00DA4084" w:rsidRDefault="009B6B78" w:rsidP="00DA4084">
      <w:pPr>
        <w:pStyle w:val="ItemHead"/>
      </w:pPr>
      <w:r w:rsidRPr="00DA4084">
        <w:t>33</w:t>
      </w:r>
      <w:r w:rsidR="00BC055C" w:rsidRPr="00DA4084">
        <w:t xml:space="preserve">  Subsection</w:t>
      </w:r>
      <w:r w:rsidR="00DA4084" w:rsidRPr="00DA4084">
        <w:t> </w:t>
      </w:r>
      <w:r w:rsidR="00BC055C" w:rsidRPr="00DA4084">
        <w:t>327E(1)</w:t>
      </w:r>
    </w:p>
    <w:p w:rsidR="00BC055C" w:rsidRPr="00DA4084" w:rsidRDefault="00BC055C" w:rsidP="00DA4084">
      <w:pPr>
        <w:pStyle w:val="Item"/>
      </w:pPr>
      <w:r w:rsidRPr="00DA4084">
        <w:t>Repeal the subsection, substitute:</w:t>
      </w:r>
    </w:p>
    <w:p w:rsidR="00BC055C" w:rsidRPr="00DA4084" w:rsidRDefault="00BC055C" w:rsidP="00DA4084">
      <w:pPr>
        <w:pStyle w:val="subsection"/>
      </w:pPr>
      <w:r w:rsidRPr="00DA4084">
        <w:tab/>
        <w:t>(1)</w:t>
      </w:r>
      <w:r w:rsidRPr="00DA4084">
        <w:tab/>
        <w:t>This section applies if:</w:t>
      </w:r>
    </w:p>
    <w:p w:rsidR="00BC055C" w:rsidRPr="00DA4084" w:rsidRDefault="00BC055C" w:rsidP="00DA4084">
      <w:pPr>
        <w:pStyle w:val="paragraph"/>
      </w:pPr>
      <w:r w:rsidRPr="00DA4084">
        <w:tab/>
        <w:t>(a)</w:t>
      </w:r>
      <w:r w:rsidRPr="00DA4084">
        <w:tab/>
        <w:t>the directors of a proprietary company fail to appoint an auditor under subsection</w:t>
      </w:r>
      <w:r w:rsidR="00DA4084" w:rsidRPr="00DA4084">
        <w:t> </w:t>
      </w:r>
      <w:r w:rsidRPr="00DA4084">
        <w:t>325(2); or</w:t>
      </w:r>
    </w:p>
    <w:p w:rsidR="00BC055C" w:rsidRPr="00DA4084" w:rsidRDefault="00BC055C" w:rsidP="00DA4084">
      <w:pPr>
        <w:pStyle w:val="paragraph"/>
      </w:pPr>
      <w:r w:rsidRPr="00DA4084">
        <w:tab/>
        <w:t>(b)</w:t>
      </w:r>
      <w:r w:rsidRPr="00DA4084">
        <w:tab/>
        <w:t>a public company fails to appoint an auditor under subsection</w:t>
      </w:r>
      <w:r w:rsidR="00DA4084" w:rsidRPr="00DA4084">
        <w:t> </w:t>
      </w:r>
      <w:r w:rsidRPr="00DA4084">
        <w:t>327D(2) or (3).</w:t>
      </w:r>
    </w:p>
    <w:p w:rsidR="00BC055C" w:rsidRPr="00DA4084" w:rsidRDefault="00BC055C" w:rsidP="00DA4084">
      <w:pPr>
        <w:pStyle w:val="subsection2"/>
      </w:pPr>
      <w:r w:rsidRPr="00DA4084">
        <w:t xml:space="preserve">The failure is referred to as the </w:t>
      </w:r>
      <w:r w:rsidRPr="00DA4084">
        <w:rPr>
          <w:b/>
          <w:i/>
        </w:rPr>
        <w:t>auditor replacement failure</w:t>
      </w:r>
      <w:r w:rsidRPr="00DA4084">
        <w:t>.</w:t>
      </w:r>
    </w:p>
    <w:p w:rsidR="00BC055C" w:rsidRPr="00DA4084" w:rsidRDefault="009B6B78" w:rsidP="00DA4084">
      <w:pPr>
        <w:pStyle w:val="ItemHead"/>
      </w:pPr>
      <w:r w:rsidRPr="00DA4084">
        <w:lastRenderedPageBreak/>
        <w:t>34</w:t>
      </w:r>
      <w:r w:rsidR="00BC055C" w:rsidRPr="00DA4084">
        <w:t xml:space="preserve">  Subsection</w:t>
      </w:r>
      <w:r w:rsidR="00DA4084" w:rsidRPr="00DA4084">
        <w:t> </w:t>
      </w:r>
      <w:r w:rsidR="00BC055C" w:rsidRPr="00DA4084">
        <w:t>327E(6)</w:t>
      </w:r>
    </w:p>
    <w:p w:rsidR="00BC055C" w:rsidRPr="00DA4084" w:rsidRDefault="00BC055C" w:rsidP="00DA4084">
      <w:pPr>
        <w:pStyle w:val="Item"/>
      </w:pPr>
      <w:r w:rsidRPr="00DA4084">
        <w:t>Repeal the subsection, substitute:</w:t>
      </w:r>
    </w:p>
    <w:p w:rsidR="00BC055C" w:rsidRPr="00DA4084" w:rsidRDefault="00BC055C" w:rsidP="00DA4084">
      <w:pPr>
        <w:pStyle w:val="subsection"/>
      </w:pPr>
      <w:r w:rsidRPr="00DA4084">
        <w:tab/>
        <w:t>(6)</w:t>
      </w:r>
      <w:r w:rsidRPr="00DA4084">
        <w:tab/>
        <w:t>Subject to this Part, an auditor appointed under this section holds office until:</w:t>
      </w:r>
    </w:p>
    <w:p w:rsidR="00BC055C" w:rsidRPr="00DA4084" w:rsidRDefault="00BC055C" w:rsidP="00DA4084">
      <w:pPr>
        <w:pStyle w:val="paragraph"/>
      </w:pPr>
      <w:r w:rsidRPr="00DA4084">
        <w:tab/>
        <w:t>(a)</w:t>
      </w:r>
      <w:r w:rsidRPr="00DA4084">
        <w:tab/>
        <w:t>for a proprietary company—</w:t>
      </w:r>
      <w:r w:rsidR="00422D9B" w:rsidRPr="00DA4084">
        <w:t>the company’s next general meeting; or</w:t>
      </w:r>
    </w:p>
    <w:p w:rsidR="00BC055C" w:rsidRPr="00DA4084" w:rsidRDefault="00BC055C" w:rsidP="00DA4084">
      <w:pPr>
        <w:pStyle w:val="paragraph"/>
      </w:pPr>
      <w:r w:rsidRPr="00DA4084">
        <w:tab/>
        <w:t>(b)</w:t>
      </w:r>
      <w:r w:rsidRPr="00DA4084">
        <w:tab/>
        <w:t>for a public company—the company’s next AGM.</w:t>
      </w:r>
    </w:p>
    <w:p w:rsidR="00422D9B" w:rsidRPr="00DA4084" w:rsidRDefault="009B6B78" w:rsidP="00DA4084">
      <w:pPr>
        <w:pStyle w:val="ItemHead"/>
      </w:pPr>
      <w:r w:rsidRPr="00DA4084">
        <w:t>35</w:t>
      </w:r>
      <w:r w:rsidR="00422D9B" w:rsidRPr="00DA4084">
        <w:t xml:space="preserve">  Section</w:t>
      </w:r>
      <w:r w:rsidR="00DA4084" w:rsidRPr="00DA4084">
        <w:t> </w:t>
      </w:r>
      <w:r w:rsidR="00422D9B" w:rsidRPr="00DA4084">
        <w:t>327F (heading)</w:t>
      </w:r>
    </w:p>
    <w:p w:rsidR="00422D9B" w:rsidRPr="00DA4084" w:rsidRDefault="00422D9B" w:rsidP="00DA4084">
      <w:pPr>
        <w:pStyle w:val="Item"/>
      </w:pPr>
      <w:r w:rsidRPr="00DA4084">
        <w:t>Repeal the heading, substitute:</w:t>
      </w:r>
    </w:p>
    <w:p w:rsidR="00422D9B" w:rsidRPr="00DA4084" w:rsidRDefault="00422D9B" w:rsidP="00DA4084">
      <w:pPr>
        <w:pStyle w:val="ActHead5"/>
      </w:pPr>
      <w:bookmarkStart w:id="10" w:name="_Toc525650879"/>
      <w:r w:rsidRPr="00DA4084">
        <w:rPr>
          <w:rStyle w:val="CharSectno"/>
        </w:rPr>
        <w:t>327F</w:t>
      </w:r>
      <w:r w:rsidRPr="00DA4084">
        <w:t xml:space="preserve">  ASIC’s general power to appoint </w:t>
      </w:r>
      <w:r w:rsidR="00DC5031" w:rsidRPr="00DA4084">
        <w:t xml:space="preserve">a </w:t>
      </w:r>
      <w:r w:rsidRPr="00DA4084">
        <w:t>company auditor</w:t>
      </w:r>
      <w:bookmarkEnd w:id="10"/>
    </w:p>
    <w:p w:rsidR="00422D9B" w:rsidRPr="00DA4084" w:rsidRDefault="009B6B78" w:rsidP="00DA4084">
      <w:pPr>
        <w:pStyle w:val="ItemHead"/>
      </w:pPr>
      <w:r w:rsidRPr="00DA4084">
        <w:t>36</w:t>
      </w:r>
      <w:r w:rsidR="00422D9B" w:rsidRPr="00DA4084">
        <w:t xml:space="preserve">  Subsection</w:t>
      </w:r>
      <w:r w:rsidR="00DA4084" w:rsidRPr="00DA4084">
        <w:t> </w:t>
      </w:r>
      <w:r w:rsidR="00422D9B" w:rsidRPr="00DA4084">
        <w:t>327F(1)</w:t>
      </w:r>
    </w:p>
    <w:p w:rsidR="00422D9B" w:rsidRPr="00DA4084" w:rsidRDefault="00105C9F" w:rsidP="00DA4084">
      <w:pPr>
        <w:pStyle w:val="Item"/>
      </w:pPr>
      <w:r w:rsidRPr="00DA4084">
        <w:t>After</w:t>
      </w:r>
      <w:r w:rsidR="00422D9B" w:rsidRPr="00DA4084">
        <w:t xml:space="preserve"> “</w:t>
      </w:r>
      <w:r w:rsidRPr="00DA4084">
        <w:t>public company</w:t>
      </w:r>
      <w:r w:rsidR="00422D9B" w:rsidRPr="00DA4084">
        <w:t>”</w:t>
      </w:r>
      <w:r w:rsidRPr="00DA4084">
        <w:t xml:space="preserve">, insert “, or of a proprietary company that has </w:t>
      </w:r>
      <w:r w:rsidR="00510D4A" w:rsidRPr="00DA4084">
        <w:t xml:space="preserve">one or more </w:t>
      </w:r>
      <w:r w:rsidRPr="00DA4084">
        <w:t>CSF shareholders,”</w:t>
      </w:r>
      <w:r w:rsidR="00422D9B" w:rsidRPr="00DA4084">
        <w:t>.</w:t>
      </w:r>
    </w:p>
    <w:p w:rsidR="00422D9B" w:rsidRPr="00DA4084" w:rsidRDefault="009B6B78" w:rsidP="00DA4084">
      <w:pPr>
        <w:pStyle w:val="ItemHead"/>
      </w:pPr>
      <w:r w:rsidRPr="00DA4084">
        <w:t>37</w:t>
      </w:r>
      <w:r w:rsidR="00422D9B" w:rsidRPr="00DA4084">
        <w:t xml:space="preserve">  Paragraph 327F(1)(a)</w:t>
      </w:r>
    </w:p>
    <w:p w:rsidR="00422D9B" w:rsidRPr="00DA4084" w:rsidRDefault="00422D9B" w:rsidP="00DA4084">
      <w:pPr>
        <w:pStyle w:val="Item"/>
      </w:pPr>
      <w:r w:rsidRPr="00DA4084">
        <w:t>Repeal the paragraph, substitute:</w:t>
      </w:r>
    </w:p>
    <w:p w:rsidR="00422D9B" w:rsidRPr="00DA4084" w:rsidRDefault="00422D9B" w:rsidP="00DA4084">
      <w:pPr>
        <w:pStyle w:val="paragraph"/>
      </w:pPr>
      <w:r w:rsidRPr="00DA4084">
        <w:tab/>
        <w:t>(a)</w:t>
      </w:r>
      <w:r w:rsidRPr="00DA4084">
        <w:tab/>
        <w:t>the company or its directors fail to appoint an auditor when required by this Act to do so; and</w:t>
      </w:r>
    </w:p>
    <w:p w:rsidR="00422D9B" w:rsidRPr="00DA4084" w:rsidRDefault="009B6B78" w:rsidP="00DA4084">
      <w:pPr>
        <w:pStyle w:val="ItemHead"/>
      </w:pPr>
      <w:r w:rsidRPr="00DA4084">
        <w:t>38</w:t>
      </w:r>
      <w:r w:rsidR="00422D9B" w:rsidRPr="00DA4084">
        <w:t xml:space="preserve">  Subsection</w:t>
      </w:r>
      <w:r w:rsidR="00DA4084" w:rsidRPr="00DA4084">
        <w:t> </w:t>
      </w:r>
      <w:r w:rsidR="00422D9B" w:rsidRPr="00DA4084">
        <w:t>327F(2)</w:t>
      </w:r>
    </w:p>
    <w:p w:rsidR="00422D9B" w:rsidRPr="00DA4084" w:rsidRDefault="00422D9B" w:rsidP="00DA4084">
      <w:pPr>
        <w:pStyle w:val="Item"/>
      </w:pPr>
      <w:r w:rsidRPr="00DA4084">
        <w:t>Repeal the subsection, substitute:</w:t>
      </w:r>
    </w:p>
    <w:p w:rsidR="00791378" w:rsidRPr="00DA4084" w:rsidRDefault="00422D9B" w:rsidP="00DA4084">
      <w:pPr>
        <w:pStyle w:val="subsection"/>
      </w:pPr>
      <w:r w:rsidRPr="00DA4084">
        <w:tab/>
        <w:t>(2)</w:t>
      </w:r>
      <w:r w:rsidRPr="00DA4084">
        <w:tab/>
      </w:r>
      <w:r w:rsidR="00791378" w:rsidRPr="00DA4084">
        <w:t>Subject to this Part, an auditor appointed under this section holds office until:</w:t>
      </w:r>
    </w:p>
    <w:p w:rsidR="00791378" w:rsidRPr="00DA4084" w:rsidRDefault="00791378" w:rsidP="00DA4084">
      <w:pPr>
        <w:pStyle w:val="paragraph"/>
      </w:pPr>
      <w:r w:rsidRPr="00DA4084">
        <w:tab/>
        <w:t>(a)</w:t>
      </w:r>
      <w:r w:rsidRPr="00DA4084">
        <w:tab/>
        <w:t>for a proprietary company—the company’s next general meeting; or</w:t>
      </w:r>
    </w:p>
    <w:p w:rsidR="00422D9B" w:rsidRPr="00DA4084" w:rsidRDefault="00791378" w:rsidP="00DA4084">
      <w:pPr>
        <w:pStyle w:val="paragraph"/>
      </w:pPr>
      <w:r w:rsidRPr="00DA4084">
        <w:tab/>
        <w:t>(b)</w:t>
      </w:r>
      <w:r w:rsidRPr="00DA4084">
        <w:tab/>
        <w:t>for a public company—the company’s next AGM.</w:t>
      </w:r>
    </w:p>
    <w:p w:rsidR="00B43650" w:rsidRPr="00DA4084" w:rsidRDefault="009B6B78" w:rsidP="00DA4084">
      <w:pPr>
        <w:pStyle w:val="ItemHead"/>
      </w:pPr>
      <w:r w:rsidRPr="00DA4084">
        <w:t>39</w:t>
      </w:r>
      <w:r w:rsidR="00B43650" w:rsidRPr="00DA4084">
        <w:t xml:space="preserve">  Section</w:t>
      </w:r>
      <w:r w:rsidR="00DA4084" w:rsidRPr="00DA4084">
        <w:t> </w:t>
      </w:r>
      <w:r w:rsidR="00B43650" w:rsidRPr="00DA4084">
        <w:t>327G (heading)</w:t>
      </w:r>
    </w:p>
    <w:p w:rsidR="00B43650" w:rsidRPr="00DA4084" w:rsidRDefault="00B43650" w:rsidP="00DA4084">
      <w:pPr>
        <w:pStyle w:val="Item"/>
      </w:pPr>
      <w:r w:rsidRPr="00DA4084">
        <w:t>Repeal the heading, substitute:</w:t>
      </w:r>
    </w:p>
    <w:p w:rsidR="00B43650" w:rsidRPr="00DA4084" w:rsidRDefault="00B43650" w:rsidP="00DA4084">
      <w:pPr>
        <w:pStyle w:val="ActHead5"/>
      </w:pPr>
      <w:bookmarkStart w:id="11" w:name="_Toc525650880"/>
      <w:r w:rsidRPr="00DA4084">
        <w:rPr>
          <w:rStyle w:val="CharSectno"/>
        </w:rPr>
        <w:lastRenderedPageBreak/>
        <w:t>327G</w:t>
      </w:r>
      <w:r w:rsidRPr="00DA4084">
        <w:t xml:space="preserve">  Restrictions on ASIC’s powers to appoint </w:t>
      </w:r>
      <w:r w:rsidR="00DC5031" w:rsidRPr="00DA4084">
        <w:t xml:space="preserve">a </w:t>
      </w:r>
      <w:r w:rsidRPr="00DA4084">
        <w:t>company auditor</w:t>
      </w:r>
      <w:bookmarkEnd w:id="11"/>
    </w:p>
    <w:p w:rsidR="00FD6C17" w:rsidRPr="00DA4084" w:rsidRDefault="009B6B78" w:rsidP="00DA4084">
      <w:pPr>
        <w:pStyle w:val="ItemHead"/>
      </w:pPr>
      <w:r w:rsidRPr="00DA4084">
        <w:t>40</w:t>
      </w:r>
      <w:r w:rsidR="00FD6C17" w:rsidRPr="00DA4084">
        <w:t xml:space="preserve">  Section</w:t>
      </w:r>
      <w:r w:rsidR="00DA4084" w:rsidRPr="00DA4084">
        <w:t> </w:t>
      </w:r>
      <w:r w:rsidR="00FD6C17" w:rsidRPr="00DA4084">
        <w:t>611 (after table item</w:t>
      </w:r>
      <w:r w:rsidR="00DA4084" w:rsidRPr="00DA4084">
        <w:t> </w:t>
      </w:r>
      <w:r w:rsidR="00FD6C17" w:rsidRPr="00DA4084">
        <w:t>19)</w:t>
      </w:r>
    </w:p>
    <w:p w:rsidR="00FD6C17" w:rsidRPr="00DA4084" w:rsidRDefault="00FD6C17" w:rsidP="00DA4084">
      <w:pPr>
        <w:pStyle w:val="Item"/>
      </w:pPr>
      <w:r w:rsidRPr="00DA4084">
        <w:t>Insert:</w:t>
      </w:r>
    </w:p>
    <w:tbl>
      <w:tblPr>
        <w:tblW w:w="0" w:type="auto"/>
        <w:tblInd w:w="816" w:type="dxa"/>
        <w:tblLayout w:type="fixed"/>
        <w:tblLook w:val="0000" w:firstRow="0" w:lastRow="0" w:firstColumn="0" w:lastColumn="0" w:noHBand="0" w:noVBand="0"/>
      </w:tblPr>
      <w:tblGrid>
        <w:gridCol w:w="710"/>
        <w:gridCol w:w="5669"/>
      </w:tblGrid>
      <w:tr w:rsidR="00FD6C17" w:rsidRPr="00DA4084" w:rsidTr="007746EC">
        <w:tc>
          <w:tcPr>
            <w:tcW w:w="710" w:type="dxa"/>
            <w:shd w:val="clear" w:color="auto" w:fill="auto"/>
          </w:tcPr>
          <w:p w:rsidR="00FD6C17" w:rsidRPr="00DA4084" w:rsidRDefault="00FD6C17" w:rsidP="00DA4084">
            <w:pPr>
              <w:pStyle w:val="Tabletext"/>
              <w:keepNext/>
            </w:pPr>
          </w:p>
        </w:tc>
        <w:tc>
          <w:tcPr>
            <w:tcW w:w="5669" w:type="dxa"/>
            <w:shd w:val="clear" w:color="auto" w:fill="auto"/>
          </w:tcPr>
          <w:p w:rsidR="00FD6C17" w:rsidRPr="00DA4084" w:rsidRDefault="00FD6C17" w:rsidP="00DA4084">
            <w:pPr>
              <w:pStyle w:val="TableHeading"/>
            </w:pPr>
            <w:r w:rsidRPr="00DA4084">
              <w:t>Proprietary companies that have CSF shareholders</w:t>
            </w:r>
          </w:p>
        </w:tc>
      </w:tr>
      <w:tr w:rsidR="00FD6C17" w:rsidRPr="00DA4084" w:rsidTr="007746EC">
        <w:tc>
          <w:tcPr>
            <w:tcW w:w="710" w:type="dxa"/>
            <w:shd w:val="clear" w:color="auto" w:fill="auto"/>
          </w:tcPr>
          <w:p w:rsidR="00FD6C17" w:rsidRPr="00DA4084" w:rsidRDefault="00FD6C17" w:rsidP="00DA4084">
            <w:pPr>
              <w:pStyle w:val="Tabletext"/>
            </w:pPr>
            <w:bookmarkStart w:id="12" w:name="CU_18220558"/>
            <w:bookmarkEnd w:id="12"/>
            <w:r w:rsidRPr="00DA4084">
              <w:t>19A</w:t>
            </w:r>
          </w:p>
        </w:tc>
        <w:tc>
          <w:tcPr>
            <w:tcW w:w="5669" w:type="dxa"/>
            <w:shd w:val="clear" w:color="auto" w:fill="auto"/>
          </w:tcPr>
          <w:p w:rsidR="001F4945" w:rsidRPr="00DA4084" w:rsidRDefault="00FD6C17" w:rsidP="00DA4084">
            <w:pPr>
              <w:pStyle w:val="Tabletext"/>
            </w:pPr>
            <w:r w:rsidRPr="00DA4084">
              <w:t xml:space="preserve">An acquisition </w:t>
            </w:r>
            <w:r w:rsidR="00C12B48" w:rsidRPr="00DA4084">
              <w:t xml:space="preserve">of </w:t>
            </w:r>
            <w:r w:rsidR="00C66149" w:rsidRPr="00DA4084">
              <w:t xml:space="preserve">a </w:t>
            </w:r>
            <w:r w:rsidR="0080021D" w:rsidRPr="00DA4084">
              <w:t>relevant interest in issued voting shares in</w:t>
            </w:r>
            <w:r w:rsidR="00C12B48" w:rsidRPr="00DA4084">
              <w:t xml:space="preserve"> a proprietary company </w:t>
            </w:r>
            <w:r w:rsidR="001F4945" w:rsidRPr="00DA4084">
              <w:t>if:</w:t>
            </w:r>
          </w:p>
          <w:p w:rsidR="001F4945" w:rsidRPr="00DA4084" w:rsidRDefault="001F4945" w:rsidP="00DA4084">
            <w:pPr>
              <w:pStyle w:val="Tablea"/>
            </w:pPr>
            <w:r w:rsidRPr="00DA4084">
              <w:t>(a) the company</w:t>
            </w:r>
            <w:r w:rsidR="00157F4D" w:rsidRPr="00DA4084">
              <w:t xml:space="preserve"> has</w:t>
            </w:r>
            <w:r w:rsidR="00510D4A" w:rsidRPr="00DA4084">
              <w:t xml:space="preserve"> one or more</w:t>
            </w:r>
            <w:r w:rsidR="00157F4D" w:rsidRPr="00DA4084">
              <w:t xml:space="preserve"> CSF shareholders</w:t>
            </w:r>
            <w:r w:rsidRPr="00DA4084">
              <w:t>; and</w:t>
            </w:r>
          </w:p>
          <w:p w:rsidR="00440838" w:rsidRPr="00DA4084" w:rsidRDefault="001F4945" w:rsidP="00DA4084">
            <w:pPr>
              <w:pStyle w:val="Tablea"/>
            </w:pPr>
            <w:r w:rsidRPr="00DA4084">
              <w:t xml:space="preserve">(b) </w:t>
            </w:r>
            <w:r w:rsidR="00B24A32" w:rsidRPr="00DA4084">
              <w:t xml:space="preserve">all the other requirements (if any) prescribed </w:t>
            </w:r>
            <w:r w:rsidR="00203CC6" w:rsidRPr="00DA4084">
              <w:t xml:space="preserve">by the regulations </w:t>
            </w:r>
            <w:r w:rsidR="00B24A32" w:rsidRPr="00DA4084">
              <w:t xml:space="preserve">for the purposes of this paragraph </w:t>
            </w:r>
            <w:r w:rsidRPr="00DA4084">
              <w:t>are met.</w:t>
            </w:r>
          </w:p>
        </w:tc>
      </w:tr>
    </w:tbl>
    <w:p w:rsidR="0048364F" w:rsidRPr="00DA4084" w:rsidRDefault="009B6B78" w:rsidP="00DA4084">
      <w:pPr>
        <w:pStyle w:val="ItemHead"/>
      </w:pPr>
      <w:r w:rsidRPr="00DA4084">
        <w:t>41</w:t>
      </w:r>
      <w:r w:rsidR="00257AAF" w:rsidRPr="00DA4084">
        <w:t xml:space="preserve">  Paragraph 738H(1)(a)</w:t>
      </w:r>
    </w:p>
    <w:p w:rsidR="00257AAF" w:rsidRPr="00DA4084" w:rsidRDefault="00257AAF" w:rsidP="00DA4084">
      <w:pPr>
        <w:pStyle w:val="Item"/>
      </w:pPr>
      <w:r w:rsidRPr="00DA4084">
        <w:t>Repeal the paragraph, substitute:</w:t>
      </w:r>
    </w:p>
    <w:p w:rsidR="00257AAF" w:rsidRPr="00DA4084" w:rsidRDefault="00257AAF" w:rsidP="00DA4084">
      <w:pPr>
        <w:pStyle w:val="paragraph"/>
      </w:pPr>
      <w:r w:rsidRPr="00DA4084">
        <w:tab/>
        <w:t>(a)</w:t>
      </w:r>
      <w:r w:rsidRPr="00DA4084">
        <w:tab/>
        <w:t xml:space="preserve">the company is a public company limited by shares, or </w:t>
      </w:r>
      <w:r w:rsidR="000915DB" w:rsidRPr="00DA4084">
        <w:t xml:space="preserve">the company </w:t>
      </w:r>
      <w:r w:rsidRPr="00DA4084">
        <w:t>is a proprietary company that:</w:t>
      </w:r>
    </w:p>
    <w:p w:rsidR="00257AAF" w:rsidRPr="00DA4084" w:rsidRDefault="00257AAF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has at least 2 directors; and</w:t>
      </w:r>
    </w:p>
    <w:p w:rsidR="00257AAF" w:rsidRPr="00DA4084" w:rsidRDefault="00257AAF" w:rsidP="00DA4084">
      <w:pPr>
        <w:pStyle w:val="paragraphsub"/>
      </w:pPr>
      <w:r w:rsidRPr="00DA4084">
        <w:tab/>
        <w:t>(ii)</w:t>
      </w:r>
      <w:r w:rsidRPr="00DA4084">
        <w:tab/>
        <w:t xml:space="preserve">meets all </w:t>
      </w:r>
      <w:r w:rsidR="00E703FE" w:rsidRPr="00DA4084">
        <w:t xml:space="preserve">the </w:t>
      </w:r>
      <w:r w:rsidRPr="00DA4084">
        <w:t xml:space="preserve">other requirements (if any) prescribed </w:t>
      </w:r>
      <w:r w:rsidR="00203CC6" w:rsidRPr="00DA4084">
        <w:t xml:space="preserve">by the regulations </w:t>
      </w:r>
      <w:r w:rsidRPr="00DA4084">
        <w:t>for the purposes of this subparagraph;</w:t>
      </w:r>
    </w:p>
    <w:p w:rsidR="008A2B68" w:rsidRPr="00DA4084" w:rsidRDefault="009B6B78" w:rsidP="00DA4084">
      <w:pPr>
        <w:pStyle w:val="ItemHead"/>
      </w:pPr>
      <w:r w:rsidRPr="00DA4084">
        <w:t>42</w:t>
      </w:r>
      <w:r w:rsidR="008A2B68" w:rsidRPr="00DA4084">
        <w:t xml:space="preserve">  Section</w:t>
      </w:r>
      <w:r w:rsidR="00DA4084" w:rsidRPr="00DA4084">
        <w:t> </w:t>
      </w:r>
      <w:r w:rsidR="008A2B68" w:rsidRPr="00DA4084">
        <w:t>738ZI</w:t>
      </w:r>
    </w:p>
    <w:p w:rsidR="008A2B68" w:rsidRPr="00DA4084" w:rsidRDefault="008A2B68" w:rsidP="00DA4084">
      <w:pPr>
        <w:pStyle w:val="Item"/>
      </w:pPr>
      <w:r w:rsidRPr="00DA4084">
        <w:t>Before “A company”, insert “(1)”.</w:t>
      </w:r>
    </w:p>
    <w:p w:rsidR="00C0145A" w:rsidRPr="00DA4084" w:rsidRDefault="009B6B78" w:rsidP="00DA4084">
      <w:pPr>
        <w:pStyle w:val="ItemHead"/>
      </w:pPr>
      <w:r w:rsidRPr="00DA4084">
        <w:t>43</w:t>
      </w:r>
      <w:r w:rsidR="00C0145A" w:rsidRPr="00DA4084">
        <w:t xml:space="preserve">  Paragraph 738ZI(a)</w:t>
      </w:r>
    </w:p>
    <w:p w:rsidR="00C0145A" w:rsidRPr="00DA4084" w:rsidRDefault="00C0145A" w:rsidP="00DA4084">
      <w:pPr>
        <w:pStyle w:val="Item"/>
      </w:pPr>
      <w:r w:rsidRPr="00DA4084">
        <w:t>Repeal the paragraph, substitute:</w:t>
      </w:r>
    </w:p>
    <w:p w:rsidR="00C0145A" w:rsidRPr="00DA4084" w:rsidRDefault="00C0145A" w:rsidP="00DA4084">
      <w:pPr>
        <w:pStyle w:val="paragraph"/>
      </w:pPr>
      <w:r w:rsidRPr="00DA4084">
        <w:tab/>
        <w:t>(a)</w:t>
      </w:r>
      <w:r w:rsidRPr="00DA4084">
        <w:tab/>
        <w:t>the company:</w:t>
      </w:r>
    </w:p>
    <w:p w:rsidR="00745389" w:rsidRPr="00DA4084" w:rsidRDefault="00C0145A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was registered as a public company limited by shares under Part</w:t>
      </w:r>
      <w:r w:rsidR="00DA4084" w:rsidRPr="00DA4084">
        <w:t> </w:t>
      </w:r>
      <w:r w:rsidRPr="00DA4084">
        <w:t xml:space="preserve">2A.2 </w:t>
      </w:r>
      <w:r w:rsidR="008A2B68" w:rsidRPr="00DA4084">
        <w:t>in response to</w:t>
      </w:r>
      <w:r w:rsidR="00745389" w:rsidRPr="00DA4084">
        <w:t xml:space="preserve"> an application lodged under section</w:t>
      </w:r>
      <w:r w:rsidR="00DA4084" w:rsidRPr="00DA4084">
        <w:t> </w:t>
      </w:r>
      <w:r w:rsidR="00745389" w:rsidRPr="00DA4084">
        <w:t xml:space="preserve">117 </w:t>
      </w:r>
      <w:r w:rsidRPr="00DA4084">
        <w:t xml:space="preserve">before the </w:t>
      </w:r>
      <w:r w:rsidR="00745389" w:rsidRPr="00DA4084">
        <w:t>eligibility end day; or</w:t>
      </w:r>
    </w:p>
    <w:p w:rsidR="00745389" w:rsidRPr="00DA4084" w:rsidRDefault="00C0145A" w:rsidP="00DA4084">
      <w:pPr>
        <w:pStyle w:val="paragraphsub"/>
      </w:pPr>
      <w:r w:rsidRPr="00DA4084">
        <w:tab/>
        <w:t>(ii)</w:t>
      </w:r>
      <w:r w:rsidRPr="00DA4084">
        <w:tab/>
        <w:t>was converted from a proprietary company to a public company limited by shares under Part</w:t>
      </w:r>
      <w:r w:rsidR="00DA4084" w:rsidRPr="00DA4084">
        <w:t> </w:t>
      </w:r>
      <w:r w:rsidRPr="00DA4084">
        <w:t xml:space="preserve">2B.7 </w:t>
      </w:r>
      <w:r w:rsidR="008A2B68" w:rsidRPr="00DA4084">
        <w:t xml:space="preserve">in response to </w:t>
      </w:r>
      <w:r w:rsidR="00745389" w:rsidRPr="00DA4084">
        <w:t>an application lodged under section</w:t>
      </w:r>
      <w:r w:rsidR="00DA4084" w:rsidRPr="00DA4084">
        <w:t> </w:t>
      </w:r>
      <w:r w:rsidR="00745389" w:rsidRPr="00DA4084">
        <w:t>163 before the eligibility end day; and</w:t>
      </w:r>
    </w:p>
    <w:p w:rsidR="00745389" w:rsidRPr="00DA4084" w:rsidRDefault="009B6B78" w:rsidP="00DA4084">
      <w:pPr>
        <w:pStyle w:val="ItemHead"/>
      </w:pPr>
      <w:r w:rsidRPr="00DA4084">
        <w:t>44</w:t>
      </w:r>
      <w:r w:rsidR="00745389" w:rsidRPr="00DA4084">
        <w:t xml:space="preserve">  At the end of section</w:t>
      </w:r>
      <w:r w:rsidR="00DA4084" w:rsidRPr="00DA4084">
        <w:t> </w:t>
      </w:r>
      <w:r w:rsidR="00745389" w:rsidRPr="00DA4084">
        <w:t>738ZI</w:t>
      </w:r>
    </w:p>
    <w:p w:rsidR="00745389" w:rsidRPr="00DA4084" w:rsidRDefault="00745389" w:rsidP="00DA4084">
      <w:pPr>
        <w:pStyle w:val="Item"/>
      </w:pPr>
      <w:r w:rsidRPr="00DA4084">
        <w:t>Add:</w:t>
      </w:r>
    </w:p>
    <w:p w:rsidR="00745389" w:rsidRPr="00DA4084" w:rsidRDefault="00745389" w:rsidP="00DA4084">
      <w:pPr>
        <w:pStyle w:val="subsection"/>
      </w:pPr>
      <w:r w:rsidRPr="00DA4084">
        <w:tab/>
        <w:t>(2)</w:t>
      </w:r>
      <w:r w:rsidRPr="00DA4084">
        <w:tab/>
        <w:t xml:space="preserve">In this </w:t>
      </w:r>
      <w:r w:rsidR="009D69EA" w:rsidRPr="00DA4084">
        <w:t>section</w:t>
      </w:r>
      <w:r w:rsidRPr="00DA4084">
        <w:t>:</w:t>
      </w:r>
    </w:p>
    <w:p w:rsidR="00745389" w:rsidRPr="00DA4084" w:rsidRDefault="00745389" w:rsidP="00DA4084">
      <w:pPr>
        <w:pStyle w:val="Definition"/>
      </w:pPr>
      <w:r w:rsidRPr="00DA4084">
        <w:rPr>
          <w:b/>
          <w:i/>
        </w:rPr>
        <w:lastRenderedPageBreak/>
        <w:t>eligibility end day</w:t>
      </w:r>
      <w:r w:rsidRPr="00DA4084">
        <w:t xml:space="preserve"> means the day </w:t>
      </w:r>
      <w:r w:rsidR="00F023EB" w:rsidRPr="00DA4084">
        <w:t>Part</w:t>
      </w:r>
      <w:r w:rsidR="00DA4084" w:rsidRPr="00DA4084">
        <w:t> </w:t>
      </w:r>
      <w:r w:rsidR="00F023EB" w:rsidRPr="00DA4084">
        <w:t>1 of Schedule</w:t>
      </w:r>
      <w:r w:rsidR="00DA4084" w:rsidRPr="00DA4084">
        <w:t> </w:t>
      </w:r>
      <w:r w:rsidR="00F023EB" w:rsidRPr="00DA4084">
        <w:t xml:space="preserve">1 to </w:t>
      </w:r>
      <w:r w:rsidRPr="00DA4084">
        <w:t xml:space="preserve">the </w:t>
      </w:r>
      <w:r w:rsidRPr="00DA4084">
        <w:rPr>
          <w:i/>
        </w:rPr>
        <w:t>Corporations Amendment (Crowd</w:t>
      </w:r>
      <w:r w:rsidR="00DD52F5">
        <w:rPr>
          <w:i/>
        </w:rPr>
        <w:noBreakHyphen/>
      </w:r>
      <w:r w:rsidRPr="00DA4084">
        <w:rPr>
          <w:i/>
        </w:rPr>
        <w:t>sourced Funding for Proprietary Companies)</w:t>
      </w:r>
      <w:r w:rsidRPr="00DA4084">
        <w:t xml:space="preserve"> </w:t>
      </w:r>
      <w:r w:rsidRPr="00DA4084">
        <w:rPr>
          <w:i/>
        </w:rPr>
        <w:t>Act 201</w:t>
      </w:r>
      <w:r w:rsidR="00516D36">
        <w:rPr>
          <w:i/>
        </w:rPr>
        <w:t>8</w:t>
      </w:r>
      <w:r w:rsidRPr="00DA4084">
        <w:t xml:space="preserve"> commences.</w:t>
      </w:r>
    </w:p>
    <w:p w:rsidR="00257AAF" w:rsidRPr="00DA4084" w:rsidRDefault="009B6B78" w:rsidP="00DA4084">
      <w:pPr>
        <w:pStyle w:val="ItemHead"/>
      </w:pPr>
      <w:r w:rsidRPr="00DA4084">
        <w:t>45</w:t>
      </w:r>
      <w:r w:rsidR="00AB2953" w:rsidRPr="00DA4084">
        <w:t xml:space="preserve">  At </w:t>
      </w:r>
      <w:r w:rsidR="006C0C54" w:rsidRPr="00DA4084">
        <w:t>the end of Division</w:t>
      </w:r>
      <w:r w:rsidR="00DA4084" w:rsidRPr="00DA4084">
        <w:t> </w:t>
      </w:r>
      <w:r w:rsidR="006C0C54" w:rsidRPr="00DA4084">
        <w:t>7 of Part</w:t>
      </w:r>
      <w:r w:rsidR="00DA4084" w:rsidRPr="00DA4084">
        <w:t> </w:t>
      </w:r>
      <w:r w:rsidR="006C0C54" w:rsidRPr="00DA4084">
        <w:t>6D</w:t>
      </w:r>
      <w:r w:rsidR="00AB2953" w:rsidRPr="00DA4084">
        <w:t>.3</w:t>
      </w:r>
      <w:r w:rsidR="006C0C54" w:rsidRPr="00DA4084">
        <w:t>A</w:t>
      </w:r>
    </w:p>
    <w:p w:rsidR="00AB2953" w:rsidRPr="00DA4084" w:rsidRDefault="00AB2953" w:rsidP="00DA4084">
      <w:pPr>
        <w:pStyle w:val="Item"/>
      </w:pPr>
      <w:r w:rsidRPr="00DA4084">
        <w:t>Add:</w:t>
      </w:r>
    </w:p>
    <w:p w:rsidR="00AB2953" w:rsidRPr="00DA4084" w:rsidRDefault="00AB2953" w:rsidP="00DA4084">
      <w:pPr>
        <w:pStyle w:val="ActHead5"/>
      </w:pPr>
      <w:bookmarkStart w:id="13" w:name="_Toc525650881"/>
      <w:r w:rsidRPr="00DA4084">
        <w:rPr>
          <w:rStyle w:val="CharSectno"/>
        </w:rPr>
        <w:t>738ZK</w:t>
      </w:r>
      <w:r w:rsidRPr="00DA4084">
        <w:t xml:space="preserve">  Related party transactions—proprietary companies</w:t>
      </w:r>
      <w:r w:rsidR="00257A6D" w:rsidRPr="00DA4084">
        <w:t xml:space="preserve"> that have </w:t>
      </w:r>
      <w:r w:rsidR="00E703FE" w:rsidRPr="00DA4084">
        <w:t>one or more</w:t>
      </w:r>
      <w:r w:rsidR="00257A6D" w:rsidRPr="00DA4084">
        <w:t xml:space="preserve"> CSF shareholder</w:t>
      </w:r>
      <w:r w:rsidR="00E703FE" w:rsidRPr="00DA4084">
        <w:t>s</w:t>
      </w:r>
      <w:bookmarkEnd w:id="13"/>
    </w:p>
    <w:p w:rsidR="008A2A55" w:rsidRPr="00DA4084" w:rsidRDefault="00257A6D" w:rsidP="00DA4084">
      <w:pPr>
        <w:pStyle w:val="subsection"/>
      </w:pPr>
      <w:r w:rsidRPr="00DA4084">
        <w:tab/>
      </w:r>
      <w:r w:rsidR="00AB2953" w:rsidRPr="00DA4084">
        <w:tab/>
      </w:r>
      <w:r w:rsidR="008A2A55" w:rsidRPr="00DA4084">
        <w:t>Chapter</w:t>
      </w:r>
      <w:r w:rsidR="00DA4084" w:rsidRPr="00DA4084">
        <w:t> </w:t>
      </w:r>
      <w:r w:rsidR="008A2A55" w:rsidRPr="00DA4084">
        <w:t xml:space="preserve">2E applies to a proprietary company that has </w:t>
      </w:r>
      <w:r w:rsidR="00E703FE" w:rsidRPr="00DA4084">
        <w:t xml:space="preserve">one or more CSF shareholders </w:t>
      </w:r>
      <w:r w:rsidR="006C0C54" w:rsidRPr="00DA4084">
        <w:t xml:space="preserve">as if </w:t>
      </w:r>
      <w:r w:rsidR="008A2A55" w:rsidRPr="00DA4084">
        <w:t xml:space="preserve">references to a public company were instead references to </w:t>
      </w:r>
      <w:r w:rsidR="00E703FE" w:rsidRPr="00DA4084">
        <w:t>such a proprietary company</w:t>
      </w:r>
      <w:r w:rsidR="006C0C54" w:rsidRPr="00DA4084">
        <w:t>.</w:t>
      </w:r>
    </w:p>
    <w:p w:rsidR="001C77E1" w:rsidRPr="00DA4084" w:rsidRDefault="009B6B78" w:rsidP="00DA4084">
      <w:pPr>
        <w:pStyle w:val="ItemHead"/>
      </w:pPr>
      <w:r w:rsidRPr="00DA4084">
        <w:t>46</w:t>
      </w:r>
      <w:r w:rsidR="001C77E1" w:rsidRPr="00DA4084">
        <w:t xml:space="preserve">  Schedule</w:t>
      </w:r>
      <w:r w:rsidR="00DA4084" w:rsidRPr="00DA4084">
        <w:t> </w:t>
      </w:r>
      <w:r w:rsidR="001C77E1" w:rsidRPr="00DA4084">
        <w:t>3 (after table item</w:t>
      </w:r>
      <w:r w:rsidR="00DA4084" w:rsidRPr="00DA4084">
        <w:t> </w:t>
      </w:r>
      <w:r w:rsidR="001C77E1" w:rsidRPr="00DA4084">
        <w:t>116KB)</w:t>
      </w:r>
    </w:p>
    <w:p w:rsidR="001C77E1" w:rsidRPr="00DA4084" w:rsidRDefault="001C77E1" w:rsidP="00DA4084">
      <w:pPr>
        <w:pStyle w:val="Item"/>
      </w:pPr>
      <w:r w:rsidRPr="00DA4084">
        <w:t>Insert: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"/>
        <w:gridCol w:w="2239"/>
        <w:gridCol w:w="3973"/>
      </w:tblGrid>
      <w:tr w:rsidR="001C77E1" w:rsidRPr="00DA4084" w:rsidTr="001C77E1">
        <w:tc>
          <w:tcPr>
            <w:tcW w:w="880" w:type="dxa"/>
            <w:shd w:val="clear" w:color="auto" w:fill="auto"/>
          </w:tcPr>
          <w:p w:rsidR="001C77E1" w:rsidRPr="00DA4084" w:rsidRDefault="001C77E1" w:rsidP="00DA4084">
            <w:pPr>
              <w:pStyle w:val="Tabletext"/>
            </w:pPr>
            <w:r w:rsidRPr="00DA4084">
              <w:t>116KM</w:t>
            </w:r>
          </w:p>
        </w:tc>
        <w:tc>
          <w:tcPr>
            <w:tcW w:w="2239" w:type="dxa"/>
            <w:shd w:val="clear" w:color="auto" w:fill="auto"/>
          </w:tcPr>
          <w:p w:rsidR="001C77E1" w:rsidRPr="00DA4084" w:rsidRDefault="001C77E1" w:rsidP="00DA4084">
            <w:pPr>
              <w:pStyle w:val="Tabletext"/>
            </w:pPr>
            <w:r w:rsidRPr="00DA4084">
              <w:t>Subsection</w:t>
            </w:r>
            <w:r w:rsidR="00DA4084" w:rsidRPr="00DA4084">
              <w:t> </w:t>
            </w:r>
            <w:r w:rsidRPr="00DA4084">
              <w:t>325(4)</w:t>
            </w:r>
          </w:p>
        </w:tc>
        <w:tc>
          <w:tcPr>
            <w:tcW w:w="3973" w:type="dxa"/>
            <w:shd w:val="clear" w:color="auto" w:fill="auto"/>
          </w:tcPr>
          <w:p w:rsidR="001C77E1" w:rsidRPr="00DA4084" w:rsidRDefault="001C77E1" w:rsidP="00DA4084">
            <w:pPr>
              <w:pStyle w:val="Tabletext"/>
            </w:pPr>
            <w:r w:rsidRPr="00DA4084">
              <w:t>25 penalty units or imprisonment for 6 months, or both.</w:t>
            </w:r>
          </w:p>
        </w:tc>
      </w:tr>
    </w:tbl>
    <w:p w:rsidR="00B3137F" w:rsidRPr="00DA4084" w:rsidRDefault="00F023EB" w:rsidP="00DA4084">
      <w:pPr>
        <w:pStyle w:val="ActHead7"/>
        <w:pageBreakBefore/>
      </w:pPr>
      <w:bookmarkStart w:id="14" w:name="_Toc525650882"/>
      <w:r w:rsidRPr="00DA4084">
        <w:rPr>
          <w:rStyle w:val="CharAmPartNo"/>
        </w:rPr>
        <w:lastRenderedPageBreak/>
        <w:t>Part</w:t>
      </w:r>
      <w:r w:rsidR="00DA4084" w:rsidRPr="00DA4084">
        <w:rPr>
          <w:rStyle w:val="CharAmPartNo"/>
        </w:rPr>
        <w:t> </w:t>
      </w:r>
      <w:r w:rsidRPr="00DA4084">
        <w:rPr>
          <w:rStyle w:val="CharAmPartNo"/>
        </w:rPr>
        <w:t>2</w:t>
      </w:r>
      <w:r w:rsidRPr="00DA4084">
        <w:t>—</w:t>
      </w:r>
      <w:r w:rsidRPr="00DA4084">
        <w:rPr>
          <w:rStyle w:val="CharAmPartText"/>
        </w:rPr>
        <w:t>Other amendments</w:t>
      </w:r>
      <w:bookmarkEnd w:id="14"/>
    </w:p>
    <w:p w:rsidR="00F023EB" w:rsidRPr="00DA4084" w:rsidRDefault="00F023EB" w:rsidP="00DA4084">
      <w:pPr>
        <w:pStyle w:val="ActHead9"/>
        <w:rPr>
          <w:i w:val="0"/>
        </w:rPr>
      </w:pPr>
      <w:bookmarkStart w:id="15" w:name="_Toc525650883"/>
      <w:r w:rsidRPr="00DA4084">
        <w:t>Corporations Act 2001</w:t>
      </w:r>
      <w:bookmarkEnd w:id="15"/>
    </w:p>
    <w:p w:rsidR="00F023EB" w:rsidRPr="00DA4084" w:rsidRDefault="009B6B78" w:rsidP="00DA4084">
      <w:pPr>
        <w:pStyle w:val="ItemHead"/>
      </w:pPr>
      <w:r w:rsidRPr="00DA4084">
        <w:t>47</w:t>
      </w:r>
      <w:r w:rsidR="00F023EB" w:rsidRPr="00DA4084">
        <w:t xml:space="preserve">  Paragraph 301(5)(b)</w:t>
      </w:r>
    </w:p>
    <w:p w:rsidR="00525A87" w:rsidRPr="00DA4084" w:rsidRDefault="00F023EB" w:rsidP="00DA4084">
      <w:pPr>
        <w:pStyle w:val="Item"/>
      </w:pPr>
      <w:r w:rsidRPr="00DA4084">
        <w:t>Omit “$1 million”, substitute “$3 million”.</w:t>
      </w:r>
    </w:p>
    <w:p w:rsidR="00525A87" w:rsidRPr="00DA4084" w:rsidRDefault="009B6B78" w:rsidP="00DA4084">
      <w:pPr>
        <w:pStyle w:val="ItemHead"/>
      </w:pPr>
      <w:r w:rsidRPr="00DA4084">
        <w:t>48</w:t>
      </w:r>
      <w:r w:rsidR="00525A87" w:rsidRPr="00DA4084">
        <w:t xml:space="preserve">  Section</w:t>
      </w:r>
      <w:r w:rsidR="00DA4084" w:rsidRPr="00DA4084">
        <w:t> </w:t>
      </w:r>
      <w:r w:rsidR="00525A87" w:rsidRPr="00DA4084">
        <w:t>328D (heading)</w:t>
      </w:r>
    </w:p>
    <w:p w:rsidR="00525A87" w:rsidRPr="00DA4084" w:rsidRDefault="00525A87" w:rsidP="00DA4084">
      <w:pPr>
        <w:pStyle w:val="Item"/>
      </w:pPr>
      <w:r w:rsidRPr="00DA4084">
        <w:t>Repeal the heading, substitute:</w:t>
      </w:r>
    </w:p>
    <w:p w:rsidR="00525A87" w:rsidRPr="00DA4084" w:rsidRDefault="00525A87" w:rsidP="00DA4084">
      <w:pPr>
        <w:pStyle w:val="ActHead5"/>
      </w:pPr>
      <w:bookmarkStart w:id="16" w:name="_Toc525650884"/>
      <w:r w:rsidRPr="00DA4084">
        <w:rPr>
          <w:rStyle w:val="CharSectno"/>
        </w:rPr>
        <w:t>328D</w:t>
      </w:r>
      <w:r w:rsidRPr="00DA4084">
        <w:t xml:space="preserve">  Public company auditor (appointment of auditor when $3 million raised using crowd</w:t>
      </w:r>
      <w:r w:rsidR="00DD52F5">
        <w:noBreakHyphen/>
      </w:r>
      <w:r w:rsidRPr="00DA4084">
        <w:t>sourced funding)</w:t>
      </w:r>
      <w:bookmarkEnd w:id="16"/>
    </w:p>
    <w:p w:rsidR="00525A87" w:rsidRPr="00DA4084" w:rsidRDefault="009B6B78" w:rsidP="00DA4084">
      <w:pPr>
        <w:pStyle w:val="ItemHead"/>
      </w:pPr>
      <w:r w:rsidRPr="00DA4084">
        <w:t>49</w:t>
      </w:r>
      <w:r w:rsidR="00525A87" w:rsidRPr="00DA4084">
        <w:t xml:space="preserve">  Subsection</w:t>
      </w:r>
      <w:r w:rsidR="00DA4084" w:rsidRPr="00DA4084">
        <w:t> </w:t>
      </w:r>
      <w:r w:rsidR="00525A87" w:rsidRPr="00DA4084">
        <w:t>328D(1)</w:t>
      </w:r>
    </w:p>
    <w:p w:rsidR="00525A87" w:rsidRPr="00DA4084" w:rsidRDefault="00525A87" w:rsidP="00DA4084">
      <w:pPr>
        <w:pStyle w:val="Item"/>
      </w:pPr>
      <w:r w:rsidRPr="00DA4084">
        <w:t>Omit “$1 million”, substitute “$3 million”.</w:t>
      </w:r>
    </w:p>
    <w:p w:rsidR="00955BAC" w:rsidRPr="00DA4084" w:rsidRDefault="009B6B78" w:rsidP="00DA4084">
      <w:pPr>
        <w:pStyle w:val="ItemHead"/>
      </w:pPr>
      <w:r w:rsidRPr="00DA4084">
        <w:t>50</w:t>
      </w:r>
      <w:r w:rsidR="00955BAC" w:rsidRPr="00DA4084">
        <w:t xml:space="preserve">  Paragraph 738H(1)(e)</w:t>
      </w:r>
    </w:p>
    <w:p w:rsidR="00955BAC" w:rsidRPr="00DA4084" w:rsidRDefault="00955BAC" w:rsidP="00DA4084">
      <w:pPr>
        <w:pStyle w:val="Item"/>
      </w:pPr>
      <w:r w:rsidRPr="00DA4084">
        <w:t>Repeal the paragraph, substitute:</w:t>
      </w:r>
    </w:p>
    <w:p w:rsidR="00080B49" w:rsidRPr="00DA4084" w:rsidRDefault="009451FF" w:rsidP="00DA4084">
      <w:pPr>
        <w:pStyle w:val="paragraph"/>
      </w:pPr>
      <w:r w:rsidRPr="00DA4084">
        <w:tab/>
        <w:t>(e)</w:t>
      </w:r>
      <w:r w:rsidRPr="00DA4084">
        <w:tab/>
        <w:t>neither the company, nor any related party of the company, is</w:t>
      </w:r>
      <w:r w:rsidR="00080B49" w:rsidRPr="00DA4084">
        <w:t>:</w:t>
      </w:r>
    </w:p>
    <w:p w:rsidR="00080B49" w:rsidRPr="00DA4084" w:rsidRDefault="00080B49" w:rsidP="00DA4084">
      <w:pPr>
        <w:pStyle w:val="paragraphsub"/>
      </w:pPr>
      <w:r w:rsidRPr="00DA4084">
        <w:tab/>
        <w:t>(</w:t>
      </w:r>
      <w:proofErr w:type="spellStart"/>
      <w:r w:rsidRPr="00DA4084">
        <w:t>i</w:t>
      </w:r>
      <w:proofErr w:type="spellEnd"/>
      <w:r w:rsidRPr="00DA4084">
        <w:t>)</w:t>
      </w:r>
      <w:r w:rsidRPr="00DA4084">
        <w:tab/>
        <w:t>a listed corporation; or</w:t>
      </w:r>
    </w:p>
    <w:p w:rsidR="00080B49" w:rsidRPr="00DA4084" w:rsidRDefault="00080B49" w:rsidP="00DA4084">
      <w:pPr>
        <w:pStyle w:val="paragraphsub"/>
      </w:pPr>
      <w:r w:rsidRPr="00DA4084">
        <w:tab/>
        <w:t>(ii)</w:t>
      </w:r>
      <w:r w:rsidRPr="00DA4084">
        <w:tab/>
      </w:r>
      <w:r w:rsidR="009451FF" w:rsidRPr="00DA4084">
        <w:t xml:space="preserve">included in an official list of a financial market </w:t>
      </w:r>
      <w:r w:rsidRPr="00DA4084">
        <w:t>operated outside this jurisdiction;</w:t>
      </w:r>
    </w:p>
    <w:p w:rsidR="00EA13EA" w:rsidRPr="00DA4084" w:rsidRDefault="009B6B78" w:rsidP="00DA4084">
      <w:pPr>
        <w:pStyle w:val="ItemHead"/>
      </w:pPr>
      <w:r w:rsidRPr="00DA4084">
        <w:t>51</w:t>
      </w:r>
      <w:r w:rsidR="00EA13EA" w:rsidRPr="00DA4084">
        <w:t xml:space="preserve">  Subsections</w:t>
      </w:r>
      <w:r w:rsidR="00DA4084" w:rsidRPr="00DA4084">
        <w:t> </w:t>
      </w:r>
      <w:r w:rsidR="00EA13EA" w:rsidRPr="00DA4084">
        <w:t>738X(7) and (9)</w:t>
      </w:r>
    </w:p>
    <w:p w:rsidR="00EA13EA" w:rsidRPr="00DA4084" w:rsidRDefault="00EA13EA" w:rsidP="00DA4084">
      <w:pPr>
        <w:pStyle w:val="Item"/>
      </w:pPr>
      <w:r w:rsidRPr="00DA4084">
        <w:t>Omit “one month”, substitute “14 days”.</w:t>
      </w:r>
    </w:p>
    <w:p w:rsidR="00A412EF" w:rsidRPr="00DA4084" w:rsidRDefault="009B6B78" w:rsidP="00DA4084">
      <w:pPr>
        <w:pStyle w:val="ItemHead"/>
      </w:pPr>
      <w:r w:rsidRPr="00DA4084">
        <w:t>52</w:t>
      </w:r>
      <w:r w:rsidR="00054BD5" w:rsidRPr="00DA4084">
        <w:t xml:space="preserve">  </w:t>
      </w:r>
      <w:r w:rsidR="00A412EF" w:rsidRPr="00DA4084">
        <w:t>In the appropriate position in Chapter</w:t>
      </w:r>
      <w:r w:rsidR="00DA4084" w:rsidRPr="00DA4084">
        <w:t> </w:t>
      </w:r>
      <w:r w:rsidR="00A412EF" w:rsidRPr="00DA4084">
        <w:t>10</w:t>
      </w:r>
    </w:p>
    <w:p w:rsidR="00A412EF" w:rsidRPr="00DA4084" w:rsidRDefault="00A412EF" w:rsidP="00DA4084">
      <w:pPr>
        <w:pStyle w:val="Item"/>
      </w:pPr>
      <w:r w:rsidRPr="00DA4084">
        <w:t>Insert:</w:t>
      </w:r>
    </w:p>
    <w:p w:rsidR="00A412EF" w:rsidRPr="00DA4084" w:rsidRDefault="00A412EF" w:rsidP="00DA4084">
      <w:pPr>
        <w:pStyle w:val="ActHead2"/>
      </w:pPr>
      <w:bookmarkStart w:id="17" w:name="_Toc525650885"/>
      <w:r w:rsidRPr="00DA4084">
        <w:rPr>
          <w:rStyle w:val="CharPartNo"/>
        </w:rPr>
        <w:lastRenderedPageBreak/>
        <w:t>Part</w:t>
      </w:r>
      <w:r w:rsidR="00DA4084" w:rsidRPr="00DA4084">
        <w:rPr>
          <w:rStyle w:val="CharPartNo"/>
        </w:rPr>
        <w:t> </w:t>
      </w:r>
      <w:r w:rsidRPr="00DA4084">
        <w:rPr>
          <w:rStyle w:val="CharPartNo"/>
        </w:rPr>
        <w:t>10.31</w:t>
      </w:r>
      <w:r w:rsidRPr="00DA4084">
        <w:t>—</w:t>
      </w:r>
      <w:r w:rsidRPr="00DA4084">
        <w:rPr>
          <w:rStyle w:val="CharPartText"/>
        </w:rPr>
        <w:t>Transitional provisions relating to the Corporations Amendment (Crowd</w:t>
      </w:r>
      <w:r w:rsidR="00DD52F5">
        <w:rPr>
          <w:rStyle w:val="CharPartText"/>
        </w:rPr>
        <w:noBreakHyphen/>
      </w:r>
      <w:r w:rsidRPr="00DA4084">
        <w:rPr>
          <w:rStyle w:val="CharPartText"/>
        </w:rPr>
        <w:t>sourced Funding for Proprietary Companies) Act 201</w:t>
      </w:r>
      <w:r w:rsidR="00060EE7">
        <w:rPr>
          <w:rStyle w:val="CharPartText"/>
        </w:rPr>
        <w:t>8</w:t>
      </w:r>
      <w:bookmarkEnd w:id="17"/>
    </w:p>
    <w:p w:rsidR="00A412EF" w:rsidRPr="00DA4084" w:rsidRDefault="00A412EF" w:rsidP="00DA4084">
      <w:pPr>
        <w:pStyle w:val="Header"/>
      </w:pPr>
      <w:r w:rsidRPr="00DA4084">
        <w:rPr>
          <w:rStyle w:val="CharDivNo"/>
        </w:rPr>
        <w:t xml:space="preserve"> </w:t>
      </w:r>
      <w:r w:rsidRPr="00DA4084">
        <w:rPr>
          <w:rStyle w:val="CharDivText"/>
        </w:rPr>
        <w:t xml:space="preserve"> </w:t>
      </w:r>
    </w:p>
    <w:p w:rsidR="00A412EF" w:rsidRPr="00DA4084" w:rsidRDefault="00A412EF" w:rsidP="00DA4084">
      <w:pPr>
        <w:pStyle w:val="ActHead5"/>
      </w:pPr>
      <w:bookmarkStart w:id="18" w:name="_Toc525650886"/>
      <w:r w:rsidRPr="00DA4084">
        <w:rPr>
          <w:rStyle w:val="CharSectno"/>
        </w:rPr>
        <w:t>164</w:t>
      </w:r>
      <w:r w:rsidR="00084BF9" w:rsidRPr="00DA4084">
        <w:rPr>
          <w:rStyle w:val="CharSectno"/>
        </w:rPr>
        <w:t>3</w:t>
      </w:r>
      <w:r w:rsidRPr="00DA4084">
        <w:t xml:space="preserve">  Application of amendments</w:t>
      </w:r>
      <w:bookmarkEnd w:id="18"/>
    </w:p>
    <w:p w:rsidR="00DD52F5" w:rsidRDefault="00A412EF" w:rsidP="00DA4084">
      <w:pPr>
        <w:pStyle w:val="subsection"/>
      </w:pPr>
      <w:r w:rsidRPr="00DA4084">
        <w:tab/>
      </w:r>
      <w:r w:rsidRPr="00DA4084">
        <w:tab/>
        <w:t xml:space="preserve">The amendments made by </w:t>
      </w:r>
      <w:r w:rsidR="00574941" w:rsidRPr="00DA4084">
        <w:t>items</w:t>
      </w:r>
      <w:r w:rsidR="00DA4084" w:rsidRPr="00DA4084">
        <w:t> </w:t>
      </w:r>
      <w:r w:rsidR="00574941" w:rsidRPr="00DA4084">
        <w:t xml:space="preserve">50 </w:t>
      </w:r>
      <w:r w:rsidR="00C701C8" w:rsidRPr="00DA4084">
        <w:t>and 51</w:t>
      </w:r>
      <w:r w:rsidRPr="00DA4084">
        <w:t xml:space="preserve"> of Schedule</w:t>
      </w:r>
      <w:r w:rsidR="00DA4084" w:rsidRPr="00DA4084">
        <w:t> </w:t>
      </w:r>
      <w:r w:rsidRPr="00DA4084">
        <w:t xml:space="preserve">1 to the </w:t>
      </w:r>
      <w:r w:rsidRPr="00DA4084">
        <w:rPr>
          <w:i/>
        </w:rPr>
        <w:t>Corporations Amendment (Crowd</w:t>
      </w:r>
      <w:r w:rsidR="00DD52F5">
        <w:rPr>
          <w:i/>
        </w:rPr>
        <w:noBreakHyphen/>
      </w:r>
      <w:r w:rsidRPr="00DA4084">
        <w:rPr>
          <w:i/>
        </w:rPr>
        <w:t>sourced Funding for Proprietary Companies) Act 201</w:t>
      </w:r>
      <w:r w:rsidR="00060EE7">
        <w:rPr>
          <w:i/>
        </w:rPr>
        <w:t>8</w:t>
      </w:r>
      <w:r w:rsidRPr="00DA4084">
        <w:t xml:space="preserve"> apply in relation to CSF offers made </w:t>
      </w:r>
      <w:r w:rsidR="00574941" w:rsidRPr="00DA4084">
        <w:t>at</w:t>
      </w:r>
      <w:r w:rsidRPr="00DA4084">
        <w:t xml:space="preserve"> or after the commencement of </w:t>
      </w:r>
      <w:r w:rsidR="00574941" w:rsidRPr="00DA4084">
        <w:t>those items</w:t>
      </w:r>
      <w:r w:rsidRPr="00DA4084">
        <w:t>.</w:t>
      </w:r>
    </w:p>
    <w:p w:rsidR="006B0390" w:rsidRDefault="006B0390" w:rsidP="006B0390"/>
    <w:p w:rsidR="006B0390" w:rsidRDefault="006B0390" w:rsidP="006B0390">
      <w:pPr>
        <w:pStyle w:val="AssentBk"/>
        <w:keepNext/>
        <w:rPr>
          <w:sz w:val="22"/>
        </w:rPr>
      </w:pPr>
    </w:p>
    <w:p w:rsidR="006B0390" w:rsidRDefault="006B0390" w:rsidP="006B0390">
      <w:pPr>
        <w:pStyle w:val="AssentBk"/>
        <w:keepNext/>
        <w:rPr>
          <w:sz w:val="22"/>
        </w:rPr>
      </w:pPr>
    </w:p>
    <w:p w:rsidR="006B0390" w:rsidRDefault="006B0390" w:rsidP="006B0390">
      <w:pPr>
        <w:pStyle w:val="2ndRd"/>
        <w:keepNext/>
        <w:pBdr>
          <w:top w:val="single" w:sz="2" w:space="1" w:color="auto"/>
        </w:pBdr>
      </w:pPr>
    </w:p>
    <w:p w:rsidR="006B0390" w:rsidRDefault="006B039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B0390" w:rsidRDefault="006B039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September 2017</w:t>
      </w:r>
    </w:p>
    <w:p w:rsidR="006B0390" w:rsidRDefault="006B039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6B0390" w:rsidRDefault="006B0390" w:rsidP="000C5962"/>
    <w:p w:rsidR="004759DC" w:rsidRPr="006B0390" w:rsidRDefault="006B0390" w:rsidP="006B0390">
      <w:pPr>
        <w:framePr w:hSpace="180" w:wrap="around" w:vAnchor="text" w:hAnchor="page" w:x="2401" w:y="4764"/>
      </w:pPr>
      <w:r>
        <w:t>(218/17)</w:t>
      </w:r>
    </w:p>
    <w:p w:rsidR="006B0390" w:rsidRDefault="006B0390"/>
    <w:sectPr w:rsidR="006B0390" w:rsidSect="004759D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AA" w:rsidRDefault="00B910AA" w:rsidP="0048364F">
      <w:pPr>
        <w:spacing w:line="240" w:lineRule="auto"/>
      </w:pPr>
      <w:r>
        <w:separator/>
      </w:r>
    </w:p>
  </w:endnote>
  <w:endnote w:type="continuationSeparator" w:id="0">
    <w:p w:rsidR="00B910AA" w:rsidRDefault="00B910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5F1388" w:rsidRDefault="00B910AA" w:rsidP="00DA40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90" w:rsidRDefault="006B039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B0390" w:rsidRDefault="006B0390" w:rsidP="00CD12A5"/>
  <w:p w:rsidR="00B910AA" w:rsidRDefault="00B910AA" w:rsidP="00DA4084">
    <w:pPr>
      <w:pStyle w:val="Footer"/>
      <w:spacing w:before="120"/>
    </w:pPr>
  </w:p>
  <w:p w:rsidR="00B910AA" w:rsidRPr="005F1388" w:rsidRDefault="00B910A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ED79B6" w:rsidRDefault="00B910AA" w:rsidP="00DA40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Default="00B910AA" w:rsidP="00DA408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910AA" w:rsidTr="006D2718">
      <w:tc>
        <w:tcPr>
          <w:tcW w:w="646" w:type="dxa"/>
        </w:tcPr>
        <w:p w:rsidR="00B910AA" w:rsidRDefault="00B910AA" w:rsidP="006D271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910AA" w:rsidRDefault="00B910AA" w:rsidP="006D271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Corporations Amendment (Crowd-sourced Funding for Proprietary Companies)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910AA" w:rsidRDefault="00B910AA" w:rsidP="006D271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No. 106,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910AA" w:rsidRDefault="00B91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Default="00B910AA" w:rsidP="00DA408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910AA" w:rsidTr="006D2718">
      <w:tc>
        <w:tcPr>
          <w:tcW w:w="1247" w:type="dxa"/>
        </w:tcPr>
        <w:p w:rsidR="00B910AA" w:rsidRDefault="00B910AA" w:rsidP="006D271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No. 106,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910AA" w:rsidRDefault="00B910AA" w:rsidP="006D271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Corporations Amendment (Crowd-sourced Funding for Proprietary Companies)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910AA" w:rsidRDefault="00B910AA" w:rsidP="006D271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01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910AA" w:rsidRPr="00ED79B6" w:rsidRDefault="00B910A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DA408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910AA" w:rsidTr="00DA4084">
      <w:tc>
        <w:tcPr>
          <w:tcW w:w="646" w:type="dxa"/>
        </w:tcPr>
        <w:p w:rsidR="00B910AA" w:rsidRDefault="00B910AA" w:rsidP="006D271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910AA" w:rsidRDefault="00B910AA" w:rsidP="006D271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Corporations Amendment (Crowd-sourced Funding for Proprietary Companies)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910AA" w:rsidRDefault="00B910AA" w:rsidP="006D271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No. 106,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910AA" w:rsidRPr="00A961C4" w:rsidRDefault="00B910A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DA408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910AA" w:rsidTr="00DA4084">
      <w:tc>
        <w:tcPr>
          <w:tcW w:w="1247" w:type="dxa"/>
        </w:tcPr>
        <w:p w:rsidR="00B910AA" w:rsidRDefault="00B910AA" w:rsidP="006D271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No. 106,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910AA" w:rsidRDefault="00B910AA" w:rsidP="006D271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Corporations Amendment (Crowd-sourced Funding for Proprietary Companies)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910AA" w:rsidRDefault="00B910AA" w:rsidP="006D271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910AA" w:rsidRPr="00055B5C" w:rsidRDefault="00B910AA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DA408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910AA" w:rsidTr="00DA4084">
      <w:tc>
        <w:tcPr>
          <w:tcW w:w="1247" w:type="dxa"/>
        </w:tcPr>
        <w:p w:rsidR="00B910AA" w:rsidRDefault="00B910AA" w:rsidP="006D271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No. 106,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910AA" w:rsidRDefault="00B910AA" w:rsidP="006D271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sz w:val="18"/>
            </w:rPr>
            <w:t>Corporations Amendment (Crowd-sourced Funding for Proprietary Companies)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910AA" w:rsidRDefault="00B910AA" w:rsidP="006D271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10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910AA" w:rsidRPr="00A961C4" w:rsidRDefault="00B910A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AA" w:rsidRDefault="00B910AA" w:rsidP="0048364F">
      <w:pPr>
        <w:spacing w:line="240" w:lineRule="auto"/>
      </w:pPr>
      <w:r>
        <w:separator/>
      </w:r>
    </w:p>
  </w:footnote>
  <w:footnote w:type="continuationSeparator" w:id="0">
    <w:p w:rsidR="00B910AA" w:rsidRDefault="00B910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5F1388" w:rsidRDefault="00B910A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5F1388" w:rsidRDefault="00B910A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5F1388" w:rsidRDefault="00B910A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ED79B6" w:rsidRDefault="00B910A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ED79B6" w:rsidRDefault="00B910A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ED79B6" w:rsidRDefault="00B910A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101">
      <w:rPr>
        <w:b/>
        <w:sz w:val="20"/>
      </w:rPr>
      <w:fldChar w:fldCharType="separate"/>
    </w:r>
    <w:r w:rsidR="005F010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0101">
      <w:rPr>
        <w:sz w:val="20"/>
      </w:rPr>
      <w:fldChar w:fldCharType="separate"/>
    </w:r>
    <w:r w:rsidR="005F0101">
      <w:rPr>
        <w:noProof/>
        <w:sz w:val="20"/>
      </w:rPr>
      <w:t>Amendments</w:t>
    </w:r>
    <w:r>
      <w:rPr>
        <w:sz w:val="20"/>
      </w:rPr>
      <w:fldChar w:fldCharType="end"/>
    </w:r>
  </w:p>
  <w:p w:rsidR="00B910AA" w:rsidRPr="00A961C4" w:rsidRDefault="00B910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F0101">
      <w:rPr>
        <w:b/>
        <w:sz w:val="20"/>
      </w:rPr>
      <w:fldChar w:fldCharType="separate"/>
    </w:r>
    <w:r w:rsidR="005F010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F0101">
      <w:rPr>
        <w:sz w:val="20"/>
      </w:rPr>
      <w:fldChar w:fldCharType="separate"/>
    </w:r>
    <w:r w:rsidR="005F0101">
      <w:rPr>
        <w:noProof/>
        <w:sz w:val="20"/>
      </w:rPr>
      <w:t>Other amendments</w:t>
    </w:r>
    <w:r>
      <w:rPr>
        <w:sz w:val="20"/>
      </w:rPr>
      <w:fldChar w:fldCharType="end"/>
    </w:r>
  </w:p>
  <w:p w:rsidR="00B910AA" w:rsidRPr="00A961C4" w:rsidRDefault="00B910A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F0101">
      <w:rPr>
        <w:sz w:val="20"/>
      </w:rPr>
      <w:fldChar w:fldCharType="separate"/>
    </w:r>
    <w:r w:rsidR="005F010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101">
      <w:rPr>
        <w:b/>
        <w:sz w:val="20"/>
      </w:rPr>
      <w:fldChar w:fldCharType="separate"/>
    </w:r>
    <w:r w:rsidR="005F010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910AA" w:rsidRPr="00A961C4" w:rsidRDefault="00B910A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F0101">
      <w:rPr>
        <w:sz w:val="20"/>
      </w:rPr>
      <w:fldChar w:fldCharType="separate"/>
    </w:r>
    <w:r w:rsidR="005F0101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F0101">
      <w:rPr>
        <w:b/>
        <w:sz w:val="20"/>
      </w:rPr>
      <w:fldChar w:fldCharType="separate"/>
    </w:r>
    <w:r w:rsidR="005F010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B910AA" w:rsidRPr="00A961C4" w:rsidRDefault="00B910A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AA" w:rsidRPr="00A961C4" w:rsidRDefault="00B910A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96"/>
    <w:rsid w:val="000024F4"/>
    <w:rsid w:val="000113BC"/>
    <w:rsid w:val="000136AF"/>
    <w:rsid w:val="00022E08"/>
    <w:rsid w:val="00024128"/>
    <w:rsid w:val="00027736"/>
    <w:rsid w:val="00036A60"/>
    <w:rsid w:val="000417C9"/>
    <w:rsid w:val="00054243"/>
    <w:rsid w:val="00054BD5"/>
    <w:rsid w:val="00055B5C"/>
    <w:rsid w:val="00056391"/>
    <w:rsid w:val="00060847"/>
    <w:rsid w:val="00060EE7"/>
    <w:rsid w:val="00060FF9"/>
    <w:rsid w:val="000614BF"/>
    <w:rsid w:val="00062CDA"/>
    <w:rsid w:val="000725E4"/>
    <w:rsid w:val="00080B49"/>
    <w:rsid w:val="00084BF9"/>
    <w:rsid w:val="00090833"/>
    <w:rsid w:val="000915DB"/>
    <w:rsid w:val="000943CC"/>
    <w:rsid w:val="000A44C8"/>
    <w:rsid w:val="000B1FD2"/>
    <w:rsid w:val="000B48EA"/>
    <w:rsid w:val="000C0974"/>
    <w:rsid w:val="000C2BCC"/>
    <w:rsid w:val="000D05EF"/>
    <w:rsid w:val="000D0AAE"/>
    <w:rsid w:val="000D35D7"/>
    <w:rsid w:val="000E73EF"/>
    <w:rsid w:val="000F21C1"/>
    <w:rsid w:val="000F7627"/>
    <w:rsid w:val="000F76D2"/>
    <w:rsid w:val="00101D90"/>
    <w:rsid w:val="001047D0"/>
    <w:rsid w:val="00105C9F"/>
    <w:rsid w:val="0010745C"/>
    <w:rsid w:val="0011280C"/>
    <w:rsid w:val="00113BD1"/>
    <w:rsid w:val="00122206"/>
    <w:rsid w:val="001277EF"/>
    <w:rsid w:val="00146B0B"/>
    <w:rsid w:val="001475CA"/>
    <w:rsid w:val="0015646E"/>
    <w:rsid w:val="00157F4D"/>
    <w:rsid w:val="0016187E"/>
    <w:rsid w:val="001643C9"/>
    <w:rsid w:val="00165568"/>
    <w:rsid w:val="00166C2F"/>
    <w:rsid w:val="001716C9"/>
    <w:rsid w:val="00173363"/>
    <w:rsid w:val="00173B94"/>
    <w:rsid w:val="00176FC6"/>
    <w:rsid w:val="001832D9"/>
    <w:rsid w:val="00184B24"/>
    <w:rsid w:val="001854B4"/>
    <w:rsid w:val="00185D22"/>
    <w:rsid w:val="001939E1"/>
    <w:rsid w:val="00195382"/>
    <w:rsid w:val="001A0BF2"/>
    <w:rsid w:val="001A22A8"/>
    <w:rsid w:val="001A35D3"/>
    <w:rsid w:val="001A3658"/>
    <w:rsid w:val="001A759A"/>
    <w:rsid w:val="001A76FB"/>
    <w:rsid w:val="001B6455"/>
    <w:rsid w:val="001B7A5D"/>
    <w:rsid w:val="001C2418"/>
    <w:rsid w:val="001C69C4"/>
    <w:rsid w:val="001C77E1"/>
    <w:rsid w:val="001C7EE3"/>
    <w:rsid w:val="001E3590"/>
    <w:rsid w:val="001E7407"/>
    <w:rsid w:val="001F4945"/>
    <w:rsid w:val="001F6119"/>
    <w:rsid w:val="00201D27"/>
    <w:rsid w:val="00202618"/>
    <w:rsid w:val="00203CC6"/>
    <w:rsid w:val="00211DEC"/>
    <w:rsid w:val="002127CC"/>
    <w:rsid w:val="00213153"/>
    <w:rsid w:val="00222FFB"/>
    <w:rsid w:val="00230690"/>
    <w:rsid w:val="00230B8F"/>
    <w:rsid w:val="00240749"/>
    <w:rsid w:val="00257A6D"/>
    <w:rsid w:val="00257AAF"/>
    <w:rsid w:val="00263820"/>
    <w:rsid w:val="002642E3"/>
    <w:rsid w:val="00272C99"/>
    <w:rsid w:val="00275197"/>
    <w:rsid w:val="00285B2B"/>
    <w:rsid w:val="002916EA"/>
    <w:rsid w:val="00293B89"/>
    <w:rsid w:val="00293D63"/>
    <w:rsid w:val="00297ECB"/>
    <w:rsid w:val="002A36F3"/>
    <w:rsid w:val="002A5AFF"/>
    <w:rsid w:val="002B1AFE"/>
    <w:rsid w:val="002B5A30"/>
    <w:rsid w:val="002D043A"/>
    <w:rsid w:val="002D395A"/>
    <w:rsid w:val="002F2DE7"/>
    <w:rsid w:val="002F3997"/>
    <w:rsid w:val="002F4B18"/>
    <w:rsid w:val="002F7255"/>
    <w:rsid w:val="00310B91"/>
    <w:rsid w:val="00311988"/>
    <w:rsid w:val="00322BD4"/>
    <w:rsid w:val="00327E02"/>
    <w:rsid w:val="00330C6B"/>
    <w:rsid w:val="00334301"/>
    <w:rsid w:val="003415D3"/>
    <w:rsid w:val="00344742"/>
    <w:rsid w:val="00350417"/>
    <w:rsid w:val="00352912"/>
    <w:rsid w:val="00352B0F"/>
    <w:rsid w:val="00356D19"/>
    <w:rsid w:val="00357972"/>
    <w:rsid w:val="00362DFF"/>
    <w:rsid w:val="003646E9"/>
    <w:rsid w:val="00375C6C"/>
    <w:rsid w:val="00382FD0"/>
    <w:rsid w:val="003A6D7E"/>
    <w:rsid w:val="003B72CA"/>
    <w:rsid w:val="003C00FB"/>
    <w:rsid w:val="003C5F2B"/>
    <w:rsid w:val="003D0BFE"/>
    <w:rsid w:val="003D37E5"/>
    <w:rsid w:val="003D5700"/>
    <w:rsid w:val="003D6C67"/>
    <w:rsid w:val="003E5367"/>
    <w:rsid w:val="003F29C3"/>
    <w:rsid w:val="003F5F3C"/>
    <w:rsid w:val="003F6E9A"/>
    <w:rsid w:val="00405579"/>
    <w:rsid w:val="00410B8E"/>
    <w:rsid w:val="004116CD"/>
    <w:rsid w:val="00411DE5"/>
    <w:rsid w:val="00413C45"/>
    <w:rsid w:val="004205E2"/>
    <w:rsid w:val="00421AE1"/>
    <w:rsid w:val="00421FC1"/>
    <w:rsid w:val="004229C7"/>
    <w:rsid w:val="00422D9B"/>
    <w:rsid w:val="00424CA9"/>
    <w:rsid w:val="004331E8"/>
    <w:rsid w:val="00436785"/>
    <w:rsid w:val="00436BD5"/>
    <w:rsid w:val="00437993"/>
    <w:rsid w:val="00437E4B"/>
    <w:rsid w:val="00440838"/>
    <w:rsid w:val="0044291A"/>
    <w:rsid w:val="004432BC"/>
    <w:rsid w:val="004500A9"/>
    <w:rsid w:val="004613B7"/>
    <w:rsid w:val="00473D2E"/>
    <w:rsid w:val="00474BEE"/>
    <w:rsid w:val="004759DC"/>
    <w:rsid w:val="0048196B"/>
    <w:rsid w:val="00482EE8"/>
    <w:rsid w:val="0048364F"/>
    <w:rsid w:val="00484CBE"/>
    <w:rsid w:val="004863BF"/>
    <w:rsid w:val="004901AD"/>
    <w:rsid w:val="004906CF"/>
    <w:rsid w:val="004911FA"/>
    <w:rsid w:val="00492CCC"/>
    <w:rsid w:val="00496F97"/>
    <w:rsid w:val="00497FDB"/>
    <w:rsid w:val="004B3CE2"/>
    <w:rsid w:val="004C7C8C"/>
    <w:rsid w:val="004D69AD"/>
    <w:rsid w:val="004D72A0"/>
    <w:rsid w:val="004E0505"/>
    <w:rsid w:val="004E2A4A"/>
    <w:rsid w:val="004E79CC"/>
    <w:rsid w:val="004F0D23"/>
    <w:rsid w:val="004F1FAC"/>
    <w:rsid w:val="004F2564"/>
    <w:rsid w:val="004F7DD8"/>
    <w:rsid w:val="0050083C"/>
    <w:rsid w:val="005012B2"/>
    <w:rsid w:val="00502575"/>
    <w:rsid w:val="00510D4A"/>
    <w:rsid w:val="00516B8D"/>
    <w:rsid w:val="00516D36"/>
    <w:rsid w:val="00517AD8"/>
    <w:rsid w:val="005215A0"/>
    <w:rsid w:val="00525A87"/>
    <w:rsid w:val="00537FBC"/>
    <w:rsid w:val="00543469"/>
    <w:rsid w:val="00545ABA"/>
    <w:rsid w:val="00551B54"/>
    <w:rsid w:val="00566606"/>
    <w:rsid w:val="00570DFE"/>
    <w:rsid w:val="0057257D"/>
    <w:rsid w:val="00574941"/>
    <w:rsid w:val="00584811"/>
    <w:rsid w:val="00585BC9"/>
    <w:rsid w:val="00590A3B"/>
    <w:rsid w:val="00593AA6"/>
    <w:rsid w:val="00594161"/>
    <w:rsid w:val="00594749"/>
    <w:rsid w:val="005A02FC"/>
    <w:rsid w:val="005A0D92"/>
    <w:rsid w:val="005A68A2"/>
    <w:rsid w:val="005B02FE"/>
    <w:rsid w:val="005B4067"/>
    <w:rsid w:val="005B4C12"/>
    <w:rsid w:val="005C3F41"/>
    <w:rsid w:val="005D588B"/>
    <w:rsid w:val="005D7D10"/>
    <w:rsid w:val="005E152A"/>
    <w:rsid w:val="005F0101"/>
    <w:rsid w:val="00600219"/>
    <w:rsid w:val="0061506A"/>
    <w:rsid w:val="00632468"/>
    <w:rsid w:val="00634625"/>
    <w:rsid w:val="00635161"/>
    <w:rsid w:val="006365FE"/>
    <w:rsid w:val="00641DE5"/>
    <w:rsid w:val="00654521"/>
    <w:rsid w:val="00656F0C"/>
    <w:rsid w:val="00657E55"/>
    <w:rsid w:val="00661399"/>
    <w:rsid w:val="00662536"/>
    <w:rsid w:val="00666586"/>
    <w:rsid w:val="006676D7"/>
    <w:rsid w:val="00677CC2"/>
    <w:rsid w:val="00681111"/>
    <w:rsid w:val="00681F92"/>
    <w:rsid w:val="006842C2"/>
    <w:rsid w:val="00685F42"/>
    <w:rsid w:val="006916C8"/>
    <w:rsid w:val="0069207B"/>
    <w:rsid w:val="00694485"/>
    <w:rsid w:val="00696D37"/>
    <w:rsid w:val="006B0390"/>
    <w:rsid w:val="006B387D"/>
    <w:rsid w:val="006C0C54"/>
    <w:rsid w:val="006C2874"/>
    <w:rsid w:val="006C5171"/>
    <w:rsid w:val="006C7F8C"/>
    <w:rsid w:val="006D08EF"/>
    <w:rsid w:val="006D2718"/>
    <w:rsid w:val="006D380D"/>
    <w:rsid w:val="006D5E9E"/>
    <w:rsid w:val="006E0135"/>
    <w:rsid w:val="006E1F08"/>
    <w:rsid w:val="006E1F97"/>
    <w:rsid w:val="006E2D4C"/>
    <w:rsid w:val="006E303A"/>
    <w:rsid w:val="006F31AD"/>
    <w:rsid w:val="006F3496"/>
    <w:rsid w:val="006F5E26"/>
    <w:rsid w:val="006F7E19"/>
    <w:rsid w:val="00700B2C"/>
    <w:rsid w:val="00705AF4"/>
    <w:rsid w:val="0070668A"/>
    <w:rsid w:val="00712D8D"/>
    <w:rsid w:val="00713084"/>
    <w:rsid w:val="00714B26"/>
    <w:rsid w:val="0071796E"/>
    <w:rsid w:val="00724D6A"/>
    <w:rsid w:val="0072657A"/>
    <w:rsid w:val="007308D7"/>
    <w:rsid w:val="00731E00"/>
    <w:rsid w:val="007440B7"/>
    <w:rsid w:val="00745389"/>
    <w:rsid w:val="007509FE"/>
    <w:rsid w:val="00750C96"/>
    <w:rsid w:val="00751D00"/>
    <w:rsid w:val="00752C5E"/>
    <w:rsid w:val="00754536"/>
    <w:rsid w:val="007634AD"/>
    <w:rsid w:val="00770135"/>
    <w:rsid w:val="007715C9"/>
    <w:rsid w:val="007746EC"/>
    <w:rsid w:val="00774EDD"/>
    <w:rsid w:val="007757EC"/>
    <w:rsid w:val="00776B0D"/>
    <w:rsid w:val="007826A5"/>
    <w:rsid w:val="00791201"/>
    <w:rsid w:val="00791378"/>
    <w:rsid w:val="00797627"/>
    <w:rsid w:val="007B3201"/>
    <w:rsid w:val="007B7E7A"/>
    <w:rsid w:val="007C0866"/>
    <w:rsid w:val="007C5374"/>
    <w:rsid w:val="007D1BAA"/>
    <w:rsid w:val="007D3497"/>
    <w:rsid w:val="007D385C"/>
    <w:rsid w:val="007D5CDB"/>
    <w:rsid w:val="007D73F6"/>
    <w:rsid w:val="007E4042"/>
    <w:rsid w:val="007E7D4A"/>
    <w:rsid w:val="007F4B2A"/>
    <w:rsid w:val="0080021D"/>
    <w:rsid w:val="008006CC"/>
    <w:rsid w:val="00805096"/>
    <w:rsid w:val="00807F18"/>
    <w:rsid w:val="00823238"/>
    <w:rsid w:val="008254AE"/>
    <w:rsid w:val="00827F71"/>
    <w:rsid w:val="00831E8D"/>
    <w:rsid w:val="0083691C"/>
    <w:rsid w:val="0084072B"/>
    <w:rsid w:val="00840E03"/>
    <w:rsid w:val="0085680C"/>
    <w:rsid w:val="00856A31"/>
    <w:rsid w:val="00856F45"/>
    <w:rsid w:val="00857D6B"/>
    <w:rsid w:val="00864E79"/>
    <w:rsid w:val="00872986"/>
    <w:rsid w:val="008754D0"/>
    <w:rsid w:val="00877D48"/>
    <w:rsid w:val="00877E76"/>
    <w:rsid w:val="00881F75"/>
    <w:rsid w:val="00883781"/>
    <w:rsid w:val="00885570"/>
    <w:rsid w:val="00885D85"/>
    <w:rsid w:val="00887DDF"/>
    <w:rsid w:val="00892027"/>
    <w:rsid w:val="00893958"/>
    <w:rsid w:val="008A2A55"/>
    <w:rsid w:val="008A2B63"/>
    <w:rsid w:val="008A2B68"/>
    <w:rsid w:val="008A2E77"/>
    <w:rsid w:val="008C009B"/>
    <w:rsid w:val="008C25F8"/>
    <w:rsid w:val="008C601F"/>
    <w:rsid w:val="008C6F6F"/>
    <w:rsid w:val="008D083C"/>
    <w:rsid w:val="008D0EE0"/>
    <w:rsid w:val="008D21D1"/>
    <w:rsid w:val="008D3D4D"/>
    <w:rsid w:val="008D6D3C"/>
    <w:rsid w:val="008E2329"/>
    <w:rsid w:val="008E347E"/>
    <w:rsid w:val="008E421E"/>
    <w:rsid w:val="008E7877"/>
    <w:rsid w:val="008F4F1C"/>
    <w:rsid w:val="008F77C4"/>
    <w:rsid w:val="009103F3"/>
    <w:rsid w:val="009149E3"/>
    <w:rsid w:val="00917B84"/>
    <w:rsid w:val="00921832"/>
    <w:rsid w:val="00927172"/>
    <w:rsid w:val="009272A1"/>
    <w:rsid w:val="00932377"/>
    <w:rsid w:val="0094410F"/>
    <w:rsid w:val="009451FF"/>
    <w:rsid w:val="00947A35"/>
    <w:rsid w:val="00950357"/>
    <w:rsid w:val="009515AD"/>
    <w:rsid w:val="00955BAC"/>
    <w:rsid w:val="00957B5C"/>
    <w:rsid w:val="00963C7B"/>
    <w:rsid w:val="00967042"/>
    <w:rsid w:val="0096788F"/>
    <w:rsid w:val="0098255A"/>
    <w:rsid w:val="00982F15"/>
    <w:rsid w:val="009845BE"/>
    <w:rsid w:val="00990ABD"/>
    <w:rsid w:val="009969C9"/>
    <w:rsid w:val="009A470E"/>
    <w:rsid w:val="009B6B78"/>
    <w:rsid w:val="009B7CE2"/>
    <w:rsid w:val="009C300D"/>
    <w:rsid w:val="009D3973"/>
    <w:rsid w:val="009D5686"/>
    <w:rsid w:val="009D69EA"/>
    <w:rsid w:val="009F0D5E"/>
    <w:rsid w:val="009F2002"/>
    <w:rsid w:val="009F366D"/>
    <w:rsid w:val="00A048FF"/>
    <w:rsid w:val="00A10775"/>
    <w:rsid w:val="00A17A71"/>
    <w:rsid w:val="00A231E2"/>
    <w:rsid w:val="00A36C48"/>
    <w:rsid w:val="00A412EF"/>
    <w:rsid w:val="00A41E0B"/>
    <w:rsid w:val="00A4337A"/>
    <w:rsid w:val="00A519FE"/>
    <w:rsid w:val="00A55631"/>
    <w:rsid w:val="00A64912"/>
    <w:rsid w:val="00A70A74"/>
    <w:rsid w:val="00A73B0F"/>
    <w:rsid w:val="00A75B49"/>
    <w:rsid w:val="00AA3587"/>
    <w:rsid w:val="00AA3795"/>
    <w:rsid w:val="00AB2953"/>
    <w:rsid w:val="00AB492C"/>
    <w:rsid w:val="00AB6F09"/>
    <w:rsid w:val="00AC1E75"/>
    <w:rsid w:val="00AC380E"/>
    <w:rsid w:val="00AD5641"/>
    <w:rsid w:val="00AE1088"/>
    <w:rsid w:val="00AF1128"/>
    <w:rsid w:val="00AF1BA4"/>
    <w:rsid w:val="00AF69A3"/>
    <w:rsid w:val="00B032D8"/>
    <w:rsid w:val="00B07E14"/>
    <w:rsid w:val="00B17BF9"/>
    <w:rsid w:val="00B21425"/>
    <w:rsid w:val="00B24A32"/>
    <w:rsid w:val="00B3137F"/>
    <w:rsid w:val="00B326D0"/>
    <w:rsid w:val="00B33B3C"/>
    <w:rsid w:val="00B36F89"/>
    <w:rsid w:val="00B43650"/>
    <w:rsid w:val="00B453D1"/>
    <w:rsid w:val="00B6382D"/>
    <w:rsid w:val="00B80C29"/>
    <w:rsid w:val="00B80D24"/>
    <w:rsid w:val="00B81E4B"/>
    <w:rsid w:val="00B910AA"/>
    <w:rsid w:val="00B924AE"/>
    <w:rsid w:val="00B9399A"/>
    <w:rsid w:val="00B95E15"/>
    <w:rsid w:val="00BA1B05"/>
    <w:rsid w:val="00BA5026"/>
    <w:rsid w:val="00BB40BF"/>
    <w:rsid w:val="00BB4FB8"/>
    <w:rsid w:val="00BC055C"/>
    <w:rsid w:val="00BC0CD1"/>
    <w:rsid w:val="00BC1919"/>
    <w:rsid w:val="00BC43ED"/>
    <w:rsid w:val="00BC6ADF"/>
    <w:rsid w:val="00BC727E"/>
    <w:rsid w:val="00BD0A67"/>
    <w:rsid w:val="00BE1A29"/>
    <w:rsid w:val="00BE719A"/>
    <w:rsid w:val="00BE720A"/>
    <w:rsid w:val="00BF0461"/>
    <w:rsid w:val="00BF3360"/>
    <w:rsid w:val="00BF3803"/>
    <w:rsid w:val="00BF4944"/>
    <w:rsid w:val="00BF56D4"/>
    <w:rsid w:val="00C00967"/>
    <w:rsid w:val="00C0145A"/>
    <w:rsid w:val="00C04409"/>
    <w:rsid w:val="00C067E5"/>
    <w:rsid w:val="00C12B48"/>
    <w:rsid w:val="00C164CA"/>
    <w:rsid w:val="00C176CF"/>
    <w:rsid w:val="00C24ACE"/>
    <w:rsid w:val="00C42BF8"/>
    <w:rsid w:val="00C460AE"/>
    <w:rsid w:val="00C50043"/>
    <w:rsid w:val="00C50688"/>
    <w:rsid w:val="00C54E84"/>
    <w:rsid w:val="00C66149"/>
    <w:rsid w:val="00C701C8"/>
    <w:rsid w:val="00C7573B"/>
    <w:rsid w:val="00C76CF3"/>
    <w:rsid w:val="00C83F1F"/>
    <w:rsid w:val="00C85169"/>
    <w:rsid w:val="00C85E86"/>
    <w:rsid w:val="00C9269C"/>
    <w:rsid w:val="00C95A43"/>
    <w:rsid w:val="00C9658B"/>
    <w:rsid w:val="00CA1245"/>
    <w:rsid w:val="00CB4762"/>
    <w:rsid w:val="00CC01EE"/>
    <w:rsid w:val="00CC22E7"/>
    <w:rsid w:val="00CC258D"/>
    <w:rsid w:val="00CC4A92"/>
    <w:rsid w:val="00CD507D"/>
    <w:rsid w:val="00CD541E"/>
    <w:rsid w:val="00CD569A"/>
    <w:rsid w:val="00CD5D2C"/>
    <w:rsid w:val="00CE1E31"/>
    <w:rsid w:val="00CE3F74"/>
    <w:rsid w:val="00CF0B06"/>
    <w:rsid w:val="00CF0BB2"/>
    <w:rsid w:val="00CF2B99"/>
    <w:rsid w:val="00CF7B68"/>
    <w:rsid w:val="00D00EAA"/>
    <w:rsid w:val="00D12E50"/>
    <w:rsid w:val="00D13388"/>
    <w:rsid w:val="00D13441"/>
    <w:rsid w:val="00D1344D"/>
    <w:rsid w:val="00D20055"/>
    <w:rsid w:val="00D243A3"/>
    <w:rsid w:val="00D27655"/>
    <w:rsid w:val="00D35A9E"/>
    <w:rsid w:val="00D477C3"/>
    <w:rsid w:val="00D500C4"/>
    <w:rsid w:val="00D50B8E"/>
    <w:rsid w:val="00D52EFE"/>
    <w:rsid w:val="00D56AB7"/>
    <w:rsid w:val="00D609AB"/>
    <w:rsid w:val="00D63EF6"/>
    <w:rsid w:val="00D70DF1"/>
    <w:rsid w:val="00D70DFB"/>
    <w:rsid w:val="00D73029"/>
    <w:rsid w:val="00D74916"/>
    <w:rsid w:val="00D766DF"/>
    <w:rsid w:val="00D96550"/>
    <w:rsid w:val="00DA1A55"/>
    <w:rsid w:val="00DA4084"/>
    <w:rsid w:val="00DC5031"/>
    <w:rsid w:val="00DC6C36"/>
    <w:rsid w:val="00DD4F5F"/>
    <w:rsid w:val="00DD52F5"/>
    <w:rsid w:val="00DE2002"/>
    <w:rsid w:val="00DE3E91"/>
    <w:rsid w:val="00DE5D70"/>
    <w:rsid w:val="00DF0AE3"/>
    <w:rsid w:val="00DF652D"/>
    <w:rsid w:val="00DF7AE9"/>
    <w:rsid w:val="00E0146A"/>
    <w:rsid w:val="00E02C33"/>
    <w:rsid w:val="00E04CC9"/>
    <w:rsid w:val="00E05704"/>
    <w:rsid w:val="00E2435B"/>
    <w:rsid w:val="00E24D66"/>
    <w:rsid w:val="00E24DFF"/>
    <w:rsid w:val="00E34E83"/>
    <w:rsid w:val="00E35B4C"/>
    <w:rsid w:val="00E43B5E"/>
    <w:rsid w:val="00E45A17"/>
    <w:rsid w:val="00E54292"/>
    <w:rsid w:val="00E56180"/>
    <w:rsid w:val="00E61B99"/>
    <w:rsid w:val="00E62C3C"/>
    <w:rsid w:val="00E703FE"/>
    <w:rsid w:val="00E731D1"/>
    <w:rsid w:val="00E74DC7"/>
    <w:rsid w:val="00E76397"/>
    <w:rsid w:val="00E7726A"/>
    <w:rsid w:val="00E8019E"/>
    <w:rsid w:val="00E87699"/>
    <w:rsid w:val="00E92A17"/>
    <w:rsid w:val="00E93CB2"/>
    <w:rsid w:val="00E9407E"/>
    <w:rsid w:val="00E942B8"/>
    <w:rsid w:val="00EA0C31"/>
    <w:rsid w:val="00EA13EA"/>
    <w:rsid w:val="00EA4416"/>
    <w:rsid w:val="00EC65C3"/>
    <w:rsid w:val="00ED492F"/>
    <w:rsid w:val="00EE2A40"/>
    <w:rsid w:val="00EF02D0"/>
    <w:rsid w:val="00EF2E3A"/>
    <w:rsid w:val="00F023EB"/>
    <w:rsid w:val="00F047E2"/>
    <w:rsid w:val="00F074A4"/>
    <w:rsid w:val="00F07882"/>
    <w:rsid w:val="00F078DC"/>
    <w:rsid w:val="00F10175"/>
    <w:rsid w:val="00F135E5"/>
    <w:rsid w:val="00F13E86"/>
    <w:rsid w:val="00F17B00"/>
    <w:rsid w:val="00F21CFE"/>
    <w:rsid w:val="00F23D0C"/>
    <w:rsid w:val="00F23E63"/>
    <w:rsid w:val="00F251AF"/>
    <w:rsid w:val="00F33D90"/>
    <w:rsid w:val="00F35F11"/>
    <w:rsid w:val="00F45EC5"/>
    <w:rsid w:val="00F508E1"/>
    <w:rsid w:val="00F551B7"/>
    <w:rsid w:val="00F62178"/>
    <w:rsid w:val="00F677A9"/>
    <w:rsid w:val="00F70A91"/>
    <w:rsid w:val="00F72838"/>
    <w:rsid w:val="00F76883"/>
    <w:rsid w:val="00F805EF"/>
    <w:rsid w:val="00F84CF5"/>
    <w:rsid w:val="00F92D35"/>
    <w:rsid w:val="00FA420B"/>
    <w:rsid w:val="00FA7EEB"/>
    <w:rsid w:val="00FC3BB5"/>
    <w:rsid w:val="00FC54BF"/>
    <w:rsid w:val="00FD1E13"/>
    <w:rsid w:val="00FD2862"/>
    <w:rsid w:val="00FD6C17"/>
    <w:rsid w:val="00FD7EB1"/>
    <w:rsid w:val="00FE3080"/>
    <w:rsid w:val="00FE3962"/>
    <w:rsid w:val="00FE41C9"/>
    <w:rsid w:val="00FE7F93"/>
    <w:rsid w:val="00FF7330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0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4084"/>
  </w:style>
  <w:style w:type="paragraph" w:customStyle="1" w:styleId="OPCParaBase">
    <w:name w:val="OPCParaBase"/>
    <w:link w:val="OPCParaBaseChar"/>
    <w:qFormat/>
    <w:rsid w:val="00DA40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40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0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0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0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0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0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0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0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0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0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4084"/>
  </w:style>
  <w:style w:type="paragraph" w:customStyle="1" w:styleId="Blocks">
    <w:name w:val="Blocks"/>
    <w:aliases w:val="bb"/>
    <w:basedOn w:val="OPCParaBase"/>
    <w:qFormat/>
    <w:rsid w:val="00DA40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0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084"/>
    <w:rPr>
      <w:i/>
    </w:rPr>
  </w:style>
  <w:style w:type="paragraph" w:customStyle="1" w:styleId="BoxList">
    <w:name w:val="BoxList"/>
    <w:aliases w:val="bl"/>
    <w:basedOn w:val="BoxText"/>
    <w:qFormat/>
    <w:rsid w:val="00DA40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0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0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084"/>
    <w:pPr>
      <w:ind w:left="1985" w:hanging="851"/>
    </w:pPr>
  </w:style>
  <w:style w:type="character" w:customStyle="1" w:styleId="CharAmPartNo">
    <w:name w:val="CharAmPartNo"/>
    <w:basedOn w:val="OPCCharBase"/>
    <w:qFormat/>
    <w:rsid w:val="00DA4084"/>
  </w:style>
  <w:style w:type="character" w:customStyle="1" w:styleId="CharAmPartText">
    <w:name w:val="CharAmPartText"/>
    <w:basedOn w:val="OPCCharBase"/>
    <w:qFormat/>
    <w:rsid w:val="00DA4084"/>
  </w:style>
  <w:style w:type="character" w:customStyle="1" w:styleId="CharAmSchNo">
    <w:name w:val="CharAmSchNo"/>
    <w:basedOn w:val="OPCCharBase"/>
    <w:qFormat/>
    <w:rsid w:val="00DA4084"/>
  </w:style>
  <w:style w:type="character" w:customStyle="1" w:styleId="CharAmSchText">
    <w:name w:val="CharAmSchText"/>
    <w:basedOn w:val="OPCCharBase"/>
    <w:qFormat/>
    <w:rsid w:val="00DA4084"/>
  </w:style>
  <w:style w:type="character" w:customStyle="1" w:styleId="CharBoldItalic">
    <w:name w:val="CharBoldItalic"/>
    <w:basedOn w:val="OPCCharBase"/>
    <w:uiPriority w:val="1"/>
    <w:qFormat/>
    <w:rsid w:val="00DA40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084"/>
  </w:style>
  <w:style w:type="character" w:customStyle="1" w:styleId="CharChapText">
    <w:name w:val="CharChapText"/>
    <w:basedOn w:val="OPCCharBase"/>
    <w:uiPriority w:val="1"/>
    <w:qFormat/>
    <w:rsid w:val="00DA4084"/>
  </w:style>
  <w:style w:type="character" w:customStyle="1" w:styleId="CharDivNo">
    <w:name w:val="CharDivNo"/>
    <w:basedOn w:val="OPCCharBase"/>
    <w:uiPriority w:val="1"/>
    <w:qFormat/>
    <w:rsid w:val="00DA4084"/>
  </w:style>
  <w:style w:type="character" w:customStyle="1" w:styleId="CharDivText">
    <w:name w:val="CharDivText"/>
    <w:basedOn w:val="OPCCharBase"/>
    <w:uiPriority w:val="1"/>
    <w:qFormat/>
    <w:rsid w:val="00DA4084"/>
  </w:style>
  <w:style w:type="character" w:customStyle="1" w:styleId="CharItalic">
    <w:name w:val="CharItalic"/>
    <w:basedOn w:val="OPCCharBase"/>
    <w:uiPriority w:val="1"/>
    <w:qFormat/>
    <w:rsid w:val="00DA4084"/>
    <w:rPr>
      <w:i/>
    </w:rPr>
  </w:style>
  <w:style w:type="character" w:customStyle="1" w:styleId="CharPartNo">
    <w:name w:val="CharPartNo"/>
    <w:basedOn w:val="OPCCharBase"/>
    <w:uiPriority w:val="1"/>
    <w:qFormat/>
    <w:rsid w:val="00DA4084"/>
  </w:style>
  <w:style w:type="character" w:customStyle="1" w:styleId="CharPartText">
    <w:name w:val="CharPartText"/>
    <w:basedOn w:val="OPCCharBase"/>
    <w:uiPriority w:val="1"/>
    <w:qFormat/>
    <w:rsid w:val="00DA4084"/>
  </w:style>
  <w:style w:type="character" w:customStyle="1" w:styleId="CharSectno">
    <w:name w:val="CharSectno"/>
    <w:basedOn w:val="OPCCharBase"/>
    <w:qFormat/>
    <w:rsid w:val="00DA4084"/>
  </w:style>
  <w:style w:type="character" w:customStyle="1" w:styleId="CharSubdNo">
    <w:name w:val="CharSubdNo"/>
    <w:basedOn w:val="OPCCharBase"/>
    <w:uiPriority w:val="1"/>
    <w:qFormat/>
    <w:rsid w:val="00DA4084"/>
  </w:style>
  <w:style w:type="character" w:customStyle="1" w:styleId="CharSubdText">
    <w:name w:val="CharSubdText"/>
    <w:basedOn w:val="OPCCharBase"/>
    <w:uiPriority w:val="1"/>
    <w:qFormat/>
    <w:rsid w:val="00DA4084"/>
  </w:style>
  <w:style w:type="paragraph" w:customStyle="1" w:styleId="CTA--">
    <w:name w:val="CTA --"/>
    <w:basedOn w:val="OPCParaBase"/>
    <w:next w:val="Normal"/>
    <w:rsid w:val="00DA40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0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0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0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0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0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0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0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0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0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0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0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0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0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40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0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0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0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40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40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40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0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A40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0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0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0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0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0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08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0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0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0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40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0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0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0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0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0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0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0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0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0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0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0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0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0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0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0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0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0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0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408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A408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408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408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408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408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40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0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0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0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0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0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0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0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4084"/>
    <w:rPr>
      <w:sz w:val="16"/>
    </w:rPr>
  </w:style>
  <w:style w:type="table" w:customStyle="1" w:styleId="CFlag">
    <w:name w:val="CFlag"/>
    <w:basedOn w:val="TableNormal"/>
    <w:uiPriority w:val="99"/>
    <w:rsid w:val="00DA408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40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08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40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0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40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0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408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408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408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40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0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0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0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0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0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0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0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08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408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4084"/>
  </w:style>
  <w:style w:type="character" w:customStyle="1" w:styleId="CharSubPartNoCASA">
    <w:name w:val="CharSubPartNo(CASA)"/>
    <w:basedOn w:val="OPCCharBase"/>
    <w:uiPriority w:val="1"/>
    <w:rsid w:val="00DA4084"/>
  </w:style>
  <w:style w:type="paragraph" w:customStyle="1" w:styleId="ENoteTTIndentHeadingSub">
    <w:name w:val="ENoteTTIndentHeadingSub"/>
    <w:aliases w:val="enTTHis"/>
    <w:basedOn w:val="OPCParaBase"/>
    <w:rsid w:val="00DA40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0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0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08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40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4084"/>
    <w:rPr>
      <w:sz w:val="22"/>
    </w:rPr>
  </w:style>
  <w:style w:type="paragraph" w:customStyle="1" w:styleId="SOTextNote">
    <w:name w:val="SO TextNote"/>
    <w:aliases w:val="sont"/>
    <w:basedOn w:val="SOText"/>
    <w:qFormat/>
    <w:rsid w:val="00DA40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0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084"/>
    <w:rPr>
      <w:sz w:val="22"/>
    </w:rPr>
  </w:style>
  <w:style w:type="paragraph" w:customStyle="1" w:styleId="FileName">
    <w:name w:val="FileName"/>
    <w:basedOn w:val="Normal"/>
    <w:rsid w:val="00DA408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0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0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0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0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40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0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0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0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084"/>
    <w:rPr>
      <w:sz w:val="22"/>
    </w:rPr>
  </w:style>
  <w:style w:type="character" w:customStyle="1" w:styleId="paragraphChar">
    <w:name w:val="paragraph Char"/>
    <w:aliases w:val="a Char"/>
    <w:link w:val="paragraph"/>
    <w:rsid w:val="00257AA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52C5E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rabullet">
    <w:name w:val="para bullet"/>
    <w:aliases w:val="b,Body"/>
    <w:basedOn w:val="OPCParaBase"/>
    <w:rsid w:val="00694485"/>
    <w:pPr>
      <w:spacing w:before="240" w:line="240" w:lineRule="auto"/>
    </w:pPr>
    <w:rPr>
      <w:sz w:val="24"/>
    </w:rPr>
  </w:style>
  <w:style w:type="character" w:customStyle="1" w:styleId="subsectionChar">
    <w:name w:val="subsection Char"/>
    <w:aliases w:val="ss Char"/>
    <w:link w:val="subsection"/>
    <w:rsid w:val="00A412E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412EF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3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759D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59D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59D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59D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59D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59D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59D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59DC"/>
  </w:style>
  <w:style w:type="character" w:customStyle="1" w:styleId="ShortTCPChar">
    <w:name w:val="ShortTCP Char"/>
    <w:basedOn w:val="ShortTChar"/>
    <w:link w:val="ShortTCP"/>
    <w:rsid w:val="004759D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59DC"/>
    <w:pPr>
      <w:spacing w:before="400"/>
    </w:pPr>
  </w:style>
  <w:style w:type="character" w:customStyle="1" w:styleId="ActNoCPChar">
    <w:name w:val="ActNoCP Char"/>
    <w:basedOn w:val="ActnoChar"/>
    <w:link w:val="ActNoCP"/>
    <w:rsid w:val="004759D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59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B03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B03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B039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0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4084"/>
  </w:style>
  <w:style w:type="paragraph" w:customStyle="1" w:styleId="OPCParaBase">
    <w:name w:val="OPCParaBase"/>
    <w:link w:val="OPCParaBaseChar"/>
    <w:qFormat/>
    <w:rsid w:val="00DA40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40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0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0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0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0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0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0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0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0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0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4084"/>
  </w:style>
  <w:style w:type="paragraph" w:customStyle="1" w:styleId="Blocks">
    <w:name w:val="Blocks"/>
    <w:aliases w:val="bb"/>
    <w:basedOn w:val="OPCParaBase"/>
    <w:qFormat/>
    <w:rsid w:val="00DA40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0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084"/>
    <w:rPr>
      <w:i/>
    </w:rPr>
  </w:style>
  <w:style w:type="paragraph" w:customStyle="1" w:styleId="BoxList">
    <w:name w:val="BoxList"/>
    <w:aliases w:val="bl"/>
    <w:basedOn w:val="BoxText"/>
    <w:qFormat/>
    <w:rsid w:val="00DA40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0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0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084"/>
    <w:pPr>
      <w:ind w:left="1985" w:hanging="851"/>
    </w:pPr>
  </w:style>
  <w:style w:type="character" w:customStyle="1" w:styleId="CharAmPartNo">
    <w:name w:val="CharAmPartNo"/>
    <w:basedOn w:val="OPCCharBase"/>
    <w:qFormat/>
    <w:rsid w:val="00DA4084"/>
  </w:style>
  <w:style w:type="character" w:customStyle="1" w:styleId="CharAmPartText">
    <w:name w:val="CharAmPartText"/>
    <w:basedOn w:val="OPCCharBase"/>
    <w:qFormat/>
    <w:rsid w:val="00DA4084"/>
  </w:style>
  <w:style w:type="character" w:customStyle="1" w:styleId="CharAmSchNo">
    <w:name w:val="CharAmSchNo"/>
    <w:basedOn w:val="OPCCharBase"/>
    <w:qFormat/>
    <w:rsid w:val="00DA4084"/>
  </w:style>
  <w:style w:type="character" w:customStyle="1" w:styleId="CharAmSchText">
    <w:name w:val="CharAmSchText"/>
    <w:basedOn w:val="OPCCharBase"/>
    <w:qFormat/>
    <w:rsid w:val="00DA4084"/>
  </w:style>
  <w:style w:type="character" w:customStyle="1" w:styleId="CharBoldItalic">
    <w:name w:val="CharBoldItalic"/>
    <w:basedOn w:val="OPCCharBase"/>
    <w:uiPriority w:val="1"/>
    <w:qFormat/>
    <w:rsid w:val="00DA40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084"/>
  </w:style>
  <w:style w:type="character" w:customStyle="1" w:styleId="CharChapText">
    <w:name w:val="CharChapText"/>
    <w:basedOn w:val="OPCCharBase"/>
    <w:uiPriority w:val="1"/>
    <w:qFormat/>
    <w:rsid w:val="00DA4084"/>
  </w:style>
  <w:style w:type="character" w:customStyle="1" w:styleId="CharDivNo">
    <w:name w:val="CharDivNo"/>
    <w:basedOn w:val="OPCCharBase"/>
    <w:uiPriority w:val="1"/>
    <w:qFormat/>
    <w:rsid w:val="00DA4084"/>
  </w:style>
  <w:style w:type="character" w:customStyle="1" w:styleId="CharDivText">
    <w:name w:val="CharDivText"/>
    <w:basedOn w:val="OPCCharBase"/>
    <w:uiPriority w:val="1"/>
    <w:qFormat/>
    <w:rsid w:val="00DA4084"/>
  </w:style>
  <w:style w:type="character" w:customStyle="1" w:styleId="CharItalic">
    <w:name w:val="CharItalic"/>
    <w:basedOn w:val="OPCCharBase"/>
    <w:uiPriority w:val="1"/>
    <w:qFormat/>
    <w:rsid w:val="00DA4084"/>
    <w:rPr>
      <w:i/>
    </w:rPr>
  </w:style>
  <w:style w:type="character" w:customStyle="1" w:styleId="CharPartNo">
    <w:name w:val="CharPartNo"/>
    <w:basedOn w:val="OPCCharBase"/>
    <w:uiPriority w:val="1"/>
    <w:qFormat/>
    <w:rsid w:val="00DA4084"/>
  </w:style>
  <w:style w:type="character" w:customStyle="1" w:styleId="CharPartText">
    <w:name w:val="CharPartText"/>
    <w:basedOn w:val="OPCCharBase"/>
    <w:uiPriority w:val="1"/>
    <w:qFormat/>
    <w:rsid w:val="00DA4084"/>
  </w:style>
  <w:style w:type="character" w:customStyle="1" w:styleId="CharSectno">
    <w:name w:val="CharSectno"/>
    <w:basedOn w:val="OPCCharBase"/>
    <w:qFormat/>
    <w:rsid w:val="00DA4084"/>
  </w:style>
  <w:style w:type="character" w:customStyle="1" w:styleId="CharSubdNo">
    <w:name w:val="CharSubdNo"/>
    <w:basedOn w:val="OPCCharBase"/>
    <w:uiPriority w:val="1"/>
    <w:qFormat/>
    <w:rsid w:val="00DA4084"/>
  </w:style>
  <w:style w:type="character" w:customStyle="1" w:styleId="CharSubdText">
    <w:name w:val="CharSubdText"/>
    <w:basedOn w:val="OPCCharBase"/>
    <w:uiPriority w:val="1"/>
    <w:qFormat/>
    <w:rsid w:val="00DA4084"/>
  </w:style>
  <w:style w:type="paragraph" w:customStyle="1" w:styleId="CTA--">
    <w:name w:val="CTA --"/>
    <w:basedOn w:val="OPCParaBase"/>
    <w:next w:val="Normal"/>
    <w:rsid w:val="00DA40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0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0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0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0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0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0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0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0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0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0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0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0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0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40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0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0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0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40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40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40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0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A40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0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0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0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0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0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08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0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0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0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40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0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0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0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0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0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0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0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0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0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0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0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0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0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0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0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0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0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0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408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A408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408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408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408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408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408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40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0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0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0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0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0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0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0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4084"/>
    <w:rPr>
      <w:sz w:val="16"/>
    </w:rPr>
  </w:style>
  <w:style w:type="table" w:customStyle="1" w:styleId="CFlag">
    <w:name w:val="CFlag"/>
    <w:basedOn w:val="TableNormal"/>
    <w:uiPriority w:val="99"/>
    <w:rsid w:val="00DA408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40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08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40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0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40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0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408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408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408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40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0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0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0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0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0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0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0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08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408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4084"/>
  </w:style>
  <w:style w:type="character" w:customStyle="1" w:styleId="CharSubPartNoCASA">
    <w:name w:val="CharSubPartNo(CASA)"/>
    <w:basedOn w:val="OPCCharBase"/>
    <w:uiPriority w:val="1"/>
    <w:rsid w:val="00DA4084"/>
  </w:style>
  <w:style w:type="paragraph" w:customStyle="1" w:styleId="ENoteTTIndentHeadingSub">
    <w:name w:val="ENoteTTIndentHeadingSub"/>
    <w:aliases w:val="enTTHis"/>
    <w:basedOn w:val="OPCParaBase"/>
    <w:rsid w:val="00DA40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0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0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08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40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4084"/>
    <w:rPr>
      <w:sz w:val="22"/>
    </w:rPr>
  </w:style>
  <w:style w:type="paragraph" w:customStyle="1" w:styleId="SOTextNote">
    <w:name w:val="SO TextNote"/>
    <w:aliases w:val="sont"/>
    <w:basedOn w:val="SOText"/>
    <w:qFormat/>
    <w:rsid w:val="00DA40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0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084"/>
    <w:rPr>
      <w:sz w:val="22"/>
    </w:rPr>
  </w:style>
  <w:style w:type="paragraph" w:customStyle="1" w:styleId="FileName">
    <w:name w:val="FileName"/>
    <w:basedOn w:val="Normal"/>
    <w:rsid w:val="00DA408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0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0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0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0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40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0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0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0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4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084"/>
    <w:rPr>
      <w:sz w:val="22"/>
    </w:rPr>
  </w:style>
  <w:style w:type="character" w:customStyle="1" w:styleId="paragraphChar">
    <w:name w:val="paragraph Char"/>
    <w:aliases w:val="a Char"/>
    <w:link w:val="paragraph"/>
    <w:rsid w:val="00257AA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52C5E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rabullet">
    <w:name w:val="para bullet"/>
    <w:aliases w:val="b,Body"/>
    <w:basedOn w:val="OPCParaBase"/>
    <w:rsid w:val="00694485"/>
    <w:pPr>
      <w:spacing w:before="240" w:line="240" w:lineRule="auto"/>
    </w:pPr>
    <w:rPr>
      <w:sz w:val="24"/>
    </w:rPr>
  </w:style>
  <w:style w:type="character" w:customStyle="1" w:styleId="subsectionChar">
    <w:name w:val="subsection Char"/>
    <w:aliases w:val="ss Char"/>
    <w:link w:val="subsection"/>
    <w:rsid w:val="00A412E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412EF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3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759D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59D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59D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59D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59D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59D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59D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59DC"/>
  </w:style>
  <w:style w:type="character" w:customStyle="1" w:styleId="ShortTCPChar">
    <w:name w:val="ShortTCP Char"/>
    <w:basedOn w:val="ShortTChar"/>
    <w:link w:val="ShortTCP"/>
    <w:rsid w:val="004759D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59DC"/>
    <w:pPr>
      <w:spacing w:before="400"/>
    </w:pPr>
  </w:style>
  <w:style w:type="character" w:customStyle="1" w:styleId="ActNoCPChar">
    <w:name w:val="ActNoCP Char"/>
    <w:basedOn w:val="ActnoChar"/>
    <w:link w:val="ActNoCP"/>
    <w:rsid w:val="004759D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59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B03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B03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B039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61D5-CDC9-4F2B-BB33-BEC7CBE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19</Pages>
  <Words>2951</Words>
  <Characters>14048</Characters>
  <Application>Microsoft Office Word</Application>
  <DocSecurity>0</DocSecurity>
  <PresentationFormat/>
  <Lines>561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2017-09-04T04:31:00Z</cp:lastPrinted>
  <dcterms:created xsi:type="dcterms:W3CDTF">2018-09-25T04:52:00Z</dcterms:created>
  <dcterms:modified xsi:type="dcterms:W3CDTF">2018-09-25T05:05:00Z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Corporations Amendment (Crowd-sourced Funding for Proprietary Companies) Act 2018</vt:lpwstr>
  </property>
  <property fmtid="{D5CDD505-2E9C-101B-9397-08002B2CF9AE}" pid="5" name="ActNo">
    <vt:lpwstr>No. 106,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OPC6298</vt:lpwstr>
  </property>
</Properties>
</file>