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06" w:rsidRDefault="0025380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00257451" r:id="rId9"/>
        </w:object>
      </w:r>
    </w:p>
    <w:p w:rsidR="00253806" w:rsidRDefault="00253806"/>
    <w:p w:rsidR="00253806" w:rsidRDefault="00253806" w:rsidP="00253806">
      <w:pPr>
        <w:spacing w:line="240" w:lineRule="auto"/>
      </w:pPr>
    </w:p>
    <w:p w:rsidR="00253806" w:rsidRDefault="00253806" w:rsidP="00253806"/>
    <w:p w:rsidR="00253806" w:rsidRDefault="00253806" w:rsidP="00253806"/>
    <w:p w:rsidR="00253806" w:rsidRDefault="00253806" w:rsidP="00253806"/>
    <w:p w:rsidR="00253806" w:rsidRDefault="00253806" w:rsidP="00253806"/>
    <w:p w:rsidR="0048364F" w:rsidRPr="003E69FB" w:rsidRDefault="00BD35DA" w:rsidP="0048364F">
      <w:pPr>
        <w:pStyle w:val="ShortT"/>
      </w:pPr>
      <w:r w:rsidRPr="003E69FB">
        <w:t xml:space="preserve">Treasury Laws Amendment (Tax Integrity and Other Measures) </w:t>
      </w:r>
      <w:r w:rsidR="00253806">
        <w:t>Act</w:t>
      </w:r>
      <w:r w:rsidR="00C164CA" w:rsidRPr="003E69FB">
        <w:t xml:space="preserve"> 201</w:t>
      </w:r>
      <w:r w:rsidR="00E947C6" w:rsidRPr="003E69FB">
        <w:t>8</w:t>
      </w:r>
    </w:p>
    <w:p w:rsidR="0048364F" w:rsidRPr="003E69FB" w:rsidRDefault="0048364F" w:rsidP="0048364F"/>
    <w:p w:rsidR="0048364F" w:rsidRPr="003E69FB" w:rsidRDefault="00C164CA" w:rsidP="00253806">
      <w:pPr>
        <w:pStyle w:val="Actno"/>
        <w:spacing w:before="400"/>
      </w:pPr>
      <w:r w:rsidRPr="003E69FB">
        <w:t>No.</w:t>
      </w:r>
      <w:r w:rsidR="000E26D7">
        <w:t xml:space="preserve"> 124</w:t>
      </w:r>
      <w:r w:rsidRPr="003E69FB">
        <w:t>, 201</w:t>
      </w:r>
      <w:r w:rsidR="00E947C6" w:rsidRPr="003E69FB">
        <w:t>8</w:t>
      </w:r>
    </w:p>
    <w:p w:rsidR="0048364F" w:rsidRPr="003E69FB" w:rsidRDefault="0048364F" w:rsidP="0048364F"/>
    <w:p w:rsidR="00253806" w:rsidRDefault="00253806" w:rsidP="00253806"/>
    <w:p w:rsidR="00253806" w:rsidRDefault="00253806" w:rsidP="00253806"/>
    <w:p w:rsidR="00253806" w:rsidRDefault="00253806" w:rsidP="00253806"/>
    <w:p w:rsidR="00253806" w:rsidRDefault="00253806" w:rsidP="00253806"/>
    <w:p w:rsidR="0048364F" w:rsidRPr="003E69FB" w:rsidRDefault="00253806" w:rsidP="0048364F">
      <w:pPr>
        <w:pStyle w:val="LongT"/>
      </w:pPr>
      <w:r>
        <w:t>An Act</w:t>
      </w:r>
      <w:r w:rsidR="0048364F" w:rsidRPr="003E69FB">
        <w:t xml:space="preserve"> to </w:t>
      </w:r>
      <w:r w:rsidR="00245F25" w:rsidRPr="003E69FB">
        <w:t>amend the law relating to taxation</w:t>
      </w:r>
      <w:r w:rsidR="0048364F" w:rsidRPr="003E69FB">
        <w:t>, and for related purposes</w:t>
      </w:r>
    </w:p>
    <w:p w:rsidR="0048364F" w:rsidRPr="003E69FB" w:rsidRDefault="0048364F" w:rsidP="0048364F">
      <w:pPr>
        <w:pStyle w:val="Header"/>
        <w:tabs>
          <w:tab w:val="clear" w:pos="4150"/>
          <w:tab w:val="clear" w:pos="8307"/>
        </w:tabs>
      </w:pPr>
      <w:r w:rsidRPr="003E69FB">
        <w:rPr>
          <w:rStyle w:val="CharAmSchNo"/>
        </w:rPr>
        <w:t xml:space="preserve"> </w:t>
      </w:r>
      <w:r w:rsidRPr="003E69FB">
        <w:rPr>
          <w:rStyle w:val="CharAmSchText"/>
        </w:rPr>
        <w:t xml:space="preserve"> </w:t>
      </w:r>
    </w:p>
    <w:p w:rsidR="0048364F" w:rsidRPr="003E69FB" w:rsidRDefault="0048364F" w:rsidP="0048364F">
      <w:pPr>
        <w:pStyle w:val="Header"/>
        <w:tabs>
          <w:tab w:val="clear" w:pos="4150"/>
          <w:tab w:val="clear" w:pos="8307"/>
        </w:tabs>
      </w:pPr>
      <w:r w:rsidRPr="003E69FB">
        <w:rPr>
          <w:rStyle w:val="CharAmPartNo"/>
        </w:rPr>
        <w:t xml:space="preserve"> </w:t>
      </w:r>
      <w:r w:rsidRPr="003E69FB">
        <w:rPr>
          <w:rStyle w:val="CharAmPartText"/>
        </w:rPr>
        <w:t xml:space="preserve"> </w:t>
      </w:r>
    </w:p>
    <w:p w:rsidR="0048364F" w:rsidRPr="003E69FB" w:rsidRDefault="0048364F" w:rsidP="0048364F">
      <w:pPr>
        <w:sectPr w:rsidR="0048364F" w:rsidRPr="003E69FB" w:rsidSect="0025380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E69FB" w:rsidRDefault="0048364F" w:rsidP="00533CDB">
      <w:pPr>
        <w:rPr>
          <w:sz w:val="36"/>
        </w:rPr>
      </w:pPr>
      <w:r w:rsidRPr="003E69FB">
        <w:rPr>
          <w:sz w:val="36"/>
        </w:rPr>
        <w:lastRenderedPageBreak/>
        <w:t>Contents</w:t>
      </w:r>
    </w:p>
    <w:p w:rsidR="004E6CA5" w:rsidRDefault="004E6CA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E6CA5">
        <w:rPr>
          <w:noProof/>
        </w:rPr>
        <w:tab/>
      </w:r>
      <w:r w:rsidRPr="004E6CA5">
        <w:rPr>
          <w:noProof/>
        </w:rPr>
        <w:fldChar w:fldCharType="begin"/>
      </w:r>
      <w:r w:rsidRPr="004E6CA5">
        <w:rPr>
          <w:noProof/>
        </w:rPr>
        <w:instrText xml:space="preserve"> PAGEREF _Toc526514972 \h </w:instrText>
      </w:r>
      <w:r w:rsidRPr="004E6CA5">
        <w:rPr>
          <w:noProof/>
        </w:rPr>
      </w:r>
      <w:r w:rsidRPr="004E6CA5">
        <w:rPr>
          <w:noProof/>
        </w:rPr>
        <w:fldChar w:fldCharType="separate"/>
      </w:r>
      <w:r w:rsidR="00AF426F">
        <w:rPr>
          <w:noProof/>
        </w:rPr>
        <w:t>1</w:t>
      </w:r>
      <w:r w:rsidRPr="004E6CA5">
        <w:rPr>
          <w:noProof/>
        </w:rPr>
        <w:fldChar w:fldCharType="end"/>
      </w:r>
    </w:p>
    <w:p w:rsidR="004E6CA5" w:rsidRDefault="004E6CA5">
      <w:pPr>
        <w:pStyle w:val="TOC5"/>
        <w:rPr>
          <w:rFonts w:asciiTheme="minorHAnsi" w:eastAsiaTheme="minorEastAsia" w:hAnsiTheme="minorHAnsi" w:cstheme="minorBidi"/>
          <w:noProof/>
          <w:kern w:val="0"/>
          <w:sz w:val="22"/>
          <w:szCs w:val="22"/>
        </w:rPr>
      </w:pPr>
      <w:r>
        <w:rPr>
          <w:noProof/>
        </w:rPr>
        <w:t>2</w:t>
      </w:r>
      <w:r>
        <w:rPr>
          <w:noProof/>
        </w:rPr>
        <w:tab/>
        <w:t>Commencement</w:t>
      </w:r>
      <w:r w:rsidRPr="004E6CA5">
        <w:rPr>
          <w:noProof/>
        </w:rPr>
        <w:tab/>
      </w:r>
      <w:r w:rsidRPr="004E6CA5">
        <w:rPr>
          <w:noProof/>
        </w:rPr>
        <w:fldChar w:fldCharType="begin"/>
      </w:r>
      <w:r w:rsidRPr="004E6CA5">
        <w:rPr>
          <w:noProof/>
        </w:rPr>
        <w:instrText xml:space="preserve"> PAGEREF _Toc526514973 \h </w:instrText>
      </w:r>
      <w:r w:rsidRPr="004E6CA5">
        <w:rPr>
          <w:noProof/>
        </w:rPr>
      </w:r>
      <w:r w:rsidRPr="004E6CA5">
        <w:rPr>
          <w:noProof/>
        </w:rPr>
        <w:fldChar w:fldCharType="separate"/>
      </w:r>
      <w:r w:rsidR="00AF426F">
        <w:rPr>
          <w:noProof/>
        </w:rPr>
        <w:t>2</w:t>
      </w:r>
      <w:r w:rsidRPr="004E6CA5">
        <w:rPr>
          <w:noProof/>
        </w:rPr>
        <w:fldChar w:fldCharType="end"/>
      </w:r>
    </w:p>
    <w:p w:rsidR="004E6CA5" w:rsidRDefault="004E6CA5">
      <w:pPr>
        <w:pStyle w:val="TOC5"/>
        <w:rPr>
          <w:rFonts w:asciiTheme="minorHAnsi" w:eastAsiaTheme="minorEastAsia" w:hAnsiTheme="minorHAnsi" w:cstheme="minorBidi"/>
          <w:noProof/>
          <w:kern w:val="0"/>
          <w:sz w:val="22"/>
          <w:szCs w:val="22"/>
        </w:rPr>
      </w:pPr>
      <w:r>
        <w:rPr>
          <w:noProof/>
        </w:rPr>
        <w:t>3</w:t>
      </w:r>
      <w:r>
        <w:rPr>
          <w:noProof/>
        </w:rPr>
        <w:tab/>
        <w:t>Schedules</w:t>
      </w:r>
      <w:r w:rsidRPr="004E6CA5">
        <w:rPr>
          <w:noProof/>
        </w:rPr>
        <w:tab/>
      </w:r>
      <w:r w:rsidRPr="004E6CA5">
        <w:rPr>
          <w:noProof/>
        </w:rPr>
        <w:fldChar w:fldCharType="begin"/>
      </w:r>
      <w:r w:rsidRPr="004E6CA5">
        <w:rPr>
          <w:noProof/>
        </w:rPr>
        <w:instrText xml:space="preserve"> PAGEREF _Toc526514974 \h </w:instrText>
      </w:r>
      <w:r w:rsidRPr="004E6CA5">
        <w:rPr>
          <w:noProof/>
        </w:rPr>
      </w:r>
      <w:r w:rsidRPr="004E6CA5">
        <w:rPr>
          <w:noProof/>
        </w:rPr>
        <w:fldChar w:fldCharType="separate"/>
      </w:r>
      <w:r w:rsidR="00AF426F">
        <w:rPr>
          <w:noProof/>
        </w:rPr>
        <w:t>2</w:t>
      </w:r>
      <w:r w:rsidRPr="004E6CA5">
        <w:rPr>
          <w:noProof/>
        </w:rPr>
        <w:fldChar w:fldCharType="end"/>
      </w:r>
    </w:p>
    <w:p w:rsidR="004E6CA5" w:rsidRDefault="004E6CA5">
      <w:pPr>
        <w:pStyle w:val="TOC6"/>
        <w:rPr>
          <w:rFonts w:asciiTheme="minorHAnsi" w:eastAsiaTheme="minorEastAsia" w:hAnsiTheme="minorHAnsi" w:cstheme="minorBidi"/>
          <w:b w:val="0"/>
          <w:noProof/>
          <w:kern w:val="0"/>
          <w:sz w:val="22"/>
          <w:szCs w:val="22"/>
        </w:rPr>
      </w:pPr>
      <w:r>
        <w:rPr>
          <w:noProof/>
        </w:rPr>
        <w:t>Schedule 1—Multinational</w:t>
      </w:r>
      <w:bookmarkStart w:id="0" w:name="_GoBack"/>
      <w:bookmarkEnd w:id="0"/>
      <w:r>
        <w:rPr>
          <w:noProof/>
        </w:rPr>
        <w:t xml:space="preserve"> anti</w:t>
      </w:r>
      <w:r>
        <w:rPr>
          <w:noProof/>
        </w:rPr>
        <w:noBreakHyphen/>
        <w:t>avoidance law</w:t>
      </w:r>
      <w:r w:rsidRPr="004E6CA5">
        <w:rPr>
          <w:b w:val="0"/>
          <w:noProof/>
          <w:sz w:val="18"/>
        </w:rPr>
        <w:tab/>
      </w:r>
      <w:r w:rsidRPr="004E6CA5">
        <w:rPr>
          <w:b w:val="0"/>
          <w:noProof/>
          <w:sz w:val="18"/>
        </w:rPr>
        <w:fldChar w:fldCharType="begin"/>
      </w:r>
      <w:r w:rsidRPr="004E6CA5">
        <w:rPr>
          <w:b w:val="0"/>
          <w:noProof/>
          <w:sz w:val="18"/>
        </w:rPr>
        <w:instrText xml:space="preserve"> PAGEREF _Toc526514975 \h </w:instrText>
      </w:r>
      <w:r w:rsidRPr="004E6CA5">
        <w:rPr>
          <w:b w:val="0"/>
          <w:noProof/>
          <w:sz w:val="18"/>
        </w:rPr>
      </w:r>
      <w:r w:rsidRPr="004E6CA5">
        <w:rPr>
          <w:b w:val="0"/>
          <w:noProof/>
          <w:sz w:val="18"/>
        </w:rPr>
        <w:fldChar w:fldCharType="separate"/>
      </w:r>
      <w:r w:rsidR="00AF426F">
        <w:rPr>
          <w:b w:val="0"/>
          <w:noProof/>
          <w:sz w:val="18"/>
        </w:rPr>
        <w:t>3</w:t>
      </w:r>
      <w:r w:rsidRPr="004E6CA5">
        <w:rPr>
          <w:b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Income Tax Assessment Act 1936</w:t>
      </w:r>
      <w:r w:rsidRPr="004E6CA5">
        <w:rPr>
          <w:i w:val="0"/>
          <w:noProof/>
          <w:sz w:val="18"/>
        </w:rPr>
        <w:tab/>
      </w:r>
      <w:r w:rsidRPr="004E6CA5">
        <w:rPr>
          <w:i w:val="0"/>
          <w:noProof/>
          <w:sz w:val="18"/>
        </w:rPr>
        <w:fldChar w:fldCharType="begin"/>
      </w:r>
      <w:r w:rsidRPr="004E6CA5">
        <w:rPr>
          <w:i w:val="0"/>
          <w:noProof/>
          <w:sz w:val="18"/>
        </w:rPr>
        <w:instrText xml:space="preserve"> PAGEREF _Toc526514976 \h </w:instrText>
      </w:r>
      <w:r w:rsidRPr="004E6CA5">
        <w:rPr>
          <w:i w:val="0"/>
          <w:noProof/>
          <w:sz w:val="18"/>
        </w:rPr>
      </w:r>
      <w:r w:rsidRPr="004E6CA5">
        <w:rPr>
          <w:i w:val="0"/>
          <w:noProof/>
          <w:sz w:val="18"/>
        </w:rPr>
        <w:fldChar w:fldCharType="separate"/>
      </w:r>
      <w:r w:rsidR="00AF426F">
        <w:rPr>
          <w:i w:val="0"/>
          <w:noProof/>
          <w:sz w:val="18"/>
        </w:rPr>
        <w:t>3</w:t>
      </w:r>
      <w:r w:rsidRPr="004E6CA5">
        <w:rPr>
          <w:i w:val="0"/>
          <w:noProof/>
          <w:sz w:val="18"/>
        </w:rPr>
        <w:fldChar w:fldCharType="end"/>
      </w:r>
    </w:p>
    <w:p w:rsidR="004E6CA5" w:rsidRDefault="004E6CA5">
      <w:pPr>
        <w:pStyle w:val="TOC6"/>
        <w:rPr>
          <w:rFonts w:asciiTheme="minorHAnsi" w:eastAsiaTheme="minorEastAsia" w:hAnsiTheme="minorHAnsi" w:cstheme="minorBidi"/>
          <w:b w:val="0"/>
          <w:noProof/>
          <w:kern w:val="0"/>
          <w:sz w:val="22"/>
          <w:szCs w:val="22"/>
        </w:rPr>
      </w:pPr>
      <w:r>
        <w:rPr>
          <w:noProof/>
        </w:rPr>
        <w:t>Schedule 2—Improving the integrity of the small business CGT concessions</w:t>
      </w:r>
      <w:r w:rsidRPr="004E6CA5">
        <w:rPr>
          <w:b w:val="0"/>
          <w:noProof/>
          <w:sz w:val="18"/>
        </w:rPr>
        <w:tab/>
      </w:r>
      <w:r w:rsidRPr="004E6CA5">
        <w:rPr>
          <w:b w:val="0"/>
          <w:noProof/>
          <w:sz w:val="18"/>
        </w:rPr>
        <w:fldChar w:fldCharType="begin"/>
      </w:r>
      <w:r w:rsidRPr="004E6CA5">
        <w:rPr>
          <w:b w:val="0"/>
          <w:noProof/>
          <w:sz w:val="18"/>
        </w:rPr>
        <w:instrText xml:space="preserve"> PAGEREF _Toc526514977 \h </w:instrText>
      </w:r>
      <w:r w:rsidRPr="004E6CA5">
        <w:rPr>
          <w:b w:val="0"/>
          <w:noProof/>
          <w:sz w:val="18"/>
        </w:rPr>
      </w:r>
      <w:r w:rsidRPr="004E6CA5">
        <w:rPr>
          <w:b w:val="0"/>
          <w:noProof/>
          <w:sz w:val="18"/>
        </w:rPr>
        <w:fldChar w:fldCharType="separate"/>
      </w:r>
      <w:r w:rsidR="00AF426F">
        <w:rPr>
          <w:b w:val="0"/>
          <w:noProof/>
          <w:sz w:val="18"/>
        </w:rPr>
        <w:t>5</w:t>
      </w:r>
      <w:r w:rsidRPr="004E6CA5">
        <w:rPr>
          <w:b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Income Tax Assessment Act 1997</w:t>
      </w:r>
      <w:r w:rsidRPr="004E6CA5">
        <w:rPr>
          <w:i w:val="0"/>
          <w:noProof/>
          <w:sz w:val="18"/>
        </w:rPr>
        <w:tab/>
      </w:r>
      <w:r w:rsidRPr="004E6CA5">
        <w:rPr>
          <w:i w:val="0"/>
          <w:noProof/>
          <w:sz w:val="18"/>
        </w:rPr>
        <w:fldChar w:fldCharType="begin"/>
      </w:r>
      <w:r w:rsidRPr="004E6CA5">
        <w:rPr>
          <w:i w:val="0"/>
          <w:noProof/>
          <w:sz w:val="18"/>
        </w:rPr>
        <w:instrText xml:space="preserve"> PAGEREF _Toc526514978 \h </w:instrText>
      </w:r>
      <w:r w:rsidRPr="004E6CA5">
        <w:rPr>
          <w:i w:val="0"/>
          <w:noProof/>
          <w:sz w:val="18"/>
        </w:rPr>
      </w:r>
      <w:r w:rsidRPr="004E6CA5">
        <w:rPr>
          <w:i w:val="0"/>
          <w:noProof/>
          <w:sz w:val="18"/>
        </w:rPr>
        <w:fldChar w:fldCharType="separate"/>
      </w:r>
      <w:r w:rsidR="00AF426F">
        <w:rPr>
          <w:i w:val="0"/>
          <w:noProof/>
          <w:sz w:val="18"/>
        </w:rPr>
        <w:t>5</w:t>
      </w:r>
      <w:r w:rsidRPr="004E6CA5">
        <w:rPr>
          <w:i w:val="0"/>
          <w:noProof/>
          <w:sz w:val="18"/>
        </w:rPr>
        <w:fldChar w:fldCharType="end"/>
      </w:r>
    </w:p>
    <w:p w:rsidR="004E6CA5" w:rsidRDefault="004E6CA5">
      <w:pPr>
        <w:pStyle w:val="TOC6"/>
        <w:rPr>
          <w:rFonts w:asciiTheme="minorHAnsi" w:eastAsiaTheme="minorEastAsia" w:hAnsiTheme="minorHAnsi" w:cstheme="minorBidi"/>
          <w:b w:val="0"/>
          <w:noProof/>
          <w:kern w:val="0"/>
          <w:sz w:val="22"/>
          <w:szCs w:val="22"/>
        </w:rPr>
      </w:pPr>
      <w:r>
        <w:rPr>
          <w:noProof/>
        </w:rPr>
        <w:t>Schedule 3—Fintech and venture capital amendments</w:t>
      </w:r>
      <w:r w:rsidRPr="004E6CA5">
        <w:rPr>
          <w:b w:val="0"/>
          <w:noProof/>
          <w:sz w:val="18"/>
        </w:rPr>
        <w:tab/>
      </w:r>
      <w:r w:rsidRPr="004E6CA5">
        <w:rPr>
          <w:b w:val="0"/>
          <w:noProof/>
          <w:sz w:val="18"/>
        </w:rPr>
        <w:fldChar w:fldCharType="begin"/>
      </w:r>
      <w:r w:rsidRPr="004E6CA5">
        <w:rPr>
          <w:b w:val="0"/>
          <w:noProof/>
          <w:sz w:val="18"/>
        </w:rPr>
        <w:instrText xml:space="preserve"> PAGEREF _Toc526514979 \h </w:instrText>
      </w:r>
      <w:r w:rsidRPr="004E6CA5">
        <w:rPr>
          <w:b w:val="0"/>
          <w:noProof/>
          <w:sz w:val="18"/>
        </w:rPr>
      </w:r>
      <w:r w:rsidRPr="004E6CA5">
        <w:rPr>
          <w:b w:val="0"/>
          <w:noProof/>
          <w:sz w:val="18"/>
        </w:rPr>
        <w:fldChar w:fldCharType="separate"/>
      </w:r>
      <w:r w:rsidR="00AF426F">
        <w:rPr>
          <w:b w:val="0"/>
          <w:noProof/>
          <w:sz w:val="18"/>
        </w:rPr>
        <w:t>9</w:t>
      </w:r>
      <w:r w:rsidRPr="004E6CA5">
        <w:rPr>
          <w:b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Income Tax Assessment Act 1997</w:t>
      </w:r>
      <w:r w:rsidRPr="004E6CA5">
        <w:rPr>
          <w:i w:val="0"/>
          <w:noProof/>
          <w:sz w:val="18"/>
        </w:rPr>
        <w:tab/>
      </w:r>
      <w:r w:rsidRPr="004E6CA5">
        <w:rPr>
          <w:i w:val="0"/>
          <w:noProof/>
          <w:sz w:val="18"/>
        </w:rPr>
        <w:fldChar w:fldCharType="begin"/>
      </w:r>
      <w:r w:rsidRPr="004E6CA5">
        <w:rPr>
          <w:i w:val="0"/>
          <w:noProof/>
          <w:sz w:val="18"/>
        </w:rPr>
        <w:instrText xml:space="preserve"> PAGEREF _Toc526514980 \h </w:instrText>
      </w:r>
      <w:r w:rsidRPr="004E6CA5">
        <w:rPr>
          <w:i w:val="0"/>
          <w:noProof/>
          <w:sz w:val="18"/>
        </w:rPr>
      </w:r>
      <w:r w:rsidRPr="004E6CA5">
        <w:rPr>
          <w:i w:val="0"/>
          <w:noProof/>
          <w:sz w:val="18"/>
        </w:rPr>
        <w:fldChar w:fldCharType="separate"/>
      </w:r>
      <w:r w:rsidR="00AF426F">
        <w:rPr>
          <w:i w:val="0"/>
          <w:noProof/>
          <w:sz w:val="18"/>
        </w:rPr>
        <w:t>9</w:t>
      </w:r>
      <w:r w:rsidRPr="004E6CA5">
        <w:rPr>
          <w:i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Taxation Administration Act 1953</w:t>
      </w:r>
      <w:r w:rsidRPr="004E6CA5">
        <w:rPr>
          <w:i w:val="0"/>
          <w:noProof/>
          <w:sz w:val="18"/>
        </w:rPr>
        <w:tab/>
      </w:r>
      <w:r w:rsidRPr="004E6CA5">
        <w:rPr>
          <w:i w:val="0"/>
          <w:noProof/>
          <w:sz w:val="18"/>
        </w:rPr>
        <w:fldChar w:fldCharType="begin"/>
      </w:r>
      <w:r w:rsidRPr="004E6CA5">
        <w:rPr>
          <w:i w:val="0"/>
          <w:noProof/>
          <w:sz w:val="18"/>
        </w:rPr>
        <w:instrText xml:space="preserve"> PAGEREF _Toc526514983 \h </w:instrText>
      </w:r>
      <w:r w:rsidRPr="004E6CA5">
        <w:rPr>
          <w:i w:val="0"/>
          <w:noProof/>
          <w:sz w:val="18"/>
        </w:rPr>
      </w:r>
      <w:r w:rsidRPr="004E6CA5">
        <w:rPr>
          <w:i w:val="0"/>
          <w:noProof/>
          <w:sz w:val="18"/>
        </w:rPr>
        <w:fldChar w:fldCharType="separate"/>
      </w:r>
      <w:r w:rsidR="00AF426F">
        <w:rPr>
          <w:i w:val="0"/>
          <w:noProof/>
          <w:sz w:val="18"/>
        </w:rPr>
        <w:t>11</w:t>
      </w:r>
      <w:r w:rsidRPr="004E6CA5">
        <w:rPr>
          <w:i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Venture Capital Act 2002</w:t>
      </w:r>
      <w:r w:rsidRPr="004E6CA5">
        <w:rPr>
          <w:i w:val="0"/>
          <w:noProof/>
          <w:sz w:val="18"/>
        </w:rPr>
        <w:tab/>
      </w:r>
      <w:r w:rsidRPr="004E6CA5">
        <w:rPr>
          <w:i w:val="0"/>
          <w:noProof/>
          <w:sz w:val="18"/>
        </w:rPr>
        <w:fldChar w:fldCharType="begin"/>
      </w:r>
      <w:r w:rsidRPr="004E6CA5">
        <w:rPr>
          <w:i w:val="0"/>
          <w:noProof/>
          <w:sz w:val="18"/>
        </w:rPr>
        <w:instrText xml:space="preserve"> PAGEREF _Toc526514984 \h </w:instrText>
      </w:r>
      <w:r w:rsidRPr="004E6CA5">
        <w:rPr>
          <w:i w:val="0"/>
          <w:noProof/>
          <w:sz w:val="18"/>
        </w:rPr>
      </w:r>
      <w:r w:rsidRPr="004E6CA5">
        <w:rPr>
          <w:i w:val="0"/>
          <w:noProof/>
          <w:sz w:val="18"/>
        </w:rPr>
        <w:fldChar w:fldCharType="separate"/>
      </w:r>
      <w:r w:rsidR="00AF426F">
        <w:rPr>
          <w:i w:val="0"/>
          <w:noProof/>
          <w:sz w:val="18"/>
        </w:rPr>
        <w:t>12</w:t>
      </w:r>
      <w:r w:rsidRPr="004E6CA5">
        <w:rPr>
          <w:i w:val="0"/>
          <w:noProof/>
          <w:sz w:val="18"/>
        </w:rPr>
        <w:fldChar w:fldCharType="end"/>
      </w:r>
    </w:p>
    <w:p w:rsidR="004E6CA5" w:rsidRDefault="004E6CA5">
      <w:pPr>
        <w:pStyle w:val="TOC6"/>
        <w:rPr>
          <w:rFonts w:asciiTheme="minorHAnsi" w:eastAsiaTheme="minorEastAsia" w:hAnsiTheme="minorHAnsi" w:cstheme="minorBidi"/>
          <w:b w:val="0"/>
          <w:noProof/>
          <w:kern w:val="0"/>
          <w:sz w:val="22"/>
          <w:szCs w:val="22"/>
        </w:rPr>
      </w:pPr>
      <w:r>
        <w:rPr>
          <w:noProof/>
        </w:rPr>
        <w:t>Schedule 4—Tax exemption for payments made under the Defence Force Ombudsman Scheme</w:t>
      </w:r>
      <w:r w:rsidRPr="004E6CA5">
        <w:rPr>
          <w:b w:val="0"/>
          <w:noProof/>
          <w:sz w:val="18"/>
        </w:rPr>
        <w:tab/>
      </w:r>
      <w:r w:rsidRPr="004E6CA5">
        <w:rPr>
          <w:b w:val="0"/>
          <w:noProof/>
          <w:sz w:val="18"/>
        </w:rPr>
        <w:fldChar w:fldCharType="begin"/>
      </w:r>
      <w:r w:rsidRPr="004E6CA5">
        <w:rPr>
          <w:b w:val="0"/>
          <w:noProof/>
          <w:sz w:val="18"/>
        </w:rPr>
        <w:instrText xml:space="preserve"> PAGEREF _Toc526514985 \h </w:instrText>
      </w:r>
      <w:r w:rsidRPr="004E6CA5">
        <w:rPr>
          <w:b w:val="0"/>
          <w:noProof/>
          <w:sz w:val="18"/>
        </w:rPr>
      </w:r>
      <w:r w:rsidRPr="004E6CA5">
        <w:rPr>
          <w:b w:val="0"/>
          <w:noProof/>
          <w:sz w:val="18"/>
        </w:rPr>
        <w:fldChar w:fldCharType="separate"/>
      </w:r>
      <w:r w:rsidR="00AF426F">
        <w:rPr>
          <w:b w:val="0"/>
          <w:noProof/>
          <w:sz w:val="18"/>
        </w:rPr>
        <w:t>13</w:t>
      </w:r>
      <w:r w:rsidRPr="004E6CA5">
        <w:rPr>
          <w:b w:val="0"/>
          <w:noProof/>
          <w:sz w:val="18"/>
        </w:rPr>
        <w:fldChar w:fldCharType="end"/>
      </w:r>
    </w:p>
    <w:p w:rsidR="004E6CA5" w:rsidRDefault="004E6CA5">
      <w:pPr>
        <w:pStyle w:val="TOC9"/>
        <w:rPr>
          <w:rFonts w:asciiTheme="minorHAnsi" w:eastAsiaTheme="minorEastAsia" w:hAnsiTheme="minorHAnsi" w:cstheme="minorBidi"/>
          <w:i w:val="0"/>
          <w:noProof/>
          <w:kern w:val="0"/>
          <w:sz w:val="22"/>
          <w:szCs w:val="22"/>
        </w:rPr>
      </w:pPr>
      <w:r>
        <w:rPr>
          <w:noProof/>
        </w:rPr>
        <w:t>Income Tax Assessment Act 1997</w:t>
      </w:r>
      <w:r w:rsidRPr="004E6CA5">
        <w:rPr>
          <w:i w:val="0"/>
          <w:noProof/>
          <w:sz w:val="18"/>
        </w:rPr>
        <w:tab/>
      </w:r>
      <w:r w:rsidRPr="004E6CA5">
        <w:rPr>
          <w:i w:val="0"/>
          <w:noProof/>
          <w:sz w:val="18"/>
        </w:rPr>
        <w:fldChar w:fldCharType="begin"/>
      </w:r>
      <w:r w:rsidRPr="004E6CA5">
        <w:rPr>
          <w:i w:val="0"/>
          <w:noProof/>
          <w:sz w:val="18"/>
        </w:rPr>
        <w:instrText xml:space="preserve"> PAGEREF _Toc526514986 \h </w:instrText>
      </w:r>
      <w:r w:rsidRPr="004E6CA5">
        <w:rPr>
          <w:i w:val="0"/>
          <w:noProof/>
          <w:sz w:val="18"/>
        </w:rPr>
      </w:r>
      <w:r w:rsidRPr="004E6CA5">
        <w:rPr>
          <w:i w:val="0"/>
          <w:noProof/>
          <w:sz w:val="18"/>
        </w:rPr>
        <w:fldChar w:fldCharType="separate"/>
      </w:r>
      <w:r w:rsidR="00AF426F">
        <w:rPr>
          <w:i w:val="0"/>
          <w:noProof/>
          <w:sz w:val="18"/>
        </w:rPr>
        <w:t>13</w:t>
      </w:r>
      <w:r w:rsidRPr="004E6CA5">
        <w:rPr>
          <w:i w:val="0"/>
          <w:noProof/>
          <w:sz w:val="18"/>
        </w:rPr>
        <w:fldChar w:fldCharType="end"/>
      </w:r>
    </w:p>
    <w:p w:rsidR="00060FF9" w:rsidRPr="003E69FB" w:rsidRDefault="004E6CA5" w:rsidP="0048364F">
      <w:r>
        <w:fldChar w:fldCharType="end"/>
      </w:r>
    </w:p>
    <w:p w:rsidR="00FE7F93" w:rsidRPr="003E69FB" w:rsidRDefault="00FE7F93" w:rsidP="0048364F">
      <w:pPr>
        <w:sectPr w:rsidR="00FE7F93" w:rsidRPr="003E69FB" w:rsidSect="0025380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53806" w:rsidRDefault="00253806">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00257452" r:id="rId21"/>
        </w:object>
      </w:r>
    </w:p>
    <w:p w:rsidR="00253806" w:rsidRDefault="00253806"/>
    <w:p w:rsidR="00253806" w:rsidRDefault="00253806" w:rsidP="00253806">
      <w:pPr>
        <w:spacing w:line="240" w:lineRule="auto"/>
      </w:pPr>
    </w:p>
    <w:p w:rsidR="00253806" w:rsidRDefault="004E6CA5" w:rsidP="00253806">
      <w:pPr>
        <w:pStyle w:val="ShortTP1"/>
      </w:pPr>
      <w:fldSimple w:instr=" STYLEREF ShortT ">
        <w:r w:rsidR="00AF426F">
          <w:rPr>
            <w:noProof/>
          </w:rPr>
          <w:t>Treasury Laws Amendment (Tax Integrity and Other Measures) Act 2018</w:t>
        </w:r>
      </w:fldSimple>
    </w:p>
    <w:p w:rsidR="00253806" w:rsidRDefault="004E6CA5" w:rsidP="00253806">
      <w:pPr>
        <w:pStyle w:val="ActNoP1"/>
      </w:pPr>
      <w:fldSimple w:instr=" STYLEREF Actno ">
        <w:r w:rsidR="00AF426F">
          <w:rPr>
            <w:noProof/>
          </w:rPr>
          <w:t>No. 124, 2018</w:t>
        </w:r>
      </w:fldSimple>
    </w:p>
    <w:p w:rsidR="00253806" w:rsidRPr="009A0728" w:rsidRDefault="00253806" w:rsidP="009A0728">
      <w:pPr>
        <w:pBdr>
          <w:bottom w:val="single" w:sz="6" w:space="0" w:color="auto"/>
        </w:pBdr>
        <w:spacing w:before="400" w:line="240" w:lineRule="auto"/>
        <w:rPr>
          <w:rFonts w:eastAsia="Times New Roman"/>
          <w:b/>
          <w:sz w:val="28"/>
        </w:rPr>
      </w:pPr>
    </w:p>
    <w:p w:rsidR="00253806" w:rsidRPr="009A0728" w:rsidRDefault="00253806" w:rsidP="009A0728">
      <w:pPr>
        <w:spacing w:line="40" w:lineRule="exact"/>
        <w:rPr>
          <w:rFonts w:eastAsia="Calibri"/>
          <w:b/>
          <w:sz w:val="28"/>
        </w:rPr>
      </w:pPr>
    </w:p>
    <w:p w:rsidR="00253806" w:rsidRPr="009A0728" w:rsidRDefault="00253806" w:rsidP="009A0728">
      <w:pPr>
        <w:pBdr>
          <w:top w:val="single" w:sz="12" w:space="0" w:color="auto"/>
        </w:pBdr>
        <w:spacing w:line="240" w:lineRule="auto"/>
        <w:rPr>
          <w:rFonts w:eastAsia="Times New Roman"/>
          <w:b/>
          <w:sz w:val="28"/>
        </w:rPr>
      </w:pPr>
    </w:p>
    <w:p w:rsidR="0048364F" w:rsidRPr="003E69FB" w:rsidRDefault="00253806" w:rsidP="003E69FB">
      <w:pPr>
        <w:pStyle w:val="Page1"/>
      </w:pPr>
      <w:r>
        <w:t>An Act</w:t>
      </w:r>
      <w:r w:rsidR="003E69FB" w:rsidRPr="003E69FB">
        <w:t xml:space="preserve"> to amend the law relating to taxation, and for related purposes</w:t>
      </w:r>
    </w:p>
    <w:p w:rsidR="000E26D7" w:rsidRDefault="000E26D7" w:rsidP="000C5962">
      <w:pPr>
        <w:pStyle w:val="AssentDt"/>
        <w:spacing w:before="240"/>
        <w:rPr>
          <w:sz w:val="24"/>
        </w:rPr>
      </w:pPr>
      <w:r>
        <w:rPr>
          <w:sz w:val="24"/>
        </w:rPr>
        <w:t>[</w:t>
      </w:r>
      <w:r>
        <w:rPr>
          <w:i/>
          <w:sz w:val="24"/>
        </w:rPr>
        <w:t>Assented to 3 October 2018</w:t>
      </w:r>
      <w:r>
        <w:rPr>
          <w:sz w:val="24"/>
        </w:rPr>
        <w:t>]</w:t>
      </w:r>
    </w:p>
    <w:p w:rsidR="0048364F" w:rsidRPr="003E69FB" w:rsidRDefault="0048364F" w:rsidP="003E69FB">
      <w:pPr>
        <w:spacing w:before="240" w:line="240" w:lineRule="auto"/>
        <w:rPr>
          <w:sz w:val="32"/>
        </w:rPr>
      </w:pPr>
      <w:r w:rsidRPr="003E69FB">
        <w:rPr>
          <w:sz w:val="32"/>
        </w:rPr>
        <w:t>The Parliament of Australia enacts:</w:t>
      </w:r>
    </w:p>
    <w:p w:rsidR="0048364F" w:rsidRPr="003E69FB" w:rsidRDefault="0048364F" w:rsidP="003E69FB">
      <w:pPr>
        <w:pStyle w:val="ActHead5"/>
      </w:pPr>
      <w:bookmarkStart w:id="1" w:name="_Toc526514972"/>
      <w:r w:rsidRPr="003E69FB">
        <w:rPr>
          <w:rStyle w:val="CharSectno"/>
        </w:rPr>
        <w:t>1</w:t>
      </w:r>
      <w:r w:rsidRPr="003E69FB">
        <w:t xml:space="preserve">  Short title</w:t>
      </w:r>
      <w:bookmarkEnd w:id="1"/>
    </w:p>
    <w:p w:rsidR="0048364F" w:rsidRPr="003E69FB" w:rsidRDefault="0048364F" w:rsidP="003E69FB">
      <w:pPr>
        <w:pStyle w:val="subsection"/>
      </w:pPr>
      <w:r w:rsidRPr="003E69FB">
        <w:tab/>
      </w:r>
      <w:r w:rsidRPr="003E69FB">
        <w:tab/>
        <w:t xml:space="preserve">This Act </w:t>
      </w:r>
      <w:r w:rsidR="00275197" w:rsidRPr="003E69FB">
        <w:t xml:space="preserve">is </w:t>
      </w:r>
      <w:r w:rsidRPr="003E69FB">
        <w:t xml:space="preserve">the </w:t>
      </w:r>
      <w:r w:rsidR="003A467E" w:rsidRPr="003E69FB">
        <w:rPr>
          <w:i/>
        </w:rPr>
        <w:t>Treasury Laws Amendment (Tax Integrity and Other Measures)</w:t>
      </w:r>
      <w:r w:rsidR="003A467E" w:rsidRPr="003E69FB">
        <w:t xml:space="preserve"> </w:t>
      </w:r>
      <w:r w:rsidR="00E947C6" w:rsidRPr="003E69FB">
        <w:rPr>
          <w:i/>
        </w:rPr>
        <w:t>Act 2018</w:t>
      </w:r>
      <w:r w:rsidRPr="003E69FB">
        <w:t>.</w:t>
      </w:r>
    </w:p>
    <w:p w:rsidR="0048364F" w:rsidRPr="003E69FB" w:rsidRDefault="0048364F" w:rsidP="003E69FB">
      <w:pPr>
        <w:pStyle w:val="ActHead5"/>
      </w:pPr>
      <w:bookmarkStart w:id="2" w:name="_Toc526514973"/>
      <w:r w:rsidRPr="003E69FB">
        <w:rPr>
          <w:rStyle w:val="CharSectno"/>
        </w:rPr>
        <w:lastRenderedPageBreak/>
        <w:t>2</w:t>
      </w:r>
      <w:r w:rsidRPr="003E69FB">
        <w:t xml:space="preserve">  Commencement</w:t>
      </w:r>
      <w:bookmarkEnd w:id="2"/>
    </w:p>
    <w:p w:rsidR="0048364F" w:rsidRPr="003E69FB" w:rsidRDefault="0048364F" w:rsidP="003E69FB">
      <w:pPr>
        <w:pStyle w:val="subsection"/>
      </w:pPr>
      <w:r w:rsidRPr="003E69FB">
        <w:tab/>
        <w:t>(1)</w:t>
      </w:r>
      <w:r w:rsidRPr="003E69FB">
        <w:tab/>
        <w:t>Each provision of this Act specified in column 1 of the table commences, or is taken to have commenced, in accordance with column 2 of the table. Any other statement in column 2 has effect according to its terms.</w:t>
      </w:r>
    </w:p>
    <w:p w:rsidR="0048364F" w:rsidRPr="003E69FB" w:rsidRDefault="0048364F" w:rsidP="003E69F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E69FB" w:rsidTr="009A06AB">
        <w:trPr>
          <w:tblHeader/>
        </w:trPr>
        <w:tc>
          <w:tcPr>
            <w:tcW w:w="7111" w:type="dxa"/>
            <w:gridSpan w:val="3"/>
            <w:tcBorders>
              <w:top w:val="single" w:sz="12" w:space="0" w:color="auto"/>
              <w:bottom w:val="single" w:sz="6" w:space="0" w:color="auto"/>
            </w:tcBorders>
            <w:shd w:val="clear" w:color="auto" w:fill="auto"/>
          </w:tcPr>
          <w:p w:rsidR="0048364F" w:rsidRPr="003E69FB" w:rsidRDefault="0048364F" w:rsidP="003E69FB">
            <w:pPr>
              <w:pStyle w:val="TableHeading"/>
            </w:pPr>
            <w:r w:rsidRPr="003E69FB">
              <w:t>Commencement information</w:t>
            </w:r>
          </w:p>
        </w:tc>
      </w:tr>
      <w:tr w:rsidR="0048364F" w:rsidRPr="003E69FB" w:rsidTr="009A06AB">
        <w:trPr>
          <w:tblHeader/>
        </w:trPr>
        <w:tc>
          <w:tcPr>
            <w:tcW w:w="1701" w:type="dxa"/>
            <w:tcBorders>
              <w:top w:val="single" w:sz="6" w:space="0" w:color="auto"/>
              <w:bottom w:val="single" w:sz="6" w:space="0" w:color="auto"/>
            </w:tcBorders>
            <w:shd w:val="clear" w:color="auto" w:fill="auto"/>
          </w:tcPr>
          <w:p w:rsidR="0048364F" w:rsidRPr="003E69FB" w:rsidRDefault="0048364F" w:rsidP="003E69FB">
            <w:pPr>
              <w:pStyle w:val="TableHeading"/>
            </w:pPr>
            <w:r w:rsidRPr="003E69FB">
              <w:t>Column 1</w:t>
            </w:r>
          </w:p>
        </w:tc>
        <w:tc>
          <w:tcPr>
            <w:tcW w:w="3828" w:type="dxa"/>
            <w:tcBorders>
              <w:top w:val="single" w:sz="6" w:space="0" w:color="auto"/>
              <w:bottom w:val="single" w:sz="6" w:space="0" w:color="auto"/>
            </w:tcBorders>
            <w:shd w:val="clear" w:color="auto" w:fill="auto"/>
          </w:tcPr>
          <w:p w:rsidR="0048364F" w:rsidRPr="003E69FB" w:rsidRDefault="0048364F" w:rsidP="003E69FB">
            <w:pPr>
              <w:pStyle w:val="TableHeading"/>
            </w:pPr>
            <w:r w:rsidRPr="003E69FB">
              <w:t>Column 2</w:t>
            </w:r>
          </w:p>
        </w:tc>
        <w:tc>
          <w:tcPr>
            <w:tcW w:w="1582" w:type="dxa"/>
            <w:tcBorders>
              <w:top w:val="single" w:sz="6" w:space="0" w:color="auto"/>
              <w:bottom w:val="single" w:sz="6" w:space="0" w:color="auto"/>
            </w:tcBorders>
            <w:shd w:val="clear" w:color="auto" w:fill="auto"/>
          </w:tcPr>
          <w:p w:rsidR="0048364F" w:rsidRPr="003E69FB" w:rsidRDefault="0048364F" w:rsidP="003E69FB">
            <w:pPr>
              <w:pStyle w:val="TableHeading"/>
            </w:pPr>
            <w:r w:rsidRPr="003E69FB">
              <w:t>Column 3</w:t>
            </w:r>
          </w:p>
        </w:tc>
      </w:tr>
      <w:tr w:rsidR="0048364F" w:rsidRPr="003E69FB" w:rsidTr="009A06AB">
        <w:trPr>
          <w:tblHeader/>
        </w:trPr>
        <w:tc>
          <w:tcPr>
            <w:tcW w:w="1701" w:type="dxa"/>
            <w:tcBorders>
              <w:top w:val="single" w:sz="6" w:space="0" w:color="auto"/>
              <w:bottom w:val="single" w:sz="12" w:space="0" w:color="auto"/>
            </w:tcBorders>
            <w:shd w:val="clear" w:color="auto" w:fill="auto"/>
          </w:tcPr>
          <w:p w:rsidR="0048364F" w:rsidRPr="003E69FB" w:rsidRDefault="0048364F" w:rsidP="003E69FB">
            <w:pPr>
              <w:pStyle w:val="TableHeading"/>
            </w:pPr>
            <w:r w:rsidRPr="003E69FB">
              <w:t>Provisions</w:t>
            </w:r>
          </w:p>
        </w:tc>
        <w:tc>
          <w:tcPr>
            <w:tcW w:w="3828" w:type="dxa"/>
            <w:tcBorders>
              <w:top w:val="single" w:sz="6" w:space="0" w:color="auto"/>
              <w:bottom w:val="single" w:sz="12" w:space="0" w:color="auto"/>
            </w:tcBorders>
            <w:shd w:val="clear" w:color="auto" w:fill="auto"/>
          </w:tcPr>
          <w:p w:rsidR="0048364F" w:rsidRPr="003E69FB" w:rsidRDefault="0048364F" w:rsidP="003E69FB">
            <w:pPr>
              <w:pStyle w:val="TableHeading"/>
            </w:pPr>
            <w:r w:rsidRPr="003E69FB">
              <w:t>Commencement</w:t>
            </w:r>
          </w:p>
        </w:tc>
        <w:tc>
          <w:tcPr>
            <w:tcW w:w="1582" w:type="dxa"/>
            <w:tcBorders>
              <w:top w:val="single" w:sz="6" w:space="0" w:color="auto"/>
              <w:bottom w:val="single" w:sz="12" w:space="0" w:color="auto"/>
            </w:tcBorders>
            <w:shd w:val="clear" w:color="auto" w:fill="auto"/>
          </w:tcPr>
          <w:p w:rsidR="0048364F" w:rsidRPr="003E69FB" w:rsidRDefault="0048364F" w:rsidP="003E69FB">
            <w:pPr>
              <w:pStyle w:val="TableHeading"/>
            </w:pPr>
            <w:r w:rsidRPr="003E69FB">
              <w:t>Date/Details</w:t>
            </w:r>
          </w:p>
        </w:tc>
      </w:tr>
      <w:tr w:rsidR="0048364F" w:rsidRPr="003E69FB" w:rsidTr="009A06AB">
        <w:tc>
          <w:tcPr>
            <w:tcW w:w="1701" w:type="dxa"/>
            <w:tcBorders>
              <w:top w:val="single" w:sz="12" w:space="0" w:color="auto"/>
              <w:bottom w:val="single" w:sz="12" w:space="0" w:color="auto"/>
            </w:tcBorders>
            <w:shd w:val="clear" w:color="auto" w:fill="auto"/>
          </w:tcPr>
          <w:p w:rsidR="0048364F" w:rsidRPr="003E69FB" w:rsidRDefault="0048364F" w:rsidP="003E69FB">
            <w:pPr>
              <w:pStyle w:val="Tabletext"/>
            </w:pPr>
            <w:r w:rsidRPr="003E69FB">
              <w:t xml:space="preserve">1.  </w:t>
            </w:r>
            <w:r w:rsidR="009A06AB" w:rsidRPr="003E69FB">
              <w:t>The whole of this Act</w:t>
            </w:r>
          </w:p>
        </w:tc>
        <w:tc>
          <w:tcPr>
            <w:tcW w:w="3828" w:type="dxa"/>
            <w:tcBorders>
              <w:top w:val="single" w:sz="12" w:space="0" w:color="auto"/>
              <w:bottom w:val="single" w:sz="12" w:space="0" w:color="auto"/>
            </w:tcBorders>
            <w:shd w:val="clear" w:color="auto" w:fill="auto"/>
          </w:tcPr>
          <w:p w:rsidR="0048364F" w:rsidRPr="003E69FB" w:rsidRDefault="009A06AB" w:rsidP="003E69FB">
            <w:pPr>
              <w:pStyle w:val="Tabletext"/>
            </w:pPr>
            <w:r w:rsidRPr="003E69FB">
              <w:rPr>
                <w:lang w:eastAsia="en-US"/>
              </w:rPr>
              <w:t>The first 1</w:t>
            </w:r>
            <w:r w:rsidR="003E69FB" w:rsidRPr="003E69FB">
              <w:rPr>
                <w:lang w:eastAsia="en-US"/>
              </w:rPr>
              <w:t> </w:t>
            </w:r>
            <w:r w:rsidRPr="003E69FB">
              <w:rPr>
                <w:lang w:eastAsia="en-US"/>
              </w:rPr>
              <w:t>January, 1</w:t>
            </w:r>
            <w:r w:rsidR="003E69FB" w:rsidRPr="003E69FB">
              <w:rPr>
                <w:lang w:eastAsia="en-US"/>
              </w:rPr>
              <w:t> </w:t>
            </w:r>
            <w:r w:rsidRPr="003E69FB">
              <w:rPr>
                <w:lang w:eastAsia="en-US"/>
              </w:rPr>
              <w:t>April, 1</w:t>
            </w:r>
            <w:r w:rsidR="003E69FB" w:rsidRPr="003E69FB">
              <w:rPr>
                <w:lang w:eastAsia="en-US"/>
              </w:rPr>
              <w:t> </w:t>
            </w:r>
            <w:r w:rsidRPr="003E69FB">
              <w:rPr>
                <w:lang w:eastAsia="en-US"/>
              </w:rPr>
              <w:t>July or 1</w:t>
            </w:r>
            <w:r w:rsidR="003E69FB" w:rsidRPr="003E69FB">
              <w:rPr>
                <w:lang w:eastAsia="en-US"/>
              </w:rPr>
              <w:t> </w:t>
            </w:r>
            <w:r w:rsidRPr="003E69FB">
              <w:rPr>
                <w:lang w:eastAsia="en-US"/>
              </w:rPr>
              <w:t>October to occur after the day this Act receives the Royal Assent.</w:t>
            </w:r>
          </w:p>
        </w:tc>
        <w:tc>
          <w:tcPr>
            <w:tcW w:w="1582" w:type="dxa"/>
            <w:tcBorders>
              <w:top w:val="single" w:sz="12" w:space="0" w:color="auto"/>
              <w:bottom w:val="single" w:sz="12" w:space="0" w:color="auto"/>
            </w:tcBorders>
            <w:shd w:val="clear" w:color="auto" w:fill="auto"/>
          </w:tcPr>
          <w:p w:rsidR="0048364F" w:rsidRPr="003E69FB" w:rsidRDefault="000E26D7" w:rsidP="003E69FB">
            <w:pPr>
              <w:pStyle w:val="Tabletext"/>
            </w:pPr>
            <w:r w:rsidRPr="003E69FB">
              <w:rPr>
                <w:lang w:eastAsia="en-US"/>
              </w:rPr>
              <w:t>1 January</w:t>
            </w:r>
            <w:r>
              <w:rPr>
                <w:lang w:eastAsia="en-US"/>
              </w:rPr>
              <w:t xml:space="preserve"> 2019</w:t>
            </w:r>
          </w:p>
        </w:tc>
      </w:tr>
    </w:tbl>
    <w:p w:rsidR="0048364F" w:rsidRPr="003E69FB" w:rsidRDefault="00201D27" w:rsidP="003E69FB">
      <w:pPr>
        <w:pStyle w:val="notetext"/>
      </w:pPr>
      <w:r w:rsidRPr="003E69FB">
        <w:t>Note:</w:t>
      </w:r>
      <w:r w:rsidRPr="003E69FB">
        <w:tab/>
        <w:t>This table relates only to the provisions of this Act as originally enacted. It will not be amended to deal with any later amendments of this Act.</w:t>
      </w:r>
    </w:p>
    <w:p w:rsidR="0048364F" w:rsidRPr="003E69FB" w:rsidRDefault="0048364F" w:rsidP="003E69FB">
      <w:pPr>
        <w:pStyle w:val="subsection"/>
      </w:pPr>
      <w:r w:rsidRPr="003E69FB">
        <w:tab/>
        <w:t>(2)</w:t>
      </w:r>
      <w:r w:rsidRPr="003E69FB">
        <w:tab/>
      </w:r>
      <w:r w:rsidR="00201D27" w:rsidRPr="003E69FB">
        <w:t xml:space="preserve">Any information in </w:t>
      </w:r>
      <w:r w:rsidR="00877D48" w:rsidRPr="003E69FB">
        <w:t>c</w:t>
      </w:r>
      <w:r w:rsidR="00201D27" w:rsidRPr="003E69FB">
        <w:t>olumn 3 of the table is not part of this Act. Information may be inserted in this column, or information in it may be edited, in any published version of this Act.</w:t>
      </w:r>
    </w:p>
    <w:p w:rsidR="0048364F" w:rsidRPr="003E69FB" w:rsidRDefault="0048364F" w:rsidP="003E69FB">
      <w:pPr>
        <w:pStyle w:val="ActHead5"/>
      </w:pPr>
      <w:bookmarkStart w:id="3" w:name="_Toc526514974"/>
      <w:r w:rsidRPr="003E69FB">
        <w:rPr>
          <w:rStyle w:val="CharSectno"/>
        </w:rPr>
        <w:t>3</w:t>
      </w:r>
      <w:r w:rsidRPr="003E69FB">
        <w:t xml:space="preserve">  Schedules</w:t>
      </w:r>
      <w:bookmarkEnd w:id="3"/>
    </w:p>
    <w:p w:rsidR="0048364F" w:rsidRPr="003E69FB" w:rsidRDefault="0048364F" w:rsidP="003E69FB">
      <w:pPr>
        <w:pStyle w:val="subsection"/>
      </w:pPr>
      <w:r w:rsidRPr="003E69FB">
        <w:tab/>
      </w:r>
      <w:r w:rsidRPr="003E69FB">
        <w:tab/>
      </w:r>
      <w:r w:rsidR="00202618" w:rsidRPr="003E69FB">
        <w:t>Legislation that is specified in a Schedule to this Act is amended or repealed as set out in the applicable items in the Schedule concerned, and any other item in a Schedule to this Act has effect according to its terms.</w:t>
      </w:r>
    </w:p>
    <w:p w:rsidR="003A467E" w:rsidRPr="003E69FB" w:rsidRDefault="009A06AB" w:rsidP="003E69FB">
      <w:pPr>
        <w:pStyle w:val="ActHead6"/>
        <w:pageBreakBefore/>
      </w:pPr>
      <w:bookmarkStart w:id="4" w:name="_Toc526514975"/>
      <w:bookmarkStart w:id="5" w:name="opcAmSched"/>
      <w:r w:rsidRPr="003E69FB">
        <w:rPr>
          <w:rStyle w:val="CharAmSchNo"/>
        </w:rPr>
        <w:lastRenderedPageBreak/>
        <w:t>Schedule</w:t>
      </w:r>
      <w:r w:rsidR="003E69FB" w:rsidRPr="003E69FB">
        <w:rPr>
          <w:rStyle w:val="CharAmSchNo"/>
        </w:rPr>
        <w:t> </w:t>
      </w:r>
      <w:r w:rsidRPr="003E69FB">
        <w:rPr>
          <w:rStyle w:val="CharAmSchNo"/>
        </w:rPr>
        <w:t>1</w:t>
      </w:r>
      <w:r w:rsidR="003A467E" w:rsidRPr="003E69FB">
        <w:t>—</w:t>
      </w:r>
      <w:r w:rsidR="003A467E" w:rsidRPr="003E69FB">
        <w:rPr>
          <w:rStyle w:val="CharAmSchText"/>
        </w:rPr>
        <w:t>Multinational anti</w:t>
      </w:r>
      <w:r w:rsidR="00E31E55">
        <w:rPr>
          <w:rStyle w:val="CharAmSchText"/>
        </w:rPr>
        <w:noBreakHyphen/>
      </w:r>
      <w:r w:rsidR="003A467E" w:rsidRPr="003E69FB">
        <w:rPr>
          <w:rStyle w:val="CharAmSchText"/>
        </w:rPr>
        <w:t>avoidance law</w:t>
      </w:r>
      <w:bookmarkEnd w:id="4"/>
    </w:p>
    <w:bookmarkEnd w:id="5"/>
    <w:p w:rsidR="00BB7C2C" w:rsidRPr="003E69FB" w:rsidRDefault="00BB7C2C" w:rsidP="003E69FB">
      <w:pPr>
        <w:pStyle w:val="Header"/>
      </w:pPr>
      <w:r w:rsidRPr="003E69FB">
        <w:rPr>
          <w:rStyle w:val="CharAmPartNo"/>
        </w:rPr>
        <w:t xml:space="preserve"> </w:t>
      </w:r>
      <w:r w:rsidRPr="003E69FB">
        <w:rPr>
          <w:rStyle w:val="CharAmPartText"/>
        </w:rPr>
        <w:t xml:space="preserve"> </w:t>
      </w:r>
    </w:p>
    <w:p w:rsidR="003A467E" w:rsidRPr="003E69FB" w:rsidRDefault="003A467E" w:rsidP="003E69FB">
      <w:pPr>
        <w:pStyle w:val="ActHead9"/>
        <w:rPr>
          <w:i w:val="0"/>
        </w:rPr>
      </w:pPr>
      <w:bookmarkStart w:id="6" w:name="_Toc526514976"/>
      <w:r w:rsidRPr="003E69FB">
        <w:t>Income Tax Assessment Act 1936</w:t>
      </w:r>
      <w:bookmarkEnd w:id="6"/>
    </w:p>
    <w:p w:rsidR="003A467E" w:rsidRPr="003E69FB" w:rsidRDefault="009655EB" w:rsidP="003E69FB">
      <w:pPr>
        <w:pStyle w:val="ItemHead"/>
      </w:pPr>
      <w:r w:rsidRPr="003E69FB">
        <w:t>1</w:t>
      </w:r>
      <w:r w:rsidR="003A467E" w:rsidRPr="003E69FB">
        <w:t xml:space="preserve">  Subsection</w:t>
      </w:r>
      <w:r w:rsidR="003E69FB" w:rsidRPr="003E69FB">
        <w:t> </w:t>
      </w:r>
      <w:r w:rsidR="003A467E" w:rsidRPr="003E69FB">
        <w:t>177A(1)</w:t>
      </w:r>
    </w:p>
    <w:p w:rsidR="003A467E" w:rsidRPr="003E69FB" w:rsidRDefault="003A467E" w:rsidP="003E69FB">
      <w:pPr>
        <w:pStyle w:val="Item"/>
      </w:pPr>
      <w:r w:rsidRPr="003E69FB">
        <w:t>Insert:</w:t>
      </w:r>
    </w:p>
    <w:p w:rsidR="003A467E" w:rsidRPr="003E69FB" w:rsidRDefault="003A467E" w:rsidP="003E69FB">
      <w:pPr>
        <w:pStyle w:val="Definition"/>
      </w:pPr>
      <w:r w:rsidRPr="003E69FB">
        <w:rPr>
          <w:b/>
          <w:i/>
        </w:rPr>
        <w:t>foreign entity participant</w:t>
      </w:r>
      <w:r w:rsidRPr="003E69FB">
        <w:t>:</w:t>
      </w:r>
    </w:p>
    <w:p w:rsidR="003A467E" w:rsidRPr="003E69FB" w:rsidRDefault="003A467E" w:rsidP="003E69FB">
      <w:pPr>
        <w:pStyle w:val="paragraph"/>
      </w:pPr>
      <w:r w:rsidRPr="003E69FB">
        <w:tab/>
        <w:t>(a)</w:t>
      </w:r>
      <w:r w:rsidRPr="003E69FB">
        <w:tab/>
        <w:t xml:space="preserve">if a beneficiary of a trust estate or a partner in a partnership is a foreign entity, the trust estate or partnership has a </w:t>
      </w:r>
      <w:r w:rsidRPr="003E69FB">
        <w:rPr>
          <w:b/>
          <w:i/>
        </w:rPr>
        <w:t>foreign entity participant</w:t>
      </w:r>
      <w:r w:rsidRPr="003E69FB">
        <w:t>; and</w:t>
      </w:r>
    </w:p>
    <w:p w:rsidR="003A467E" w:rsidRPr="003E69FB" w:rsidRDefault="003A467E" w:rsidP="003E69FB">
      <w:pPr>
        <w:pStyle w:val="paragraph"/>
      </w:pPr>
      <w:r w:rsidRPr="003E69FB">
        <w:tab/>
        <w:t>(b)</w:t>
      </w:r>
      <w:r w:rsidRPr="003E69FB">
        <w:tab/>
        <w:t>if a trust estate or partnership has a foreign entity participant (including through a previous operation of this paragraph):</w:t>
      </w:r>
    </w:p>
    <w:p w:rsidR="003A467E" w:rsidRPr="003E69FB" w:rsidRDefault="003A467E" w:rsidP="003E69FB">
      <w:pPr>
        <w:pStyle w:val="paragraphsub"/>
      </w:pPr>
      <w:r w:rsidRPr="003E69FB">
        <w:tab/>
        <w:t>(</w:t>
      </w:r>
      <w:proofErr w:type="spellStart"/>
      <w:r w:rsidRPr="003E69FB">
        <w:t>i</w:t>
      </w:r>
      <w:proofErr w:type="spellEnd"/>
      <w:r w:rsidRPr="003E69FB">
        <w:t>)</w:t>
      </w:r>
      <w:r w:rsidRPr="003E69FB">
        <w:tab/>
        <w:t xml:space="preserve">a trust of which the trust estate or partnership is a beneficiary also has a </w:t>
      </w:r>
      <w:r w:rsidRPr="003E69FB">
        <w:rPr>
          <w:b/>
          <w:i/>
        </w:rPr>
        <w:t>foreign entity participant</w:t>
      </w:r>
      <w:r w:rsidRPr="003E69FB">
        <w:t>; and</w:t>
      </w:r>
    </w:p>
    <w:p w:rsidR="003A467E" w:rsidRPr="003E69FB" w:rsidRDefault="003A467E" w:rsidP="003E69FB">
      <w:pPr>
        <w:pStyle w:val="paragraphsub"/>
      </w:pPr>
      <w:r w:rsidRPr="003E69FB">
        <w:tab/>
        <w:t>(ii)</w:t>
      </w:r>
      <w:r w:rsidRPr="003E69FB">
        <w:tab/>
        <w:t xml:space="preserve">a partnership in which the trust estate or partnership is a partner also has a </w:t>
      </w:r>
      <w:r w:rsidRPr="003E69FB">
        <w:rPr>
          <w:b/>
          <w:i/>
        </w:rPr>
        <w:t>foreign entity participant</w:t>
      </w:r>
      <w:r w:rsidRPr="003E69FB">
        <w:t>.</w:t>
      </w:r>
    </w:p>
    <w:p w:rsidR="003A467E" w:rsidRPr="003E69FB" w:rsidRDefault="009655EB" w:rsidP="003E69FB">
      <w:pPr>
        <w:pStyle w:val="ItemHead"/>
      </w:pPr>
      <w:r w:rsidRPr="003E69FB">
        <w:t>2</w:t>
      </w:r>
      <w:r w:rsidR="003A467E" w:rsidRPr="003E69FB">
        <w:t xml:space="preserve">  At the end of section</w:t>
      </w:r>
      <w:r w:rsidR="003E69FB" w:rsidRPr="003E69FB">
        <w:t> </w:t>
      </w:r>
      <w:r w:rsidR="003A467E" w:rsidRPr="003E69FB">
        <w:t>177DA</w:t>
      </w:r>
    </w:p>
    <w:p w:rsidR="00962C66" w:rsidRPr="003E69FB" w:rsidRDefault="00962C66" w:rsidP="003E69FB">
      <w:pPr>
        <w:pStyle w:val="Item"/>
      </w:pPr>
      <w:r w:rsidRPr="003E69FB">
        <w:t>Add:</w:t>
      </w:r>
    </w:p>
    <w:p w:rsidR="003A467E" w:rsidRPr="003E69FB" w:rsidRDefault="003A467E" w:rsidP="003E69FB">
      <w:pPr>
        <w:pStyle w:val="SubsectionHead"/>
      </w:pPr>
      <w:r w:rsidRPr="003E69FB">
        <w:t>Income from supply by trust estate or partnership</w:t>
      </w:r>
    </w:p>
    <w:p w:rsidR="003A467E" w:rsidRPr="003E69FB" w:rsidRDefault="003A467E" w:rsidP="003E69FB">
      <w:pPr>
        <w:pStyle w:val="subsection"/>
      </w:pPr>
      <w:r w:rsidRPr="003E69FB">
        <w:tab/>
        <w:t>(7)</w:t>
      </w:r>
      <w:r w:rsidRPr="003E69FB">
        <w:tab/>
      </w:r>
      <w:r w:rsidR="003E69FB" w:rsidRPr="003E69FB">
        <w:t>Subsection (</w:t>
      </w:r>
      <w:r w:rsidRPr="003E69FB">
        <w:t>8) applies if:</w:t>
      </w:r>
    </w:p>
    <w:p w:rsidR="003A467E" w:rsidRPr="003E69FB" w:rsidRDefault="003A467E" w:rsidP="003E69FB">
      <w:pPr>
        <w:pStyle w:val="paragraph"/>
      </w:pPr>
      <w:r w:rsidRPr="003E69FB">
        <w:tab/>
        <w:t>(a)</w:t>
      </w:r>
      <w:r w:rsidRPr="003E69FB">
        <w:tab/>
        <w:t>both of the following conditions are satisfied:</w:t>
      </w:r>
    </w:p>
    <w:p w:rsidR="003A467E" w:rsidRPr="003E69FB" w:rsidRDefault="003A467E" w:rsidP="003E69FB">
      <w:pPr>
        <w:pStyle w:val="paragraphsub"/>
      </w:pPr>
      <w:r w:rsidRPr="003E69FB">
        <w:tab/>
        <w:t>(</w:t>
      </w:r>
      <w:proofErr w:type="spellStart"/>
      <w:r w:rsidRPr="003E69FB">
        <w:t>i</w:t>
      </w:r>
      <w:proofErr w:type="spellEnd"/>
      <w:r w:rsidRPr="003E69FB">
        <w:t>)</w:t>
      </w:r>
      <w:r w:rsidRPr="003E69FB">
        <w:tab/>
        <w:t>a trust estate or partnership makes a supply to an entity;</w:t>
      </w:r>
    </w:p>
    <w:p w:rsidR="003A467E" w:rsidRPr="003E69FB" w:rsidRDefault="003A467E" w:rsidP="003E69FB">
      <w:pPr>
        <w:pStyle w:val="paragraphsub"/>
      </w:pPr>
      <w:r w:rsidRPr="003E69FB">
        <w:tab/>
        <w:t>(ii)</w:t>
      </w:r>
      <w:r w:rsidRPr="003E69FB">
        <w:tab/>
        <w:t>that entity would be an Australian customer of the trust estate or partnership if the trust estate or partnership were a foreign entity; and</w:t>
      </w:r>
    </w:p>
    <w:p w:rsidR="003A467E" w:rsidRPr="003E69FB" w:rsidRDefault="003A467E" w:rsidP="003E69FB">
      <w:pPr>
        <w:pStyle w:val="paragraph"/>
      </w:pPr>
      <w:r w:rsidRPr="003E69FB">
        <w:tab/>
        <w:t>(b)</w:t>
      </w:r>
      <w:r w:rsidRPr="003E69FB">
        <w:tab/>
        <w:t>because of the supply, an amount of ordinary income, or statutory income, is included in the assessable income of the trust estate or partnership (as worked out for the purposes of working out its net income for a year of income); and</w:t>
      </w:r>
    </w:p>
    <w:p w:rsidR="003A467E" w:rsidRPr="003E69FB" w:rsidRDefault="003A467E" w:rsidP="003E69FB">
      <w:pPr>
        <w:pStyle w:val="paragraph"/>
      </w:pPr>
      <w:r w:rsidRPr="003E69FB">
        <w:tab/>
        <w:t>(c)</w:t>
      </w:r>
      <w:r w:rsidRPr="003E69FB">
        <w:tab/>
        <w:t>the trust estate or partnership has a foreign entity participant at any time in that year of income; and</w:t>
      </w:r>
    </w:p>
    <w:p w:rsidR="003A467E" w:rsidRPr="003E69FB" w:rsidRDefault="003A467E" w:rsidP="003E69FB">
      <w:pPr>
        <w:pStyle w:val="paragraph"/>
      </w:pPr>
      <w:r w:rsidRPr="003E69FB">
        <w:tab/>
        <w:t>(d)</w:t>
      </w:r>
      <w:r w:rsidRPr="003E69FB">
        <w:tab/>
        <w:t>any of the following conditions are satisfied at the time the supply is made:</w:t>
      </w:r>
    </w:p>
    <w:p w:rsidR="003A467E" w:rsidRPr="003E69FB" w:rsidRDefault="003A467E" w:rsidP="003E69FB">
      <w:pPr>
        <w:pStyle w:val="paragraphsub"/>
      </w:pPr>
      <w:r w:rsidRPr="003E69FB">
        <w:lastRenderedPageBreak/>
        <w:tab/>
        <w:t>(</w:t>
      </w:r>
      <w:proofErr w:type="spellStart"/>
      <w:r w:rsidRPr="003E69FB">
        <w:t>i</w:t>
      </w:r>
      <w:proofErr w:type="spellEnd"/>
      <w:r w:rsidRPr="003E69FB">
        <w:t>)</w:t>
      </w:r>
      <w:r w:rsidRPr="003E69FB">
        <w:tab/>
        <w:t xml:space="preserve">the trust estate or partnership is connected with (within the meaning of the </w:t>
      </w:r>
      <w:r w:rsidRPr="003E69FB">
        <w:rPr>
          <w:i/>
        </w:rPr>
        <w:t>Income Tax Assessment Act 1997</w:t>
      </w:r>
      <w:r w:rsidRPr="003E69FB">
        <w:t>) a foreign entity;</w:t>
      </w:r>
    </w:p>
    <w:p w:rsidR="003A467E" w:rsidRPr="003E69FB" w:rsidRDefault="003A467E" w:rsidP="003E69FB">
      <w:pPr>
        <w:pStyle w:val="paragraphsub"/>
      </w:pPr>
      <w:r w:rsidRPr="003E69FB">
        <w:tab/>
        <w:t>(ii)</w:t>
      </w:r>
      <w:r w:rsidRPr="003E69FB">
        <w:tab/>
        <w:t>the trust estate or partnership would be an affiliate (within the meaning of that Act) of a foreign entity if the trust estate or partnership were an individual or a company;</w:t>
      </w:r>
    </w:p>
    <w:p w:rsidR="003A467E" w:rsidRPr="003E69FB" w:rsidRDefault="003A467E" w:rsidP="003E69FB">
      <w:pPr>
        <w:pStyle w:val="paragraphsub"/>
      </w:pPr>
      <w:r w:rsidRPr="003E69FB">
        <w:tab/>
        <w:t>(iii)</w:t>
      </w:r>
      <w:r w:rsidRPr="003E69FB">
        <w:tab/>
        <w:t>the trust estate or partnership and a foreign entity are members of the same global group.</w:t>
      </w:r>
    </w:p>
    <w:p w:rsidR="003A467E" w:rsidRPr="003E69FB" w:rsidRDefault="003A467E" w:rsidP="003E69FB">
      <w:pPr>
        <w:pStyle w:val="subsection"/>
      </w:pPr>
      <w:r w:rsidRPr="003E69FB">
        <w:tab/>
        <w:t>(8)</w:t>
      </w:r>
      <w:r w:rsidRPr="003E69FB">
        <w:tab/>
        <w:t>For the purposes of this section:</w:t>
      </w:r>
    </w:p>
    <w:p w:rsidR="003A467E" w:rsidRPr="003E69FB" w:rsidRDefault="003A467E" w:rsidP="003E69FB">
      <w:pPr>
        <w:pStyle w:val="paragraph"/>
      </w:pPr>
      <w:r w:rsidRPr="003E69FB">
        <w:tab/>
        <w:t>(a)</w:t>
      </w:r>
      <w:r w:rsidRPr="003E69FB">
        <w:tab/>
        <w:t xml:space="preserve">treat the foreign entity mentioned in </w:t>
      </w:r>
      <w:r w:rsidR="003E69FB" w:rsidRPr="003E69FB">
        <w:t>paragraph (</w:t>
      </w:r>
      <w:r w:rsidRPr="003E69FB">
        <w:t>7)(d) as having made the supply; and</w:t>
      </w:r>
    </w:p>
    <w:p w:rsidR="003A467E" w:rsidRPr="003E69FB" w:rsidRDefault="003A467E" w:rsidP="003E69FB">
      <w:pPr>
        <w:pStyle w:val="paragraph"/>
      </w:pPr>
      <w:r w:rsidRPr="003E69FB">
        <w:tab/>
        <w:t>(b)</w:t>
      </w:r>
      <w:r w:rsidRPr="003E69FB">
        <w:tab/>
        <w:t xml:space="preserve">treat the entity mentioned in </w:t>
      </w:r>
      <w:r w:rsidR="003E69FB" w:rsidRPr="003E69FB">
        <w:t>subparagraph (</w:t>
      </w:r>
      <w:r w:rsidRPr="003E69FB">
        <w:t>7)(a)(ii) as being an Australian customer of the foreign entity; and</w:t>
      </w:r>
    </w:p>
    <w:p w:rsidR="003A467E" w:rsidRPr="003E69FB" w:rsidRDefault="003A467E" w:rsidP="003E69FB">
      <w:pPr>
        <w:pStyle w:val="paragraph"/>
      </w:pPr>
      <w:r w:rsidRPr="003E69FB">
        <w:tab/>
        <w:t>(c)</w:t>
      </w:r>
      <w:r w:rsidRPr="003E69FB">
        <w:tab/>
        <w:t>treat the foreign entity as having derived the ordinary income, or statutory income, from the supply.</w:t>
      </w:r>
    </w:p>
    <w:p w:rsidR="003A467E" w:rsidRPr="003E69FB" w:rsidRDefault="009655EB" w:rsidP="003E69FB">
      <w:pPr>
        <w:pStyle w:val="ItemHead"/>
      </w:pPr>
      <w:r w:rsidRPr="003E69FB">
        <w:t>3</w:t>
      </w:r>
      <w:r w:rsidR="003A467E" w:rsidRPr="003E69FB">
        <w:t xml:space="preserve">  Application</w:t>
      </w:r>
    </w:p>
    <w:p w:rsidR="003A467E" w:rsidRPr="003E69FB" w:rsidRDefault="003A467E" w:rsidP="003E69FB">
      <w:pPr>
        <w:pStyle w:val="Item"/>
      </w:pPr>
      <w:r w:rsidRPr="003E69FB">
        <w:t>The amendments made by this Schedule apply on or after 1</w:t>
      </w:r>
      <w:r w:rsidR="003E69FB" w:rsidRPr="003E69FB">
        <w:t> </w:t>
      </w:r>
      <w:r w:rsidRPr="003E69FB">
        <w:t>January 2016 in connection with a scheme, whether or not the scheme was entered into, or was commenced to be carried out, before that day.</w:t>
      </w:r>
    </w:p>
    <w:p w:rsidR="009A06AB" w:rsidRPr="003E69FB" w:rsidRDefault="009A06AB" w:rsidP="003E69FB">
      <w:pPr>
        <w:pStyle w:val="ActHead6"/>
        <w:pageBreakBefore/>
      </w:pPr>
      <w:bookmarkStart w:id="7" w:name="_Toc526514977"/>
      <w:r w:rsidRPr="003E69FB">
        <w:rPr>
          <w:rStyle w:val="CharAmSchNo"/>
        </w:rPr>
        <w:lastRenderedPageBreak/>
        <w:t>Schedule</w:t>
      </w:r>
      <w:r w:rsidR="003E69FB" w:rsidRPr="003E69FB">
        <w:rPr>
          <w:rStyle w:val="CharAmSchNo"/>
        </w:rPr>
        <w:t> </w:t>
      </w:r>
      <w:r w:rsidRPr="003E69FB">
        <w:rPr>
          <w:rStyle w:val="CharAmSchNo"/>
        </w:rPr>
        <w:t>2</w:t>
      </w:r>
      <w:r w:rsidRPr="003E69FB">
        <w:t>—</w:t>
      </w:r>
      <w:r w:rsidRPr="003E69FB">
        <w:rPr>
          <w:rStyle w:val="CharAmSchText"/>
        </w:rPr>
        <w:t>Improving the integrity of the small business CGT concessions</w:t>
      </w:r>
      <w:bookmarkEnd w:id="7"/>
    </w:p>
    <w:p w:rsidR="0045049F" w:rsidRPr="003E69FB" w:rsidRDefault="0045049F" w:rsidP="003E69FB">
      <w:pPr>
        <w:pStyle w:val="Header"/>
      </w:pPr>
      <w:r w:rsidRPr="003E69FB">
        <w:rPr>
          <w:rStyle w:val="CharAmPartNo"/>
        </w:rPr>
        <w:t xml:space="preserve"> </w:t>
      </w:r>
      <w:r w:rsidRPr="003E69FB">
        <w:rPr>
          <w:rStyle w:val="CharAmPartText"/>
        </w:rPr>
        <w:t xml:space="preserve"> </w:t>
      </w:r>
    </w:p>
    <w:p w:rsidR="0045049F" w:rsidRPr="003E69FB" w:rsidRDefault="0045049F" w:rsidP="003E69FB">
      <w:pPr>
        <w:pStyle w:val="ActHead9"/>
        <w:rPr>
          <w:i w:val="0"/>
        </w:rPr>
      </w:pPr>
      <w:bookmarkStart w:id="8" w:name="_Toc526514978"/>
      <w:r w:rsidRPr="003E69FB">
        <w:t>Income Tax Assessment Act 1997</w:t>
      </w:r>
      <w:bookmarkEnd w:id="8"/>
    </w:p>
    <w:p w:rsidR="0045049F" w:rsidRPr="003E69FB" w:rsidRDefault="0045049F" w:rsidP="003E69FB">
      <w:pPr>
        <w:pStyle w:val="ItemHead"/>
      </w:pPr>
      <w:r w:rsidRPr="003E69FB">
        <w:t>1  Section</w:t>
      </w:r>
      <w:r w:rsidR="003E69FB" w:rsidRPr="003E69FB">
        <w:t> </w:t>
      </w:r>
      <w:r w:rsidRPr="003E69FB">
        <w:t>152</w:t>
      </w:r>
      <w:r w:rsidR="00E31E55">
        <w:noBreakHyphen/>
      </w:r>
      <w:r w:rsidRPr="003E69FB">
        <w:t>5</w:t>
      </w:r>
    </w:p>
    <w:p w:rsidR="0045049F" w:rsidRPr="003E69FB" w:rsidRDefault="0045049F" w:rsidP="003E69FB">
      <w:pPr>
        <w:pStyle w:val="Item"/>
      </w:pPr>
      <w:r w:rsidRPr="003E69FB">
        <w:t>Omit:</w:t>
      </w:r>
    </w:p>
    <w:p w:rsidR="0045049F" w:rsidRPr="003E69FB" w:rsidRDefault="0045049F" w:rsidP="003E69FB">
      <w:pPr>
        <w:pStyle w:val="SOText"/>
      </w:pPr>
      <w:r w:rsidRPr="003E69FB">
        <w:t>The 3 major basic conditions are:</w:t>
      </w:r>
    </w:p>
    <w:p w:rsidR="0045049F" w:rsidRPr="003E69FB" w:rsidRDefault="0045049F" w:rsidP="003E69FB">
      <w:pPr>
        <w:pStyle w:val="SOPara"/>
      </w:pPr>
      <w:r w:rsidRPr="003E69FB">
        <w:tab/>
        <w:t>(a)</w:t>
      </w:r>
      <w:r w:rsidRPr="003E69FB">
        <w:tab/>
        <w:t>the entity must be a CGT small business entity or a partner in a partnership that is a CGT small business entity, or the net value of assets that the entity and related entities own must not exceed $6,000,000;</w:t>
      </w:r>
    </w:p>
    <w:p w:rsidR="0045049F" w:rsidRPr="003E69FB" w:rsidRDefault="0045049F" w:rsidP="003E69FB">
      <w:pPr>
        <w:pStyle w:val="SOPara"/>
      </w:pPr>
      <w:r w:rsidRPr="003E69FB">
        <w:tab/>
        <w:t>(b)</w:t>
      </w:r>
      <w:r w:rsidRPr="003E69FB">
        <w:tab/>
        <w:t>the CGT asset must be an active asset;</w:t>
      </w:r>
    </w:p>
    <w:p w:rsidR="0045049F" w:rsidRPr="003E69FB" w:rsidRDefault="0045049F" w:rsidP="003E69FB">
      <w:pPr>
        <w:pStyle w:val="SOPara"/>
      </w:pPr>
      <w:r w:rsidRPr="003E69FB">
        <w:tab/>
        <w:t>(c)</w:t>
      </w:r>
      <w:r w:rsidRPr="003E69FB">
        <w:tab/>
        <w:t>if the asset is a share or interest in a trust, there must be a CGT concession stakeholder just before the CGT event, and the entity claiming the concession must be a CGT concession stakeholder in the company or trust or CGT concession stakeholders in the company or trust must have a small business participation percentage in the entity of at least 90%.</w:t>
      </w:r>
    </w:p>
    <w:p w:rsidR="0045049F" w:rsidRPr="003E69FB" w:rsidRDefault="0045049F" w:rsidP="003E69FB">
      <w:pPr>
        <w:pStyle w:val="Item"/>
      </w:pPr>
      <w:r w:rsidRPr="003E69FB">
        <w:t>substitute:</w:t>
      </w:r>
    </w:p>
    <w:p w:rsidR="0045049F" w:rsidRPr="003E69FB" w:rsidRDefault="0045049F" w:rsidP="003E69FB">
      <w:pPr>
        <w:pStyle w:val="SOText"/>
      </w:pPr>
      <w:r w:rsidRPr="003E69FB">
        <w:t>The 2 major basic conditions are:</w:t>
      </w:r>
    </w:p>
    <w:p w:rsidR="0045049F" w:rsidRPr="003E69FB" w:rsidRDefault="0045049F" w:rsidP="003E69FB">
      <w:pPr>
        <w:pStyle w:val="SOPara"/>
      </w:pPr>
      <w:r w:rsidRPr="003E69FB">
        <w:tab/>
        <w:t>(a)</w:t>
      </w:r>
      <w:r w:rsidRPr="003E69FB">
        <w:tab/>
        <w:t>the entity must be a CGT small business entity or a partner in a partnership that is a CGT small business entity, or the net value of assets that the entity and related entities own must not exceed $6,000,000; and</w:t>
      </w:r>
    </w:p>
    <w:p w:rsidR="0045049F" w:rsidRPr="003E69FB" w:rsidRDefault="0045049F" w:rsidP="003E69FB">
      <w:pPr>
        <w:pStyle w:val="SOPara"/>
      </w:pPr>
      <w:r w:rsidRPr="003E69FB">
        <w:tab/>
        <w:t>(b)</w:t>
      </w:r>
      <w:r w:rsidRPr="003E69FB">
        <w:tab/>
        <w:t>the CGT asset must be an active asset.</w:t>
      </w:r>
    </w:p>
    <w:p w:rsidR="0045049F" w:rsidRPr="003E69FB" w:rsidRDefault="0045049F" w:rsidP="003E69FB">
      <w:pPr>
        <w:pStyle w:val="SOText"/>
      </w:pPr>
      <w:r w:rsidRPr="003E69FB">
        <w:t>Additional basic conditions must be satisfied if the CGT asset is a share in a company or an interest in a trust.</w:t>
      </w:r>
    </w:p>
    <w:p w:rsidR="0045049F" w:rsidRPr="003E69FB" w:rsidRDefault="0045049F" w:rsidP="003E69FB">
      <w:pPr>
        <w:pStyle w:val="ItemHead"/>
      </w:pPr>
      <w:r w:rsidRPr="003E69FB">
        <w:t>2  Subsection</w:t>
      </w:r>
      <w:r w:rsidR="003E69FB" w:rsidRPr="003E69FB">
        <w:t> </w:t>
      </w:r>
      <w:r w:rsidRPr="003E69FB">
        <w:t>152</w:t>
      </w:r>
      <w:r w:rsidR="00E31E55">
        <w:noBreakHyphen/>
      </w:r>
      <w:r w:rsidRPr="003E69FB">
        <w:t>10(2)</w:t>
      </w:r>
    </w:p>
    <w:p w:rsidR="0045049F" w:rsidRPr="003E69FB" w:rsidRDefault="0045049F" w:rsidP="003E69FB">
      <w:pPr>
        <w:pStyle w:val="Item"/>
      </w:pPr>
      <w:r w:rsidRPr="003E69FB">
        <w:t>Repeal the subsection, substitute:</w:t>
      </w:r>
    </w:p>
    <w:p w:rsidR="0045049F" w:rsidRPr="003E69FB" w:rsidRDefault="0045049F" w:rsidP="003E69FB">
      <w:pPr>
        <w:pStyle w:val="SubsectionHead"/>
      </w:pPr>
      <w:r w:rsidRPr="003E69FB">
        <w:lastRenderedPageBreak/>
        <w:t>Additional basic conditions for shares in a company or interests in a trust</w:t>
      </w:r>
    </w:p>
    <w:p w:rsidR="0045049F" w:rsidRPr="003E69FB" w:rsidRDefault="0045049F" w:rsidP="003E69FB">
      <w:pPr>
        <w:pStyle w:val="subsection"/>
      </w:pPr>
      <w:r w:rsidRPr="003E69FB">
        <w:tab/>
        <w:t>(2)</w:t>
      </w:r>
      <w:r w:rsidRPr="003E69FB">
        <w:tab/>
        <w:t xml:space="preserve">The following additional basic conditions must be satisfied if the </w:t>
      </w:r>
      <w:r w:rsidR="003E69FB" w:rsidRPr="003E69FB">
        <w:rPr>
          <w:position w:val="6"/>
          <w:sz w:val="16"/>
        </w:rPr>
        <w:t>*</w:t>
      </w:r>
      <w:r w:rsidRPr="003E69FB">
        <w:t xml:space="preserve">CGT asset is a </w:t>
      </w:r>
      <w:r w:rsidR="003E69FB" w:rsidRPr="003E69FB">
        <w:rPr>
          <w:position w:val="6"/>
          <w:sz w:val="16"/>
        </w:rPr>
        <w:t>*</w:t>
      </w:r>
      <w:r w:rsidRPr="003E69FB">
        <w:t xml:space="preserve">share in a company, or an interest in a trust, (the </w:t>
      </w:r>
      <w:r w:rsidRPr="003E69FB">
        <w:rPr>
          <w:b/>
          <w:i/>
        </w:rPr>
        <w:t>object entity</w:t>
      </w:r>
      <w:r w:rsidRPr="003E69FB">
        <w:t>):</w:t>
      </w:r>
    </w:p>
    <w:p w:rsidR="0045049F" w:rsidRPr="003E69FB" w:rsidRDefault="0045049F" w:rsidP="003E69FB">
      <w:pPr>
        <w:pStyle w:val="paragraph"/>
      </w:pPr>
      <w:r w:rsidRPr="003E69FB">
        <w:tab/>
        <w:t>(a)</w:t>
      </w:r>
      <w:r w:rsidRPr="003E69FB">
        <w:tab/>
        <w:t>the CGT asset would still satisfy the active asset test (see section</w:t>
      </w:r>
      <w:r w:rsidR="003E69FB" w:rsidRPr="003E69FB">
        <w:t> </w:t>
      </w:r>
      <w:r w:rsidRPr="003E69FB">
        <w:t>152</w:t>
      </w:r>
      <w:r w:rsidR="00E31E55">
        <w:noBreakHyphen/>
      </w:r>
      <w:r w:rsidRPr="003E69FB">
        <w:t xml:space="preserve">35) if the assumptions in </w:t>
      </w:r>
      <w:r w:rsidR="003E69FB" w:rsidRPr="003E69FB">
        <w:t>subsection (</w:t>
      </w:r>
      <w:r w:rsidRPr="003E69FB">
        <w:t>2A) were made;</w:t>
      </w:r>
    </w:p>
    <w:p w:rsidR="0045049F" w:rsidRPr="003E69FB" w:rsidRDefault="0045049F" w:rsidP="003E69FB">
      <w:pPr>
        <w:pStyle w:val="paragraph"/>
      </w:pPr>
      <w:r w:rsidRPr="003E69FB">
        <w:tab/>
        <w:t>(b)</w:t>
      </w:r>
      <w:r w:rsidRPr="003E69FB">
        <w:tab/>
        <w:t>if you do not satisfy the maximum net asset value test (see section</w:t>
      </w:r>
      <w:r w:rsidR="003E69FB" w:rsidRPr="003E69FB">
        <w:t> </w:t>
      </w:r>
      <w:r w:rsidRPr="003E69FB">
        <w:t>152</w:t>
      </w:r>
      <w:r w:rsidR="00E31E55">
        <w:noBreakHyphen/>
      </w:r>
      <w:r w:rsidRPr="003E69FB">
        <w:t xml:space="preserve">15)—you are carrying on a </w:t>
      </w:r>
      <w:r w:rsidR="003E69FB" w:rsidRPr="003E69FB">
        <w:rPr>
          <w:position w:val="6"/>
          <w:sz w:val="16"/>
        </w:rPr>
        <w:t>*</w:t>
      </w:r>
      <w:r w:rsidRPr="003E69FB">
        <w:t xml:space="preserve">business just before the </w:t>
      </w:r>
      <w:r w:rsidR="003E69FB" w:rsidRPr="003E69FB">
        <w:rPr>
          <w:position w:val="6"/>
          <w:sz w:val="16"/>
        </w:rPr>
        <w:t>*</w:t>
      </w:r>
      <w:r w:rsidRPr="003E69FB">
        <w:t>CGT event;</w:t>
      </w:r>
    </w:p>
    <w:p w:rsidR="0045049F" w:rsidRPr="003E69FB" w:rsidRDefault="0045049F" w:rsidP="003E69FB">
      <w:pPr>
        <w:pStyle w:val="paragraph"/>
      </w:pPr>
      <w:r w:rsidRPr="003E69FB">
        <w:tab/>
        <w:t>(c)</w:t>
      </w:r>
      <w:r w:rsidRPr="003E69FB">
        <w:tab/>
        <w:t>either:</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the object entity would be a </w:t>
      </w:r>
      <w:r w:rsidR="003E69FB" w:rsidRPr="003E69FB">
        <w:rPr>
          <w:position w:val="6"/>
          <w:sz w:val="16"/>
        </w:rPr>
        <w:t>*</w:t>
      </w:r>
      <w:r w:rsidRPr="003E69FB">
        <w:t>CGT small business entity for the income year; or</w:t>
      </w:r>
    </w:p>
    <w:p w:rsidR="0045049F" w:rsidRPr="003E69FB" w:rsidRDefault="0045049F" w:rsidP="003E69FB">
      <w:pPr>
        <w:pStyle w:val="paragraphsub"/>
      </w:pPr>
      <w:r w:rsidRPr="003E69FB">
        <w:tab/>
        <w:t>(ii)</w:t>
      </w:r>
      <w:r w:rsidRPr="003E69FB">
        <w:tab/>
        <w:t>the object entity would satisfy the maximum net asset value test (see section</w:t>
      </w:r>
      <w:r w:rsidR="003E69FB" w:rsidRPr="003E69FB">
        <w:t> </w:t>
      </w:r>
      <w:r w:rsidRPr="003E69FB">
        <w:t>152</w:t>
      </w:r>
      <w:r w:rsidR="00E31E55">
        <w:noBreakHyphen/>
      </w:r>
      <w:r w:rsidRPr="003E69FB">
        <w:t>15);</w:t>
      </w:r>
    </w:p>
    <w:p w:rsidR="0045049F" w:rsidRPr="003E69FB" w:rsidRDefault="0045049F" w:rsidP="003E69FB">
      <w:pPr>
        <w:pStyle w:val="paragraph"/>
      </w:pPr>
      <w:r w:rsidRPr="003E69FB">
        <w:tab/>
      </w:r>
      <w:r w:rsidRPr="003E69FB">
        <w:tab/>
        <w:t>if the following assumptions were made:</w:t>
      </w:r>
    </w:p>
    <w:p w:rsidR="0045049F" w:rsidRPr="003E69FB" w:rsidRDefault="0045049F" w:rsidP="003E69FB">
      <w:pPr>
        <w:pStyle w:val="paragraphsub"/>
      </w:pPr>
      <w:r w:rsidRPr="003E69FB">
        <w:tab/>
        <w:t>(iii)</w:t>
      </w:r>
      <w:r w:rsidRPr="003E69FB">
        <w:tab/>
        <w:t xml:space="preserve">the only CGT assets or </w:t>
      </w:r>
      <w:r w:rsidR="003E69FB" w:rsidRPr="003E69FB">
        <w:rPr>
          <w:position w:val="6"/>
          <w:sz w:val="16"/>
        </w:rPr>
        <w:t>*</w:t>
      </w:r>
      <w:r w:rsidRPr="003E69FB">
        <w:t>annual turnovers considered were those of the object entity, each affiliate of the object entity, and each entity controlled by the object entity in a way described in section</w:t>
      </w:r>
      <w:r w:rsidR="003E69FB" w:rsidRPr="003E69FB">
        <w:t> </w:t>
      </w:r>
      <w:r w:rsidRPr="003E69FB">
        <w:t>328</w:t>
      </w:r>
      <w:r w:rsidR="00E31E55">
        <w:noBreakHyphen/>
      </w:r>
      <w:r w:rsidRPr="003E69FB">
        <w:t>125;</w:t>
      </w:r>
    </w:p>
    <w:p w:rsidR="0045049F" w:rsidRPr="003E69FB" w:rsidRDefault="0045049F" w:rsidP="003E69FB">
      <w:pPr>
        <w:pStyle w:val="paragraphsub"/>
      </w:pPr>
      <w:r w:rsidRPr="003E69FB">
        <w:tab/>
        <w:t>(iv)</w:t>
      </w:r>
      <w:r w:rsidRPr="003E69FB">
        <w:tab/>
        <w:t>each reference in section</w:t>
      </w:r>
      <w:r w:rsidR="003E69FB" w:rsidRPr="003E69FB">
        <w:t> </w:t>
      </w:r>
      <w:r w:rsidRPr="003E69FB">
        <w:t>328</w:t>
      </w:r>
      <w:r w:rsidR="00E31E55">
        <w:noBreakHyphen/>
      </w:r>
      <w:r w:rsidRPr="003E69FB">
        <w:t>125 to 40% were a reference to 20%;</w:t>
      </w:r>
    </w:p>
    <w:p w:rsidR="0045049F" w:rsidRPr="003E69FB" w:rsidRDefault="0045049F" w:rsidP="003E69FB">
      <w:pPr>
        <w:pStyle w:val="paragraphsub"/>
      </w:pPr>
      <w:r w:rsidRPr="003E69FB">
        <w:tab/>
        <w:t>(v)</w:t>
      </w:r>
      <w:r w:rsidRPr="003E69FB">
        <w:tab/>
        <w:t>no determination under subsection</w:t>
      </w:r>
      <w:r w:rsidR="003E69FB" w:rsidRPr="003E69FB">
        <w:t> </w:t>
      </w:r>
      <w:r w:rsidRPr="003E69FB">
        <w:t>328</w:t>
      </w:r>
      <w:r w:rsidR="00E31E55">
        <w:noBreakHyphen/>
      </w:r>
      <w:r w:rsidRPr="003E69FB">
        <w:t>125(6) were in force;</w:t>
      </w:r>
    </w:p>
    <w:p w:rsidR="0045049F" w:rsidRPr="003E69FB" w:rsidRDefault="0045049F" w:rsidP="003E69FB">
      <w:pPr>
        <w:pStyle w:val="paragraph"/>
      </w:pPr>
      <w:r w:rsidRPr="003E69FB">
        <w:tab/>
        <w:t>(d)</w:t>
      </w:r>
      <w:r w:rsidRPr="003E69FB">
        <w:tab/>
        <w:t>just before the CGT event, either:</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you are a </w:t>
      </w:r>
      <w:r w:rsidR="003E69FB" w:rsidRPr="003E69FB">
        <w:rPr>
          <w:position w:val="6"/>
          <w:sz w:val="16"/>
        </w:rPr>
        <w:t>*</w:t>
      </w:r>
      <w:r w:rsidRPr="003E69FB">
        <w:t>CGT concession stakeholder in the object entity; or</w:t>
      </w:r>
    </w:p>
    <w:p w:rsidR="0045049F" w:rsidRPr="003E69FB" w:rsidRDefault="0045049F" w:rsidP="003E69FB">
      <w:pPr>
        <w:pStyle w:val="paragraphsub"/>
      </w:pPr>
      <w:r w:rsidRPr="003E69FB">
        <w:tab/>
        <w:t>(ii)</w:t>
      </w:r>
      <w:r w:rsidRPr="003E69FB">
        <w:tab/>
        <w:t xml:space="preserve">CGT concession stakeholders in the object entity together have a </w:t>
      </w:r>
      <w:r w:rsidR="003E69FB" w:rsidRPr="003E69FB">
        <w:rPr>
          <w:position w:val="6"/>
          <w:sz w:val="16"/>
        </w:rPr>
        <w:t>*</w:t>
      </w:r>
      <w:r w:rsidRPr="003E69FB">
        <w:t>small business participation percentage in you of at least 90%.</w:t>
      </w:r>
    </w:p>
    <w:p w:rsidR="0045049F" w:rsidRPr="003E69FB" w:rsidRDefault="0045049F" w:rsidP="003E69FB">
      <w:pPr>
        <w:pStyle w:val="subsection"/>
      </w:pPr>
      <w:r w:rsidRPr="003E69FB">
        <w:tab/>
        <w:t>(2A)</w:t>
      </w:r>
      <w:r w:rsidRPr="003E69FB">
        <w:tab/>
        <w:t xml:space="preserve">For the purposes of </w:t>
      </w:r>
      <w:r w:rsidR="003E69FB" w:rsidRPr="003E69FB">
        <w:t>paragraph (</w:t>
      </w:r>
      <w:r w:rsidRPr="003E69FB">
        <w:t>2)(a), in working out whether subsection</w:t>
      </w:r>
      <w:r w:rsidR="003E69FB" w:rsidRPr="003E69FB">
        <w:t> </w:t>
      </w:r>
      <w:r w:rsidRPr="003E69FB">
        <w:t>152</w:t>
      </w:r>
      <w:r w:rsidR="00E31E55">
        <w:noBreakHyphen/>
      </w:r>
      <w:r w:rsidRPr="003E69FB">
        <w:t xml:space="preserve">40(3) applies at a given time (the </w:t>
      </w:r>
      <w:r w:rsidRPr="003E69FB">
        <w:rPr>
          <w:b/>
          <w:i/>
        </w:rPr>
        <w:t>test time</w:t>
      </w:r>
      <w:r w:rsidRPr="003E69FB">
        <w:t>) assume that:</w:t>
      </w:r>
    </w:p>
    <w:p w:rsidR="0045049F" w:rsidRPr="003E69FB" w:rsidRDefault="0045049F" w:rsidP="003E69FB">
      <w:pPr>
        <w:pStyle w:val="paragraph"/>
      </w:pPr>
      <w:r w:rsidRPr="003E69FB">
        <w:tab/>
        <w:t>(a)</w:t>
      </w:r>
      <w:r w:rsidRPr="003E69FB">
        <w:tab/>
        <w:t>an asset of a company or trust is covered by neither:</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subparagraph</w:t>
      </w:r>
      <w:r w:rsidR="003E69FB" w:rsidRPr="003E69FB">
        <w:t> </w:t>
      </w:r>
      <w:r w:rsidRPr="003E69FB">
        <w:t>152</w:t>
      </w:r>
      <w:r w:rsidR="00E31E55">
        <w:noBreakHyphen/>
      </w:r>
      <w:r w:rsidRPr="003E69FB">
        <w:t>40(3)(b)(ii) (about financial instruments); nor</w:t>
      </w:r>
    </w:p>
    <w:p w:rsidR="0045049F" w:rsidRPr="003E69FB" w:rsidRDefault="0045049F" w:rsidP="003E69FB">
      <w:pPr>
        <w:pStyle w:val="paragraphsub"/>
      </w:pPr>
      <w:r w:rsidRPr="003E69FB">
        <w:lastRenderedPageBreak/>
        <w:tab/>
        <w:t>(ii)</w:t>
      </w:r>
      <w:r w:rsidRPr="003E69FB">
        <w:tab/>
        <w:t>subparagraph</w:t>
      </w:r>
      <w:r w:rsidR="003E69FB" w:rsidRPr="003E69FB">
        <w:t> </w:t>
      </w:r>
      <w:r w:rsidRPr="003E69FB">
        <w:t>152</w:t>
      </w:r>
      <w:r w:rsidR="00E31E55">
        <w:noBreakHyphen/>
      </w:r>
      <w:r w:rsidRPr="003E69FB">
        <w:t>40(3)(b)(iii) (about cash);</w:t>
      </w:r>
    </w:p>
    <w:p w:rsidR="0045049F" w:rsidRPr="003E69FB" w:rsidRDefault="0045049F" w:rsidP="003E69FB">
      <w:pPr>
        <w:pStyle w:val="paragraph"/>
      </w:pPr>
      <w:r w:rsidRPr="003E69FB">
        <w:tab/>
      </w:r>
      <w:r w:rsidRPr="003E69FB">
        <w:tab/>
        <w:t xml:space="preserve">if the company or trust acquired that asset for a purpose that included assisting an entity to otherwise satisfy </w:t>
      </w:r>
      <w:r w:rsidR="003E69FB" w:rsidRPr="003E69FB">
        <w:t>paragraph (</w:t>
      </w:r>
      <w:r w:rsidRPr="003E69FB">
        <w:t>2)(a) of this section; and</w:t>
      </w:r>
    </w:p>
    <w:p w:rsidR="0045049F" w:rsidRPr="003E69FB" w:rsidRDefault="0045049F" w:rsidP="003E69FB">
      <w:pPr>
        <w:pStyle w:val="paragraph"/>
      </w:pPr>
      <w:r w:rsidRPr="003E69FB">
        <w:tab/>
        <w:t>(b)</w:t>
      </w:r>
      <w:r w:rsidRPr="003E69FB">
        <w:tab/>
        <w:t>paragraph</w:t>
      </w:r>
      <w:r w:rsidR="003E69FB" w:rsidRPr="003E69FB">
        <w:t> </w:t>
      </w:r>
      <w:r w:rsidRPr="003E69FB">
        <w:t>152</w:t>
      </w:r>
      <w:r w:rsidR="00E31E55">
        <w:noBreakHyphen/>
      </w:r>
      <w:r w:rsidRPr="003E69FB">
        <w:t>40(3)(b) does not cover an asset that:</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is a share in a company, or an interest in a trust, (the </w:t>
      </w:r>
      <w:r w:rsidRPr="003E69FB">
        <w:rPr>
          <w:b/>
          <w:i/>
        </w:rPr>
        <w:t>later entity</w:t>
      </w:r>
      <w:r w:rsidRPr="003E69FB">
        <w:t>); and</w:t>
      </w:r>
    </w:p>
    <w:p w:rsidR="0045049F" w:rsidRPr="003E69FB" w:rsidRDefault="0045049F" w:rsidP="003E69FB">
      <w:pPr>
        <w:pStyle w:val="paragraphsub"/>
      </w:pPr>
      <w:r w:rsidRPr="003E69FB">
        <w:tab/>
        <w:t>(ii)</w:t>
      </w:r>
      <w:r w:rsidRPr="003E69FB">
        <w:tab/>
        <w:t>is held at the test time by the object entity directly or indirectly (through one or more interposed entities); and</w:t>
      </w:r>
    </w:p>
    <w:p w:rsidR="0045049F" w:rsidRPr="003E69FB" w:rsidRDefault="0045049F" w:rsidP="003E69FB">
      <w:pPr>
        <w:pStyle w:val="paragraph"/>
      </w:pPr>
      <w:r w:rsidRPr="003E69FB">
        <w:tab/>
        <w:t>(c)</w:t>
      </w:r>
      <w:r w:rsidRPr="003E69FB">
        <w:tab/>
        <w:t>subparagraph</w:t>
      </w:r>
      <w:r w:rsidR="003E69FB" w:rsidRPr="003E69FB">
        <w:t> </w:t>
      </w:r>
      <w:r w:rsidRPr="003E69FB">
        <w:t>152</w:t>
      </w:r>
      <w:r w:rsidR="00E31E55">
        <w:noBreakHyphen/>
      </w:r>
      <w:r w:rsidRPr="003E69FB">
        <w:t>40(3)(b)(</w:t>
      </w:r>
      <w:proofErr w:type="spellStart"/>
      <w:r w:rsidRPr="003E69FB">
        <w:t>i</w:t>
      </w:r>
      <w:proofErr w:type="spellEnd"/>
      <w:r w:rsidRPr="003E69FB">
        <w:t>) also covers each asset that:</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is held at the test time by a later entity covered by </w:t>
      </w:r>
      <w:r w:rsidR="003E69FB" w:rsidRPr="003E69FB">
        <w:t>subsection (</w:t>
      </w:r>
      <w:r w:rsidRPr="003E69FB">
        <w:t>2B); and</w:t>
      </w:r>
    </w:p>
    <w:p w:rsidR="0045049F" w:rsidRPr="003E69FB" w:rsidRDefault="0045049F" w:rsidP="003E69FB">
      <w:pPr>
        <w:pStyle w:val="paragraphsub"/>
      </w:pPr>
      <w:r w:rsidRPr="003E69FB">
        <w:tab/>
        <w:t>(ii)</w:t>
      </w:r>
      <w:r w:rsidRPr="003E69FB">
        <w:tab/>
        <w:t>is, for that later entity, an asset of a kind referred to in subparagraph</w:t>
      </w:r>
      <w:r w:rsidR="003E69FB" w:rsidRPr="003E69FB">
        <w:t> </w:t>
      </w:r>
      <w:r w:rsidRPr="003E69FB">
        <w:t>152</w:t>
      </w:r>
      <w:r w:rsidR="00E31E55">
        <w:noBreakHyphen/>
      </w:r>
      <w:r w:rsidRPr="003E69FB">
        <w:t>40(3)(b)(</w:t>
      </w:r>
      <w:proofErr w:type="spellStart"/>
      <w:r w:rsidRPr="003E69FB">
        <w:t>i</w:t>
      </w:r>
      <w:proofErr w:type="spellEnd"/>
      <w:r w:rsidRPr="003E69FB">
        <w:t xml:space="preserve">), (ii) or (iii), as modified by </w:t>
      </w:r>
      <w:r w:rsidR="003E69FB" w:rsidRPr="003E69FB">
        <w:t>paragraphs (</w:t>
      </w:r>
      <w:r w:rsidRPr="003E69FB">
        <w:t>a) and (b) of this subsection; and</w:t>
      </w:r>
    </w:p>
    <w:p w:rsidR="0045049F" w:rsidRPr="003E69FB" w:rsidRDefault="0045049F" w:rsidP="003E69FB">
      <w:pPr>
        <w:pStyle w:val="paragraph"/>
      </w:pPr>
      <w:r w:rsidRPr="003E69FB">
        <w:tab/>
        <w:t>(d)</w:t>
      </w:r>
      <w:r w:rsidRPr="003E69FB">
        <w:tab/>
        <w:t xml:space="preserve">subject to </w:t>
      </w:r>
      <w:r w:rsidR="003E69FB" w:rsidRPr="003E69FB">
        <w:t>paragraph (</w:t>
      </w:r>
      <w:r w:rsidRPr="003E69FB">
        <w:t>b) of this subsection, all of the assets of the object entity at the test time included all of the assets of each later entity at the test time; and</w:t>
      </w:r>
    </w:p>
    <w:p w:rsidR="0045049F" w:rsidRPr="003E69FB" w:rsidRDefault="0045049F" w:rsidP="003E69FB">
      <w:pPr>
        <w:pStyle w:val="paragraph"/>
      </w:pPr>
      <w:r w:rsidRPr="003E69FB">
        <w:tab/>
        <w:t>(e)</w:t>
      </w:r>
      <w:r w:rsidRPr="003E69FB">
        <w:tab/>
        <w:t>for the purposes of paragraph</w:t>
      </w:r>
      <w:r w:rsidR="003E69FB" w:rsidRPr="003E69FB">
        <w:t> </w:t>
      </w:r>
      <w:r w:rsidRPr="003E69FB">
        <w:t>152</w:t>
      </w:r>
      <w:r w:rsidR="00E31E55">
        <w:noBreakHyphen/>
      </w:r>
      <w:r w:rsidRPr="003E69FB">
        <w:t xml:space="preserve">40(3)(b), the </w:t>
      </w:r>
      <w:r w:rsidR="003E69FB" w:rsidRPr="003E69FB">
        <w:rPr>
          <w:position w:val="6"/>
          <w:sz w:val="16"/>
        </w:rPr>
        <w:t>*</w:t>
      </w:r>
      <w:r w:rsidRPr="003E69FB">
        <w:t>market value at the test time of an asset held by a later entity were the product of:</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the asset’s market value, apart from this paragraph, at the test time; and</w:t>
      </w:r>
    </w:p>
    <w:p w:rsidR="0045049F" w:rsidRPr="003E69FB" w:rsidRDefault="0045049F" w:rsidP="003E69FB">
      <w:pPr>
        <w:pStyle w:val="paragraphsub"/>
      </w:pPr>
      <w:r w:rsidRPr="003E69FB">
        <w:tab/>
        <w:t>(ii)</w:t>
      </w:r>
      <w:r w:rsidRPr="003E69FB">
        <w:tab/>
        <w:t xml:space="preserve">the object entity’s </w:t>
      </w:r>
      <w:r w:rsidR="003E69FB" w:rsidRPr="003E69FB">
        <w:rPr>
          <w:position w:val="6"/>
          <w:sz w:val="16"/>
        </w:rPr>
        <w:t>*</w:t>
      </w:r>
      <w:r w:rsidRPr="003E69FB">
        <w:t>small business participation percentage in the later entity at the test time.</w:t>
      </w:r>
    </w:p>
    <w:p w:rsidR="0045049F" w:rsidRPr="003E69FB" w:rsidRDefault="0045049F" w:rsidP="003E69FB">
      <w:pPr>
        <w:pStyle w:val="subsection"/>
      </w:pPr>
      <w:r w:rsidRPr="003E69FB">
        <w:tab/>
        <w:t>(2B)</w:t>
      </w:r>
      <w:r w:rsidRPr="003E69FB">
        <w:tab/>
        <w:t xml:space="preserve">For the purposes of </w:t>
      </w:r>
      <w:r w:rsidR="003E69FB" w:rsidRPr="003E69FB">
        <w:t>paragraph (</w:t>
      </w:r>
      <w:r w:rsidRPr="003E69FB">
        <w:t>2A)(c), this subsection covers a later entity if:</w:t>
      </w:r>
    </w:p>
    <w:p w:rsidR="0045049F" w:rsidRPr="003E69FB" w:rsidRDefault="0045049F" w:rsidP="003E69FB">
      <w:pPr>
        <w:pStyle w:val="paragraph"/>
      </w:pPr>
      <w:r w:rsidRPr="003E69FB">
        <w:tab/>
        <w:t>(a)</w:t>
      </w:r>
      <w:r w:rsidRPr="003E69FB">
        <w:tab/>
        <w:t>at the test time:</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your </w:t>
      </w:r>
      <w:r w:rsidR="003E69FB" w:rsidRPr="003E69FB">
        <w:rPr>
          <w:position w:val="6"/>
          <w:sz w:val="16"/>
        </w:rPr>
        <w:t>*</w:t>
      </w:r>
      <w:r w:rsidRPr="003E69FB">
        <w:t>small business participation percentage in the later entity is at least 20%; or</w:t>
      </w:r>
    </w:p>
    <w:p w:rsidR="0045049F" w:rsidRPr="003E69FB" w:rsidRDefault="0045049F" w:rsidP="003E69FB">
      <w:pPr>
        <w:pStyle w:val="paragraphsub"/>
      </w:pPr>
      <w:r w:rsidRPr="003E69FB">
        <w:tab/>
        <w:t>(ii)</w:t>
      </w:r>
      <w:r w:rsidRPr="003E69FB">
        <w:tab/>
        <w:t xml:space="preserve">you are a </w:t>
      </w:r>
      <w:r w:rsidR="003E69FB" w:rsidRPr="003E69FB">
        <w:rPr>
          <w:position w:val="6"/>
          <w:sz w:val="16"/>
        </w:rPr>
        <w:t>*</w:t>
      </w:r>
      <w:r w:rsidRPr="003E69FB">
        <w:t>CGT concession stakeholder of the later entity; and</w:t>
      </w:r>
    </w:p>
    <w:p w:rsidR="0045049F" w:rsidRPr="003E69FB" w:rsidRDefault="0045049F" w:rsidP="003E69FB">
      <w:pPr>
        <w:pStyle w:val="paragraph"/>
      </w:pPr>
      <w:r w:rsidRPr="003E69FB">
        <w:tab/>
        <w:t>(b)</w:t>
      </w:r>
      <w:r w:rsidRPr="003E69FB">
        <w:tab/>
        <w:t>either:</w:t>
      </w:r>
    </w:p>
    <w:p w:rsidR="0045049F" w:rsidRPr="003E69FB" w:rsidRDefault="0045049F" w:rsidP="003E69FB">
      <w:pPr>
        <w:pStyle w:val="paragraphsub"/>
      </w:pPr>
      <w:r w:rsidRPr="003E69FB">
        <w:tab/>
        <w:t>(</w:t>
      </w:r>
      <w:proofErr w:type="spellStart"/>
      <w:r w:rsidRPr="003E69FB">
        <w:t>i</w:t>
      </w:r>
      <w:proofErr w:type="spellEnd"/>
      <w:r w:rsidRPr="003E69FB">
        <w:t>)</w:t>
      </w:r>
      <w:r w:rsidRPr="003E69FB">
        <w:tab/>
        <w:t xml:space="preserve">the later entity would be a </w:t>
      </w:r>
      <w:r w:rsidR="003E69FB" w:rsidRPr="003E69FB">
        <w:rPr>
          <w:position w:val="6"/>
          <w:sz w:val="16"/>
        </w:rPr>
        <w:t>*</w:t>
      </w:r>
      <w:r w:rsidRPr="003E69FB">
        <w:t>CGT small business entity for the income year that includes the test time; or</w:t>
      </w:r>
    </w:p>
    <w:p w:rsidR="0045049F" w:rsidRPr="003E69FB" w:rsidRDefault="0045049F" w:rsidP="003E69FB">
      <w:pPr>
        <w:pStyle w:val="paragraphsub"/>
      </w:pPr>
      <w:r w:rsidRPr="003E69FB">
        <w:lastRenderedPageBreak/>
        <w:tab/>
        <w:t>(ii)</w:t>
      </w:r>
      <w:r w:rsidRPr="003E69FB">
        <w:tab/>
        <w:t>the later entity would satisfy the maximum net asset value test (see section</w:t>
      </w:r>
      <w:r w:rsidR="003E69FB" w:rsidRPr="003E69FB">
        <w:t> </w:t>
      </w:r>
      <w:r w:rsidRPr="003E69FB">
        <w:t>152</w:t>
      </w:r>
      <w:r w:rsidR="00E31E55">
        <w:noBreakHyphen/>
      </w:r>
      <w:r w:rsidRPr="003E69FB">
        <w:t>15) for a notional CGT event taken to have happened at the test time;</w:t>
      </w:r>
    </w:p>
    <w:p w:rsidR="0045049F" w:rsidRPr="003E69FB" w:rsidRDefault="0045049F" w:rsidP="003E69FB">
      <w:pPr>
        <w:pStyle w:val="paragraph"/>
      </w:pPr>
      <w:r w:rsidRPr="003E69FB">
        <w:tab/>
      </w:r>
      <w:r w:rsidRPr="003E69FB">
        <w:tab/>
        <w:t>if the following assumptions were made:</w:t>
      </w:r>
    </w:p>
    <w:p w:rsidR="0045049F" w:rsidRPr="003E69FB" w:rsidRDefault="0045049F" w:rsidP="003E69FB">
      <w:pPr>
        <w:pStyle w:val="paragraphsub"/>
      </w:pPr>
      <w:r w:rsidRPr="003E69FB">
        <w:tab/>
        <w:t>(iii)</w:t>
      </w:r>
      <w:r w:rsidRPr="003E69FB">
        <w:tab/>
        <w:t xml:space="preserve">the only </w:t>
      </w:r>
      <w:r w:rsidR="003E69FB" w:rsidRPr="003E69FB">
        <w:rPr>
          <w:position w:val="6"/>
          <w:sz w:val="16"/>
        </w:rPr>
        <w:t>*</w:t>
      </w:r>
      <w:r w:rsidRPr="003E69FB">
        <w:t xml:space="preserve">CGT assets or </w:t>
      </w:r>
      <w:r w:rsidR="003E69FB" w:rsidRPr="003E69FB">
        <w:rPr>
          <w:position w:val="6"/>
          <w:sz w:val="16"/>
        </w:rPr>
        <w:t>*</w:t>
      </w:r>
      <w:r w:rsidRPr="003E69FB">
        <w:t xml:space="preserve">annual turnovers considered were those of the later entity and of the entities referred to in </w:t>
      </w:r>
      <w:r w:rsidR="003E69FB" w:rsidRPr="003E69FB">
        <w:t>subparagraph (</w:t>
      </w:r>
      <w:r w:rsidRPr="003E69FB">
        <w:t>2)(c)(iii);</w:t>
      </w:r>
    </w:p>
    <w:p w:rsidR="0045049F" w:rsidRPr="003E69FB" w:rsidRDefault="0045049F" w:rsidP="003E69FB">
      <w:pPr>
        <w:pStyle w:val="paragraphsub"/>
      </w:pPr>
      <w:r w:rsidRPr="003E69FB">
        <w:tab/>
        <w:t>(iv)</w:t>
      </w:r>
      <w:r w:rsidRPr="003E69FB">
        <w:tab/>
        <w:t>each reference in section</w:t>
      </w:r>
      <w:r w:rsidR="003E69FB" w:rsidRPr="003E69FB">
        <w:t> </w:t>
      </w:r>
      <w:r w:rsidRPr="003E69FB">
        <w:t>328</w:t>
      </w:r>
      <w:r w:rsidR="00E31E55">
        <w:noBreakHyphen/>
      </w:r>
      <w:r w:rsidRPr="003E69FB">
        <w:t>125 to 40% were a reference to 20%;</w:t>
      </w:r>
    </w:p>
    <w:p w:rsidR="0045049F" w:rsidRPr="003E69FB" w:rsidRDefault="0045049F" w:rsidP="003E69FB">
      <w:pPr>
        <w:pStyle w:val="paragraphsub"/>
      </w:pPr>
      <w:r w:rsidRPr="003E69FB">
        <w:tab/>
        <w:t>(v)</w:t>
      </w:r>
      <w:r w:rsidRPr="003E69FB">
        <w:tab/>
        <w:t>no determination under subsection</w:t>
      </w:r>
      <w:r w:rsidR="003E69FB" w:rsidRPr="003E69FB">
        <w:t> </w:t>
      </w:r>
      <w:r w:rsidRPr="003E69FB">
        <w:t>328</w:t>
      </w:r>
      <w:r w:rsidR="00E31E55">
        <w:noBreakHyphen/>
      </w:r>
      <w:r w:rsidRPr="003E69FB">
        <w:t>125(6) were in force.</w:t>
      </w:r>
    </w:p>
    <w:p w:rsidR="0045049F" w:rsidRPr="003E69FB" w:rsidRDefault="0045049F" w:rsidP="003E69FB">
      <w:pPr>
        <w:pStyle w:val="ItemHead"/>
      </w:pPr>
      <w:r w:rsidRPr="003E69FB">
        <w:t>3  Application of amendments</w:t>
      </w:r>
    </w:p>
    <w:p w:rsidR="0045049F" w:rsidRPr="003E69FB" w:rsidRDefault="0045049F" w:rsidP="003E69FB">
      <w:pPr>
        <w:pStyle w:val="Item"/>
      </w:pPr>
      <w:r w:rsidRPr="003E69FB">
        <w:t xml:space="preserve">The amendments made by this Schedule apply in relation to CGT events happening on or after </w:t>
      </w:r>
      <w:r w:rsidR="009276E4" w:rsidRPr="00747B8F">
        <w:rPr>
          <w:color w:val="000000"/>
          <w:szCs w:val="22"/>
        </w:rPr>
        <w:t>8 February 2018</w:t>
      </w:r>
      <w:r w:rsidRPr="003E69FB">
        <w:t>.</w:t>
      </w:r>
    </w:p>
    <w:p w:rsidR="003A467E" w:rsidRPr="003E69FB" w:rsidRDefault="003A467E" w:rsidP="003E69FB">
      <w:pPr>
        <w:pStyle w:val="ActHead6"/>
        <w:pageBreakBefore/>
      </w:pPr>
      <w:bookmarkStart w:id="9" w:name="_Toc526514979"/>
      <w:r w:rsidRPr="003E69FB">
        <w:rPr>
          <w:rStyle w:val="CharAmSchNo"/>
        </w:rPr>
        <w:lastRenderedPageBreak/>
        <w:t>Schedule</w:t>
      </w:r>
      <w:r w:rsidR="003E69FB" w:rsidRPr="003E69FB">
        <w:rPr>
          <w:rStyle w:val="CharAmSchNo"/>
        </w:rPr>
        <w:t> </w:t>
      </w:r>
      <w:r w:rsidRPr="003E69FB">
        <w:rPr>
          <w:rStyle w:val="CharAmSchNo"/>
        </w:rPr>
        <w:t>3</w:t>
      </w:r>
      <w:r w:rsidRPr="003E69FB">
        <w:t>—</w:t>
      </w:r>
      <w:r w:rsidRPr="003E69FB">
        <w:rPr>
          <w:rStyle w:val="CharAmSchText"/>
        </w:rPr>
        <w:t>Fintech and venture capital amendments</w:t>
      </w:r>
      <w:bookmarkEnd w:id="9"/>
    </w:p>
    <w:p w:rsidR="0045049F" w:rsidRPr="003E69FB" w:rsidRDefault="0045049F" w:rsidP="003E69FB">
      <w:pPr>
        <w:pStyle w:val="Header"/>
      </w:pPr>
      <w:r w:rsidRPr="003E69FB">
        <w:rPr>
          <w:rStyle w:val="CharAmPartNo"/>
        </w:rPr>
        <w:t xml:space="preserve"> </w:t>
      </w:r>
      <w:r w:rsidRPr="003E69FB">
        <w:rPr>
          <w:rStyle w:val="CharAmPartText"/>
        </w:rPr>
        <w:t xml:space="preserve"> </w:t>
      </w:r>
    </w:p>
    <w:p w:rsidR="0045049F" w:rsidRPr="003E69FB" w:rsidRDefault="0045049F" w:rsidP="003E69FB">
      <w:pPr>
        <w:pStyle w:val="ActHead9"/>
        <w:rPr>
          <w:i w:val="0"/>
        </w:rPr>
      </w:pPr>
      <w:bookmarkStart w:id="10" w:name="_Toc526514980"/>
      <w:r w:rsidRPr="003E69FB">
        <w:t>Income Tax Assessment Act 1997</w:t>
      </w:r>
      <w:bookmarkEnd w:id="10"/>
    </w:p>
    <w:p w:rsidR="0045049F" w:rsidRPr="003E69FB" w:rsidRDefault="0045049F" w:rsidP="003E69FB">
      <w:pPr>
        <w:pStyle w:val="ItemHead"/>
      </w:pPr>
      <w:r w:rsidRPr="003E69FB">
        <w:t>1  After subsection</w:t>
      </w:r>
      <w:r w:rsidR="003E69FB" w:rsidRPr="003E69FB">
        <w:t> </w:t>
      </w:r>
      <w:r w:rsidRPr="003E69FB">
        <w:t>118</w:t>
      </w:r>
      <w:r w:rsidR="00E31E55">
        <w:noBreakHyphen/>
      </w:r>
      <w:r w:rsidRPr="003E69FB">
        <w:t>425(13)</w:t>
      </w:r>
    </w:p>
    <w:p w:rsidR="0045049F" w:rsidRPr="003E69FB" w:rsidRDefault="0045049F" w:rsidP="003E69FB">
      <w:pPr>
        <w:pStyle w:val="Item"/>
      </w:pPr>
      <w:r w:rsidRPr="003E69FB">
        <w:t>Insert:</w:t>
      </w:r>
    </w:p>
    <w:p w:rsidR="0045049F" w:rsidRPr="003E69FB" w:rsidRDefault="0045049F" w:rsidP="003E69FB">
      <w:pPr>
        <w:pStyle w:val="subsection"/>
      </w:pPr>
      <w:r w:rsidRPr="003E69FB">
        <w:tab/>
        <w:t>(13A)</w:t>
      </w:r>
      <w:r w:rsidRPr="003E69FB">
        <w:tab/>
        <w:t xml:space="preserve">However, none of the following activities are ineligible activities mentioned in </w:t>
      </w:r>
      <w:r w:rsidR="003E69FB" w:rsidRPr="003E69FB">
        <w:t>subsection (</w:t>
      </w:r>
      <w:r w:rsidRPr="003E69FB">
        <w:t>13):</w:t>
      </w:r>
    </w:p>
    <w:p w:rsidR="0045049F" w:rsidRPr="003E69FB" w:rsidRDefault="0045049F" w:rsidP="003E69FB">
      <w:pPr>
        <w:pStyle w:val="paragraph"/>
      </w:pPr>
      <w:r w:rsidRPr="003E69FB">
        <w:tab/>
        <w:t>(a)</w:t>
      </w:r>
      <w:r w:rsidRPr="003E69FB">
        <w:tab/>
        <w:t xml:space="preserve">developing technology for use in relation to an activity referred to in </w:t>
      </w:r>
      <w:r w:rsidR="003E69FB" w:rsidRPr="003E69FB">
        <w:t>paragraph (</w:t>
      </w:r>
      <w:r w:rsidRPr="003E69FB">
        <w:t>13)(b), (c) or (e);</w:t>
      </w:r>
    </w:p>
    <w:p w:rsidR="0045049F" w:rsidRPr="003E69FB" w:rsidRDefault="0045049F" w:rsidP="003E69FB">
      <w:pPr>
        <w:pStyle w:val="paragraph"/>
      </w:pPr>
      <w:r w:rsidRPr="003E69FB">
        <w:tab/>
        <w:t>(b)</w:t>
      </w:r>
      <w:r w:rsidRPr="003E69FB">
        <w:tab/>
        <w:t xml:space="preserve">an activity that is ancillary or incidental to the activity of developing technology referred to in </w:t>
      </w:r>
      <w:r w:rsidR="003E69FB" w:rsidRPr="003E69FB">
        <w:t>paragraph (</w:t>
      </w:r>
      <w:r w:rsidRPr="003E69FB">
        <w:t>a) of this subsection;</w:t>
      </w:r>
    </w:p>
    <w:p w:rsidR="0045049F" w:rsidRPr="003E69FB" w:rsidRDefault="0045049F" w:rsidP="003E69FB">
      <w:pPr>
        <w:pStyle w:val="paragraph"/>
      </w:pPr>
      <w:r w:rsidRPr="003E69FB">
        <w:tab/>
        <w:t>(c)</w:t>
      </w:r>
      <w:r w:rsidRPr="003E69FB">
        <w:tab/>
        <w:t xml:space="preserve">an activity referred to in </w:t>
      </w:r>
      <w:r w:rsidR="003E69FB" w:rsidRPr="003E69FB">
        <w:t>paragraph (</w:t>
      </w:r>
      <w:r w:rsidRPr="003E69FB">
        <w:t>13)(b), (c) or (e) that is the subject of a finding in force under section</w:t>
      </w:r>
      <w:r w:rsidR="003E69FB" w:rsidRPr="003E69FB">
        <w:t> </w:t>
      </w:r>
      <w:r w:rsidRPr="003E69FB">
        <w:t>118</w:t>
      </w:r>
      <w:r w:rsidR="00E31E55">
        <w:noBreakHyphen/>
      </w:r>
      <w:r w:rsidRPr="003E69FB">
        <w:t>432 at the time the investment is made.</w:t>
      </w:r>
    </w:p>
    <w:p w:rsidR="0045049F" w:rsidRPr="003E69FB" w:rsidRDefault="0045049F" w:rsidP="003E69FB">
      <w:pPr>
        <w:pStyle w:val="subsection"/>
      </w:pPr>
      <w:r w:rsidRPr="003E69FB">
        <w:tab/>
        <w:t>(13B)</w:t>
      </w:r>
      <w:r w:rsidRPr="003E69FB">
        <w:tab/>
      </w:r>
      <w:r w:rsidR="003E69FB" w:rsidRPr="003E69FB">
        <w:t>Subsection (</w:t>
      </w:r>
      <w:r w:rsidRPr="003E69FB">
        <w:t>13A) does not apply in circumstances prescribed by regulations made for the purposes of this subsection.</w:t>
      </w:r>
    </w:p>
    <w:p w:rsidR="0045049F" w:rsidRPr="003E69FB" w:rsidRDefault="0045049F" w:rsidP="003E69FB">
      <w:pPr>
        <w:pStyle w:val="ItemHead"/>
      </w:pPr>
      <w:r w:rsidRPr="003E69FB">
        <w:t>2  After subsection</w:t>
      </w:r>
      <w:r w:rsidR="003E69FB" w:rsidRPr="003E69FB">
        <w:t> </w:t>
      </w:r>
      <w:r w:rsidRPr="003E69FB">
        <w:t>118</w:t>
      </w:r>
      <w:r w:rsidR="00E31E55">
        <w:noBreakHyphen/>
      </w:r>
      <w:r w:rsidRPr="003E69FB">
        <w:t>427(14)</w:t>
      </w:r>
    </w:p>
    <w:p w:rsidR="0045049F" w:rsidRPr="003E69FB" w:rsidRDefault="0045049F" w:rsidP="003E69FB">
      <w:pPr>
        <w:pStyle w:val="Item"/>
      </w:pPr>
      <w:r w:rsidRPr="003E69FB">
        <w:t>Insert:</w:t>
      </w:r>
    </w:p>
    <w:p w:rsidR="0045049F" w:rsidRPr="003E69FB" w:rsidRDefault="0045049F" w:rsidP="003E69FB">
      <w:pPr>
        <w:pStyle w:val="subsection"/>
      </w:pPr>
      <w:r w:rsidRPr="003E69FB">
        <w:tab/>
        <w:t>(14A)</w:t>
      </w:r>
      <w:r w:rsidRPr="003E69FB">
        <w:tab/>
        <w:t xml:space="preserve">However, none of the following activities are ineligible activities mentioned in </w:t>
      </w:r>
      <w:r w:rsidR="003E69FB" w:rsidRPr="003E69FB">
        <w:t>subsection (</w:t>
      </w:r>
      <w:r w:rsidRPr="003E69FB">
        <w:t>14):</w:t>
      </w:r>
    </w:p>
    <w:p w:rsidR="0045049F" w:rsidRPr="003E69FB" w:rsidRDefault="0045049F" w:rsidP="003E69FB">
      <w:pPr>
        <w:pStyle w:val="paragraph"/>
      </w:pPr>
      <w:r w:rsidRPr="003E69FB">
        <w:tab/>
        <w:t>(a)</w:t>
      </w:r>
      <w:r w:rsidRPr="003E69FB">
        <w:tab/>
        <w:t xml:space="preserve">developing technology for use in relation to an activity referred to in </w:t>
      </w:r>
      <w:r w:rsidR="003E69FB" w:rsidRPr="003E69FB">
        <w:t>paragraph (</w:t>
      </w:r>
      <w:r w:rsidRPr="003E69FB">
        <w:t>14)(b), (c) or (e);</w:t>
      </w:r>
    </w:p>
    <w:p w:rsidR="0045049F" w:rsidRPr="003E69FB" w:rsidRDefault="0045049F" w:rsidP="003E69FB">
      <w:pPr>
        <w:pStyle w:val="paragraph"/>
      </w:pPr>
      <w:r w:rsidRPr="003E69FB">
        <w:tab/>
        <w:t>(b)</w:t>
      </w:r>
      <w:r w:rsidRPr="003E69FB">
        <w:tab/>
        <w:t xml:space="preserve">an activity that is ancillary or incidental to the activity of developing technology referred to in </w:t>
      </w:r>
      <w:r w:rsidR="003E69FB" w:rsidRPr="003E69FB">
        <w:t>paragraph (</w:t>
      </w:r>
      <w:r w:rsidRPr="003E69FB">
        <w:t>a) of this subsection;</w:t>
      </w:r>
    </w:p>
    <w:p w:rsidR="0045049F" w:rsidRPr="003E69FB" w:rsidRDefault="0045049F" w:rsidP="003E69FB">
      <w:pPr>
        <w:pStyle w:val="paragraph"/>
      </w:pPr>
      <w:r w:rsidRPr="003E69FB">
        <w:tab/>
        <w:t>(c)</w:t>
      </w:r>
      <w:r w:rsidRPr="003E69FB">
        <w:tab/>
        <w:t xml:space="preserve">an activity referred to in </w:t>
      </w:r>
      <w:r w:rsidR="003E69FB" w:rsidRPr="003E69FB">
        <w:t>paragraph (</w:t>
      </w:r>
      <w:r w:rsidRPr="003E69FB">
        <w:t>14)(b), (c) or (e) that is the subject of a finding in force under section</w:t>
      </w:r>
      <w:r w:rsidR="003E69FB" w:rsidRPr="003E69FB">
        <w:t> </w:t>
      </w:r>
      <w:r w:rsidRPr="003E69FB">
        <w:t>118</w:t>
      </w:r>
      <w:r w:rsidR="00E31E55">
        <w:noBreakHyphen/>
      </w:r>
      <w:r w:rsidRPr="003E69FB">
        <w:t>432 at the time the investment is made.</w:t>
      </w:r>
    </w:p>
    <w:p w:rsidR="0045049F" w:rsidRPr="003E69FB" w:rsidRDefault="0045049F" w:rsidP="003E69FB">
      <w:pPr>
        <w:pStyle w:val="subsection"/>
      </w:pPr>
      <w:r w:rsidRPr="003E69FB">
        <w:tab/>
        <w:t>(14B)</w:t>
      </w:r>
      <w:r w:rsidRPr="003E69FB">
        <w:tab/>
      </w:r>
      <w:r w:rsidR="003E69FB" w:rsidRPr="003E69FB">
        <w:t>Subsection (</w:t>
      </w:r>
      <w:r w:rsidRPr="003E69FB">
        <w:t>14A) does not apply in circumstances prescribed by regulations made for the purposes of this subsection.</w:t>
      </w:r>
    </w:p>
    <w:p w:rsidR="0045049F" w:rsidRPr="003E69FB" w:rsidRDefault="0045049F" w:rsidP="003E69FB">
      <w:pPr>
        <w:pStyle w:val="ItemHead"/>
      </w:pPr>
      <w:r w:rsidRPr="003E69FB">
        <w:lastRenderedPageBreak/>
        <w:t>3  After section</w:t>
      </w:r>
      <w:r w:rsidR="003E69FB" w:rsidRPr="003E69FB">
        <w:t> </w:t>
      </w:r>
      <w:r w:rsidRPr="003E69FB">
        <w:t>118</w:t>
      </w:r>
      <w:r w:rsidR="00E31E55">
        <w:noBreakHyphen/>
      </w:r>
      <w:r w:rsidRPr="003E69FB">
        <w:t>430</w:t>
      </w:r>
    </w:p>
    <w:p w:rsidR="0045049F" w:rsidRPr="003E69FB" w:rsidRDefault="0045049F" w:rsidP="003E69FB">
      <w:pPr>
        <w:pStyle w:val="Item"/>
      </w:pPr>
      <w:r w:rsidRPr="003E69FB">
        <w:t>Insert:</w:t>
      </w:r>
    </w:p>
    <w:p w:rsidR="0045049F" w:rsidRPr="003E69FB" w:rsidRDefault="0045049F" w:rsidP="003E69FB">
      <w:pPr>
        <w:pStyle w:val="ActHead5"/>
      </w:pPr>
      <w:bookmarkStart w:id="11" w:name="_Toc526514981"/>
      <w:r w:rsidRPr="003E69FB">
        <w:rPr>
          <w:rStyle w:val="CharSectno"/>
        </w:rPr>
        <w:t>118</w:t>
      </w:r>
      <w:r w:rsidR="00E31E55">
        <w:rPr>
          <w:rStyle w:val="CharSectno"/>
        </w:rPr>
        <w:noBreakHyphen/>
      </w:r>
      <w:r w:rsidRPr="003E69FB">
        <w:rPr>
          <w:rStyle w:val="CharSectno"/>
        </w:rPr>
        <w:t>432</w:t>
      </w:r>
      <w:r w:rsidRPr="003E69FB">
        <w:t xml:space="preserve">  Findings of substantially novel applications of technology</w:t>
      </w:r>
      <w:bookmarkEnd w:id="11"/>
    </w:p>
    <w:p w:rsidR="0045049F" w:rsidRPr="003E69FB" w:rsidRDefault="0045049F" w:rsidP="003E69FB">
      <w:pPr>
        <w:pStyle w:val="SubsectionHead"/>
      </w:pPr>
      <w:r w:rsidRPr="003E69FB">
        <w:t>Public findings</w:t>
      </w:r>
    </w:p>
    <w:p w:rsidR="0045049F" w:rsidRPr="003E69FB" w:rsidRDefault="0045049F" w:rsidP="003E69FB">
      <w:pPr>
        <w:pStyle w:val="subsection"/>
      </w:pPr>
      <w:r w:rsidRPr="003E69FB">
        <w:tab/>
        <w:t>(1)</w:t>
      </w:r>
      <w:r w:rsidRPr="003E69FB">
        <w:tab/>
      </w:r>
      <w:r w:rsidR="003E69FB" w:rsidRPr="003E69FB">
        <w:rPr>
          <w:position w:val="6"/>
          <w:sz w:val="16"/>
        </w:rPr>
        <w:t>*</w:t>
      </w:r>
      <w:r w:rsidRPr="003E69FB">
        <w:t>Innovation and Science Australia may, by legislative instrument, find that each activity within a specified class is a substantially novel application of one or more technologies.</w:t>
      </w:r>
    </w:p>
    <w:p w:rsidR="0045049F" w:rsidRPr="003E69FB" w:rsidRDefault="0045049F" w:rsidP="003E69FB">
      <w:pPr>
        <w:pStyle w:val="notetext"/>
      </w:pPr>
      <w:r w:rsidRPr="003E69FB">
        <w:t>Note:</w:t>
      </w:r>
      <w:r w:rsidRPr="003E69FB">
        <w:tab/>
        <w:t>A substantially novel application of a technology could, for example, take the form of a substantially novel product or service.</w:t>
      </w:r>
    </w:p>
    <w:p w:rsidR="0045049F" w:rsidRPr="003E69FB" w:rsidRDefault="0045049F" w:rsidP="003E69FB">
      <w:pPr>
        <w:pStyle w:val="SubsectionHead"/>
      </w:pPr>
      <w:r w:rsidRPr="003E69FB">
        <w:t>Private findings</w:t>
      </w:r>
    </w:p>
    <w:p w:rsidR="0045049F" w:rsidRPr="003E69FB" w:rsidRDefault="0045049F" w:rsidP="003E69FB">
      <w:pPr>
        <w:pStyle w:val="subsection"/>
      </w:pPr>
      <w:r w:rsidRPr="003E69FB">
        <w:tab/>
        <w:t>(2)</w:t>
      </w:r>
      <w:r w:rsidRPr="003E69FB">
        <w:tab/>
      </w:r>
      <w:r w:rsidR="003E69FB" w:rsidRPr="003E69FB">
        <w:rPr>
          <w:position w:val="6"/>
          <w:sz w:val="16"/>
        </w:rPr>
        <w:t>*</w:t>
      </w:r>
      <w:r w:rsidRPr="003E69FB">
        <w:t>Innovation and Science Australia may, on application by a company or unit trust, make a written decision:</w:t>
      </w:r>
    </w:p>
    <w:p w:rsidR="0045049F" w:rsidRPr="003E69FB" w:rsidRDefault="0045049F" w:rsidP="003E69FB">
      <w:pPr>
        <w:pStyle w:val="paragraph"/>
      </w:pPr>
      <w:r w:rsidRPr="003E69FB">
        <w:tab/>
        <w:t>(a)</w:t>
      </w:r>
      <w:r w:rsidRPr="003E69FB">
        <w:tab/>
        <w:t>finding that a specified activity is a substantially novel application of one or more technologies; or</w:t>
      </w:r>
    </w:p>
    <w:p w:rsidR="0045049F" w:rsidRPr="003E69FB" w:rsidRDefault="0045049F" w:rsidP="003E69FB">
      <w:pPr>
        <w:pStyle w:val="paragraph"/>
      </w:pPr>
      <w:r w:rsidRPr="003E69FB">
        <w:tab/>
        <w:t>(b)</w:t>
      </w:r>
      <w:r w:rsidRPr="003E69FB">
        <w:tab/>
        <w:t>refusing to make such a finding about a specified activity.</w:t>
      </w:r>
    </w:p>
    <w:p w:rsidR="0045049F" w:rsidRPr="003E69FB" w:rsidRDefault="0045049F" w:rsidP="003E69FB">
      <w:pPr>
        <w:pStyle w:val="notetext"/>
      </w:pPr>
      <w:r w:rsidRPr="003E69FB">
        <w:t>Note:</w:t>
      </w:r>
      <w:r w:rsidRPr="003E69FB">
        <w:tab/>
        <w:t>A refusal to make a finding is reviewable (see Part</w:t>
      </w:r>
      <w:r w:rsidR="003E69FB" w:rsidRPr="003E69FB">
        <w:t> </w:t>
      </w:r>
      <w:r w:rsidRPr="003E69FB">
        <w:t xml:space="preserve">5 of the </w:t>
      </w:r>
      <w:r w:rsidRPr="003E69FB">
        <w:rPr>
          <w:i/>
        </w:rPr>
        <w:t>Venture Capital Act 2002</w:t>
      </w:r>
      <w:r w:rsidRPr="003E69FB">
        <w:t>).</w:t>
      </w:r>
    </w:p>
    <w:p w:rsidR="0045049F" w:rsidRPr="003E69FB" w:rsidRDefault="0045049F" w:rsidP="003E69FB">
      <w:pPr>
        <w:pStyle w:val="SubsectionHead"/>
      </w:pPr>
      <w:r w:rsidRPr="003E69FB">
        <w:t>Period for which a finding is in force</w:t>
      </w:r>
    </w:p>
    <w:p w:rsidR="0045049F" w:rsidRPr="003E69FB" w:rsidRDefault="0045049F" w:rsidP="003E69FB">
      <w:pPr>
        <w:pStyle w:val="subsection"/>
      </w:pPr>
      <w:r w:rsidRPr="003E69FB">
        <w:tab/>
        <w:t>(3)</w:t>
      </w:r>
      <w:r w:rsidRPr="003E69FB">
        <w:tab/>
        <w:t xml:space="preserve">Subject to variation or revocation, a finding under </w:t>
      </w:r>
      <w:r w:rsidR="003E69FB" w:rsidRPr="003E69FB">
        <w:t>subsection (</w:t>
      </w:r>
      <w:r w:rsidRPr="003E69FB">
        <w:t xml:space="preserve">1) or </w:t>
      </w:r>
      <w:r w:rsidR="003E69FB" w:rsidRPr="003E69FB">
        <w:t>paragraph (</w:t>
      </w:r>
      <w:r w:rsidRPr="003E69FB">
        <w:t>2)(a) is in force for the period specified in the finding.</w:t>
      </w:r>
    </w:p>
    <w:p w:rsidR="0045049F" w:rsidRPr="003E69FB" w:rsidRDefault="0045049F" w:rsidP="003E69FB">
      <w:pPr>
        <w:pStyle w:val="notetext"/>
      </w:pPr>
      <w:r w:rsidRPr="003E69FB">
        <w:t>Note:</w:t>
      </w:r>
      <w:r w:rsidRPr="003E69FB">
        <w:tab/>
        <w:t>For variation and revocation, see subsection</w:t>
      </w:r>
      <w:r w:rsidR="003E69FB" w:rsidRPr="003E69FB">
        <w:t> </w:t>
      </w:r>
      <w:r w:rsidRPr="003E69FB">
        <w:t xml:space="preserve">33(3) of the </w:t>
      </w:r>
      <w:r w:rsidRPr="003E69FB">
        <w:rPr>
          <w:i/>
        </w:rPr>
        <w:t>Acts Interpretation Act 1901</w:t>
      </w:r>
      <w:r w:rsidRPr="003E69FB">
        <w:t>.</w:t>
      </w:r>
    </w:p>
    <w:p w:rsidR="0045049F" w:rsidRPr="003E69FB" w:rsidRDefault="0045049F" w:rsidP="003E69FB">
      <w:pPr>
        <w:pStyle w:val="SubsectionHead"/>
      </w:pPr>
      <w:r w:rsidRPr="003E69FB">
        <w:t>Applications for private findings</w:t>
      </w:r>
    </w:p>
    <w:p w:rsidR="0045049F" w:rsidRPr="003E69FB" w:rsidRDefault="0045049F" w:rsidP="003E69FB">
      <w:pPr>
        <w:pStyle w:val="subsection"/>
      </w:pPr>
      <w:r w:rsidRPr="003E69FB">
        <w:tab/>
        <w:t>(4)</w:t>
      </w:r>
      <w:r w:rsidRPr="003E69FB">
        <w:tab/>
        <w:t xml:space="preserve">An application for a finding under </w:t>
      </w:r>
      <w:r w:rsidR="003E69FB" w:rsidRPr="003E69FB">
        <w:t>paragraph (</w:t>
      </w:r>
      <w:r w:rsidRPr="003E69FB">
        <w:t xml:space="preserve">2)(a) must be in the </w:t>
      </w:r>
      <w:r w:rsidR="003E69FB" w:rsidRPr="003E69FB">
        <w:rPr>
          <w:position w:val="6"/>
          <w:sz w:val="16"/>
        </w:rPr>
        <w:t>*</w:t>
      </w:r>
      <w:r w:rsidRPr="003E69FB">
        <w:t>form approved by Innovation and Science Australia.</w:t>
      </w:r>
    </w:p>
    <w:p w:rsidR="0045049F" w:rsidRPr="003E69FB" w:rsidRDefault="0045049F" w:rsidP="003E69FB">
      <w:pPr>
        <w:pStyle w:val="subsection"/>
      </w:pPr>
      <w:r w:rsidRPr="003E69FB">
        <w:tab/>
        <w:t>(5)</w:t>
      </w:r>
      <w:r w:rsidRPr="003E69FB">
        <w:tab/>
      </w:r>
      <w:r w:rsidR="003E69FB" w:rsidRPr="003E69FB">
        <w:rPr>
          <w:position w:val="6"/>
          <w:sz w:val="16"/>
        </w:rPr>
        <w:t>*</w:t>
      </w:r>
      <w:r w:rsidRPr="003E69FB">
        <w:t xml:space="preserve">Innovation and Science Australia must notify the applicant in writing of any decision under </w:t>
      </w:r>
      <w:r w:rsidR="003E69FB" w:rsidRPr="003E69FB">
        <w:t>subsection (</w:t>
      </w:r>
      <w:r w:rsidRPr="003E69FB">
        <w:t>2) about the application.</w:t>
      </w:r>
    </w:p>
    <w:p w:rsidR="0045049F" w:rsidRPr="003E69FB" w:rsidRDefault="0045049F" w:rsidP="003E69FB">
      <w:pPr>
        <w:pStyle w:val="subsection"/>
      </w:pPr>
      <w:r w:rsidRPr="003E69FB">
        <w:tab/>
        <w:t>(6)</w:t>
      </w:r>
      <w:r w:rsidRPr="003E69FB">
        <w:tab/>
        <w:t xml:space="preserve">A failure to comply with </w:t>
      </w:r>
      <w:r w:rsidR="003E69FB" w:rsidRPr="003E69FB">
        <w:t>subsection (</w:t>
      </w:r>
      <w:r w:rsidRPr="003E69FB">
        <w:t>5) does not affect the validity of a finding or decision.</w:t>
      </w:r>
    </w:p>
    <w:p w:rsidR="00FE4CB5" w:rsidRPr="00B00AD2" w:rsidRDefault="00FE4CB5" w:rsidP="00FE4CB5">
      <w:pPr>
        <w:pStyle w:val="ItemHead"/>
      </w:pPr>
      <w:r w:rsidRPr="00B00AD2">
        <w:lastRenderedPageBreak/>
        <w:t>3A  At the end of Subdivision 118</w:t>
      </w:r>
      <w:r w:rsidR="00E31E55">
        <w:noBreakHyphen/>
      </w:r>
      <w:r w:rsidRPr="00B00AD2">
        <w:t>F</w:t>
      </w:r>
    </w:p>
    <w:p w:rsidR="00FE4CB5" w:rsidRPr="00B00AD2" w:rsidRDefault="00FE4CB5" w:rsidP="00FE4CB5">
      <w:pPr>
        <w:pStyle w:val="Item"/>
      </w:pPr>
      <w:r w:rsidRPr="00B00AD2">
        <w:t>Add:</w:t>
      </w:r>
    </w:p>
    <w:p w:rsidR="00FE4CB5" w:rsidRPr="00B00AD2" w:rsidRDefault="00FE4CB5" w:rsidP="00FE4CB5">
      <w:pPr>
        <w:pStyle w:val="ActHead5"/>
      </w:pPr>
      <w:bookmarkStart w:id="12" w:name="_Toc526514982"/>
      <w:r w:rsidRPr="00B00AD2">
        <w:rPr>
          <w:rStyle w:val="CharSectno"/>
        </w:rPr>
        <w:t>118</w:t>
      </w:r>
      <w:r w:rsidR="00E31E55">
        <w:rPr>
          <w:rStyle w:val="CharSectno"/>
        </w:rPr>
        <w:noBreakHyphen/>
      </w:r>
      <w:r w:rsidRPr="00B00AD2">
        <w:rPr>
          <w:rStyle w:val="CharSectno"/>
        </w:rPr>
        <w:t>455</w:t>
      </w:r>
      <w:r w:rsidRPr="00B00AD2">
        <w:t xml:space="preserve">  Impact Assessment of this Subdivision</w:t>
      </w:r>
      <w:bookmarkEnd w:id="12"/>
    </w:p>
    <w:p w:rsidR="00FE4CB5" w:rsidRPr="00B00AD2" w:rsidRDefault="00FE4CB5" w:rsidP="00FE4CB5">
      <w:pPr>
        <w:pStyle w:val="subsection"/>
      </w:pPr>
      <w:r w:rsidRPr="00B00AD2">
        <w:tab/>
        <w:t>(1)</w:t>
      </w:r>
      <w:r w:rsidRPr="00B00AD2">
        <w:tab/>
        <w:t xml:space="preserve">As soon as practicable after 24 months after the </w:t>
      </w:r>
      <w:r w:rsidRPr="00B00AD2">
        <w:rPr>
          <w:i/>
        </w:rPr>
        <w:t>Treasury Laws Amendment (Tax Integrity and Other Measures) Act 2018</w:t>
      </w:r>
      <w:r w:rsidRPr="00B00AD2">
        <w:t xml:space="preserve"> receives the Royal Assent, the Minister must cause an impact assessment of the operation of this Subdivision and other related tax concessions to be conducted.</w:t>
      </w:r>
      <w:bookmarkStart w:id="13" w:name="BK_S1P1L41C30"/>
      <w:bookmarkEnd w:id="13"/>
    </w:p>
    <w:p w:rsidR="00FE4CB5" w:rsidRPr="00B00AD2" w:rsidRDefault="00FE4CB5" w:rsidP="00FE4CB5">
      <w:pPr>
        <w:pStyle w:val="subsection"/>
      </w:pPr>
      <w:r w:rsidRPr="00B00AD2">
        <w:tab/>
        <w:t>(2)</w:t>
      </w:r>
      <w:r w:rsidRPr="00B00AD2">
        <w:tab/>
        <w:t>The impact assessment must:</w:t>
      </w:r>
    </w:p>
    <w:p w:rsidR="00FE4CB5" w:rsidRPr="00B00AD2" w:rsidRDefault="00FE4CB5" w:rsidP="00FE4CB5">
      <w:pPr>
        <w:pStyle w:val="paragraph"/>
      </w:pPr>
      <w:r w:rsidRPr="00B00AD2">
        <w:tab/>
        <w:t>(a)</w:t>
      </w:r>
      <w:r w:rsidRPr="00B00AD2">
        <w:tab/>
        <w:t>examine the operation of the tax concession regime for:</w:t>
      </w:r>
    </w:p>
    <w:p w:rsidR="00FE4CB5" w:rsidRPr="00B00AD2" w:rsidRDefault="00FE4CB5" w:rsidP="00FE4CB5">
      <w:pPr>
        <w:pStyle w:val="paragraphsub"/>
      </w:pPr>
      <w:r w:rsidRPr="00B00AD2">
        <w:tab/>
        <w:t>(</w:t>
      </w:r>
      <w:proofErr w:type="spellStart"/>
      <w:r w:rsidRPr="00B00AD2">
        <w:t>i</w:t>
      </w:r>
      <w:proofErr w:type="spellEnd"/>
      <w:r w:rsidRPr="00B00AD2">
        <w:t>)</w:t>
      </w:r>
      <w:r w:rsidRPr="00B00AD2">
        <w:tab/>
        <w:t>investments made through a *VCLP</w:t>
      </w:r>
      <w:bookmarkStart w:id="14" w:name="BK_S1P2L3C38"/>
      <w:bookmarkEnd w:id="14"/>
      <w:r w:rsidRPr="00B00AD2">
        <w:t>, *ESVCLP or *AFOF; and</w:t>
      </w:r>
    </w:p>
    <w:p w:rsidR="00FE4CB5" w:rsidRPr="00B00AD2" w:rsidRDefault="00FE4CB5" w:rsidP="00FE4CB5">
      <w:pPr>
        <w:pStyle w:val="paragraphsub"/>
      </w:pPr>
      <w:r w:rsidRPr="00B00AD2">
        <w:tab/>
        <w:t>(ii)</w:t>
      </w:r>
      <w:r w:rsidRPr="00B00AD2">
        <w:tab/>
        <w:t xml:space="preserve">investments made directly by foreign residents registered under Part 3 of the </w:t>
      </w:r>
      <w:r w:rsidRPr="00B00AD2">
        <w:rPr>
          <w:i/>
        </w:rPr>
        <w:t>Venture Capital Act 2002</w:t>
      </w:r>
      <w:r w:rsidRPr="00B00AD2">
        <w:t>; and</w:t>
      </w:r>
    </w:p>
    <w:p w:rsidR="00FE4CB5" w:rsidRPr="00B00AD2" w:rsidRDefault="00FE4CB5" w:rsidP="00FE4CB5">
      <w:pPr>
        <w:pStyle w:val="paragraph"/>
      </w:pPr>
      <w:r w:rsidRPr="00B00AD2">
        <w:tab/>
        <w:t>(b)</w:t>
      </w:r>
      <w:r w:rsidRPr="00B00AD2">
        <w:tab/>
        <w:t>be conducted by the Department and Innovation and Science Australia; and</w:t>
      </w:r>
    </w:p>
    <w:p w:rsidR="00FE4CB5" w:rsidRPr="00B00AD2" w:rsidRDefault="00FE4CB5" w:rsidP="00FE4CB5">
      <w:pPr>
        <w:pStyle w:val="paragraph"/>
      </w:pPr>
      <w:r w:rsidRPr="00B00AD2">
        <w:tab/>
        <w:t>(c)</w:t>
      </w:r>
      <w:r w:rsidRPr="00B00AD2">
        <w:tab/>
        <w:t>make provision for public consultation.</w:t>
      </w:r>
    </w:p>
    <w:p w:rsidR="00FE4CB5" w:rsidRPr="00B00AD2" w:rsidRDefault="00FE4CB5" w:rsidP="00FE4CB5">
      <w:pPr>
        <w:pStyle w:val="subsection"/>
      </w:pPr>
      <w:r w:rsidRPr="00B00AD2">
        <w:tab/>
        <w:t>(3)</w:t>
      </w:r>
      <w:r w:rsidRPr="00B00AD2">
        <w:tab/>
        <w:t>For the purposes of conducting the impact assessment, the reference to Innovation and Science Australia in item 6 of the table in subsection 355</w:t>
      </w:r>
      <w:r w:rsidR="00E31E55">
        <w:noBreakHyphen/>
      </w:r>
      <w:r w:rsidRPr="00B00AD2">
        <w:t xml:space="preserve">65(4) of Schedule 1 to the </w:t>
      </w:r>
      <w:r w:rsidRPr="00B00AD2">
        <w:rPr>
          <w:i/>
        </w:rPr>
        <w:t>Taxation Administration Act 1953</w:t>
      </w:r>
      <w:r w:rsidRPr="00B00AD2">
        <w:t xml:space="preserve"> is taken to include the Secretary of the Department.</w:t>
      </w:r>
    </w:p>
    <w:p w:rsidR="00FE4CB5" w:rsidRPr="00B00AD2" w:rsidRDefault="00FE4CB5" w:rsidP="00FE4CB5">
      <w:pPr>
        <w:pStyle w:val="subsection"/>
      </w:pPr>
      <w:r w:rsidRPr="00B00AD2">
        <w:tab/>
        <w:t>(4)</w:t>
      </w:r>
      <w:r w:rsidRPr="00B00AD2">
        <w:tab/>
        <w:t>The Minister must cause a written report about the impact assessment to be prepared.</w:t>
      </w:r>
    </w:p>
    <w:p w:rsidR="00FE4CB5" w:rsidRPr="00B00AD2" w:rsidRDefault="00FE4CB5" w:rsidP="00FE4CB5">
      <w:pPr>
        <w:pStyle w:val="subsection"/>
      </w:pPr>
      <w:r w:rsidRPr="00B00AD2">
        <w:tab/>
        <w:t>(5)</w:t>
      </w:r>
      <w:r w:rsidRPr="00B00AD2">
        <w:tab/>
        <w:t>The Minister must cause a copy of the report to be tabled in each House of the Parliament within 15 sitting days of that House after the day on which the report is given to the Minister.</w:t>
      </w:r>
    </w:p>
    <w:p w:rsidR="0045049F" w:rsidRPr="003E69FB" w:rsidRDefault="0045049F" w:rsidP="003E69FB">
      <w:pPr>
        <w:pStyle w:val="ActHead9"/>
        <w:rPr>
          <w:i w:val="0"/>
        </w:rPr>
      </w:pPr>
      <w:bookmarkStart w:id="15" w:name="_Toc526514983"/>
      <w:r w:rsidRPr="003E69FB">
        <w:t>Taxation Administration Act 1953</w:t>
      </w:r>
      <w:bookmarkEnd w:id="15"/>
    </w:p>
    <w:p w:rsidR="0045049F" w:rsidRPr="003E69FB" w:rsidRDefault="0045049F" w:rsidP="003E69FB">
      <w:pPr>
        <w:pStyle w:val="ItemHead"/>
      </w:pPr>
      <w:r w:rsidRPr="003E69FB">
        <w:t>4  At the end of subsections</w:t>
      </w:r>
      <w:r w:rsidR="003E69FB" w:rsidRPr="003E69FB">
        <w:t> </w:t>
      </w:r>
      <w:r w:rsidRPr="003E69FB">
        <w:t>362</w:t>
      </w:r>
      <w:r w:rsidR="00E31E55">
        <w:noBreakHyphen/>
      </w:r>
      <w:r w:rsidRPr="003E69FB">
        <w:t>5(1) and 362</w:t>
      </w:r>
      <w:r w:rsidR="00E31E55">
        <w:noBreakHyphen/>
      </w:r>
      <w:r w:rsidRPr="003E69FB">
        <w:t>25(1) in Schedule</w:t>
      </w:r>
      <w:r w:rsidR="003E69FB" w:rsidRPr="003E69FB">
        <w:t> </w:t>
      </w:r>
      <w:r w:rsidRPr="003E69FB">
        <w:t>1</w:t>
      </w:r>
    </w:p>
    <w:p w:rsidR="0045049F" w:rsidRPr="003E69FB" w:rsidRDefault="0045049F" w:rsidP="003E69FB">
      <w:pPr>
        <w:pStyle w:val="Item"/>
      </w:pPr>
      <w:r w:rsidRPr="003E69FB">
        <w:t>Add:</w:t>
      </w:r>
    </w:p>
    <w:p w:rsidR="0045049F" w:rsidRPr="003E69FB" w:rsidRDefault="0045049F" w:rsidP="003E69FB">
      <w:pPr>
        <w:pStyle w:val="notetext"/>
      </w:pPr>
      <w:r w:rsidRPr="003E69FB">
        <w:lastRenderedPageBreak/>
        <w:t>Note:</w:t>
      </w:r>
      <w:r w:rsidRPr="003E69FB">
        <w:tab/>
        <w:t>An activity will not be an ineligible activity for the purposes of subsections</w:t>
      </w:r>
      <w:r w:rsidR="003E69FB" w:rsidRPr="003E69FB">
        <w:t> </w:t>
      </w:r>
      <w:r w:rsidRPr="003E69FB">
        <w:t>118</w:t>
      </w:r>
      <w:r w:rsidR="00E31E55">
        <w:noBreakHyphen/>
      </w:r>
      <w:r w:rsidRPr="003E69FB">
        <w:t>425(13) and 118</w:t>
      </w:r>
      <w:r w:rsidR="00E31E55">
        <w:noBreakHyphen/>
      </w:r>
      <w:r w:rsidRPr="003E69FB">
        <w:t xml:space="preserve">427(14) of the </w:t>
      </w:r>
      <w:r w:rsidRPr="003E69FB">
        <w:rPr>
          <w:i/>
        </w:rPr>
        <w:t>Income Tax Assessment Act 1997</w:t>
      </w:r>
      <w:r w:rsidRPr="003E69FB">
        <w:t xml:space="preserve"> if, for example, it is covered by subsections</w:t>
      </w:r>
      <w:r w:rsidR="003E69FB" w:rsidRPr="003E69FB">
        <w:t> </w:t>
      </w:r>
      <w:r w:rsidRPr="003E69FB">
        <w:t>118</w:t>
      </w:r>
      <w:r w:rsidR="00E31E55">
        <w:noBreakHyphen/>
      </w:r>
      <w:r w:rsidRPr="003E69FB">
        <w:t>425(13A) and 118</w:t>
      </w:r>
      <w:r w:rsidR="00E31E55">
        <w:noBreakHyphen/>
      </w:r>
      <w:r w:rsidRPr="003E69FB">
        <w:t>427(14A) of that Act.</w:t>
      </w:r>
    </w:p>
    <w:p w:rsidR="0045049F" w:rsidRPr="003E69FB" w:rsidRDefault="0045049F" w:rsidP="003E69FB">
      <w:pPr>
        <w:pStyle w:val="ActHead9"/>
        <w:rPr>
          <w:i w:val="0"/>
        </w:rPr>
      </w:pPr>
      <w:bookmarkStart w:id="16" w:name="_Toc526514984"/>
      <w:r w:rsidRPr="003E69FB">
        <w:t>Venture Capital Act 2002</w:t>
      </w:r>
      <w:bookmarkEnd w:id="16"/>
    </w:p>
    <w:p w:rsidR="0045049F" w:rsidRPr="003E69FB" w:rsidRDefault="0045049F" w:rsidP="003E69FB">
      <w:pPr>
        <w:pStyle w:val="ItemHead"/>
      </w:pPr>
      <w:r w:rsidRPr="003E69FB">
        <w:t>5  At the end of section</w:t>
      </w:r>
      <w:r w:rsidR="003E69FB" w:rsidRPr="003E69FB">
        <w:t> </w:t>
      </w:r>
      <w:r w:rsidRPr="003E69FB">
        <w:t>29</w:t>
      </w:r>
      <w:r w:rsidR="00E31E55">
        <w:noBreakHyphen/>
      </w:r>
      <w:r w:rsidRPr="003E69FB">
        <w:t>1</w:t>
      </w:r>
    </w:p>
    <w:p w:rsidR="0045049F" w:rsidRPr="003E69FB" w:rsidRDefault="0045049F" w:rsidP="003E69FB">
      <w:pPr>
        <w:pStyle w:val="Item"/>
      </w:pPr>
      <w:r w:rsidRPr="003E69FB">
        <w:t>Add:</w:t>
      </w:r>
    </w:p>
    <w:p w:rsidR="0045049F" w:rsidRPr="003E69FB" w:rsidRDefault="0045049F" w:rsidP="003E69FB">
      <w:pPr>
        <w:pStyle w:val="paragraph"/>
      </w:pPr>
      <w:r w:rsidRPr="003E69FB">
        <w:tab/>
        <w:t>; (m)</w:t>
      </w:r>
      <w:r w:rsidRPr="003E69FB">
        <w:tab/>
        <w:t>decisions under subsection</w:t>
      </w:r>
      <w:r w:rsidR="003E69FB" w:rsidRPr="003E69FB">
        <w:t> </w:t>
      </w:r>
      <w:r w:rsidRPr="003E69FB">
        <w:t>118</w:t>
      </w:r>
      <w:r w:rsidR="00E31E55">
        <w:noBreakHyphen/>
      </w:r>
      <w:r w:rsidRPr="003E69FB">
        <w:t xml:space="preserve">432(2) of the </w:t>
      </w:r>
      <w:r w:rsidRPr="003E69FB">
        <w:rPr>
          <w:i/>
        </w:rPr>
        <w:t>Income Tax Assessment Act 1997</w:t>
      </w:r>
      <w:r w:rsidRPr="003E69FB">
        <w:t xml:space="preserve"> refusing to make a finding about an activity.</w:t>
      </w:r>
    </w:p>
    <w:p w:rsidR="0045049F" w:rsidRPr="003E69FB" w:rsidRDefault="0045049F" w:rsidP="003E69FB">
      <w:pPr>
        <w:pStyle w:val="ItemHead"/>
      </w:pPr>
      <w:r w:rsidRPr="003E69FB">
        <w:t>6  Application of amendments</w:t>
      </w:r>
    </w:p>
    <w:p w:rsidR="0045049F" w:rsidRPr="003E69FB" w:rsidRDefault="0045049F" w:rsidP="003E69FB">
      <w:pPr>
        <w:pStyle w:val="Subitem"/>
      </w:pPr>
      <w:r w:rsidRPr="003E69FB">
        <w:tab/>
        <w:t>The amendments made by this Schedule apply in relation to investments made on or after 1</w:t>
      </w:r>
      <w:r w:rsidR="003E69FB" w:rsidRPr="003E69FB">
        <w:t> </w:t>
      </w:r>
      <w:r w:rsidRPr="003E69FB">
        <w:t>July 2018.</w:t>
      </w:r>
    </w:p>
    <w:p w:rsidR="003A467E" w:rsidRPr="003E69FB" w:rsidRDefault="003A467E" w:rsidP="003E69FB">
      <w:pPr>
        <w:pStyle w:val="ActHead6"/>
        <w:pageBreakBefore/>
      </w:pPr>
      <w:bookmarkStart w:id="17" w:name="_Toc526514985"/>
      <w:bookmarkStart w:id="18" w:name="opcCurrentFind"/>
      <w:r w:rsidRPr="003E69FB">
        <w:rPr>
          <w:rStyle w:val="CharAmSchNo"/>
        </w:rPr>
        <w:lastRenderedPageBreak/>
        <w:t>Schedule</w:t>
      </w:r>
      <w:r w:rsidR="003E69FB" w:rsidRPr="003E69FB">
        <w:rPr>
          <w:rStyle w:val="CharAmSchNo"/>
        </w:rPr>
        <w:t> </w:t>
      </w:r>
      <w:r w:rsidRPr="003E69FB">
        <w:rPr>
          <w:rStyle w:val="CharAmSchNo"/>
        </w:rPr>
        <w:t>4</w:t>
      </w:r>
      <w:r w:rsidRPr="003E69FB">
        <w:t>—</w:t>
      </w:r>
      <w:r w:rsidRPr="003E69FB">
        <w:rPr>
          <w:rStyle w:val="CharAmSchText"/>
        </w:rPr>
        <w:t>Tax exemption for payments made under the Defence Force Ombudsman Scheme</w:t>
      </w:r>
      <w:bookmarkEnd w:id="17"/>
    </w:p>
    <w:bookmarkEnd w:id="18"/>
    <w:p w:rsidR="0045049F" w:rsidRPr="003E69FB" w:rsidRDefault="0045049F" w:rsidP="003E69FB">
      <w:pPr>
        <w:pStyle w:val="Header"/>
      </w:pPr>
      <w:r w:rsidRPr="003E69FB">
        <w:rPr>
          <w:rStyle w:val="CharAmPartNo"/>
        </w:rPr>
        <w:t xml:space="preserve"> </w:t>
      </w:r>
      <w:r w:rsidRPr="003E69FB">
        <w:rPr>
          <w:rStyle w:val="CharAmPartText"/>
        </w:rPr>
        <w:t xml:space="preserve"> </w:t>
      </w:r>
    </w:p>
    <w:p w:rsidR="0045049F" w:rsidRPr="003E69FB" w:rsidRDefault="0045049F" w:rsidP="003E69FB">
      <w:pPr>
        <w:pStyle w:val="ActHead9"/>
        <w:rPr>
          <w:i w:val="0"/>
        </w:rPr>
      </w:pPr>
      <w:bookmarkStart w:id="19" w:name="_Toc526514986"/>
      <w:r w:rsidRPr="003E69FB">
        <w:t>Income Tax Assessment Act 1997</w:t>
      </w:r>
      <w:bookmarkEnd w:id="19"/>
    </w:p>
    <w:p w:rsidR="0045049F" w:rsidRPr="003E69FB" w:rsidRDefault="0045049F" w:rsidP="003E69FB">
      <w:pPr>
        <w:pStyle w:val="ItemHead"/>
      </w:pPr>
      <w:r w:rsidRPr="003E69FB">
        <w:t>1  Section</w:t>
      </w:r>
      <w:r w:rsidR="003E69FB" w:rsidRPr="003E69FB">
        <w:t> </w:t>
      </w:r>
      <w:r w:rsidRPr="003E69FB">
        <w:t>11</w:t>
      </w:r>
      <w:r w:rsidR="00E31E55">
        <w:noBreakHyphen/>
      </w:r>
      <w:r w:rsidRPr="003E69FB">
        <w:t>15 (table item headed “defence”)</w:t>
      </w:r>
    </w:p>
    <w:p w:rsidR="0045049F" w:rsidRPr="003E69FB" w:rsidRDefault="0045049F" w:rsidP="003E69FB">
      <w:pPr>
        <w:pStyle w:val="Item"/>
      </w:pPr>
      <w:r w:rsidRPr="003E69FB">
        <w:t>Omit:</w:t>
      </w:r>
    </w:p>
    <w:tbl>
      <w:tblPr>
        <w:tblW w:w="7203" w:type="dxa"/>
        <w:tblInd w:w="106" w:type="dxa"/>
        <w:tblLayout w:type="fixed"/>
        <w:tblCellMar>
          <w:left w:w="107" w:type="dxa"/>
          <w:right w:w="107" w:type="dxa"/>
        </w:tblCellMar>
        <w:tblLook w:val="0000" w:firstRow="0" w:lastRow="0" w:firstColumn="0" w:lastColumn="0" w:noHBand="0" w:noVBand="0"/>
      </w:tblPr>
      <w:tblGrid>
        <w:gridCol w:w="5388"/>
        <w:gridCol w:w="1815"/>
      </w:tblGrid>
      <w:tr w:rsidR="0045049F" w:rsidRPr="003E69FB" w:rsidTr="00E136D3">
        <w:trPr>
          <w:cantSplit/>
        </w:trPr>
        <w:tc>
          <w:tcPr>
            <w:tcW w:w="5388" w:type="dxa"/>
          </w:tcPr>
          <w:p w:rsidR="0045049F" w:rsidRPr="003E69FB" w:rsidRDefault="0045049F" w:rsidP="003E69FB">
            <w:pPr>
              <w:pStyle w:val="tableIndentText"/>
              <w:tabs>
                <w:tab w:val="left" w:leader="dot" w:pos="6124"/>
              </w:tabs>
              <w:rPr>
                <w:rFonts w:ascii="Times New Roman" w:hAnsi="Times New Roman"/>
              </w:rPr>
            </w:pPr>
            <w:r w:rsidRPr="003E69FB">
              <w:rPr>
                <w:rFonts w:ascii="Times New Roman" w:hAnsi="Times New Roman"/>
              </w:rPr>
              <w:t>Defence Abuse Reparation Scheme, payments under</w:t>
            </w:r>
            <w:r w:rsidRPr="003E69FB">
              <w:rPr>
                <w:rFonts w:ascii="Times New Roman" w:hAnsi="Times New Roman"/>
              </w:rPr>
              <w:tab/>
            </w:r>
          </w:p>
        </w:tc>
        <w:tc>
          <w:tcPr>
            <w:tcW w:w="1815" w:type="dxa"/>
          </w:tcPr>
          <w:p w:rsidR="0045049F" w:rsidRPr="003E69FB" w:rsidRDefault="0045049F" w:rsidP="003E69FB">
            <w:pPr>
              <w:pStyle w:val="tableText0"/>
              <w:keepNext/>
              <w:spacing w:line="240" w:lineRule="auto"/>
            </w:pPr>
            <w:r w:rsidRPr="003E69FB">
              <w:t>51</w:t>
            </w:r>
            <w:r w:rsidR="00E31E55">
              <w:noBreakHyphen/>
            </w:r>
            <w:r w:rsidRPr="003E69FB">
              <w:t>5</w:t>
            </w:r>
          </w:p>
        </w:tc>
      </w:tr>
    </w:tbl>
    <w:p w:rsidR="0045049F" w:rsidRPr="003E69FB" w:rsidRDefault="0045049F" w:rsidP="003E69FB">
      <w:pPr>
        <w:pStyle w:val="ItemHead"/>
      </w:pPr>
      <w:r w:rsidRPr="003E69FB">
        <w:t>2  Section</w:t>
      </w:r>
      <w:r w:rsidR="003E69FB" w:rsidRPr="003E69FB">
        <w:t> </w:t>
      </w:r>
      <w:r w:rsidRPr="003E69FB">
        <w:t>11</w:t>
      </w:r>
      <w:r w:rsidR="00E31E55">
        <w:noBreakHyphen/>
      </w:r>
      <w:r w:rsidRPr="003E69FB">
        <w:t>15 (table item headed “defence”)</w:t>
      </w:r>
    </w:p>
    <w:p w:rsidR="0045049F" w:rsidRPr="003E69FB" w:rsidRDefault="0045049F" w:rsidP="003E69FB">
      <w:pPr>
        <w:pStyle w:val="Item"/>
      </w:pPr>
      <w:r w:rsidRPr="003E69FB">
        <w:t>After:</w:t>
      </w:r>
    </w:p>
    <w:tbl>
      <w:tblPr>
        <w:tblW w:w="7203" w:type="dxa"/>
        <w:tblInd w:w="106" w:type="dxa"/>
        <w:tblLayout w:type="fixed"/>
        <w:tblCellMar>
          <w:left w:w="107" w:type="dxa"/>
          <w:right w:w="107" w:type="dxa"/>
        </w:tblCellMar>
        <w:tblLook w:val="0000" w:firstRow="0" w:lastRow="0" w:firstColumn="0" w:lastColumn="0" w:noHBand="0" w:noVBand="0"/>
      </w:tblPr>
      <w:tblGrid>
        <w:gridCol w:w="5388"/>
        <w:gridCol w:w="1815"/>
      </w:tblGrid>
      <w:tr w:rsidR="0045049F" w:rsidRPr="003E69FB" w:rsidTr="00E136D3">
        <w:trPr>
          <w:cantSplit/>
        </w:trPr>
        <w:tc>
          <w:tcPr>
            <w:tcW w:w="5388" w:type="dxa"/>
          </w:tcPr>
          <w:p w:rsidR="0045049F" w:rsidRPr="003E69FB" w:rsidRDefault="0045049F" w:rsidP="003E69FB">
            <w:pPr>
              <w:pStyle w:val="tableIndentText"/>
              <w:tabs>
                <w:tab w:val="left" w:leader="dot" w:pos="6124"/>
              </w:tabs>
              <w:rPr>
                <w:rFonts w:ascii="Times New Roman" w:hAnsi="Times New Roman"/>
              </w:rPr>
            </w:pPr>
            <w:r w:rsidRPr="003E69FB">
              <w:rPr>
                <w:rFonts w:ascii="Times New Roman" w:hAnsi="Times New Roman"/>
              </w:rPr>
              <w:t>Defence Force member, compensation payments for loss of deployment allowance for warlike service</w:t>
            </w:r>
            <w:r w:rsidRPr="003E69FB">
              <w:rPr>
                <w:rFonts w:ascii="Times New Roman" w:hAnsi="Times New Roman"/>
              </w:rPr>
              <w:tab/>
            </w:r>
          </w:p>
        </w:tc>
        <w:tc>
          <w:tcPr>
            <w:tcW w:w="1815" w:type="dxa"/>
          </w:tcPr>
          <w:p w:rsidR="0045049F" w:rsidRPr="003E69FB" w:rsidRDefault="0045049F" w:rsidP="003E69FB">
            <w:pPr>
              <w:pStyle w:val="tableText0"/>
              <w:spacing w:line="240" w:lineRule="auto"/>
            </w:pPr>
            <w:r w:rsidRPr="003E69FB">
              <w:br/>
              <w:t>51</w:t>
            </w:r>
            <w:r w:rsidR="00E31E55">
              <w:noBreakHyphen/>
            </w:r>
            <w:r w:rsidRPr="003E69FB">
              <w:t>5</w:t>
            </w:r>
          </w:p>
        </w:tc>
      </w:tr>
    </w:tbl>
    <w:p w:rsidR="0045049F" w:rsidRPr="003E69FB" w:rsidRDefault="0045049F" w:rsidP="003E69FB">
      <w:pPr>
        <w:pStyle w:val="Item"/>
      </w:pPr>
      <w:r w:rsidRPr="003E69FB">
        <w:t>insert:</w:t>
      </w:r>
    </w:p>
    <w:tbl>
      <w:tblPr>
        <w:tblW w:w="7203" w:type="dxa"/>
        <w:tblInd w:w="106" w:type="dxa"/>
        <w:tblLayout w:type="fixed"/>
        <w:tblCellMar>
          <w:left w:w="107" w:type="dxa"/>
          <w:right w:w="107" w:type="dxa"/>
        </w:tblCellMar>
        <w:tblLook w:val="0000" w:firstRow="0" w:lastRow="0" w:firstColumn="0" w:lastColumn="0" w:noHBand="0" w:noVBand="0"/>
      </w:tblPr>
      <w:tblGrid>
        <w:gridCol w:w="5388"/>
        <w:gridCol w:w="1815"/>
      </w:tblGrid>
      <w:tr w:rsidR="0045049F" w:rsidRPr="003E69FB" w:rsidTr="009B53E1">
        <w:trPr>
          <w:cantSplit/>
        </w:trPr>
        <w:tc>
          <w:tcPr>
            <w:tcW w:w="5388" w:type="dxa"/>
          </w:tcPr>
          <w:p w:rsidR="0045049F" w:rsidRPr="003E69FB" w:rsidRDefault="0045049F" w:rsidP="003E69FB">
            <w:pPr>
              <w:pStyle w:val="tableIndentText"/>
              <w:keepNext/>
              <w:rPr>
                <w:rFonts w:ascii="Times New Roman" w:hAnsi="Times New Roman"/>
              </w:rPr>
            </w:pPr>
            <w:r w:rsidRPr="003E69FB">
              <w:rPr>
                <w:rFonts w:ascii="Times New Roman" w:hAnsi="Times New Roman"/>
              </w:rPr>
              <w:t>Defence Force Ombudsman recommendation, reparation payments and additional payments in relation to</w:t>
            </w:r>
            <w:r w:rsidRPr="003E69FB">
              <w:rPr>
                <w:rFonts w:ascii="Times New Roman" w:hAnsi="Times New Roman"/>
              </w:rPr>
              <w:tab/>
            </w:r>
          </w:p>
        </w:tc>
        <w:tc>
          <w:tcPr>
            <w:tcW w:w="1815" w:type="dxa"/>
            <w:vAlign w:val="bottom"/>
          </w:tcPr>
          <w:p w:rsidR="0045049F" w:rsidRPr="003E69FB" w:rsidRDefault="0045049F" w:rsidP="003E69FB">
            <w:pPr>
              <w:pStyle w:val="tableText0"/>
              <w:keepNext/>
              <w:spacing w:line="240" w:lineRule="auto"/>
            </w:pPr>
            <w:r w:rsidRPr="003E69FB">
              <w:t>51</w:t>
            </w:r>
            <w:r w:rsidR="00E31E55">
              <w:noBreakHyphen/>
            </w:r>
            <w:r w:rsidRPr="003E69FB">
              <w:t>5</w:t>
            </w:r>
          </w:p>
        </w:tc>
      </w:tr>
    </w:tbl>
    <w:p w:rsidR="0045049F" w:rsidRPr="003E69FB" w:rsidRDefault="0045049F" w:rsidP="003E69FB">
      <w:pPr>
        <w:pStyle w:val="ItemHead"/>
      </w:pPr>
      <w:r w:rsidRPr="003E69FB">
        <w:t>3  Section</w:t>
      </w:r>
      <w:r w:rsidR="003E69FB" w:rsidRPr="003E69FB">
        <w:t> </w:t>
      </w:r>
      <w:r w:rsidRPr="003E69FB">
        <w:t>51</w:t>
      </w:r>
      <w:r w:rsidR="00E31E55">
        <w:noBreakHyphen/>
      </w:r>
      <w:r w:rsidRPr="003E69FB">
        <w:t>5 (table item</w:t>
      </w:r>
      <w:r w:rsidR="003E69FB" w:rsidRPr="003E69FB">
        <w:t> </w:t>
      </w:r>
      <w:r w:rsidRPr="003E69FB">
        <w:t>1.7)</w:t>
      </w:r>
    </w:p>
    <w:p w:rsidR="0045049F" w:rsidRPr="003E69FB" w:rsidRDefault="0045049F" w:rsidP="003E69FB">
      <w:pPr>
        <w:pStyle w:val="Item"/>
      </w:pPr>
      <w:r w:rsidRPr="003E69FB">
        <w:t>Repeal the item, substitute:</w:t>
      </w:r>
    </w:p>
    <w:tbl>
      <w:tblPr>
        <w:tblW w:w="0" w:type="auto"/>
        <w:tblInd w:w="120" w:type="dxa"/>
        <w:tblLayout w:type="fixed"/>
        <w:tblLook w:val="0000" w:firstRow="0" w:lastRow="0" w:firstColumn="0" w:lastColumn="0" w:noHBand="0" w:noVBand="0"/>
      </w:tblPr>
      <w:tblGrid>
        <w:gridCol w:w="697"/>
        <w:gridCol w:w="1985"/>
        <w:gridCol w:w="2551"/>
        <w:gridCol w:w="1701"/>
      </w:tblGrid>
      <w:tr w:rsidR="0045049F" w:rsidRPr="003E69FB" w:rsidTr="00E136D3">
        <w:tc>
          <w:tcPr>
            <w:tcW w:w="697" w:type="dxa"/>
            <w:shd w:val="clear" w:color="auto" w:fill="auto"/>
          </w:tcPr>
          <w:p w:rsidR="0045049F" w:rsidRPr="003E69FB" w:rsidRDefault="0045049F" w:rsidP="003E69FB">
            <w:pPr>
              <w:pStyle w:val="Tabletext"/>
            </w:pPr>
            <w:r w:rsidRPr="003E69FB">
              <w:t>1.7</w:t>
            </w:r>
          </w:p>
        </w:tc>
        <w:tc>
          <w:tcPr>
            <w:tcW w:w="1985" w:type="dxa"/>
            <w:shd w:val="clear" w:color="auto" w:fill="auto"/>
          </w:tcPr>
          <w:p w:rsidR="0045049F" w:rsidRPr="003E69FB" w:rsidRDefault="0045049F" w:rsidP="003E69FB">
            <w:pPr>
              <w:pStyle w:val="Tabletext"/>
            </w:pPr>
            <w:r w:rsidRPr="003E69FB">
              <w:t>a recipient of a reparation payment or an additional payment from the Commonwealth in relation to a recommendation by the Defence Force Ombudsman performing a function conferred by section</w:t>
            </w:r>
            <w:r w:rsidR="003E69FB" w:rsidRPr="003E69FB">
              <w:t> </w:t>
            </w:r>
            <w:r w:rsidRPr="003E69FB">
              <w:t>14</w:t>
            </w:r>
            <w:r w:rsidRPr="003E69FB">
              <w:rPr>
                <w:i/>
              </w:rPr>
              <w:t xml:space="preserve"> </w:t>
            </w:r>
            <w:r w:rsidRPr="003E69FB">
              <w:t xml:space="preserve">or 14B of the </w:t>
            </w:r>
            <w:r w:rsidRPr="003E69FB">
              <w:rPr>
                <w:i/>
              </w:rPr>
              <w:t>Ombudsman Regulations</w:t>
            </w:r>
            <w:r w:rsidR="003E69FB" w:rsidRPr="003E69FB">
              <w:rPr>
                <w:i/>
              </w:rPr>
              <w:t> </w:t>
            </w:r>
            <w:r w:rsidRPr="003E69FB">
              <w:rPr>
                <w:i/>
              </w:rPr>
              <w:t>2017</w:t>
            </w:r>
          </w:p>
        </w:tc>
        <w:tc>
          <w:tcPr>
            <w:tcW w:w="2551" w:type="dxa"/>
            <w:shd w:val="clear" w:color="auto" w:fill="auto"/>
          </w:tcPr>
          <w:p w:rsidR="0045049F" w:rsidRPr="003E69FB" w:rsidRDefault="0045049F" w:rsidP="003E69FB">
            <w:pPr>
              <w:pStyle w:val="Tabletext"/>
            </w:pPr>
            <w:r w:rsidRPr="003E69FB">
              <w:t>the reparation payment or additional payment</w:t>
            </w:r>
          </w:p>
        </w:tc>
        <w:tc>
          <w:tcPr>
            <w:tcW w:w="1701" w:type="dxa"/>
            <w:shd w:val="clear" w:color="auto" w:fill="auto"/>
          </w:tcPr>
          <w:p w:rsidR="0045049F" w:rsidRPr="003E69FB" w:rsidRDefault="0045049F" w:rsidP="003E69FB">
            <w:pPr>
              <w:pStyle w:val="Tabletext"/>
            </w:pPr>
            <w:r w:rsidRPr="003E69FB">
              <w:t>none</w:t>
            </w:r>
          </w:p>
        </w:tc>
      </w:tr>
    </w:tbl>
    <w:p w:rsidR="0045049F" w:rsidRPr="003E69FB" w:rsidRDefault="0045049F" w:rsidP="003E69FB">
      <w:pPr>
        <w:pStyle w:val="ItemHead"/>
      </w:pPr>
      <w:r w:rsidRPr="003E69FB">
        <w:t>4  At the end of section</w:t>
      </w:r>
      <w:r w:rsidR="003E69FB" w:rsidRPr="003E69FB">
        <w:t> </w:t>
      </w:r>
      <w:r w:rsidRPr="003E69FB">
        <w:t>51</w:t>
      </w:r>
      <w:r w:rsidR="00E31E55">
        <w:noBreakHyphen/>
      </w:r>
      <w:r w:rsidRPr="003E69FB">
        <w:t>5</w:t>
      </w:r>
    </w:p>
    <w:p w:rsidR="0045049F" w:rsidRPr="003E69FB" w:rsidRDefault="0045049F" w:rsidP="003E69FB">
      <w:pPr>
        <w:pStyle w:val="Item"/>
      </w:pPr>
      <w:r w:rsidRPr="003E69FB">
        <w:t>Add:</w:t>
      </w:r>
    </w:p>
    <w:p w:rsidR="0045049F" w:rsidRPr="003E69FB" w:rsidRDefault="0045049F" w:rsidP="003E69FB">
      <w:pPr>
        <w:pStyle w:val="notetext"/>
      </w:pPr>
      <w:r w:rsidRPr="003E69FB">
        <w:lastRenderedPageBreak/>
        <w:t>Note:</w:t>
      </w:r>
      <w:r w:rsidRPr="003E69FB">
        <w:tab/>
        <w:t>Reparation payments under section</w:t>
      </w:r>
      <w:r w:rsidR="003E69FB" w:rsidRPr="003E69FB">
        <w:t> </w:t>
      </w:r>
      <w:r w:rsidRPr="003E69FB">
        <w:t>14</w:t>
      </w:r>
      <w:r w:rsidRPr="003E69FB">
        <w:rPr>
          <w:i/>
        </w:rPr>
        <w:t xml:space="preserve"> </w:t>
      </w:r>
      <w:r w:rsidRPr="003E69FB">
        <w:t xml:space="preserve">or 14B of the </w:t>
      </w:r>
      <w:r w:rsidRPr="003E69FB">
        <w:rPr>
          <w:i/>
        </w:rPr>
        <w:t>Ombudsman Regulations</w:t>
      </w:r>
      <w:r w:rsidR="003E69FB" w:rsidRPr="003E69FB">
        <w:rPr>
          <w:i/>
        </w:rPr>
        <w:t> </w:t>
      </w:r>
      <w:r w:rsidRPr="003E69FB">
        <w:rPr>
          <w:i/>
        </w:rPr>
        <w:t>2017</w:t>
      </w:r>
      <w:r w:rsidRPr="003E69FB">
        <w:t xml:space="preserve"> relate to abuse in the Defence Force.</w:t>
      </w:r>
    </w:p>
    <w:p w:rsidR="0045049F" w:rsidRPr="003E69FB" w:rsidRDefault="0045049F" w:rsidP="003E69FB">
      <w:pPr>
        <w:pStyle w:val="ItemHead"/>
      </w:pPr>
      <w:r w:rsidRPr="003E69FB">
        <w:t>5  Application of amendments</w:t>
      </w:r>
    </w:p>
    <w:p w:rsidR="00E31E55" w:rsidRDefault="0045049F" w:rsidP="003E69FB">
      <w:pPr>
        <w:pStyle w:val="Item"/>
      </w:pPr>
      <w:r w:rsidRPr="003E69FB">
        <w:t>The amendments made by this Schedule apply in relation to the 2017</w:t>
      </w:r>
      <w:r w:rsidR="00E31E55">
        <w:noBreakHyphen/>
      </w:r>
      <w:r w:rsidRPr="003E69FB">
        <w:t>18 income year and later income years.</w:t>
      </w:r>
    </w:p>
    <w:p w:rsidR="000E26D7" w:rsidRDefault="000E26D7" w:rsidP="000E26D7"/>
    <w:p w:rsidR="000E26D7" w:rsidRDefault="000E26D7" w:rsidP="000E26D7">
      <w:pPr>
        <w:pStyle w:val="AssentBk"/>
        <w:keepNext/>
      </w:pPr>
    </w:p>
    <w:p w:rsidR="000E26D7" w:rsidRDefault="000E26D7" w:rsidP="000E26D7">
      <w:pPr>
        <w:pStyle w:val="AssentBk"/>
        <w:keepNext/>
      </w:pPr>
    </w:p>
    <w:p w:rsidR="000E26D7" w:rsidRDefault="000E26D7" w:rsidP="000E26D7">
      <w:pPr>
        <w:pStyle w:val="2ndRd"/>
        <w:keepNext/>
        <w:pBdr>
          <w:top w:val="single" w:sz="2" w:space="1" w:color="auto"/>
        </w:pBdr>
      </w:pPr>
    </w:p>
    <w:p w:rsidR="000E26D7" w:rsidRDefault="000E26D7" w:rsidP="000C5962">
      <w:pPr>
        <w:pStyle w:val="2ndRd"/>
        <w:keepNext/>
        <w:spacing w:line="260" w:lineRule="atLeast"/>
        <w:rPr>
          <w:i/>
        </w:rPr>
      </w:pPr>
      <w:r>
        <w:t>[</w:t>
      </w:r>
      <w:r>
        <w:rPr>
          <w:i/>
        </w:rPr>
        <w:t>Minister’s second reading speech made in—</w:t>
      </w:r>
    </w:p>
    <w:p w:rsidR="000E26D7" w:rsidRDefault="000E26D7" w:rsidP="000C5962">
      <w:pPr>
        <w:pStyle w:val="2ndRd"/>
        <w:keepNext/>
        <w:spacing w:line="260" w:lineRule="atLeast"/>
        <w:rPr>
          <w:i/>
        </w:rPr>
      </w:pPr>
      <w:r>
        <w:rPr>
          <w:i/>
        </w:rPr>
        <w:t>House of Representatives on 28 March 2018</w:t>
      </w:r>
    </w:p>
    <w:p w:rsidR="000E26D7" w:rsidRDefault="000E26D7" w:rsidP="000C5962">
      <w:pPr>
        <w:pStyle w:val="2ndRd"/>
        <w:keepNext/>
        <w:spacing w:line="260" w:lineRule="atLeast"/>
        <w:rPr>
          <w:i/>
        </w:rPr>
      </w:pPr>
      <w:r>
        <w:rPr>
          <w:i/>
        </w:rPr>
        <w:t>Senate on 18 June 2018</w:t>
      </w:r>
      <w:r>
        <w:t>]</w:t>
      </w:r>
    </w:p>
    <w:p w:rsidR="000E26D7" w:rsidRDefault="000E26D7" w:rsidP="000C5962"/>
    <w:p w:rsidR="00253806" w:rsidRPr="000E26D7" w:rsidRDefault="000E26D7" w:rsidP="000E26D7">
      <w:pPr>
        <w:framePr w:hSpace="180" w:wrap="around" w:vAnchor="text" w:hAnchor="page" w:x="2401" w:y="6635"/>
      </w:pPr>
      <w:r>
        <w:t>(73/18)</w:t>
      </w:r>
    </w:p>
    <w:p w:rsidR="000E26D7" w:rsidRDefault="000E26D7"/>
    <w:sectPr w:rsidR="000E26D7" w:rsidSect="0025380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8C" w:rsidRDefault="00C34F8C" w:rsidP="0048364F">
      <w:pPr>
        <w:spacing w:line="240" w:lineRule="auto"/>
      </w:pPr>
      <w:r>
        <w:separator/>
      </w:r>
    </w:p>
  </w:endnote>
  <w:endnote w:type="continuationSeparator" w:id="0">
    <w:p w:rsidR="00C34F8C" w:rsidRDefault="00C34F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5F1388" w:rsidRDefault="00C34F8C" w:rsidP="003E69F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D7" w:rsidRDefault="000E26D7" w:rsidP="00CD12A5">
    <w:pPr>
      <w:pStyle w:val="ScalePlusRef"/>
    </w:pPr>
    <w:r>
      <w:t>Note: An electronic version of this Act is available on the Federal Register of Legislation (</w:t>
    </w:r>
    <w:hyperlink r:id="rId1" w:history="1">
      <w:r>
        <w:t>https://www.legislation.gov.au/</w:t>
      </w:r>
    </w:hyperlink>
    <w:r>
      <w:t>)</w:t>
    </w:r>
  </w:p>
  <w:p w:rsidR="000E26D7" w:rsidRDefault="000E26D7" w:rsidP="00CD12A5"/>
  <w:p w:rsidR="00C34F8C" w:rsidRDefault="00C34F8C" w:rsidP="003E69FB">
    <w:pPr>
      <w:pStyle w:val="Footer"/>
      <w:spacing w:before="120"/>
    </w:pPr>
  </w:p>
  <w:p w:rsidR="00C34F8C" w:rsidRPr="005F1388" w:rsidRDefault="00C34F8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ED79B6" w:rsidRDefault="00C34F8C" w:rsidP="003E69F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Default="00C34F8C" w:rsidP="003E69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4F8C" w:rsidTr="00C34F8C">
      <w:tc>
        <w:tcPr>
          <w:tcW w:w="646" w:type="dxa"/>
        </w:tcPr>
        <w:p w:rsidR="00C34F8C" w:rsidRDefault="00C34F8C" w:rsidP="00C34F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26F">
            <w:rPr>
              <w:i/>
              <w:noProof/>
              <w:sz w:val="18"/>
            </w:rPr>
            <w:t>xiii</w:t>
          </w:r>
          <w:r w:rsidRPr="00ED79B6">
            <w:rPr>
              <w:i/>
              <w:sz w:val="18"/>
            </w:rPr>
            <w:fldChar w:fldCharType="end"/>
          </w:r>
        </w:p>
      </w:tc>
      <w:tc>
        <w:tcPr>
          <w:tcW w:w="5387" w:type="dxa"/>
        </w:tcPr>
        <w:p w:rsidR="00C34F8C" w:rsidRDefault="00C34F8C" w:rsidP="00C34F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426F">
            <w:rPr>
              <w:i/>
              <w:sz w:val="18"/>
            </w:rPr>
            <w:t>Treasury Laws Amendment (Tax Integrity and Other Measures) Act 2018</w:t>
          </w:r>
          <w:r w:rsidRPr="00ED79B6">
            <w:rPr>
              <w:i/>
              <w:sz w:val="18"/>
            </w:rPr>
            <w:fldChar w:fldCharType="end"/>
          </w:r>
        </w:p>
      </w:tc>
      <w:tc>
        <w:tcPr>
          <w:tcW w:w="1270" w:type="dxa"/>
        </w:tcPr>
        <w:p w:rsidR="00C34F8C" w:rsidRDefault="00C34F8C" w:rsidP="00C34F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426F">
            <w:rPr>
              <w:i/>
              <w:sz w:val="18"/>
            </w:rPr>
            <w:t>No. 124, 2018</w:t>
          </w:r>
          <w:r w:rsidRPr="00ED79B6">
            <w:rPr>
              <w:i/>
              <w:sz w:val="18"/>
            </w:rPr>
            <w:fldChar w:fldCharType="end"/>
          </w:r>
        </w:p>
      </w:tc>
    </w:tr>
  </w:tbl>
  <w:p w:rsidR="00C34F8C" w:rsidRDefault="00C34F8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Default="00C34F8C" w:rsidP="003E69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4F8C" w:rsidTr="00C34F8C">
      <w:tc>
        <w:tcPr>
          <w:tcW w:w="1247" w:type="dxa"/>
        </w:tcPr>
        <w:p w:rsidR="00C34F8C" w:rsidRDefault="00C34F8C" w:rsidP="00C34F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426F">
            <w:rPr>
              <w:i/>
              <w:sz w:val="18"/>
            </w:rPr>
            <w:t>No. 124, 2018</w:t>
          </w:r>
          <w:r w:rsidRPr="00ED79B6">
            <w:rPr>
              <w:i/>
              <w:sz w:val="18"/>
            </w:rPr>
            <w:fldChar w:fldCharType="end"/>
          </w:r>
        </w:p>
      </w:tc>
      <w:tc>
        <w:tcPr>
          <w:tcW w:w="5387" w:type="dxa"/>
        </w:tcPr>
        <w:p w:rsidR="00C34F8C" w:rsidRDefault="00C34F8C" w:rsidP="00C34F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426F">
            <w:rPr>
              <w:i/>
              <w:sz w:val="18"/>
            </w:rPr>
            <w:t>Treasury Laws Amendment (Tax Integrity and Other Measures) Act 2018</w:t>
          </w:r>
          <w:r w:rsidRPr="00ED79B6">
            <w:rPr>
              <w:i/>
              <w:sz w:val="18"/>
            </w:rPr>
            <w:fldChar w:fldCharType="end"/>
          </w:r>
        </w:p>
      </w:tc>
      <w:tc>
        <w:tcPr>
          <w:tcW w:w="669" w:type="dxa"/>
        </w:tcPr>
        <w:p w:rsidR="00C34F8C" w:rsidRDefault="00C34F8C" w:rsidP="00C34F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26F">
            <w:rPr>
              <w:i/>
              <w:noProof/>
              <w:sz w:val="18"/>
            </w:rPr>
            <w:t>i</w:t>
          </w:r>
          <w:r w:rsidRPr="00ED79B6">
            <w:rPr>
              <w:i/>
              <w:sz w:val="18"/>
            </w:rPr>
            <w:fldChar w:fldCharType="end"/>
          </w:r>
        </w:p>
      </w:tc>
    </w:tr>
  </w:tbl>
  <w:p w:rsidR="00C34F8C" w:rsidRPr="00ED79B6" w:rsidRDefault="00C34F8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3E69F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4F8C" w:rsidTr="003E69FB">
      <w:tc>
        <w:tcPr>
          <w:tcW w:w="646" w:type="dxa"/>
        </w:tcPr>
        <w:p w:rsidR="00C34F8C" w:rsidRDefault="00C34F8C" w:rsidP="00C34F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426F">
            <w:rPr>
              <w:i/>
              <w:noProof/>
              <w:sz w:val="18"/>
            </w:rPr>
            <w:t>14</w:t>
          </w:r>
          <w:r w:rsidRPr="007A1328">
            <w:rPr>
              <w:i/>
              <w:sz w:val="18"/>
            </w:rPr>
            <w:fldChar w:fldCharType="end"/>
          </w:r>
        </w:p>
      </w:tc>
      <w:tc>
        <w:tcPr>
          <w:tcW w:w="5387" w:type="dxa"/>
        </w:tcPr>
        <w:p w:rsidR="00C34F8C" w:rsidRDefault="00C34F8C" w:rsidP="00C34F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426F">
            <w:rPr>
              <w:i/>
              <w:sz w:val="18"/>
            </w:rPr>
            <w:t>Treasury Laws Amendment (Tax Integrity and Other Measures) Act 2018</w:t>
          </w:r>
          <w:r w:rsidRPr="007A1328">
            <w:rPr>
              <w:i/>
              <w:sz w:val="18"/>
            </w:rPr>
            <w:fldChar w:fldCharType="end"/>
          </w:r>
        </w:p>
      </w:tc>
      <w:tc>
        <w:tcPr>
          <w:tcW w:w="1270" w:type="dxa"/>
        </w:tcPr>
        <w:p w:rsidR="00C34F8C" w:rsidRDefault="00C34F8C" w:rsidP="00C34F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426F">
            <w:rPr>
              <w:i/>
              <w:sz w:val="18"/>
            </w:rPr>
            <w:t>No. 124, 2018</w:t>
          </w:r>
          <w:r w:rsidRPr="007A1328">
            <w:rPr>
              <w:i/>
              <w:sz w:val="18"/>
            </w:rPr>
            <w:fldChar w:fldCharType="end"/>
          </w:r>
        </w:p>
      </w:tc>
    </w:tr>
  </w:tbl>
  <w:p w:rsidR="00C34F8C" w:rsidRPr="00A961C4" w:rsidRDefault="00C34F8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3E69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4F8C" w:rsidTr="003E69FB">
      <w:tc>
        <w:tcPr>
          <w:tcW w:w="1247" w:type="dxa"/>
        </w:tcPr>
        <w:p w:rsidR="00C34F8C" w:rsidRDefault="00C34F8C" w:rsidP="00C34F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426F">
            <w:rPr>
              <w:i/>
              <w:sz w:val="18"/>
            </w:rPr>
            <w:t>No. 124, 2018</w:t>
          </w:r>
          <w:r w:rsidRPr="007A1328">
            <w:rPr>
              <w:i/>
              <w:sz w:val="18"/>
            </w:rPr>
            <w:fldChar w:fldCharType="end"/>
          </w:r>
        </w:p>
      </w:tc>
      <w:tc>
        <w:tcPr>
          <w:tcW w:w="5387" w:type="dxa"/>
        </w:tcPr>
        <w:p w:rsidR="00C34F8C" w:rsidRDefault="00C34F8C" w:rsidP="00C34F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426F">
            <w:rPr>
              <w:i/>
              <w:sz w:val="18"/>
            </w:rPr>
            <w:t>Treasury Laws Amendment (Tax Integrity and Other Measures) Act 2018</w:t>
          </w:r>
          <w:r w:rsidRPr="007A1328">
            <w:rPr>
              <w:i/>
              <w:sz w:val="18"/>
            </w:rPr>
            <w:fldChar w:fldCharType="end"/>
          </w:r>
        </w:p>
      </w:tc>
      <w:tc>
        <w:tcPr>
          <w:tcW w:w="669" w:type="dxa"/>
        </w:tcPr>
        <w:p w:rsidR="00C34F8C" w:rsidRDefault="00C34F8C" w:rsidP="00C34F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426F">
            <w:rPr>
              <w:i/>
              <w:noProof/>
              <w:sz w:val="18"/>
            </w:rPr>
            <w:t>13</w:t>
          </w:r>
          <w:r w:rsidRPr="007A1328">
            <w:rPr>
              <w:i/>
              <w:sz w:val="18"/>
            </w:rPr>
            <w:fldChar w:fldCharType="end"/>
          </w:r>
        </w:p>
      </w:tc>
    </w:tr>
  </w:tbl>
  <w:p w:rsidR="00C34F8C" w:rsidRPr="00055B5C" w:rsidRDefault="00C34F8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3E69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4F8C" w:rsidTr="003E69FB">
      <w:tc>
        <w:tcPr>
          <w:tcW w:w="1247" w:type="dxa"/>
        </w:tcPr>
        <w:p w:rsidR="00C34F8C" w:rsidRDefault="00C34F8C" w:rsidP="00C34F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426F">
            <w:rPr>
              <w:i/>
              <w:sz w:val="18"/>
            </w:rPr>
            <w:t>No. 124, 2018</w:t>
          </w:r>
          <w:r w:rsidRPr="007A1328">
            <w:rPr>
              <w:i/>
              <w:sz w:val="18"/>
            </w:rPr>
            <w:fldChar w:fldCharType="end"/>
          </w:r>
        </w:p>
      </w:tc>
      <w:tc>
        <w:tcPr>
          <w:tcW w:w="5387" w:type="dxa"/>
        </w:tcPr>
        <w:p w:rsidR="00C34F8C" w:rsidRDefault="00C34F8C" w:rsidP="00C34F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426F">
            <w:rPr>
              <w:i/>
              <w:sz w:val="18"/>
            </w:rPr>
            <w:t>Treasury Laws Amendment (Tax Integrity and Other Measures) Act 2018</w:t>
          </w:r>
          <w:r w:rsidRPr="007A1328">
            <w:rPr>
              <w:i/>
              <w:sz w:val="18"/>
            </w:rPr>
            <w:fldChar w:fldCharType="end"/>
          </w:r>
        </w:p>
      </w:tc>
      <w:tc>
        <w:tcPr>
          <w:tcW w:w="669" w:type="dxa"/>
        </w:tcPr>
        <w:p w:rsidR="00C34F8C" w:rsidRDefault="00C34F8C" w:rsidP="00C34F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F426F">
            <w:rPr>
              <w:i/>
              <w:noProof/>
              <w:sz w:val="18"/>
            </w:rPr>
            <w:t>1</w:t>
          </w:r>
          <w:r w:rsidRPr="007A1328">
            <w:rPr>
              <w:i/>
              <w:sz w:val="18"/>
            </w:rPr>
            <w:fldChar w:fldCharType="end"/>
          </w:r>
        </w:p>
      </w:tc>
    </w:tr>
  </w:tbl>
  <w:p w:rsidR="00C34F8C" w:rsidRPr="00A961C4" w:rsidRDefault="00C34F8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8C" w:rsidRDefault="00C34F8C" w:rsidP="0048364F">
      <w:pPr>
        <w:spacing w:line="240" w:lineRule="auto"/>
      </w:pPr>
      <w:r>
        <w:separator/>
      </w:r>
    </w:p>
  </w:footnote>
  <w:footnote w:type="continuationSeparator" w:id="0">
    <w:p w:rsidR="00C34F8C" w:rsidRDefault="00C34F8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5F1388" w:rsidRDefault="00C34F8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5F1388" w:rsidRDefault="00C34F8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5F1388" w:rsidRDefault="00C34F8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ED79B6" w:rsidRDefault="00C34F8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ED79B6" w:rsidRDefault="00C34F8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ED79B6" w:rsidRDefault="00C34F8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48364F">
    <w:pPr>
      <w:rPr>
        <w:b/>
        <w:sz w:val="20"/>
      </w:rPr>
    </w:pPr>
    <w:r>
      <w:rPr>
        <w:b/>
        <w:sz w:val="20"/>
      </w:rPr>
      <w:fldChar w:fldCharType="begin"/>
    </w:r>
    <w:r>
      <w:rPr>
        <w:b/>
        <w:sz w:val="20"/>
      </w:rPr>
      <w:instrText xml:space="preserve"> STYLEREF CharAmSchNo </w:instrText>
    </w:r>
    <w:r w:rsidR="00AF426F">
      <w:rPr>
        <w:b/>
        <w:sz w:val="20"/>
      </w:rPr>
      <w:fldChar w:fldCharType="separate"/>
    </w:r>
    <w:r w:rsidR="00AF426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F426F">
      <w:rPr>
        <w:sz w:val="20"/>
      </w:rPr>
      <w:fldChar w:fldCharType="separate"/>
    </w:r>
    <w:r w:rsidR="00AF426F">
      <w:rPr>
        <w:noProof/>
        <w:sz w:val="20"/>
      </w:rPr>
      <w:t>Tax exemption for payments made under the Defence Force Ombudsman Scheme</w:t>
    </w:r>
    <w:r>
      <w:rPr>
        <w:sz w:val="20"/>
      </w:rPr>
      <w:fldChar w:fldCharType="end"/>
    </w:r>
  </w:p>
  <w:p w:rsidR="00C34F8C" w:rsidRPr="00A961C4" w:rsidRDefault="00C34F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34F8C" w:rsidRPr="00A961C4" w:rsidRDefault="00C34F8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48364F">
    <w:pPr>
      <w:jc w:val="right"/>
      <w:rPr>
        <w:sz w:val="20"/>
      </w:rPr>
    </w:pPr>
    <w:r w:rsidRPr="00A961C4">
      <w:rPr>
        <w:sz w:val="20"/>
      </w:rPr>
      <w:fldChar w:fldCharType="begin"/>
    </w:r>
    <w:r w:rsidRPr="00A961C4">
      <w:rPr>
        <w:sz w:val="20"/>
      </w:rPr>
      <w:instrText xml:space="preserve"> STYLEREF CharAmSchText </w:instrText>
    </w:r>
    <w:r w:rsidR="00AF426F">
      <w:rPr>
        <w:sz w:val="20"/>
      </w:rPr>
      <w:fldChar w:fldCharType="separate"/>
    </w:r>
    <w:r w:rsidR="00AF426F">
      <w:rPr>
        <w:noProof/>
        <w:sz w:val="20"/>
      </w:rPr>
      <w:t>Tax exemption for payments made under the Defence Force Ombudsman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F426F">
      <w:rPr>
        <w:b/>
        <w:sz w:val="20"/>
      </w:rPr>
      <w:fldChar w:fldCharType="separate"/>
    </w:r>
    <w:r w:rsidR="00AF426F">
      <w:rPr>
        <w:b/>
        <w:noProof/>
        <w:sz w:val="20"/>
      </w:rPr>
      <w:t>Schedule 4</w:t>
    </w:r>
    <w:r>
      <w:rPr>
        <w:b/>
        <w:sz w:val="20"/>
      </w:rPr>
      <w:fldChar w:fldCharType="end"/>
    </w:r>
  </w:p>
  <w:p w:rsidR="00C34F8C" w:rsidRPr="00A961C4" w:rsidRDefault="00C34F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34F8C" w:rsidRPr="00A961C4" w:rsidRDefault="00C34F8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8C" w:rsidRPr="00A961C4" w:rsidRDefault="00C34F8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01"/>
    <w:rsid w:val="000113BC"/>
    <w:rsid w:val="000136AF"/>
    <w:rsid w:val="000417C9"/>
    <w:rsid w:val="00055B5C"/>
    <w:rsid w:val="00056391"/>
    <w:rsid w:val="00060FF9"/>
    <w:rsid w:val="000614BF"/>
    <w:rsid w:val="000B1FD2"/>
    <w:rsid w:val="000D05EF"/>
    <w:rsid w:val="000E26D7"/>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5701"/>
    <w:rsid w:val="001E7407"/>
    <w:rsid w:val="00201D27"/>
    <w:rsid w:val="00202618"/>
    <w:rsid w:val="0021254F"/>
    <w:rsid w:val="00240749"/>
    <w:rsid w:val="00245F25"/>
    <w:rsid w:val="00253806"/>
    <w:rsid w:val="00263820"/>
    <w:rsid w:val="00275197"/>
    <w:rsid w:val="00276DBD"/>
    <w:rsid w:val="00293B89"/>
    <w:rsid w:val="00297ECB"/>
    <w:rsid w:val="002B5A30"/>
    <w:rsid w:val="002D043A"/>
    <w:rsid w:val="002D395A"/>
    <w:rsid w:val="0033387A"/>
    <w:rsid w:val="003415D3"/>
    <w:rsid w:val="00350417"/>
    <w:rsid w:val="00352B0F"/>
    <w:rsid w:val="00375C6C"/>
    <w:rsid w:val="003A467E"/>
    <w:rsid w:val="003A7B3C"/>
    <w:rsid w:val="003C5F2B"/>
    <w:rsid w:val="003D0BFE"/>
    <w:rsid w:val="003D5700"/>
    <w:rsid w:val="003E69FB"/>
    <w:rsid w:val="003F2893"/>
    <w:rsid w:val="00405579"/>
    <w:rsid w:val="00405F87"/>
    <w:rsid w:val="00410B8E"/>
    <w:rsid w:val="004116CD"/>
    <w:rsid w:val="00421FC1"/>
    <w:rsid w:val="004229C7"/>
    <w:rsid w:val="00424CA9"/>
    <w:rsid w:val="00432B0F"/>
    <w:rsid w:val="00436785"/>
    <w:rsid w:val="00436BD5"/>
    <w:rsid w:val="00437E4B"/>
    <w:rsid w:val="0044291A"/>
    <w:rsid w:val="0045049F"/>
    <w:rsid w:val="0048196B"/>
    <w:rsid w:val="0048364F"/>
    <w:rsid w:val="00496F97"/>
    <w:rsid w:val="004C7C8C"/>
    <w:rsid w:val="004E2A4A"/>
    <w:rsid w:val="004E6CA5"/>
    <w:rsid w:val="004F0D23"/>
    <w:rsid w:val="004F1FAC"/>
    <w:rsid w:val="00504C58"/>
    <w:rsid w:val="00516B8D"/>
    <w:rsid w:val="00533CDB"/>
    <w:rsid w:val="00537FBC"/>
    <w:rsid w:val="00543469"/>
    <w:rsid w:val="00551B54"/>
    <w:rsid w:val="00575AB9"/>
    <w:rsid w:val="00584811"/>
    <w:rsid w:val="00593AA6"/>
    <w:rsid w:val="00594161"/>
    <w:rsid w:val="00594749"/>
    <w:rsid w:val="005A0D92"/>
    <w:rsid w:val="005A74D0"/>
    <w:rsid w:val="005B4067"/>
    <w:rsid w:val="005C3F41"/>
    <w:rsid w:val="005E152A"/>
    <w:rsid w:val="00600219"/>
    <w:rsid w:val="006120F5"/>
    <w:rsid w:val="00641DE5"/>
    <w:rsid w:val="006545CD"/>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2C59"/>
    <w:rsid w:val="008F4F1C"/>
    <w:rsid w:val="008F77C4"/>
    <w:rsid w:val="009103F3"/>
    <w:rsid w:val="009276E4"/>
    <w:rsid w:val="00932377"/>
    <w:rsid w:val="00962C66"/>
    <w:rsid w:val="009655EB"/>
    <w:rsid w:val="00967042"/>
    <w:rsid w:val="0098255A"/>
    <w:rsid w:val="009845BE"/>
    <w:rsid w:val="009969C9"/>
    <w:rsid w:val="009A06AB"/>
    <w:rsid w:val="009B53E1"/>
    <w:rsid w:val="009C7EA8"/>
    <w:rsid w:val="00A048FF"/>
    <w:rsid w:val="00A10775"/>
    <w:rsid w:val="00A231E2"/>
    <w:rsid w:val="00A36C48"/>
    <w:rsid w:val="00A41E0B"/>
    <w:rsid w:val="00A50850"/>
    <w:rsid w:val="00A55631"/>
    <w:rsid w:val="00A64912"/>
    <w:rsid w:val="00A70A74"/>
    <w:rsid w:val="00AA3795"/>
    <w:rsid w:val="00AA7E93"/>
    <w:rsid w:val="00AC1E75"/>
    <w:rsid w:val="00AD5641"/>
    <w:rsid w:val="00AE1088"/>
    <w:rsid w:val="00AF1BA4"/>
    <w:rsid w:val="00AF384D"/>
    <w:rsid w:val="00AF426F"/>
    <w:rsid w:val="00B032D8"/>
    <w:rsid w:val="00B33B3C"/>
    <w:rsid w:val="00B60590"/>
    <w:rsid w:val="00B6382D"/>
    <w:rsid w:val="00BA3C37"/>
    <w:rsid w:val="00BA5026"/>
    <w:rsid w:val="00BB40BF"/>
    <w:rsid w:val="00BB564E"/>
    <w:rsid w:val="00BB7C2C"/>
    <w:rsid w:val="00BC0CD1"/>
    <w:rsid w:val="00BD35DA"/>
    <w:rsid w:val="00BE02C4"/>
    <w:rsid w:val="00BE719A"/>
    <w:rsid w:val="00BE720A"/>
    <w:rsid w:val="00BF0461"/>
    <w:rsid w:val="00BF4944"/>
    <w:rsid w:val="00BF56D4"/>
    <w:rsid w:val="00C04409"/>
    <w:rsid w:val="00C067E5"/>
    <w:rsid w:val="00C164CA"/>
    <w:rsid w:val="00C176CF"/>
    <w:rsid w:val="00C34F8C"/>
    <w:rsid w:val="00C42BF8"/>
    <w:rsid w:val="00C460AE"/>
    <w:rsid w:val="00C50043"/>
    <w:rsid w:val="00C54E84"/>
    <w:rsid w:val="00C7573B"/>
    <w:rsid w:val="00C76CF3"/>
    <w:rsid w:val="00CE1E31"/>
    <w:rsid w:val="00CF0BB2"/>
    <w:rsid w:val="00D00EAA"/>
    <w:rsid w:val="00D13441"/>
    <w:rsid w:val="00D15B78"/>
    <w:rsid w:val="00D243A3"/>
    <w:rsid w:val="00D477C3"/>
    <w:rsid w:val="00D52EFE"/>
    <w:rsid w:val="00D63EF6"/>
    <w:rsid w:val="00D70DFB"/>
    <w:rsid w:val="00D73029"/>
    <w:rsid w:val="00D766DF"/>
    <w:rsid w:val="00DE2002"/>
    <w:rsid w:val="00DF3A3B"/>
    <w:rsid w:val="00DF7AE9"/>
    <w:rsid w:val="00E05704"/>
    <w:rsid w:val="00E12ABA"/>
    <w:rsid w:val="00E24D66"/>
    <w:rsid w:val="00E31E55"/>
    <w:rsid w:val="00E54292"/>
    <w:rsid w:val="00E74DC7"/>
    <w:rsid w:val="00E87699"/>
    <w:rsid w:val="00E947C6"/>
    <w:rsid w:val="00ED492F"/>
    <w:rsid w:val="00EF2E3A"/>
    <w:rsid w:val="00F047E2"/>
    <w:rsid w:val="00F070E9"/>
    <w:rsid w:val="00F078DC"/>
    <w:rsid w:val="00F13E86"/>
    <w:rsid w:val="00F17B00"/>
    <w:rsid w:val="00F677A9"/>
    <w:rsid w:val="00F84CF5"/>
    <w:rsid w:val="00F92D35"/>
    <w:rsid w:val="00FA420B"/>
    <w:rsid w:val="00FD1E13"/>
    <w:rsid w:val="00FD7EB1"/>
    <w:rsid w:val="00FE41C9"/>
    <w:rsid w:val="00FE4CB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9FB"/>
    <w:pPr>
      <w:spacing w:line="260" w:lineRule="atLeast"/>
    </w:pPr>
    <w:rPr>
      <w:sz w:val="22"/>
    </w:rPr>
  </w:style>
  <w:style w:type="paragraph" w:styleId="Heading1">
    <w:name w:val="heading 1"/>
    <w:basedOn w:val="Normal"/>
    <w:next w:val="Normal"/>
    <w:link w:val="Heading1Char"/>
    <w:uiPriority w:val="9"/>
    <w:qFormat/>
    <w:rsid w:val="009A0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06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06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06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06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06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06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06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06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69FB"/>
  </w:style>
  <w:style w:type="paragraph" w:customStyle="1" w:styleId="OPCParaBase">
    <w:name w:val="OPCParaBase"/>
    <w:link w:val="OPCParaBaseChar"/>
    <w:qFormat/>
    <w:rsid w:val="003E69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69FB"/>
    <w:pPr>
      <w:spacing w:line="240" w:lineRule="auto"/>
    </w:pPr>
    <w:rPr>
      <w:b/>
      <w:sz w:val="40"/>
    </w:rPr>
  </w:style>
  <w:style w:type="paragraph" w:customStyle="1" w:styleId="ActHead1">
    <w:name w:val="ActHead 1"/>
    <w:aliases w:val="c"/>
    <w:basedOn w:val="OPCParaBase"/>
    <w:next w:val="Normal"/>
    <w:qFormat/>
    <w:rsid w:val="003E69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69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69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69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69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69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69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69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69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69FB"/>
  </w:style>
  <w:style w:type="paragraph" w:customStyle="1" w:styleId="Blocks">
    <w:name w:val="Blocks"/>
    <w:aliases w:val="bb"/>
    <w:basedOn w:val="OPCParaBase"/>
    <w:qFormat/>
    <w:rsid w:val="003E69FB"/>
    <w:pPr>
      <w:spacing w:line="240" w:lineRule="auto"/>
    </w:pPr>
    <w:rPr>
      <w:sz w:val="24"/>
    </w:rPr>
  </w:style>
  <w:style w:type="paragraph" w:customStyle="1" w:styleId="BoxText">
    <w:name w:val="BoxText"/>
    <w:aliases w:val="bt"/>
    <w:basedOn w:val="OPCParaBase"/>
    <w:qFormat/>
    <w:rsid w:val="003E69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69FB"/>
    <w:rPr>
      <w:b/>
    </w:rPr>
  </w:style>
  <w:style w:type="paragraph" w:customStyle="1" w:styleId="BoxHeadItalic">
    <w:name w:val="BoxHeadItalic"/>
    <w:aliases w:val="bhi"/>
    <w:basedOn w:val="BoxText"/>
    <w:next w:val="BoxStep"/>
    <w:qFormat/>
    <w:rsid w:val="003E69FB"/>
    <w:rPr>
      <w:i/>
    </w:rPr>
  </w:style>
  <w:style w:type="paragraph" w:customStyle="1" w:styleId="BoxList">
    <w:name w:val="BoxList"/>
    <w:aliases w:val="bl"/>
    <w:basedOn w:val="BoxText"/>
    <w:qFormat/>
    <w:rsid w:val="003E69FB"/>
    <w:pPr>
      <w:ind w:left="1559" w:hanging="425"/>
    </w:pPr>
  </w:style>
  <w:style w:type="paragraph" w:customStyle="1" w:styleId="BoxNote">
    <w:name w:val="BoxNote"/>
    <w:aliases w:val="bn"/>
    <w:basedOn w:val="BoxText"/>
    <w:qFormat/>
    <w:rsid w:val="003E69FB"/>
    <w:pPr>
      <w:tabs>
        <w:tab w:val="left" w:pos="1985"/>
      </w:tabs>
      <w:spacing w:before="122" w:line="198" w:lineRule="exact"/>
      <w:ind w:left="2948" w:hanging="1814"/>
    </w:pPr>
    <w:rPr>
      <w:sz w:val="18"/>
    </w:rPr>
  </w:style>
  <w:style w:type="paragraph" w:customStyle="1" w:styleId="BoxPara">
    <w:name w:val="BoxPara"/>
    <w:aliases w:val="bp"/>
    <w:basedOn w:val="BoxText"/>
    <w:qFormat/>
    <w:rsid w:val="003E69FB"/>
    <w:pPr>
      <w:tabs>
        <w:tab w:val="right" w:pos="2268"/>
      </w:tabs>
      <w:ind w:left="2552" w:hanging="1418"/>
    </w:pPr>
  </w:style>
  <w:style w:type="paragraph" w:customStyle="1" w:styleId="BoxStep">
    <w:name w:val="BoxStep"/>
    <w:aliases w:val="bs"/>
    <w:basedOn w:val="BoxText"/>
    <w:qFormat/>
    <w:rsid w:val="003E69FB"/>
    <w:pPr>
      <w:ind w:left="1985" w:hanging="851"/>
    </w:pPr>
  </w:style>
  <w:style w:type="character" w:customStyle="1" w:styleId="CharAmPartNo">
    <w:name w:val="CharAmPartNo"/>
    <w:basedOn w:val="OPCCharBase"/>
    <w:qFormat/>
    <w:rsid w:val="003E69FB"/>
  </w:style>
  <w:style w:type="character" w:customStyle="1" w:styleId="CharAmPartText">
    <w:name w:val="CharAmPartText"/>
    <w:basedOn w:val="OPCCharBase"/>
    <w:qFormat/>
    <w:rsid w:val="003E69FB"/>
  </w:style>
  <w:style w:type="character" w:customStyle="1" w:styleId="CharAmSchNo">
    <w:name w:val="CharAmSchNo"/>
    <w:basedOn w:val="OPCCharBase"/>
    <w:qFormat/>
    <w:rsid w:val="003E69FB"/>
  </w:style>
  <w:style w:type="character" w:customStyle="1" w:styleId="CharAmSchText">
    <w:name w:val="CharAmSchText"/>
    <w:basedOn w:val="OPCCharBase"/>
    <w:qFormat/>
    <w:rsid w:val="003E69FB"/>
  </w:style>
  <w:style w:type="character" w:customStyle="1" w:styleId="CharBoldItalic">
    <w:name w:val="CharBoldItalic"/>
    <w:basedOn w:val="OPCCharBase"/>
    <w:uiPriority w:val="1"/>
    <w:qFormat/>
    <w:rsid w:val="003E69FB"/>
    <w:rPr>
      <w:b/>
      <w:i/>
    </w:rPr>
  </w:style>
  <w:style w:type="character" w:customStyle="1" w:styleId="CharChapNo">
    <w:name w:val="CharChapNo"/>
    <w:basedOn w:val="OPCCharBase"/>
    <w:uiPriority w:val="1"/>
    <w:qFormat/>
    <w:rsid w:val="003E69FB"/>
  </w:style>
  <w:style w:type="character" w:customStyle="1" w:styleId="CharChapText">
    <w:name w:val="CharChapText"/>
    <w:basedOn w:val="OPCCharBase"/>
    <w:uiPriority w:val="1"/>
    <w:qFormat/>
    <w:rsid w:val="003E69FB"/>
  </w:style>
  <w:style w:type="character" w:customStyle="1" w:styleId="CharDivNo">
    <w:name w:val="CharDivNo"/>
    <w:basedOn w:val="OPCCharBase"/>
    <w:uiPriority w:val="1"/>
    <w:qFormat/>
    <w:rsid w:val="003E69FB"/>
  </w:style>
  <w:style w:type="character" w:customStyle="1" w:styleId="CharDivText">
    <w:name w:val="CharDivText"/>
    <w:basedOn w:val="OPCCharBase"/>
    <w:uiPriority w:val="1"/>
    <w:qFormat/>
    <w:rsid w:val="003E69FB"/>
  </w:style>
  <w:style w:type="character" w:customStyle="1" w:styleId="CharItalic">
    <w:name w:val="CharItalic"/>
    <w:basedOn w:val="OPCCharBase"/>
    <w:uiPriority w:val="1"/>
    <w:qFormat/>
    <w:rsid w:val="003E69FB"/>
    <w:rPr>
      <w:i/>
    </w:rPr>
  </w:style>
  <w:style w:type="character" w:customStyle="1" w:styleId="CharPartNo">
    <w:name w:val="CharPartNo"/>
    <w:basedOn w:val="OPCCharBase"/>
    <w:uiPriority w:val="1"/>
    <w:qFormat/>
    <w:rsid w:val="003E69FB"/>
  </w:style>
  <w:style w:type="character" w:customStyle="1" w:styleId="CharPartText">
    <w:name w:val="CharPartText"/>
    <w:basedOn w:val="OPCCharBase"/>
    <w:uiPriority w:val="1"/>
    <w:qFormat/>
    <w:rsid w:val="003E69FB"/>
  </w:style>
  <w:style w:type="character" w:customStyle="1" w:styleId="CharSectno">
    <w:name w:val="CharSectno"/>
    <w:basedOn w:val="OPCCharBase"/>
    <w:uiPriority w:val="1"/>
    <w:qFormat/>
    <w:rsid w:val="003E69FB"/>
  </w:style>
  <w:style w:type="character" w:customStyle="1" w:styleId="CharSubdNo">
    <w:name w:val="CharSubdNo"/>
    <w:basedOn w:val="OPCCharBase"/>
    <w:uiPriority w:val="1"/>
    <w:qFormat/>
    <w:rsid w:val="003E69FB"/>
  </w:style>
  <w:style w:type="character" w:customStyle="1" w:styleId="CharSubdText">
    <w:name w:val="CharSubdText"/>
    <w:basedOn w:val="OPCCharBase"/>
    <w:uiPriority w:val="1"/>
    <w:qFormat/>
    <w:rsid w:val="003E69FB"/>
  </w:style>
  <w:style w:type="paragraph" w:customStyle="1" w:styleId="CTA--">
    <w:name w:val="CTA --"/>
    <w:basedOn w:val="OPCParaBase"/>
    <w:next w:val="Normal"/>
    <w:rsid w:val="003E69FB"/>
    <w:pPr>
      <w:spacing w:before="60" w:line="240" w:lineRule="atLeast"/>
      <w:ind w:left="142" w:hanging="142"/>
    </w:pPr>
    <w:rPr>
      <w:sz w:val="20"/>
    </w:rPr>
  </w:style>
  <w:style w:type="paragraph" w:customStyle="1" w:styleId="CTA-">
    <w:name w:val="CTA -"/>
    <w:basedOn w:val="OPCParaBase"/>
    <w:rsid w:val="003E69FB"/>
    <w:pPr>
      <w:spacing w:before="60" w:line="240" w:lineRule="atLeast"/>
      <w:ind w:left="85" w:hanging="85"/>
    </w:pPr>
    <w:rPr>
      <w:sz w:val="20"/>
    </w:rPr>
  </w:style>
  <w:style w:type="paragraph" w:customStyle="1" w:styleId="CTA---">
    <w:name w:val="CTA ---"/>
    <w:basedOn w:val="OPCParaBase"/>
    <w:next w:val="Normal"/>
    <w:rsid w:val="003E69FB"/>
    <w:pPr>
      <w:spacing w:before="60" w:line="240" w:lineRule="atLeast"/>
      <w:ind w:left="198" w:hanging="198"/>
    </w:pPr>
    <w:rPr>
      <w:sz w:val="20"/>
    </w:rPr>
  </w:style>
  <w:style w:type="paragraph" w:customStyle="1" w:styleId="CTA----">
    <w:name w:val="CTA ----"/>
    <w:basedOn w:val="OPCParaBase"/>
    <w:next w:val="Normal"/>
    <w:rsid w:val="003E69FB"/>
    <w:pPr>
      <w:spacing w:before="60" w:line="240" w:lineRule="atLeast"/>
      <w:ind w:left="255" w:hanging="255"/>
    </w:pPr>
    <w:rPr>
      <w:sz w:val="20"/>
    </w:rPr>
  </w:style>
  <w:style w:type="paragraph" w:customStyle="1" w:styleId="CTA1a">
    <w:name w:val="CTA 1(a)"/>
    <w:basedOn w:val="OPCParaBase"/>
    <w:rsid w:val="003E69FB"/>
    <w:pPr>
      <w:tabs>
        <w:tab w:val="right" w:pos="414"/>
      </w:tabs>
      <w:spacing w:before="40" w:line="240" w:lineRule="atLeast"/>
      <w:ind w:left="675" w:hanging="675"/>
    </w:pPr>
    <w:rPr>
      <w:sz w:val="20"/>
    </w:rPr>
  </w:style>
  <w:style w:type="paragraph" w:customStyle="1" w:styleId="CTA1ai">
    <w:name w:val="CTA 1(a)(i)"/>
    <w:basedOn w:val="OPCParaBase"/>
    <w:rsid w:val="003E69FB"/>
    <w:pPr>
      <w:tabs>
        <w:tab w:val="right" w:pos="1004"/>
      </w:tabs>
      <w:spacing w:before="40" w:line="240" w:lineRule="atLeast"/>
      <w:ind w:left="1253" w:hanging="1253"/>
    </w:pPr>
    <w:rPr>
      <w:sz w:val="20"/>
    </w:rPr>
  </w:style>
  <w:style w:type="paragraph" w:customStyle="1" w:styleId="CTA2a">
    <w:name w:val="CTA 2(a)"/>
    <w:basedOn w:val="OPCParaBase"/>
    <w:rsid w:val="003E69FB"/>
    <w:pPr>
      <w:tabs>
        <w:tab w:val="right" w:pos="482"/>
      </w:tabs>
      <w:spacing w:before="40" w:line="240" w:lineRule="atLeast"/>
      <w:ind w:left="748" w:hanging="748"/>
    </w:pPr>
    <w:rPr>
      <w:sz w:val="20"/>
    </w:rPr>
  </w:style>
  <w:style w:type="paragraph" w:customStyle="1" w:styleId="CTA2ai">
    <w:name w:val="CTA 2(a)(i)"/>
    <w:basedOn w:val="OPCParaBase"/>
    <w:rsid w:val="003E69FB"/>
    <w:pPr>
      <w:tabs>
        <w:tab w:val="right" w:pos="1089"/>
      </w:tabs>
      <w:spacing w:before="40" w:line="240" w:lineRule="atLeast"/>
      <w:ind w:left="1327" w:hanging="1327"/>
    </w:pPr>
    <w:rPr>
      <w:sz w:val="20"/>
    </w:rPr>
  </w:style>
  <w:style w:type="paragraph" w:customStyle="1" w:styleId="CTA3a">
    <w:name w:val="CTA 3(a)"/>
    <w:basedOn w:val="OPCParaBase"/>
    <w:rsid w:val="003E69FB"/>
    <w:pPr>
      <w:tabs>
        <w:tab w:val="right" w:pos="556"/>
      </w:tabs>
      <w:spacing w:before="40" w:line="240" w:lineRule="atLeast"/>
      <w:ind w:left="805" w:hanging="805"/>
    </w:pPr>
    <w:rPr>
      <w:sz w:val="20"/>
    </w:rPr>
  </w:style>
  <w:style w:type="paragraph" w:customStyle="1" w:styleId="CTA3ai">
    <w:name w:val="CTA 3(a)(i)"/>
    <w:basedOn w:val="OPCParaBase"/>
    <w:rsid w:val="003E69FB"/>
    <w:pPr>
      <w:tabs>
        <w:tab w:val="right" w:pos="1140"/>
      </w:tabs>
      <w:spacing w:before="40" w:line="240" w:lineRule="atLeast"/>
      <w:ind w:left="1361" w:hanging="1361"/>
    </w:pPr>
    <w:rPr>
      <w:sz w:val="20"/>
    </w:rPr>
  </w:style>
  <w:style w:type="paragraph" w:customStyle="1" w:styleId="CTA4a">
    <w:name w:val="CTA 4(a)"/>
    <w:basedOn w:val="OPCParaBase"/>
    <w:rsid w:val="003E69FB"/>
    <w:pPr>
      <w:tabs>
        <w:tab w:val="right" w:pos="624"/>
      </w:tabs>
      <w:spacing w:before="40" w:line="240" w:lineRule="atLeast"/>
      <w:ind w:left="873" w:hanging="873"/>
    </w:pPr>
    <w:rPr>
      <w:sz w:val="20"/>
    </w:rPr>
  </w:style>
  <w:style w:type="paragraph" w:customStyle="1" w:styleId="CTA4ai">
    <w:name w:val="CTA 4(a)(i)"/>
    <w:basedOn w:val="OPCParaBase"/>
    <w:rsid w:val="003E69FB"/>
    <w:pPr>
      <w:tabs>
        <w:tab w:val="right" w:pos="1213"/>
      </w:tabs>
      <w:spacing w:before="40" w:line="240" w:lineRule="atLeast"/>
      <w:ind w:left="1452" w:hanging="1452"/>
    </w:pPr>
    <w:rPr>
      <w:sz w:val="20"/>
    </w:rPr>
  </w:style>
  <w:style w:type="paragraph" w:customStyle="1" w:styleId="CTACAPS">
    <w:name w:val="CTA CAPS"/>
    <w:basedOn w:val="OPCParaBase"/>
    <w:rsid w:val="003E69FB"/>
    <w:pPr>
      <w:spacing w:before="60" w:line="240" w:lineRule="atLeast"/>
    </w:pPr>
    <w:rPr>
      <w:sz w:val="20"/>
    </w:rPr>
  </w:style>
  <w:style w:type="paragraph" w:customStyle="1" w:styleId="CTAright">
    <w:name w:val="CTA right"/>
    <w:basedOn w:val="OPCParaBase"/>
    <w:rsid w:val="003E69FB"/>
    <w:pPr>
      <w:spacing w:before="60" w:line="240" w:lineRule="auto"/>
      <w:jc w:val="right"/>
    </w:pPr>
    <w:rPr>
      <w:sz w:val="20"/>
    </w:rPr>
  </w:style>
  <w:style w:type="paragraph" w:customStyle="1" w:styleId="subsection">
    <w:name w:val="subsection"/>
    <w:aliases w:val="ss"/>
    <w:basedOn w:val="OPCParaBase"/>
    <w:link w:val="subsectionChar"/>
    <w:rsid w:val="003E69FB"/>
    <w:pPr>
      <w:tabs>
        <w:tab w:val="right" w:pos="1021"/>
      </w:tabs>
      <w:spacing w:before="180" w:line="240" w:lineRule="auto"/>
      <w:ind w:left="1134" w:hanging="1134"/>
    </w:pPr>
  </w:style>
  <w:style w:type="paragraph" w:customStyle="1" w:styleId="Definition">
    <w:name w:val="Definition"/>
    <w:aliases w:val="dd"/>
    <w:basedOn w:val="OPCParaBase"/>
    <w:rsid w:val="003E69FB"/>
    <w:pPr>
      <w:spacing w:before="180" w:line="240" w:lineRule="auto"/>
      <w:ind w:left="1134"/>
    </w:pPr>
  </w:style>
  <w:style w:type="paragraph" w:customStyle="1" w:styleId="ETAsubitem">
    <w:name w:val="ETA(subitem)"/>
    <w:basedOn w:val="OPCParaBase"/>
    <w:rsid w:val="003E69FB"/>
    <w:pPr>
      <w:tabs>
        <w:tab w:val="right" w:pos="340"/>
      </w:tabs>
      <w:spacing w:before="60" w:line="240" w:lineRule="auto"/>
      <w:ind w:left="454" w:hanging="454"/>
    </w:pPr>
    <w:rPr>
      <w:sz w:val="20"/>
    </w:rPr>
  </w:style>
  <w:style w:type="paragraph" w:customStyle="1" w:styleId="ETApara">
    <w:name w:val="ETA(para)"/>
    <w:basedOn w:val="OPCParaBase"/>
    <w:rsid w:val="003E69FB"/>
    <w:pPr>
      <w:tabs>
        <w:tab w:val="right" w:pos="754"/>
      </w:tabs>
      <w:spacing w:before="60" w:line="240" w:lineRule="auto"/>
      <w:ind w:left="828" w:hanging="828"/>
    </w:pPr>
    <w:rPr>
      <w:sz w:val="20"/>
    </w:rPr>
  </w:style>
  <w:style w:type="paragraph" w:customStyle="1" w:styleId="ETAsubpara">
    <w:name w:val="ETA(subpara)"/>
    <w:basedOn w:val="OPCParaBase"/>
    <w:rsid w:val="003E69FB"/>
    <w:pPr>
      <w:tabs>
        <w:tab w:val="right" w:pos="1083"/>
      </w:tabs>
      <w:spacing w:before="60" w:line="240" w:lineRule="auto"/>
      <w:ind w:left="1191" w:hanging="1191"/>
    </w:pPr>
    <w:rPr>
      <w:sz w:val="20"/>
    </w:rPr>
  </w:style>
  <w:style w:type="paragraph" w:customStyle="1" w:styleId="ETAsub-subpara">
    <w:name w:val="ETA(sub-subpara)"/>
    <w:basedOn w:val="OPCParaBase"/>
    <w:rsid w:val="003E69FB"/>
    <w:pPr>
      <w:tabs>
        <w:tab w:val="right" w:pos="1412"/>
      </w:tabs>
      <w:spacing w:before="60" w:line="240" w:lineRule="auto"/>
      <w:ind w:left="1525" w:hanging="1525"/>
    </w:pPr>
    <w:rPr>
      <w:sz w:val="20"/>
    </w:rPr>
  </w:style>
  <w:style w:type="paragraph" w:customStyle="1" w:styleId="Formula">
    <w:name w:val="Formula"/>
    <w:basedOn w:val="OPCParaBase"/>
    <w:rsid w:val="003E69FB"/>
    <w:pPr>
      <w:spacing w:line="240" w:lineRule="auto"/>
      <w:ind w:left="1134"/>
    </w:pPr>
    <w:rPr>
      <w:sz w:val="20"/>
    </w:rPr>
  </w:style>
  <w:style w:type="paragraph" w:styleId="Header">
    <w:name w:val="header"/>
    <w:basedOn w:val="OPCParaBase"/>
    <w:link w:val="HeaderChar"/>
    <w:unhideWhenUsed/>
    <w:rsid w:val="003E69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69FB"/>
    <w:rPr>
      <w:rFonts w:eastAsia="Times New Roman" w:cs="Times New Roman"/>
      <w:sz w:val="16"/>
      <w:lang w:eastAsia="en-AU"/>
    </w:rPr>
  </w:style>
  <w:style w:type="paragraph" w:customStyle="1" w:styleId="House">
    <w:name w:val="House"/>
    <w:basedOn w:val="OPCParaBase"/>
    <w:rsid w:val="003E69FB"/>
    <w:pPr>
      <w:spacing w:line="240" w:lineRule="auto"/>
    </w:pPr>
    <w:rPr>
      <w:sz w:val="28"/>
    </w:rPr>
  </w:style>
  <w:style w:type="paragraph" w:customStyle="1" w:styleId="Item">
    <w:name w:val="Item"/>
    <w:aliases w:val="i"/>
    <w:basedOn w:val="OPCParaBase"/>
    <w:next w:val="ItemHead"/>
    <w:link w:val="ItemChar"/>
    <w:rsid w:val="003E69FB"/>
    <w:pPr>
      <w:keepLines/>
      <w:spacing w:before="80" w:line="240" w:lineRule="auto"/>
      <w:ind w:left="709"/>
    </w:pPr>
  </w:style>
  <w:style w:type="paragraph" w:customStyle="1" w:styleId="ItemHead">
    <w:name w:val="ItemHead"/>
    <w:aliases w:val="ih"/>
    <w:basedOn w:val="OPCParaBase"/>
    <w:next w:val="Item"/>
    <w:link w:val="ItemHeadChar"/>
    <w:rsid w:val="003E69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69FB"/>
    <w:pPr>
      <w:spacing w:line="240" w:lineRule="auto"/>
    </w:pPr>
    <w:rPr>
      <w:b/>
      <w:sz w:val="32"/>
    </w:rPr>
  </w:style>
  <w:style w:type="paragraph" w:customStyle="1" w:styleId="notedraft">
    <w:name w:val="note(draft)"/>
    <w:aliases w:val="nd"/>
    <w:basedOn w:val="OPCParaBase"/>
    <w:rsid w:val="003E69FB"/>
    <w:pPr>
      <w:spacing w:before="240" w:line="240" w:lineRule="auto"/>
      <w:ind w:left="284" w:hanging="284"/>
    </w:pPr>
    <w:rPr>
      <w:i/>
      <w:sz w:val="24"/>
    </w:rPr>
  </w:style>
  <w:style w:type="paragraph" w:customStyle="1" w:styleId="notemargin">
    <w:name w:val="note(margin)"/>
    <w:aliases w:val="nm"/>
    <w:basedOn w:val="OPCParaBase"/>
    <w:rsid w:val="003E69FB"/>
    <w:pPr>
      <w:tabs>
        <w:tab w:val="left" w:pos="709"/>
      </w:tabs>
      <w:spacing w:before="122" w:line="198" w:lineRule="exact"/>
      <w:ind w:left="709" w:hanging="709"/>
    </w:pPr>
    <w:rPr>
      <w:sz w:val="18"/>
    </w:rPr>
  </w:style>
  <w:style w:type="paragraph" w:customStyle="1" w:styleId="noteToPara">
    <w:name w:val="noteToPara"/>
    <w:aliases w:val="ntp"/>
    <w:basedOn w:val="OPCParaBase"/>
    <w:rsid w:val="003E69FB"/>
    <w:pPr>
      <w:spacing w:before="122" w:line="198" w:lineRule="exact"/>
      <w:ind w:left="2353" w:hanging="709"/>
    </w:pPr>
    <w:rPr>
      <w:sz w:val="18"/>
    </w:rPr>
  </w:style>
  <w:style w:type="paragraph" w:customStyle="1" w:styleId="noteParlAmend">
    <w:name w:val="note(ParlAmend)"/>
    <w:aliases w:val="npp"/>
    <w:basedOn w:val="OPCParaBase"/>
    <w:next w:val="ParlAmend"/>
    <w:rsid w:val="003E69FB"/>
    <w:pPr>
      <w:spacing w:line="240" w:lineRule="auto"/>
      <w:jc w:val="right"/>
    </w:pPr>
    <w:rPr>
      <w:rFonts w:ascii="Arial" w:hAnsi="Arial"/>
      <w:b/>
      <w:i/>
    </w:rPr>
  </w:style>
  <w:style w:type="paragraph" w:customStyle="1" w:styleId="Page1">
    <w:name w:val="Page1"/>
    <w:basedOn w:val="OPCParaBase"/>
    <w:rsid w:val="003E69FB"/>
    <w:pPr>
      <w:spacing w:before="400" w:line="240" w:lineRule="auto"/>
    </w:pPr>
    <w:rPr>
      <w:b/>
      <w:sz w:val="32"/>
    </w:rPr>
  </w:style>
  <w:style w:type="paragraph" w:customStyle="1" w:styleId="PageBreak">
    <w:name w:val="PageBreak"/>
    <w:aliases w:val="pb"/>
    <w:basedOn w:val="OPCParaBase"/>
    <w:rsid w:val="003E69FB"/>
    <w:pPr>
      <w:spacing w:line="240" w:lineRule="auto"/>
    </w:pPr>
    <w:rPr>
      <w:sz w:val="20"/>
    </w:rPr>
  </w:style>
  <w:style w:type="paragraph" w:customStyle="1" w:styleId="paragraphsub">
    <w:name w:val="paragraph(sub)"/>
    <w:aliases w:val="aa"/>
    <w:basedOn w:val="OPCParaBase"/>
    <w:rsid w:val="003E69FB"/>
    <w:pPr>
      <w:tabs>
        <w:tab w:val="right" w:pos="1985"/>
      </w:tabs>
      <w:spacing w:before="40" w:line="240" w:lineRule="auto"/>
      <w:ind w:left="2098" w:hanging="2098"/>
    </w:pPr>
  </w:style>
  <w:style w:type="paragraph" w:customStyle="1" w:styleId="paragraphsub-sub">
    <w:name w:val="paragraph(sub-sub)"/>
    <w:aliases w:val="aaa"/>
    <w:basedOn w:val="OPCParaBase"/>
    <w:rsid w:val="003E69FB"/>
    <w:pPr>
      <w:tabs>
        <w:tab w:val="right" w:pos="2722"/>
      </w:tabs>
      <w:spacing w:before="40" w:line="240" w:lineRule="auto"/>
      <w:ind w:left="2835" w:hanging="2835"/>
    </w:pPr>
  </w:style>
  <w:style w:type="paragraph" w:customStyle="1" w:styleId="paragraph">
    <w:name w:val="paragraph"/>
    <w:aliases w:val="a"/>
    <w:basedOn w:val="OPCParaBase"/>
    <w:link w:val="paragraphChar"/>
    <w:rsid w:val="003E69FB"/>
    <w:pPr>
      <w:tabs>
        <w:tab w:val="right" w:pos="1531"/>
      </w:tabs>
      <w:spacing w:before="40" w:line="240" w:lineRule="auto"/>
      <w:ind w:left="1644" w:hanging="1644"/>
    </w:pPr>
  </w:style>
  <w:style w:type="paragraph" w:customStyle="1" w:styleId="ParlAmend">
    <w:name w:val="ParlAmend"/>
    <w:aliases w:val="pp"/>
    <w:basedOn w:val="OPCParaBase"/>
    <w:rsid w:val="003E69FB"/>
    <w:pPr>
      <w:spacing w:before="240" w:line="240" w:lineRule="atLeast"/>
      <w:ind w:hanging="567"/>
    </w:pPr>
    <w:rPr>
      <w:sz w:val="24"/>
    </w:rPr>
  </w:style>
  <w:style w:type="paragraph" w:customStyle="1" w:styleId="Penalty">
    <w:name w:val="Penalty"/>
    <w:basedOn w:val="OPCParaBase"/>
    <w:rsid w:val="003E69FB"/>
    <w:pPr>
      <w:tabs>
        <w:tab w:val="left" w:pos="2977"/>
      </w:tabs>
      <w:spacing w:before="180" w:line="240" w:lineRule="auto"/>
      <w:ind w:left="1985" w:hanging="851"/>
    </w:pPr>
  </w:style>
  <w:style w:type="paragraph" w:customStyle="1" w:styleId="Portfolio">
    <w:name w:val="Portfolio"/>
    <w:basedOn w:val="OPCParaBase"/>
    <w:rsid w:val="003E69FB"/>
    <w:pPr>
      <w:spacing w:line="240" w:lineRule="auto"/>
    </w:pPr>
    <w:rPr>
      <w:i/>
      <w:sz w:val="20"/>
    </w:rPr>
  </w:style>
  <w:style w:type="paragraph" w:customStyle="1" w:styleId="Preamble">
    <w:name w:val="Preamble"/>
    <w:basedOn w:val="OPCParaBase"/>
    <w:next w:val="Normal"/>
    <w:rsid w:val="003E69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69FB"/>
    <w:pPr>
      <w:spacing w:line="240" w:lineRule="auto"/>
    </w:pPr>
    <w:rPr>
      <w:i/>
      <w:sz w:val="20"/>
    </w:rPr>
  </w:style>
  <w:style w:type="paragraph" w:customStyle="1" w:styleId="Session">
    <w:name w:val="Session"/>
    <w:basedOn w:val="OPCParaBase"/>
    <w:rsid w:val="003E69FB"/>
    <w:pPr>
      <w:spacing w:line="240" w:lineRule="auto"/>
    </w:pPr>
    <w:rPr>
      <w:sz w:val="28"/>
    </w:rPr>
  </w:style>
  <w:style w:type="paragraph" w:customStyle="1" w:styleId="Sponsor">
    <w:name w:val="Sponsor"/>
    <w:basedOn w:val="OPCParaBase"/>
    <w:rsid w:val="003E69FB"/>
    <w:pPr>
      <w:spacing w:line="240" w:lineRule="auto"/>
    </w:pPr>
    <w:rPr>
      <w:i/>
    </w:rPr>
  </w:style>
  <w:style w:type="paragraph" w:customStyle="1" w:styleId="Subitem">
    <w:name w:val="Subitem"/>
    <w:aliases w:val="iss"/>
    <w:basedOn w:val="OPCParaBase"/>
    <w:rsid w:val="003E69FB"/>
    <w:pPr>
      <w:spacing w:before="180" w:line="240" w:lineRule="auto"/>
      <w:ind w:left="709" w:hanging="709"/>
    </w:pPr>
  </w:style>
  <w:style w:type="paragraph" w:customStyle="1" w:styleId="SubitemHead">
    <w:name w:val="SubitemHead"/>
    <w:aliases w:val="issh"/>
    <w:basedOn w:val="OPCParaBase"/>
    <w:rsid w:val="003E69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69FB"/>
    <w:pPr>
      <w:spacing w:before="40" w:line="240" w:lineRule="auto"/>
      <w:ind w:left="1134"/>
    </w:pPr>
  </w:style>
  <w:style w:type="paragraph" w:customStyle="1" w:styleId="SubsectionHead">
    <w:name w:val="SubsectionHead"/>
    <w:aliases w:val="ssh"/>
    <w:basedOn w:val="OPCParaBase"/>
    <w:next w:val="subsection"/>
    <w:rsid w:val="003E69FB"/>
    <w:pPr>
      <w:keepNext/>
      <w:keepLines/>
      <w:spacing w:before="240" w:line="240" w:lineRule="auto"/>
      <w:ind w:left="1134"/>
    </w:pPr>
    <w:rPr>
      <w:i/>
    </w:rPr>
  </w:style>
  <w:style w:type="paragraph" w:customStyle="1" w:styleId="Tablea">
    <w:name w:val="Table(a)"/>
    <w:aliases w:val="ta"/>
    <w:basedOn w:val="OPCParaBase"/>
    <w:rsid w:val="003E69FB"/>
    <w:pPr>
      <w:spacing w:before="60" w:line="240" w:lineRule="auto"/>
      <w:ind w:left="284" w:hanging="284"/>
    </w:pPr>
    <w:rPr>
      <w:sz w:val="20"/>
    </w:rPr>
  </w:style>
  <w:style w:type="paragraph" w:customStyle="1" w:styleId="TableAA">
    <w:name w:val="Table(AA)"/>
    <w:aliases w:val="taaa"/>
    <w:basedOn w:val="OPCParaBase"/>
    <w:rsid w:val="003E69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69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69FB"/>
    <w:pPr>
      <w:spacing w:before="60" w:line="240" w:lineRule="atLeast"/>
    </w:pPr>
    <w:rPr>
      <w:sz w:val="20"/>
    </w:rPr>
  </w:style>
  <w:style w:type="paragraph" w:customStyle="1" w:styleId="TLPBoxTextnote">
    <w:name w:val="TLPBoxText(note"/>
    <w:aliases w:val="right)"/>
    <w:basedOn w:val="OPCParaBase"/>
    <w:rsid w:val="003E69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69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69FB"/>
    <w:pPr>
      <w:spacing w:before="122" w:line="198" w:lineRule="exact"/>
      <w:ind w:left="1985" w:hanging="851"/>
      <w:jc w:val="right"/>
    </w:pPr>
    <w:rPr>
      <w:sz w:val="18"/>
    </w:rPr>
  </w:style>
  <w:style w:type="paragraph" w:customStyle="1" w:styleId="TLPTableBullet">
    <w:name w:val="TLPTableBullet"/>
    <w:aliases w:val="ttb"/>
    <w:basedOn w:val="OPCParaBase"/>
    <w:rsid w:val="003E69FB"/>
    <w:pPr>
      <w:spacing w:line="240" w:lineRule="exact"/>
      <w:ind w:left="284" w:hanging="284"/>
    </w:pPr>
    <w:rPr>
      <w:sz w:val="20"/>
    </w:rPr>
  </w:style>
  <w:style w:type="paragraph" w:styleId="TOC1">
    <w:name w:val="toc 1"/>
    <w:basedOn w:val="OPCParaBase"/>
    <w:next w:val="Normal"/>
    <w:uiPriority w:val="39"/>
    <w:semiHidden/>
    <w:unhideWhenUsed/>
    <w:rsid w:val="003E69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E69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69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69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69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69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69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69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69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69FB"/>
    <w:pPr>
      <w:keepLines/>
      <w:spacing w:before="240" w:after="120" w:line="240" w:lineRule="auto"/>
      <w:ind w:left="794"/>
    </w:pPr>
    <w:rPr>
      <w:b/>
      <w:kern w:val="28"/>
      <w:sz w:val="20"/>
    </w:rPr>
  </w:style>
  <w:style w:type="paragraph" w:customStyle="1" w:styleId="TofSectsHeading">
    <w:name w:val="TofSects(Heading)"/>
    <w:basedOn w:val="OPCParaBase"/>
    <w:rsid w:val="003E69FB"/>
    <w:pPr>
      <w:spacing w:before="240" w:after="120" w:line="240" w:lineRule="auto"/>
    </w:pPr>
    <w:rPr>
      <w:b/>
      <w:sz w:val="24"/>
    </w:rPr>
  </w:style>
  <w:style w:type="paragraph" w:customStyle="1" w:styleId="TofSectsSection">
    <w:name w:val="TofSects(Section)"/>
    <w:basedOn w:val="OPCParaBase"/>
    <w:rsid w:val="003E69FB"/>
    <w:pPr>
      <w:keepLines/>
      <w:spacing w:before="40" w:line="240" w:lineRule="auto"/>
      <w:ind w:left="1588" w:hanging="794"/>
    </w:pPr>
    <w:rPr>
      <w:kern w:val="28"/>
      <w:sz w:val="18"/>
    </w:rPr>
  </w:style>
  <w:style w:type="paragraph" w:customStyle="1" w:styleId="TofSectsSubdiv">
    <w:name w:val="TofSects(Subdiv)"/>
    <w:basedOn w:val="OPCParaBase"/>
    <w:rsid w:val="003E69FB"/>
    <w:pPr>
      <w:keepLines/>
      <w:spacing w:before="80" w:line="240" w:lineRule="auto"/>
      <w:ind w:left="1588" w:hanging="794"/>
    </w:pPr>
    <w:rPr>
      <w:kern w:val="28"/>
    </w:rPr>
  </w:style>
  <w:style w:type="paragraph" w:customStyle="1" w:styleId="WRStyle">
    <w:name w:val="WR Style"/>
    <w:aliases w:val="WR"/>
    <w:basedOn w:val="OPCParaBase"/>
    <w:rsid w:val="003E69FB"/>
    <w:pPr>
      <w:spacing w:before="240" w:line="240" w:lineRule="auto"/>
      <w:ind w:left="284" w:hanging="284"/>
    </w:pPr>
    <w:rPr>
      <w:b/>
      <w:i/>
      <w:kern w:val="28"/>
      <w:sz w:val="24"/>
    </w:rPr>
  </w:style>
  <w:style w:type="paragraph" w:customStyle="1" w:styleId="notepara">
    <w:name w:val="note(para)"/>
    <w:aliases w:val="na"/>
    <w:basedOn w:val="OPCParaBase"/>
    <w:rsid w:val="003E69FB"/>
    <w:pPr>
      <w:spacing w:before="40" w:line="198" w:lineRule="exact"/>
      <w:ind w:left="2354" w:hanging="369"/>
    </w:pPr>
    <w:rPr>
      <w:sz w:val="18"/>
    </w:rPr>
  </w:style>
  <w:style w:type="paragraph" w:styleId="Footer">
    <w:name w:val="footer"/>
    <w:link w:val="FooterChar"/>
    <w:rsid w:val="003E69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69FB"/>
    <w:rPr>
      <w:rFonts w:eastAsia="Times New Roman" w:cs="Times New Roman"/>
      <w:sz w:val="22"/>
      <w:szCs w:val="24"/>
      <w:lang w:eastAsia="en-AU"/>
    </w:rPr>
  </w:style>
  <w:style w:type="character" w:styleId="LineNumber">
    <w:name w:val="line number"/>
    <w:basedOn w:val="OPCCharBase"/>
    <w:uiPriority w:val="99"/>
    <w:semiHidden/>
    <w:unhideWhenUsed/>
    <w:rsid w:val="003E69FB"/>
    <w:rPr>
      <w:sz w:val="16"/>
    </w:rPr>
  </w:style>
  <w:style w:type="table" w:customStyle="1" w:styleId="CFlag">
    <w:name w:val="CFlag"/>
    <w:basedOn w:val="TableNormal"/>
    <w:uiPriority w:val="99"/>
    <w:rsid w:val="003E69FB"/>
    <w:rPr>
      <w:rFonts w:eastAsia="Times New Roman" w:cs="Times New Roman"/>
      <w:lang w:eastAsia="en-AU"/>
    </w:rPr>
    <w:tblPr/>
  </w:style>
  <w:style w:type="paragraph" w:customStyle="1" w:styleId="NotesHeading1">
    <w:name w:val="NotesHeading 1"/>
    <w:basedOn w:val="OPCParaBase"/>
    <w:next w:val="Normal"/>
    <w:rsid w:val="003E69FB"/>
    <w:rPr>
      <w:b/>
      <w:sz w:val="28"/>
      <w:szCs w:val="28"/>
    </w:rPr>
  </w:style>
  <w:style w:type="paragraph" w:customStyle="1" w:styleId="NotesHeading2">
    <w:name w:val="NotesHeading 2"/>
    <w:basedOn w:val="OPCParaBase"/>
    <w:next w:val="Normal"/>
    <w:rsid w:val="003E69FB"/>
    <w:rPr>
      <w:b/>
      <w:sz w:val="28"/>
      <w:szCs w:val="28"/>
    </w:rPr>
  </w:style>
  <w:style w:type="paragraph" w:customStyle="1" w:styleId="SignCoverPageEnd">
    <w:name w:val="SignCoverPageEnd"/>
    <w:basedOn w:val="OPCParaBase"/>
    <w:next w:val="Normal"/>
    <w:rsid w:val="003E69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69FB"/>
    <w:pPr>
      <w:pBdr>
        <w:top w:val="single" w:sz="4" w:space="1" w:color="auto"/>
      </w:pBdr>
      <w:spacing w:before="360"/>
      <w:ind w:right="397"/>
      <w:jc w:val="both"/>
    </w:pPr>
  </w:style>
  <w:style w:type="paragraph" w:customStyle="1" w:styleId="Paragraphsub-sub-sub">
    <w:name w:val="Paragraph(sub-sub-sub)"/>
    <w:aliases w:val="aaaa"/>
    <w:basedOn w:val="OPCParaBase"/>
    <w:rsid w:val="003E69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69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69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69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69F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69FB"/>
    <w:pPr>
      <w:spacing w:before="120"/>
    </w:pPr>
  </w:style>
  <w:style w:type="paragraph" w:customStyle="1" w:styleId="TableTextEndNotes">
    <w:name w:val="TableTextEndNotes"/>
    <w:aliases w:val="Tten"/>
    <w:basedOn w:val="Normal"/>
    <w:rsid w:val="003E69FB"/>
    <w:pPr>
      <w:spacing w:before="60" w:line="240" w:lineRule="auto"/>
    </w:pPr>
    <w:rPr>
      <w:rFonts w:cs="Arial"/>
      <w:sz w:val="20"/>
      <w:szCs w:val="22"/>
    </w:rPr>
  </w:style>
  <w:style w:type="paragraph" w:customStyle="1" w:styleId="TableHeading">
    <w:name w:val="TableHeading"/>
    <w:aliases w:val="th"/>
    <w:basedOn w:val="OPCParaBase"/>
    <w:next w:val="Tabletext"/>
    <w:rsid w:val="003E69FB"/>
    <w:pPr>
      <w:keepNext/>
      <w:spacing w:before="60" w:line="240" w:lineRule="atLeast"/>
    </w:pPr>
    <w:rPr>
      <w:b/>
      <w:sz w:val="20"/>
    </w:rPr>
  </w:style>
  <w:style w:type="paragraph" w:customStyle="1" w:styleId="NoteToSubpara">
    <w:name w:val="NoteToSubpara"/>
    <w:aliases w:val="nts"/>
    <w:basedOn w:val="OPCParaBase"/>
    <w:rsid w:val="003E69FB"/>
    <w:pPr>
      <w:spacing w:before="40" w:line="198" w:lineRule="exact"/>
      <w:ind w:left="2835" w:hanging="709"/>
    </w:pPr>
    <w:rPr>
      <w:sz w:val="18"/>
    </w:rPr>
  </w:style>
  <w:style w:type="paragraph" w:customStyle="1" w:styleId="ENoteTableHeading">
    <w:name w:val="ENoteTableHeading"/>
    <w:aliases w:val="enth"/>
    <w:basedOn w:val="OPCParaBase"/>
    <w:rsid w:val="003E69FB"/>
    <w:pPr>
      <w:keepNext/>
      <w:spacing w:before="60" w:line="240" w:lineRule="atLeast"/>
    </w:pPr>
    <w:rPr>
      <w:rFonts w:ascii="Arial" w:hAnsi="Arial"/>
      <w:b/>
      <w:sz w:val="16"/>
    </w:rPr>
  </w:style>
  <w:style w:type="paragraph" w:customStyle="1" w:styleId="ENoteTTi">
    <w:name w:val="ENoteTTi"/>
    <w:aliases w:val="entti"/>
    <w:basedOn w:val="OPCParaBase"/>
    <w:rsid w:val="003E69FB"/>
    <w:pPr>
      <w:keepNext/>
      <w:spacing w:before="60" w:line="240" w:lineRule="atLeast"/>
      <w:ind w:left="170"/>
    </w:pPr>
    <w:rPr>
      <w:sz w:val="16"/>
    </w:rPr>
  </w:style>
  <w:style w:type="paragraph" w:customStyle="1" w:styleId="ENotesHeading1">
    <w:name w:val="ENotesHeading 1"/>
    <w:aliases w:val="Enh1"/>
    <w:basedOn w:val="OPCParaBase"/>
    <w:next w:val="Normal"/>
    <w:rsid w:val="003E69FB"/>
    <w:pPr>
      <w:spacing w:before="120"/>
      <w:outlineLvl w:val="1"/>
    </w:pPr>
    <w:rPr>
      <w:b/>
      <w:sz w:val="28"/>
      <w:szCs w:val="28"/>
    </w:rPr>
  </w:style>
  <w:style w:type="paragraph" w:customStyle="1" w:styleId="ENotesHeading2">
    <w:name w:val="ENotesHeading 2"/>
    <w:aliases w:val="Enh2"/>
    <w:basedOn w:val="OPCParaBase"/>
    <w:next w:val="Normal"/>
    <w:rsid w:val="003E69FB"/>
    <w:pPr>
      <w:spacing w:before="120" w:after="120"/>
      <w:outlineLvl w:val="2"/>
    </w:pPr>
    <w:rPr>
      <w:b/>
      <w:sz w:val="24"/>
      <w:szCs w:val="28"/>
    </w:rPr>
  </w:style>
  <w:style w:type="paragraph" w:customStyle="1" w:styleId="ENoteTTIndentHeading">
    <w:name w:val="ENoteTTIndentHeading"/>
    <w:aliases w:val="enTTHi"/>
    <w:basedOn w:val="OPCParaBase"/>
    <w:rsid w:val="003E69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69FB"/>
    <w:pPr>
      <w:spacing w:before="60" w:line="240" w:lineRule="atLeast"/>
    </w:pPr>
    <w:rPr>
      <w:sz w:val="16"/>
    </w:rPr>
  </w:style>
  <w:style w:type="paragraph" w:customStyle="1" w:styleId="MadeunderText">
    <w:name w:val="MadeunderText"/>
    <w:basedOn w:val="OPCParaBase"/>
    <w:next w:val="Normal"/>
    <w:rsid w:val="003E69FB"/>
    <w:pPr>
      <w:spacing w:before="240"/>
    </w:pPr>
    <w:rPr>
      <w:sz w:val="24"/>
      <w:szCs w:val="24"/>
    </w:rPr>
  </w:style>
  <w:style w:type="paragraph" w:customStyle="1" w:styleId="ENotesHeading3">
    <w:name w:val="ENotesHeading 3"/>
    <w:aliases w:val="Enh3"/>
    <w:basedOn w:val="OPCParaBase"/>
    <w:next w:val="Normal"/>
    <w:rsid w:val="003E69FB"/>
    <w:pPr>
      <w:keepNext/>
      <w:spacing w:before="120" w:line="240" w:lineRule="auto"/>
      <w:outlineLvl w:val="4"/>
    </w:pPr>
    <w:rPr>
      <w:b/>
      <w:szCs w:val="24"/>
    </w:rPr>
  </w:style>
  <w:style w:type="paragraph" w:customStyle="1" w:styleId="SubPartCASA">
    <w:name w:val="SubPart(CASA)"/>
    <w:aliases w:val="csp"/>
    <w:basedOn w:val="OPCParaBase"/>
    <w:next w:val="ActHead3"/>
    <w:rsid w:val="003E69FB"/>
    <w:pPr>
      <w:keepNext/>
      <w:keepLines/>
      <w:spacing w:before="280"/>
      <w:outlineLvl w:val="1"/>
    </w:pPr>
    <w:rPr>
      <w:b/>
      <w:kern w:val="28"/>
      <w:sz w:val="32"/>
    </w:rPr>
  </w:style>
  <w:style w:type="character" w:customStyle="1" w:styleId="CharSubPartTextCASA">
    <w:name w:val="CharSubPartText(CASA)"/>
    <w:basedOn w:val="OPCCharBase"/>
    <w:uiPriority w:val="1"/>
    <w:rsid w:val="003E69FB"/>
  </w:style>
  <w:style w:type="character" w:customStyle="1" w:styleId="CharSubPartNoCASA">
    <w:name w:val="CharSubPartNo(CASA)"/>
    <w:basedOn w:val="OPCCharBase"/>
    <w:uiPriority w:val="1"/>
    <w:rsid w:val="003E69FB"/>
  </w:style>
  <w:style w:type="paragraph" w:customStyle="1" w:styleId="ENoteTTIndentHeadingSub">
    <w:name w:val="ENoteTTIndentHeadingSub"/>
    <w:aliases w:val="enTTHis"/>
    <w:basedOn w:val="OPCParaBase"/>
    <w:rsid w:val="003E69FB"/>
    <w:pPr>
      <w:keepNext/>
      <w:spacing w:before="60" w:line="240" w:lineRule="atLeast"/>
      <w:ind w:left="340"/>
    </w:pPr>
    <w:rPr>
      <w:b/>
      <w:sz w:val="16"/>
    </w:rPr>
  </w:style>
  <w:style w:type="paragraph" w:customStyle="1" w:styleId="ENoteTTiSub">
    <w:name w:val="ENoteTTiSub"/>
    <w:aliases w:val="enttis"/>
    <w:basedOn w:val="OPCParaBase"/>
    <w:rsid w:val="003E69FB"/>
    <w:pPr>
      <w:keepNext/>
      <w:spacing w:before="60" w:line="240" w:lineRule="atLeast"/>
      <w:ind w:left="340"/>
    </w:pPr>
    <w:rPr>
      <w:sz w:val="16"/>
    </w:rPr>
  </w:style>
  <w:style w:type="paragraph" w:customStyle="1" w:styleId="SubDivisionMigration">
    <w:name w:val="SubDivisionMigration"/>
    <w:aliases w:val="sdm"/>
    <w:basedOn w:val="OPCParaBase"/>
    <w:rsid w:val="003E69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69FB"/>
    <w:pPr>
      <w:keepNext/>
      <w:keepLines/>
      <w:spacing w:before="240" w:line="240" w:lineRule="auto"/>
      <w:ind w:left="1134" w:hanging="1134"/>
    </w:pPr>
    <w:rPr>
      <w:b/>
      <w:sz w:val="28"/>
    </w:rPr>
  </w:style>
  <w:style w:type="table" w:styleId="TableGrid">
    <w:name w:val="Table Grid"/>
    <w:basedOn w:val="TableNormal"/>
    <w:uiPriority w:val="59"/>
    <w:rsid w:val="003E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E69F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69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69FB"/>
    <w:rPr>
      <w:sz w:val="22"/>
    </w:rPr>
  </w:style>
  <w:style w:type="paragraph" w:customStyle="1" w:styleId="SOTextNote">
    <w:name w:val="SO TextNote"/>
    <w:aliases w:val="sont"/>
    <w:basedOn w:val="SOText"/>
    <w:qFormat/>
    <w:rsid w:val="003E69FB"/>
    <w:pPr>
      <w:spacing w:before="122" w:line="198" w:lineRule="exact"/>
      <w:ind w:left="1843" w:hanging="709"/>
    </w:pPr>
    <w:rPr>
      <w:sz w:val="18"/>
    </w:rPr>
  </w:style>
  <w:style w:type="paragraph" w:customStyle="1" w:styleId="SOPara">
    <w:name w:val="SO Para"/>
    <w:aliases w:val="soa"/>
    <w:basedOn w:val="SOText"/>
    <w:link w:val="SOParaChar"/>
    <w:qFormat/>
    <w:rsid w:val="003E69FB"/>
    <w:pPr>
      <w:tabs>
        <w:tab w:val="right" w:pos="1786"/>
      </w:tabs>
      <w:spacing w:before="40"/>
      <w:ind w:left="2070" w:hanging="936"/>
    </w:pPr>
  </w:style>
  <w:style w:type="character" w:customStyle="1" w:styleId="SOParaChar">
    <w:name w:val="SO Para Char"/>
    <w:aliases w:val="soa Char"/>
    <w:basedOn w:val="DefaultParagraphFont"/>
    <w:link w:val="SOPara"/>
    <w:rsid w:val="003E69FB"/>
    <w:rPr>
      <w:sz w:val="22"/>
    </w:rPr>
  </w:style>
  <w:style w:type="paragraph" w:customStyle="1" w:styleId="FileName">
    <w:name w:val="FileName"/>
    <w:basedOn w:val="Normal"/>
    <w:rsid w:val="003E69FB"/>
  </w:style>
  <w:style w:type="paragraph" w:customStyle="1" w:styleId="SOHeadBold">
    <w:name w:val="SO HeadBold"/>
    <w:aliases w:val="sohb"/>
    <w:basedOn w:val="SOText"/>
    <w:next w:val="SOText"/>
    <w:link w:val="SOHeadBoldChar"/>
    <w:qFormat/>
    <w:rsid w:val="003E69FB"/>
    <w:rPr>
      <w:b/>
    </w:rPr>
  </w:style>
  <w:style w:type="character" w:customStyle="1" w:styleId="SOHeadBoldChar">
    <w:name w:val="SO HeadBold Char"/>
    <w:aliases w:val="sohb Char"/>
    <w:basedOn w:val="DefaultParagraphFont"/>
    <w:link w:val="SOHeadBold"/>
    <w:rsid w:val="003E69FB"/>
    <w:rPr>
      <w:b/>
      <w:sz w:val="22"/>
    </w:rPr>
  </w:style>
  <w:style w:type="paragraph" w:customStyle="1" w:styleId="SOHeadItalic">
    <w:name w:val="SO HeadItalic"/>
    <w:aliases w:val="sohi"/>
    <w:basedOn w:val="SOText"/>
    <w:next w:val="SOText"/>
    <w:link w:val="SOHeadItalicChar"/>
    <w:qFormat/>
    <w:rsid w:val="003E69FB"/>
    <w:rPr>
      <w:i/>
    </w:rPr>
  </w:style>
  <w:style w:type="character" w:customStyle="1" w:styleId="SOHeadItalicChar">
    <w:name w:val="SO HeadItalic Char"/>
    <w:aliases w:val="sohi Char"/>
    <w:basedOn w:val="DefaultParagraphFont"/>
    <w:link w:val="SOHeadItalic"/>
    <w:rsid w:val="003E69FB"/>
    <w:rPr>
      <w:i/>
      <w:sz w:val="22"/>
    </w:rPr>
  </w:style>
  <w:style w:type="paragraph" w:customStyle="1" w:styleId="SOBullet">
    <w:name w:val="SO Bullet"/>
    <w:aliases w:val="sotb"/>
    <w:basedOn w:val="SOText"/>
    <w:link w:val="SOBulletChar"/>
    <w:qFormat/>
    <w:rsid w:val="003E69FB"/>
    <w:pPr>
      <w:ind w:left="1559" w:hanging="425"/>
    </w:pPr>
  </w:style>
  <w:style w:type="character" w:customStyle="1" w:styleId="SOBulletChar">
    <w:name w:val="SO Bullet Char"/>
    <w:aliases w:val="sotb Char"/>
    <w:basedOn w:val="DefaultParagraphFont"/>
    <w:link w:val="SOBullet"/>
    <w:rsid w:val="003E69FB"/>
    <w:rPr>
      <w:sz w:val="22"/>
    </w:rPr>
  </w:style>
  <w:style w:type="paragraph" w:customStyle="1" w:styleId="SOBulletNote">
    <w:name w:val="SO BulletNote"/>
    <w:aliases w:val="sonb"/>
    <w:basedOn w:val="SOTextNote"/>
    <w:link w:val="SOBulletNoteChar"/>
    <w:qFormat/>
    <w:rsid w:val="003E69FB"/>
    <w:pPr>
      <w:tabs>
        <w:tab w:val="left" w:pos="1560"/>
      </w:tabs>
      <w:ind w:left="2268" w:hanging="1134"/>
    </w:pPr>
  </w:style>
  <w:style w:type="character" w:customStyle="1" w:styleId="SOBulletNoteChar">
    <w:name w:val="SO BulletNote Char"/>
    <w:aliases w:val="sonb Char"/>
    <w:basedOn w:val="DefaultParagraphFont"/>
    <w:link w:val="SOBulletNote"/>
    <w:rsid w:val="003E69FB"/>
    <w:rPr>
      <w:sz w:val="18"/>
    </w:rPr>
  </w:style>
  <w:style w:type="paragraph" w:customStyle="1" w:styleId="SOText2">
    <w:name w:val="SO Text2"/>
    <w:aliases w:val="sot2"/>
    <w:basedOn w:val="Normal"/>
    <w:next w:val="SOText"/>
    <w:link w:val="SOText2Char"/>
    <w:rsid w:val="003E69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69FB"/>
    <w:rPr>
      <w:sz w:val="22"/>
    </w:rPr>
  </w:style>
  <w:style w:type="character" w:customStyle="1" w:styleId="ItemHeadChar">
    <w:name w:val="ItemHead Char"/>
    <w:aliases w:val="ih Char"/>
    <w:link w:val="ItemHead"/>
    <w:rsid w:val="003A467E"/>
    <w:rPr>
      <w:rFonts w:ascii="Arial" w:eastAsia="Times New Roman" w:hAnsi="Arial" w:cs="Times New Roman"/>
      <w:b/>
      <w:kern w:val="28"/>
      <w:sz w:val="24"/>
      <w:lang w:eastAsia="en-AU"/>
    </w:rPr>
  </w:style>
  <w:style w:type="character" w:customStyle="1" w:styleId="ItemChar">
    <w:name w:val="Item Char"/>
    <w:aliases w:val="i Char"/>
    <w:link w:val="Item"/>
    <w:rsid w:val="003A467E"/>
    <w:rPr>
      <w:rFonts w:eastAsia="Times New Roman" w:cs="Times New Roman"/>
      <w:sz w:val="22"/>
      <w:lang w:eastAsia="en-AU"/>
    </w:rPr>
  </w:style>
  <w:style w:type="character" w:customStyle="1" w:styleId="paragraphChar">
    <w:name w:val="paragraph Char"/>
    <w:aliases w:val="a Char"/>
    <w:basedOn w:val="DefaultParagraphFont"/>
    <w:link w:val="paragraph"/>
    <w:locked/>
    <w:rsid w:val="003A467E"/>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3A467E"/>
    <w:rPr>
      <w:rFonts w:eastAsia="Times New Roman" w:cs="Times New Roman"/>
      <w:sz w:val="22"/>
      <w:lang w:eastAsia="en-AU"/>
    </w:rPr>
  </w:style>
  <w:style w:type="character" w:customStyle="1" w:styleId="Heading1Char">
    <w:name w:val="Heading 1 Char"/>
    <w:basedOn w:val="DefaultParagraphFont"/>
    <w:link w:val="Heading1"/>
    <w:uiPriority w:val="9"/>
    <w:rsid w:val="009A06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06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06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06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06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06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06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0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06AB"/>
    <w:rPr>
      <w:rFonts w:asciiTheme="majorHAnsi" w:eastAsiaTheme="majorEastAsia" w:hAnsiTheme="majorHAnsi" w:cstheme="majorBidi"/>
      <w:i/>
      <w:iCs/>
      <w:color w:val="404040" w:themeColor="text1" w:themeTint="BF"/>
    </w:rPr>
  </w:style>
  <w:style w:type="paragraph" w:customStyle="1" w:styleId="tableText0">
    <w:name w:val="table.Text"/>
    <w:basedOn w:val="Normal"/>
    <w:rsid w:val="0045049F"/>
    <w:pPr>
      <w:spacing w:before="24" w:after="24"/>
    </w:pPr>
    <w:rPr>
      <w:rFonts w:eastAsia="Calibri" w:cs="Times New Roman"/>
      <w:sz w:val="20"/>
    </w:rPr>
  </w:style>
  <w:style w:type="paragraph" w:customStyle="1" w:styleId="tableIndentText">
    <w:name w:val="table.Indent.Text"/>
    <w:rsid w:val="0045049F"/>
    <w:pPr>
      <w:tabs>
        <w:tab w:val="left" w:leader="dot" w:pos="5245"/>
      </w:tabs>
      <w:spacing w:before="24" w:after="24"/>
      <w:ind w:left="851" w:hanging="284"/>
    </w:pPr>
    <w:rPr>
      <w:rFonts w:ascii="Times" w:eastAsia="Times New Roman" w:hAnsi="Times" w:cs="Times New Roman"/>
    </w:rPr>
  </w:style>
  <w:style w:type="paragraph" w:styleId="BalloonText">
    <w:name w:val="Balloon Text"/>
    <w:basedOn w:val="Normal"/>
    <w:link w:val="BalloonTextChar"/>
    <w:uiPriority w:val="99"/>
    <w:semiHidden/>
    <w:unhideWhenUsed/>
    <w:rsid w:val="00962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66"/>
    <w:rPr>
      <w:rFonts w:ascii="Tahoma" w:hAnsi="Tahoma" w:cs="Tahoma"/>
      <w:sz w:val="16"/>
      <w:szCs w:val="16"/>
    </w:rPr>
  </w:style>
  <w:style w:type="character" w:styleId="Hyperlink">
    <w:name w:val="Hyperlink"/>
    <w:basedOn w:val="DefaultParagraphFont"/>
    <w:uiPriority w:val="99"/>
    <w:semiHidden/>
    <w:unhideWhenUsed/>
    <w:rsid w:val="009276E4"/>
    <w:rPr>
      <w:color w:val="0000FF" w:themeColor="hyperlink"/>
      <w:u w:val="single"/>
    </w:rPr>
  </w:style>
  <w:style w:type="character" w:styleId="FollowedHyperlink">
    <w:name w:val="FollowedHyperlink"/>
    <w:basedOn w:val="DefaultParagraphFont"/>
    <w:uiPriority w:val="99"/>
    <w:semiHidden/>
    <w:unhideWhenUsed/>
    <w:rsid w:val="009276E4"/>
    <w:rPr>
      <w:color w:val="0000FF" w:themeColor="hyperlink"/>
      <w:u w:val="single"/>
    </w:rPr>
  </w:style>
  <w:style w:type="paragraph" w:customStyle="1" w:styleId="ShortTP1">
    <w:name w:val="ShortTP1"/>
    <w:basedOn w:val="ShortT"/>
    <w:link w:val="ShortTP1Char"/>
    <w:rsid w:val="00253806"/>
    <w:pPr>
      <w:spacing w:before="800"/>
    </w:pPr>
  </w:style>
  <w:style w:type="character" w:customStyle="1" w:styleId="OPCParaBaseChar">
    <w:name w:val="OPCParaBase Char"/>
    <w:basedOn w:val="DefaultParagraphFont"/>
    <w:link w:val="OPCParaBase"/>
    <w:rsid w:val="00253806"/>
    <w:rPr>
      <w:rFonts w:eastAsia="Times New Roman" w:cs="Times New Roman"/>
      <w:sz w:val="22"/>
      <w:lang w:eastAsia="en-AU"/>
    </w:rPr>
  </w:style>
  <w:style w:type="character" w:customStyle="1" w:styleId="ShortTChar">
    <w:name w:val="ShortT Char"/>
    <w:basedOn w:val="OPCParaBaseChar"/>
    <w:link w:val="ShortT"/>
    <w:rsid w:val="00253806"/>
    <w:rPr>
      <w:rFonts w:eastAsia="Times New Roman" w:cs="Times New Roman"/>
      <w:b/>
      <w:sz w:val="40"/>
      <w:lang w:eastAsia="en-AU"/>
    </w:rPr>
  </w:style>
  <w:style w:type="character" w:customStyle="1" w:styleId="ShortTP1Char">
    <w:name w:val="ShortTP1 Char"/>
    <w:basedOn w:val="ShortTChar"/>
    <w:link w:val="ShortTP1"/>
    <w:rsid w:val="00253806"/>
    <w:rPr>
      <w:rFonts w:eastAsia="Times New Roman" w:cs="Times New Roman"/>
      <w:b/>
      <w:sz w:val="40"/>
      <w:lang w:eastAsia="en-AU"/>
    </w:rPr>
  </w:style>
  <w:style w:type="paragraph" w:customStyle="1" w:styleId="ActNoP1">
    <w:name w:val="ActNoP1"/>
    <w:basedOn w:val="Actno"/>
    <w:link w:val="ActNoP1Char"/>
    <w:rsid w:val="00253806"/>
    <w:pPr>
      <w:spacing w:before="800"/>
    </w:pPr>
    <w:rPr>
      <w:sz w:val="28"/>
    </w:rPr>
  </w:style>
  <w:style w:type="character" w:customStyle="1" w:styleId="ActnoChar">
    <w:name w:val="Actno Char"/>
    <w:basedOn w:val="ShortTChar"/>
    <w:link w:val="Actno"/>
    <w:rsid w:val="00253806"/>
    <w:rPr>
      <w:rFonts w:eastAsia="Times New Roman" w:cs="Times New Roman"/>
      <w:b/>
      <w:sz w:val="40"/>
      <w:lang w:eastAsia="en-AU"/>
    </w:rPr>
  </w:style>
  <w:style w:type="character" w:customStyle="1" w:styleId="ActNoP1Char">
    <w:name w:val="ActNoP1 Char"/>
    <w:basedOn w:val="ActnoChar"/>
    <w:link w:val="ActNoP1"/>
    <w:rsid w:val="00253806"/>
    <w:rPr>
      <w:rFonts w:eastAsia="Times New Roman" w:cs="Times New Roman"/>
      <w:b/>
      <w:sz w:val="28"/>
      <w:lang w:eastAsia="en-AU"/>
    </w:rPr>
  </w:style>
  <w:style w:type="paragraph" w:customStyle="1" w:styleId="ShortTCP">
    <w:name w:val="ShortTCP"/>
    <w:basedOn w:val="ShortT"/>
    <w:link w:val="ShortTCPChar"/>
    <w:rsid w:val="00253806"/>
  </w:style>
  <w:style w:type="character" w:customStyle="1" w:styleId="ShortTCPChar">
    <w:name w:val="ShortTCP Char"/>
    <w:basedOn w:val="ShortTChar"/>
    <w:link w:val="ShortTCP"/>
    <w:rsid w:val="00253806"/>
    <w:rPr>
      <w:rFonts w:eastAsia="Times New Roman" w:cs="Times New Roman"/>
      <w:b/>
      <w:sz w:val="40"/>
      <w:lang w:eastAsia="en-AU"/>
    </w:rPr>
  </w:style>
  <w:style w:type="paragraph" w:customStyle="1" w:styleId="ActNoCP">
    <w:name w:val="ActNoCP"/>
    <w:basedOn w:val="Actno"/>
    <w:link w:val="ActNoCPChar"/>
    <w:rsid w:val="00253806"/>
    <w:pPr>
      <w:spacing w:before="400"/>
    </w:pPr>
  </w:style>
  <w:style w:type="character" w:customStyle="1" w:styleId="ActNoCPChar">
    <w:name w:val="ActNoCP Char"/>
    <w:basedOn w:val="ActnoChar"/>
    <w:link w:val="ActNoCP"/>
    <w:rsid w:val="00253806"/>
    <w:rPr>
      <w:rFonts w:eastAsia="Times New Roman" w:cs="Times New Roman"/>
      <w:b/>
      <w:sz w:val="40"/>
      <w:lang w:eastAsia="en-AU"/>
    </w:rPr>
  </w:style>
  <w:style w:type="paragraph" w:customStyle="1" w:styleId="AssentBk">
    <w:name w:val="AssentBk"/>
    <w:basedOn w:val="Normal"/>
    <w:rsid w:val="00253806"/>
    <w:pPr>
      <w:spacing w:line="240" w:lineRule="auto"/>
    </w:pPr>
    <w:rPr>
      <w:rFonts w:eastAsia="Times New Roman" w:cs="Times New Roman"/>
      <w:sz w:val="20"/>
      <w:lang w:eastAsia="en-AU"/>
    </w:rPr>
  </w:style>
  <w:style w:type="paragraph" w:customStyle="1" w:styleId="AssentDt">
    <w:name w:val="AssentDt"/>
    <w:basedOn w:val="Normal"/>
    <w:rsid w:val="000E26D7"/>
    <w:pPr>
      <w:spacing w:line="240" w:lineRule="auto"/>
    </w:pPr>
    <w:rPr>
      <w:rFonts w:eastAsia="Times New Roman" w:cs="Times New Roman"/>
      <w:sz w:val="20"/>
      <w:lang w:eastAsia="en-AU"/>
    </w:rPr>
  </w:style>
  <w:style w:type="paragraph" w:customStyle="1" w:styleId="2ndRd">
    <w:name w:val="2ndRd"/>
    <w:basedOn w:val="Normal"/>
    <w:rsid w:val="000E26D7"/>
    <w:pPr>
      <w:spacing w:line="240" w:lineRule="auto"/>
    </w:pPr>
    <w:rPr>
      <w:rFonts w:eastAsia="Times New Roman" w:cs="Times New Roman"/>
      <w:sz w:val="20"/>
      <w:lang w:eastAsia="en-AU"/>
    </w:rPr>
  </w:style>
  <w:style w:type="paragraph" w:customStyle="1" w:styleId="ScalePlusRef">
    <w:name w:val="ScalePlusRef"/>
    <w:basedOn w:val="Normal"/>
    <w:rsid w:val="000E26D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9FB"/>
    <w:pPr>
      <w:spacing w:line="260" w:lineRule="atLeast"/>
    </w:pPr>
    <w:rPr>
      <w:sz w:val="22"/>
    </w:rPr>
  </w:style>
  <w:style w:type="paragraph" w:styleId="Heading1">
    <w:name w:val="heading 1"/>
    <w:basedOn w:val="Normal"/>
    <w:next w:val="Normal"/>
    <w:link w:val="Heading1Char"/>
    <w:uiPriority w:val="9"/>
    <w:qFormat/>
    <w:rsid w:val="009A0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06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06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06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06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06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06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06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06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69FB"/>
  </w:style>
  <w:style w:type="paragraph" w:customStyle="1" w:styleId="OPCParaBase">
    <w:name w:val="OPCParaBase"/>
    <w:link w:val="OPCParaBaseChar"/>
    <w:qFormat/>
    <w:rsid w:val="003E69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69FB"/>
    <w:pPr>
      <w:spacing w:line="240" w:lineRule="auto"/>
    </w:pPr>
    <w:rPr>
      <w:b/>
      <w:sz w:val="40"/>
    </w:rPr>
  </w:style>
  <w:style w:type="paragraph" w:customStyle="1" w:styleId="ActHead1">
    <w:name w:val="ActHead 1"/>
    <w:aliases w:val="c"/>
    <w:basedOn w:val="OPCParaBase"/>
    <w:next w:val="Normal"/>
    <w:qFormat/>
    <w:rsid w:val="003E69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69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69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69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69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69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69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69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69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69FB"/>
  </w:style>
  <w:style w:type="paragraph" w:customStyle="1" w:styleId="Blocks">
    <w:name w:val="Blocks"/>
    <w:aliases w:val="bb"/>
    <w:basedOn w:val="OPCParaBase"/>
    <w:qFormat/>
    <w:rsid w:val="003E69FB"/>
    <w:pPr>
      <w:spacing w:line="240" w:lineRule="auto"/>
    </w:pPr>
    <w:rPr>
      <w:sz w:val="24"/>
    </w:rPr>
  </w:style>
  <w:style w:type="paragraph" w:customStyle="1" w:styleId="BoxText">
    <w:name w:val="BoxText"/>
    <w:aliases w:val="bt"/>
    <w:basedOn w:val="OPCParaBase"/>
    <w:qFormat/>
    <w:rsid w:val="003E69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69FB"/>
    <w:rPr>
      <w:b/>
    </w:rPr>
  </w:style>
  <w:style w:type="paragraph" w:customStyle="1" w:styleId="BoxHeadItalic">
    <w:name w:val="BoxHeadItalic"/>
    <w:aliases w:val="bhi"/>
    <w:basedOn w:val="BoxText"/>
    <w:next w:val="BoxStep"/>
    <w:qFormat/>
    <w:rsid w:val="003E69FB"/>
    <w:rPr>
      <w:i/>
    </w:rPr>
  </w:style>
  <w:style w:type="paragraph" w:customStyle="1" w:styleId="BoxList">
    <w:name w:val="BoxList"/>
    <w:aliases w:val="bl"/>
    <w:basedOn w:val="BoxText"/>
    <w:qFormat/>
    <w:rsid w:val="003E69FB"/>
    <w:pPr>
      <w:ind w:left="1559" w:hanging="425"/>
    </w:pPr>
  </w:style>
  <w:style w:type="paragraph" w:customStyle="1" w:styleId="BoxNote">
    <w:name w:val="BoxNote"/>
    <w:aliases w:val="bn"/>
    <w:basedOn w:val="BoxText"/>
    <w:qFormat/>
    <w:rsid w:val="003E69FB"/>
    <w:pPr>
      <w:tabs>
        <w:tab w:val="left" w:pos="1985"/>
      </w:tabs>
      <w:spacing w:before="122" w:line="198" w:lineRule="exact"/>
      <w:ind w:left="2948" w:hanging="1814"/>
    </w:pPr>
    <w:rPr>
      <w:sz w:val="18"/>
    </w:rPr>
  </w:style>
  <w:style w:type="paragraph" w:customStyle="1" w:styleId="BoxPara">
    <w:name w:val="BoxPara"/>
    <w:aliases w:val="bp"/>
    <w:basedOn w:val="BoxText"/>
    <w:qFormat/>
    <w:rsid w:val="003E69FB"/>
    <w:pPr>
      <w:tabs>
        <w:tab w:val="right" w:pos="2268"/>
      </w:tabs>
      <w:ind w:left="2552" w:hanging="1418"/>
    </w:pPr>
  </w:style>
  <w:style w:type="paragraph" w:customStyle="1" w:styleId="BoxStep">
    <w:name w:val="BoxStep"/>
    <w:aliases w:val="bs"/>
    <w:basedOn w:val="BoxText"/>
    <w:qFormat/>
    <w:rsid w:val="003E69FB"/>
    <w:pPr>
      <w:ind w:left="1985" w:hanging="851"/>
    </w:pPr>
  </w:style>
  <w:style w:type="character" w:customStyle="1" w:styleId="CharAmPartNo">
    <w:name w:val="CharAmPartNo"/>
    <w:basedOn w:val="OPCCharBase"/>
    <w:qFormat/>
    <w:rsid w:val="003E69FB"/>
  </w:style>
  <w:style w:type="character" w:customStyle="1" w:styleId="CharAmPartText">
    <w:name w:val="CharAmPartText"/>
    <w:basedOn w:val="OPCCharBase"/>
    <w:qFormat/>
    <w:rsid w:val="003E69FB"/>
  </w:style>
  <w:style w:type="character" w:customStyle="1" w:styleId="CharAmSchNo">
    <w:name w:val="CharAmSchNo"/>
    <w:basedOn w:val="OPCCharBase"/>
    <w:qFormat/>
    <w:rsid w:val="003E69FB"/>
  </w:style>
  <w:style w:type="character" w:customStyle="1" w:styleId="CharAmSchText">
    <w:name w:val="CharAmSchText"/>
    <w:basedOn w:val="OPCCharBase"/>
    <w:qFormat/>
    <w:rsid w:val="003E69FB"/>
  </w:style>
  <w:style w:type="character" w:customStyle="1" w:styleId="CharBoldItalic">
    <w:name w:val="CharBoldItalic"/>
    <w:basedOn w:val="OPCCharBase"/>
    <w:uiPriority w:val="1"/>
    <w:qFormat/>
    <w:rsid w:val="003E69FB"/>
    <w:rPr>
      <w:b/>
      <w:i/>
    </w:rPr>
  </w:style>
  <w:style w:type="character" w:customStyle="1" w:styleId="CharChapNo">
    <w:name w:val="CharChapNo"/>
    <w:basedOn w:val="OPCCharBase"/>
    <w:uiPriority w:val="1"/>
    <w:qFormat/>
    <w:rsid w:val="003E69FB"/>
  </w:style>
  <w:style w:type="character" w:customStyle="1" w:styleId="CharChapText">
    <w:name w:val="CharChapText"/>
    <w:basedOn w:val="OPCCharBase"/>
    <w:uiPriority w:val="1"/>
    <w:qFormat/>
    <w:rsid w:val="003E69FB"/>
  </w:style>
  <w:style w:type="character" w:customStyle="1" w:styleId="CharDivNo">
    <w:name w:val="CharDivNo"/>
    <w:basedOn w:val="OPCCharBase"/>
    <w:uiPriority w:val="1"/>
    <w:qFormat/>
    <w:rsid w:val="003E69FB"/>
  </w:style>
  <w:style w:type="character" w:customStyle="1" w:styleId="CharDivText">
    <w:name w:val="CharDivText"/>
    <w:basedOn w:val="OPCCharBase"/>
    <w:uiPriority w:val="1"/>
    <w:qFormat/>
    <w:rsid w:val="003E69FB"/>
  </w:style>
  <w:style w:type="character" w:customStyle="1" w:styleId="CharItalic">
    <w:name w:val="CharItalic"/>
    <w:basedOn w:val="OPCCharBase"/>
    <w:uiPriority w:val="1"/>
    <w:qFormat/>
    <w:rsid w:val="003E69FB"/>
    <w:rPr>
      <w:i/>
    </w:rPr>
  </w:style>
  <w:style w:type="character" w:customStyle="1" w:styleId="CharPartNo">
    <w:name w:val="CharPartNo"/>
    <w:basedOn w:val="OPCCharBase"/>
    <w:uiPriority w:val="1"/>
    <w:qFormat/>
    <w:rsid w:val="003E69FB"/>
  </w:style>
  <w:style w:type="character" w:customStyle="1" w:styleId="CharPartText">
    <w:name w:val="CharPartText"/>
    <w:basedOn w:val="OPCCharBase"/>
    <w:uiPriority w:val="1"/>
    <w:qFormat/>
    <w:rsid w:val="003E69FB"/>
  </w:style>
  <w:style w:type="character" w:customStyle="1" w:styleId="CharSectno">
    <w:name w:val="CharSectno"/>
    <w:basedOn w:val="OPCCharBase"/>
    <w:uiPriority w:val="1"/>
    <w:qFormat/>
    <w:rsid w:val="003E69FB"/>
  </w:style>
  <w:style w:type="character" w:customStyle="1" w:styleId="CharSubdNo">
    <w:name w:val="CharSubdNo"/>
    <w:basedOn w:val="OPCCharBase"/>
    <w:uiPriority w:val="1"/>
    <w:qFormat/>
    <w:rsid w:val="003E69FB"/>
  </w:style>
  <w:style w:type="character" w:customStyle="1" w:styleId="CharSubdText">
    <w:name w:val="CharSubdText"/>
    <w:basedOn w:val="OPCCharBase"/>
    <w:uiPriority w:val="1"/>
    <w:qFormat/>
    <w:rsid w:val="003E69FB"/>
  </w:style>
  <w:style w:type="paragraph" w:customStyle="1" w:styleId="CTA--">
    <w:name w:val="CTA --"/>
    <w:basedOn w:val="OPCParaBase"/>
    <w:next w:val="Normal"/>
    <w:rsid w:val="003E69FB"/>
    <w:pPr>
      <w:spacing w:before="60" w:line="240" w:lineRule="atLeast"/>
      <w:ind w:left="142" w:hanging="142"/>
    </w:pPr>
    <w:rPr>
      <w:sz w:val="20"/>
    </w:rPr>
  </w:style>
  <w:style w:type="paragraph" w:customStyle="1" w:styleId="CTA-">
    <w:name w:val="CTA -"/>
    <w:basedOn w:val="OPCParaBase"/>
    <w:rsid w:val="003E69FB"/>
    <w:pPr>
      <w:spacing w:before="60" w:line="240" w:lineRule="atLeast"/>
      <w:ind w:left="85" w:hanging="85"/>
    </w:pPr>
    <w:rPr>
      <w:sz w:val="20"/>
    </w:rPr>
  </w:style>
  <w:style w:type="paragraph" w:customStyle="1" w:styleId="CTA---">
    <w:name w:val="CTA ---"/>
    <w:basedOn w:val="OPCParaBase"/>
    <w:next w:val="Normal"/>
    <w:rsid w:val="003E69FB"/>
    <w:pPr>
      <w:spacing w:before="60" w:line="240" w:lineRule="atLeast"/>
      <w:ind w:left="198" w:hanging="198"/>
    </w:pPr>
    <w:rPr>
      <w:sz w:val="20"/>
    </w:rPr>
  </w:style>
  <w:style w:type="paragraph" w:customStyle="1" w:styleId="CTA----">
    <w:name w:val="CTA ----"/>
    <w:basedOn w:val="OPCParaBase"/>
    <w:next w:val="Normal"/>
    <w:rsid w:val="003E69FB"/>
    <w:pPr>
      <w:spacing w:before="60" w:line="240" w:lineRule="atLeast"/>
      <w:ind w:left="255" w:hanging="255"/>
    </w:pPr>
    <w:rPr>
      <w:sz w:val="20"/>
    </w:rPr>
  </w:style>
  <w:style w:type="paragraph" w:customStyle="1" w:styleId="CTA1a">
    <w:name w:val="CTA 1(a)"/>
    <w:basedOn w:val="OPCParaBase"/>
    <w:rsid w:val="003E69FB"/>
    <w:pPr>
      <w:tabs>
        <w:tab w:val="right" w:pos="414"/>
      </w:tabs>
      <w:spacing w:before="40" w:line="240" w:lineRule="atLeast"/>
      <w:ind w:left="675" w:hanging="675"/>
    </w:pPr>
    <w:rPr>
      <w:sz w:val="20"/>
    </w:rPr>
  </w:style>
  <w:style w:type="paragraph" w:customStyle="1" w:styleId="CTA1ai">
    <w:name w:val="CTA 1(a)(i)"/>
    <w:basedOn w:val="OPCParaBase"/>
    <w:rsid w:val="003E69FB"/>
    <w:pPr>
      <w:tabs>
        <w:tab w:val="right" w:pos="1004"/>
      </w:tabs>
      <w:spacing w:before="40" w:line="240" w:lineRule="atLeast"/>
      <w:ind w:left="1253" w:hanging="1253"/>
    </w:pPr>
    <w:rPr>
      <w:sz w:val="20"/>
    </w:rPr>
  </w:style>
  <w:style w:type="paragraph" w:customStyle="1" w:styleId="CTA2a">
    <w:name w:val="CTA 2(a)"/>
    <w:basedOn w:val="OPCParaBase"/>
    <w:rsid w:val="003E69FB"/>
    <w:pPr>
      <w:tabs>
        <w:tab w:val="right" w:pos="482"/>
      </w:tabs>
      <w:spacing w:before="40" w:line="240" w:lineRule="atLeast"/>
      <w:ind w:left="748" w:hanging="748"/>
    </w:pPr>
    <w:rPr>
      <w:sz w:val="20"/>
    </w:rPr>
  </w:style>
  <w:style w:type="paragraph" w:customStyle="1" w:styleId="CTA2ai">
    <w:name w:val="CTA 2(a)(i)"/>
    <w:basedOn w:val="OPCParaBase"/>
    <w:rsid w:val="003E69FB"/>
    <w:pPr>
      <w:tabs>
        <w:tab w:val="right" w:pos="1089"/>
      </w:tabs>
      <w:spacing w:before="40" w:line="240" w:lineRule="atLeast"/>
      <w:ind w:left="1327" w:hanging="1327"/>
    </w:pPr>
    <w:rPr>
      <w:sz w:val="20"/>
    </w:rPr>
  </w:style>
  <w:style w:type="paragraph" w:customStyle="1" w:styleId="CTA3a">
    <w:name w:val="CTA 3(a)"/>
    <w:basedOn w:val="OPCParaBase"/>
    <w:rsid w:val="003E69FB"/>
    <w:pPr>
      <w:tabs>
        <w:tab w:val="right" w:pos="556"/>
      </w:tabs>
      <w:spacing w:before="40" w:line="240" w:lineRule="atLeast"/>
      <w:ind w:left="805" w:hanging="805"/>
    </w:pPr>
    <w:rPr>
      <w:sz w:val="20"/>
    </w:rPr>
  </w:style>
  <w:style w:type="paragraph" w:customStyle="1" w:styleId="CTA3ai">
    <w:name w:val="CTA 3(a)(i)"/>
    <w:basedOn w:val="OPCParaBase"/>
    <w:rsid w:val="003E69FB"/>
    <w:pPr>
      <w:tabs>
        <w:tab w:val="right" w:pos="1140"/>
      </w:tabs>
      <w:spacing w:before="40" w:line="240" w:lineRule="atLeast"/>
      <w:ind w:left="1361" w:hanging="1361"/>
    </w:pPr>
    <w:rPr>
      <w:sz w:val="20"/>
    </w:rPr>
  </w:style>
  <w:style w:type="paragraph" w:customStyle="1" w:styleId="CTA4a">
    <w:name w:val="CTA 4(a)"/>
    <w:basedOn w:val="OPCParaBase"/>
    <w:rsid w:val="003E69FB"/>
    <w:pPr>
      <w:tabs>
        <w:tab w:val="right" w:pos="624"/>
      </w:tabs>
      <w:spacing w:before="40" w:line="240" w:lineRule="atLeast"/>
      <w:ind w:left="873" w:hanging="873"/>
    </w:pPr>
    <w:rPr>
      <w:sz w:val="20"/>
    </w:rPr>
  </w:style>
  <w:style w:type="paragraph" w:customStyle="1" w:styleId="CTA4ai">
    <w:name w:val="CTA 4(a)(i)"/>
    <w:basedOn w:val="OPCParaBase"/>
    <w:rsid w:val="003E69FB"/>
    <w:pPr>
      <w:tabs>
        <w:tab w:val="right" w:pos="1213"/>
      </w:tabs>
      <w:spacing w:before="40" w:line="240" w:lineRule="atLeast"/>
      <w:ind w:left="1452" w:hanging="1452"/>
    </w:pPr>
    <w:rPr>
      <w:sz w:val="20"/>
    </w:rPr>
  </w:style>
  <w:style w:type="paragraph" w:customStyle="1" w:styleId="CTACAPS">
    <w:name w:val="CTA CAPS"/>
    <w:basedOn w:val="OPCParaBase"/>
    <w:rsid w:val="003E69FB"/>
    <w:pPr>
      <w:spacing w:before="60" w:line="240" w:lineRule="atLeast"/>
    </w:pPr>
    <w:rPr>
      <w:sz w:val="20"/>
    </w:rPr>
  </w:style>
  <w:style w:type="paragraph" w:customStyle="1" w:styleId="CTAright">
    <w:name w:val="CTA right"/>
    <w:basedOn w:val="OPCParaBase"/>
    <w:rsid w:val="003E69FB"/>
    <w:pPr>
      <w:spacing w:before="60" w:line="240" w:lineRule="auto"/>
      <w:jc w:val="right"/>
    </w:pPr>
    <w:rPr>
      <w:sz w:val="20"/>
    </w:rPr>
  </w:style>
  <w:style w:type="paragraph" w:customStyle="1" w:styleId="subsection">
    <w:name w:val="subsection"/>
    <w:aliases w:val="ss"/>
    <w:basedOn w:val="OPCParaBase"/>
    <w:link w:val="subsectionChar"/>
    <w:rsid w:val="003E69FB"/>
    <w:pPr>
      <w:tabs>
        <w:tab w:val="right" w:pos="1021"/>
      </w:tabs>
      <w:spacing w:before="180" w:line="240" w:lineRule="auto"/>
      <w:ind w:left="1134" w:hanging="1134"/>
    </w:pPr>
  </w:style>
  <w:style w:type="paragraph" w:customStyle="1" w:styleId="Definition">
    <w:name w:val="Definition"/>
    <w:aliases w:val="dd"/>
    <w:basedOn w:val="OPCParaBase"/>
    <w:rsid w:val="003E69FB"/>
    <w:pPr>
      <w:spacing w:before="180" w:line="240" w:lineRule="auto"/>
      <w:ind w:left="1134"/>
    </w:pPr>
  </w:style>
  <w:style w:type="paragraph" w:customStyle="1" w:styleId="ETAsubitem">
    <w:name w:val="ETA(subitem)"/>
    <w:basedOn w:val="OPCParaBase"/>
    <w:rsid w:val="003E69FB"/>
    <w:pPr>
      <w:tabs>
        <w:tab w:val="right" w:pos="340"/>
      </w:tabs>
      <w:spacing w:before="60" w:line="240" w:lineRule="auto"/>
      <w:ind w:left="454" w:hanging="454"/>
    </w:pPr>
    <w:rPr>
      <w:sz w:val="20"/>
    </w:rPr>
  </w:style>
  <w:style w:type="paragraph" w:customStyle="1" w:styleId="ETApara">
    <w:name w:val="ETA(para)"/>
    <w:basedOn w:val="OPCParaBase"/>
    <w:rsid w:val="003E69FB"/>
    <w:pPr>
      <w:tabs>
        <w:tab w:val="right" w:pos="754"/>
      </w:tabs>
      <w:spacing w:before="60" w:line="240" w:lineRule="auto"/>
      <w:ind w:left="828" w:hanging="828"/>
    </w:pPr>
    <w:rPr>
      <w:sz w:val="20"/>
    </w:rPr>
  </w:style>
  <w:style w:type="paragraph" w:customStyle="1" w:styleId="ETAsubpara">
    <w:name w:val="ETA(subpara)"/>
    <w:basedOn w:val="OPCParaBase"/>
    <w:rsid w:val="003E69FB"/>
    <w:pPr>
      <w:tabs>
        <w:tab w:val="right" w:pos="1083"/>
      </w:tabs>
      <w:spacing w:before="60" w:line="240" w:lineRule="auto"/>
      <w:ind w:left="1191" w:hanging="1191"/>
    </w:pPr>
    <w:rPr>
      <w:sz w:val="20"/>
    </w:rPr>
  </w:style>
  <w:style w:type="paragraph" w:customStyle="1" w:styleId="ETAsub-subpara">
    <w:name w:val="ETA(sub-subpara)"/>
    <w:basedOn w:val="OPCParaBase"/>
    <w:rsid w:val="003E69FB"/>
    <w:pPr>
      <w:tabs>
        <w:tab w:val="right" w:pos="1412"/>
      </w:tabs>
      <w:spacing w:before="60" w:line="240" w:lineRule="auto"/>
      <w:ind w:left="1525" w:hanging="1525"/>
    </w:pPr>
    <w:rPr>
      <w:sz w:val="20"/>
    </w:rPr>
  </w:style>
  <w:style w:type="paragraph" w:customStyle="1" w:styleId="Formula">
    <w:name w:val="Formula"/>
    <w:basedOn w:val="OPCParaBase"/>
    <w:rsid w:val="003E69FB"/>
    <w:pPr>
      <w:spacing w:line="240" w:lineRule="auto"/>
      <w:ind w:left="1134"/>
    </w:pPr>
    <w:rPr>
      <w:sz w:val="20"/>
    </w:rPr>
  </w:style>
  <w:style w:type="paragraph" w:styleId="Header">
    <w:name w:val="header"/>
    <w:basedOn w:val="OPCParaBase"/>
    <w:link w:val="HeaderChar"/>
    <w:unhideWhenUsed/>
    <w:rsid w:val="003E69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69FB"/>
    <w:rPr>
      <w:rFonts w:eastAsia="Times New Roman" w:cs="Times New Roman"/>
      <w:sz w:val="16"/>
      <w:lang w:eastAsia="en-AU"/>
    </w:rPr>
  </w:style>
  <w:style w:type="paragraph" w:customStyle="1" w:styleId="House">
    <w:name w:val="House"/>
    <w:basedOn w:val="OPCParaBase"/>
    <w:rsid w:val="003E69FB"/>
    <w:pPr>
      <w:spacing w:line="240" w:lineRule="auto"/>
    </w:pPr>
    <w:rPr>
      <w:sz w:val="28"/>
    </w:rPr>
  </w:style>
  <w:style w:type="paragraph" w:customStyle="1" w:styleId="Item">
    <w:name w:val="Item"/>
    <w:aliases w:val="i"/>
    <w:basedOn w:val="OPCParaBase"/>
    <w:next w:val="ItemHead"/>
    <w:link w:val="ItemChar"/>
    <w:rsid w:val="003E69FB"/>
    <w:pPr>
      <w:keepLines/>
      <w:spacing w:before="80" w:line="240" w:lineRule="auto"/>
      <w:ind w:left="709"/>
    </w:pPr>
  </w:style>
  <w:style w:type="paragraph" w:customStyle="1" w:styleId="ItemHead">
    <w:name w:val="ItemHead"/>
    <w:aliases w:val="ih"/>
    <w:basedOn w:val="OPCParaBase"/>
    <w:next w:val="Item"/>
    <w:link w:val="ItemHeadChar"/>
    <w:rsid w:val="003E69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69FB"/>
    <w:pPr>
      <w:spacing w:line="240" w:lineRule="auto"/>
    </w:pPr>
    <w:rPr>
      <w:b/>
      <w:sz w:val="32"/>
    </w:rPr>
  </w:style>
  <w:style w:type="paragraph" w:customStyle="1" w:styleId="notedraft">
    <w:name w:val="note(draft)"/>
    <w:aliases w:val="nd"/>
    <w:basedOn w:val="OPCParaBase"/>
    <w:rsid w:val="003E69FB"/>
    <w:pPr>
      <w:spacing w:before="240" w:line="240" w:lineRule="auto"/>
      <w:ind w:left="284" w:hanging="284"/>
    </w:pPr>
    <w:rPr>
      <w:i/>
      <w:sz w:val="24"/>
    </w:rPr>
  </w:style>
  <w:style w:type="paragraph" w:customStyle="1" w:styleId="notemargin">
    <w:name w:val="note(margin)"/>
    <w:aliases w:val="nm"/>
    <w:basedOn w:val="OPCParaBase"/>
    <w:rsid w:val="003E69FB"/>
    <w:pPr>
      <w:tabs>
        <w:tab w:val="left" w:pos="709"/>
      </w:tabs>
      <w:spacing w:before="122" w:line="198" w:lineRule="exact"/>
      <w:ind w:left="709" w:hanging="709"/>
    </w:pPr>
    <w:rPr>
      <w:sz w:val="18"/>
    </w:rPr>
  </w:style>
  <w:style w:type="paragraph" w:customStyle="1" w:styleId="noteToPara">
    <w:name w:val="noteToPara"/>
    <w:aliases w:val="ntp"/>
    <w:basedOn w:val="OPCParaBase"/>
    <w:rsid w:val="003E69FB"/>
    <w:pPr>
      <w:spacing w:before="122" w:line="198" w:lineRule="exact"/>
      <w:ind w:left="2353" w:hanging="709"/>
    </w:pPr>
    <w:rPr>
      <w:sz w:val="18"/>
    </w:rPr>
  </w:style>
  <w:style w:type="paragraph" w:customStyle="1" w:styleId="noteParlAmend">
    <w:name w:val="note(ParlAmend)"/>
    <w:aliases w:val="npp"/>
    <w:basedOn w:val="OPCParaBase"/>
    <w:next w:val="ParlAmend"/>
    <w:rsid w:val="003E69FB"/>
    <w:pPr>
      <w:spacing w:line="240" w:lineRule="auto"/>
      <w:jc w:val="right"/>
    </w:pPr>
    <w:rPr>
      <w:rFonts w:ascii="Arial" w:hAnsi="Arial"/>
      <w:b/>
      <w:i/>
    </w:rPr>
  </w:style>
  <w:style w:type="paragraph" w:customStyle="1" w:styleId="Page1">
    <w:name w:val="Page1"/>
    <w:basedOn w:val="OPCParaBase"/>
    <w:rsid w:val="003E69FB"/>
    <w:pPr>
      <w:spacing w:before="400" w:line="240" w:lineRule="auto"/>
    </w:pPr>
    <w:rPr>
      <w:b/>
      <w:sz w:val="32"/>
    </w:rPr>
  </w:style>
  <w:style w:type="paragraph" w:customStyle="1" w:styleId="PageBreak">
    <w:name w:val="PageBreak"/>
    <w:aliases w:val="pb"/>
    <w:basedOn w:val="OPCParaBase"/>
    <w:rsid w:val="003E69FB"/>
    <w:pPr>
      <w:spacing w:line="240" w:lineRule="auto"/>
    </w:pPr>
    <w:rPr>
      <w:sz w:val="20"/>
    </w:rPr>
  </w:style>
  <w:style w:type="paragraph" w:customStyle="1" w:styleId="paragraphsub">
    <w:name w:val="paragraph(sub)"/>
    <w:aliases w:val="aa"/>
    <w:basedOn w:val="OPCParaBase"/>
    <w:rsid w:val="003E69FB"/>
    <w:pPr>
      <w:tabs>
        <w:tab w:val="right" w:pos="1985"/>
      </w:tabs>
      <w:spacing w:before="40" w:line="240" w:lineRule="auto"/>
      <w:ind w:left="2098" w:hanging="2098"/>
    </w:pPr>
  </w:style>
  <w:style w:type="paragraph" w:customStyle="1" w:styleId="paragraphsub-sub">
    <w:name w:val="paragraph(sub-sub)"/>
    <w:aliases w:val="aaa"/>
    <w:basedOn w:val="OPCParaBase"/>
    <w:rsid w:val="003E69FB"/>
    <w:pPr>
      <w:tabs>
        <w:tab w:val="right" w:pos="2722"/>
      </w:tabs>
      <w:spacing w:before="40" w:line="240" w:lineRule="auto"/>
      <w:ind w:left="2835" w:hanging="2835"/>
    </w:pPr>
  </w:style>
  <w:style w:type="paragraph" w:customStyle="1" w:styleId="paragraph">
    <w:name w:val="paragraph"/>
    <w:aliases w:val="a"/>
    <w:basedOn w:val="OPCParaBase"/>
    <w:link w:val="paragraphChar"/>
    <w:rsid w:val="003E69FB"/>
    <w:pPr>
      <w:tabs>
        <w:tab w:val="right" w:pos="1531"/>
      </w:tabs>
      <w:spacing w:before="40" w:line="240" w:lineRule="auto"/>
      <w:ind w:left="1644" w:hanging="1644"/>
    </w:pPr>
  </w:style>
  <w:style w:type="paragraph" w:customStyle="1" w:styleId="ParlAmend">
    <w:name w:val="ParlAmend"/>
    <w:aliases w:val="pp"/>
    <w:basedOn w:val="OPCParaBase"/>
    <w:rsid w:val="003E69FB"/>
    <w:pPr>
      <w:spacing w:before="240" w:line="240" w:lineRule="atLeast"/>
      <w:ind w:hanging="567"/>
    </w:pPr>
    <w:rPr>
      <w:sz w:val="24"/>
    </w:rPr>
  </w:style>
  <w:style w:type="paragraph" w:customStyle="1" w:styleId="Penalty">
    <w:name w:val="Penalty"/>
    <w:basedOn w:val="OPCParaBase"/>
    <w:rsid w:val="003E69FB"/>
    <w:pPr>
      <w:tabs>
        <w:tab w:val="left" w:pos="2977"/>
      </w:tabs>
      <w:spacing w:before="180" w:line="240" w:lineRule="auto"/>
      <w:ind w:left="1985" w:hanging="851"/>
    </w:pPr>
  </w:style>
  <w:style w:type="paragraph" w:customStyle="1" w:styleId="Portfolio">
    <w:name w:val="Portfolio"/>
    <w:basedOn w:val="OPCParaBase"/>
    <w:rsid w:val="003E69FB"/>
    <w:pPr>
      <w:spacing w:line="240" w:lineRule="auto"/>
    </w:pPr>
    <w:rPr>
      <w:i/>
      <w:sz w:val="20"/>
    </w:rPr>
  </w:style>
  <w:style w:type="paragraph" w:customStyle="1" w:styleId="Preamble">
    <w:name w:val="Preamble"/>
    <w:basedOn w:val="OPCParaBase"/>
    <w:next w:val="Normal"/>
    <w:rsid w:val="003E69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69FB"/>
    <w:pPr>
      <w:spacing w:line="240" w:lineRule="auto"/>
    </w:pPr>
    <w:rPr>
      <w:i/>
      <w:sz w:val="20"/>
    </w:rPr>
  </w:style>
  <w:style w:type="paragraph" w:customStyle="1" w:styleId="Session">
    <w:name w:val="Session"/>
    <w:basedOn w:val="OPCParaBase"/>
    <w:rsid w:val="003E69FB"/>
    <w:pPr>
      <w:spacing w:line="240" w:lineRule="auto"/>
    </w:pPr>
    <w:rPr>
      <w:sz w:val="28"/>
    </w:rPr>
  </w:style>
  <w:style w:type="paragraph" w:customStyle="1" w:styleId="Sponsor">
    <w:name w:val="Sponsor"/>
    <w:basedOn w:val="OPCParaBase"/>
    <w:rsid w:val="003E69FB"/>
    <w:pPr>
      <w:spacing w:line="240" w:lineRule="auto"/>
    </w:pPr>
    <w:rPr>
      <w:i/>
    </w:rPr>
  </w:style>
  <w:style w:type="paragraph" w:customStyle="1" w:styleId="Subitem">
    <w:name w:val="Subitem"/>
    <w:aliases w:val="iss"/>
    <w:basedOn w:val="OPCParaBase"/>
    <w:rsid w:val="003E69FB"/>
    <w:pPr>
      <w:spacing w:before="180" w:line="240" w:lineRule="auto"/>
      <w:ind w:left="709" w:hanging="709"/>
    </w:pPr>
  </w:style>
  <w:style w:type="paragraph" w:customStyle="1" w:styleId="SubitemHead">
    <w:name w:val="SubitemHead"/>
    <w:aliases w:val="issh"/>
    <w:basedOn w:val="OPCParaBase"/>
    <w:rsid w:val="003E69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69FB"/>
    <w:pPr>
      <w:spacing w:before="40" w:line="240" w:lineRule="auto"/>
      <w:ind w:left="1134"/>
    </w:pPr>
  </w:style>
  <w:style w:type="paragraph" w:customStyle="1" w:styleId="SubsectionHead">
    <w:name w:val="SubsectionHead"/>
    <w:aliases w:val="ssh"/>
    <w:basedOn w:val="OPCParaBase"/>
    <w:next w:val="subsection"/>
    <w:rsid w:val="003E69FB"/>
    <w:pPr>
      <w:keepNext/>
      <w:keepLines/>
      <w:spacing w:before="240" w:line="240" w:lineRule="auto"/>
      <w:ind w:left="1134"/>
    </w:pPr>
    <w:rPr>
      <w:i/>
    </w:rPr>
  </w:style>
  <w:style w:type="paragraph" w:customStyle="1" w:styleId="Tablea">
    <w:name w:val="Table(a)"/>
    <w:aliases w:val="ta"/>
    <w:basedOn w:val="OPCParaBase"/>
    <w:rsid w:val="003E69FB"/>
    <w:pPr>
      <w:spacing w:before="60" w:line="240" w:lineRule="auto"/>
      <w:ind w:left="284" w:hanging="284"/>
    </w:pPr>
    <w:rPr>
      <w:sz w:val="20"/>
    </w:rPr>
  </w:style>
  <w:style w:type="paragraph" w:customStyle="1" w:styleId="TableAA">
    <w:name w:val="Table(AA)"/>
    <w:aliases w:val="taaa"/>
    <w:basedOn w:val="OPCParaBase"/>
    <w:rsid w:val="003E69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69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69FB"/>
    <w:pPr>
      <w:spacing w:before="60" w:line="240" w:lineRule="atLeast"/>
    </w:pPr>
    <w:rPr>
      <w:sz w:val="20"/>
    </w:rPr>
  </w:style>
  <w:style w:type="paragraph" w:customStyle="1" w:styleId="TLPBoxTextnote">
    <w:name w:val="TLPBoxText(note"/>
    <w:aliases w:val="right)"/>
    <w:basedOn w:val="OPCParaBase"/>
    <w:rsid w:val="003E69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69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69FB"/>
    <w:pPr>
      <w:spacing w:before="122" w:line="198" w:lineRule="exact"/>
      <w:ind w:left="1985" w:hanging="851"/>
      <w:jc w:val="right"/>
    </w:pPr>
    <w:rPr>
      <w:sz w:val="18"/>
    </w:rPr>
  </w:style>
  <w:style w:type="paragraph" w:customStyle="1" w:styleId="TLPTableBullet">
    <w:name w:val="TLPTableBullet"/>
    <w:aliases w:val="ttb"/>
    <w:basedOn w:val="OPCParaBase"/>
    <w:rsid w:val="003E69FB"/>
    <w:pPr>
      <w:spacing w:line="240" w:lineRule="exact"/>
      <w:ind w:left="284" w:hanging="284"/>
    </w:pPr>
    <w:rPr>
      <w:sz w:val="20"/>
    </w:rPr>
  </w:style>
  <w:style w:type="paragraph" w:styleId="TOC1">
    <w:name w:val="toc 1"/>
    <w:basedOn w:val="OPCParaBase"/>
    <w:next w:val="Normal"/>
    <w:uiPriority w:val="39"/>
    <w:semiHidden/>
    <w:unhideWhenUsed/>
    <w:rsid w:val="003E69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E69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69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69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69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69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69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69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69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69FB"/>
    <w:pPr>
      <w:keepLines/>
      <w:spacing w:before="240" w:after="120" w:line="240" w:lineRule="auto"/>
      <w:ind w:left="794"/>
    </w:pPr>
    <w:rPr>
      <w:b/>
      <w:kern w:val="28"/>
      <w:sz w:val="20"/>
    </w:rPr>
  </w:style>
  <w:style w:type="paragraph" w:customStyle="1" w:styleId="TofSectsHeading">
    <w:name w:val="TofSects(Heading)"/>
    <w:basedOn w:val="OPCParaBase"/>
    <w:rsid w:val="003E69FB"/>
    <w:pPr>
      <w:spacing w:before="240" w:after="120" w:line="240" w:lineRule="auto"/>
    </w:pPr>
    <w:rPr>
      <w:b/>
      <w:sz w:val="24"/>
    </w:rPr>
  </w:style>
  <w:style w:type="paragraph" w:customStyle="1" w:styleId="TofSectsSection">
    <w:name w:val="TofSects(Section)"/>
    <w:basedOn w:val="OPCParaBase"/>
    <w:rsid w:val="003E69FB"/>
    <w:pPr>
      <w:keepLines/>
      <w:spacing w:before="40" w:line="240" w:lineRule="auto"/>
      <w:ind w:left="1588" w:hanging="794"/>
    </w:pPr>
    <w:rPr>
      <w:kern w:val="28"/>
      <w:sz w:val="18"/>
    </w:rPr>
  </w:style>
  <w:style w:type="paragraph" w:customStyle="1" w:styleId="TofSectsSubdiv">
    <w:name w:val="TofSects(Subdiv)"/>
    <w:basedOn w:val="OPCParaBase"/>
    <w:rsid w:val="003E69FB"/>
    <w:pPr>
      <w:keepLines/>
      <w:spacing w:before="80" w:line="240" w:lineRule="auto"/>
      <w:ind w:left="1588" w:hanging="794"/>
    </w:pPr>
    <w:rPr>
      <w:kern w:val="28"/>
    </w:rPr>
  </w:style>
  <w:style w:type="paragraph" w:customStyle="1" w:styleId="WRStyle">
    <w:name w:val="WR Style"/>
    <w:aliases w:val="WR"/>
    <w:basedOn w:val="OPCParaBase"/>
    <w:rsid w:val="003E69FB"/>
    <w:pPr>
      <w:spacing w:before="240" w:line="240" w:lineRule="auto"/>
      <w:ind w:left="284" w:hanging="284"/>
    </w:pPr>
    <w:rPr>
      <w:b/>
      <w:i/>
      <w:kern w:val="28"/>
      <w:sz w:val="24"/>
    </w:rPr>
  </w:style>
  <w:style w:type="paragraph" w:customStyle="1" w:styleId="notepara">
    <w:name w:val="note(para)"/>
    <w:aliases w:val="na"/>
    <w:basedOn w:val="OPCParaBase"/>
    <w:rsid w:val="003E69FB"/>
    <w:pPr>
      <w:spacing w:before="40" w:line="198" w:lineRule="exact"/>
      <w:ind w:left="2354" w:hanging="369"/>
    </w:pPr>
    <w:rPr>
      <w:sz w:val="18"/>
    </w:rPr>
  </w:style>
  <w:style w:type="paragraph" w:styleId="Footer">
    <w:name w:val="footer"/>
    <w:link w:val="FooterChar"/>
    <w:rsid w:val="003E69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69FB"/>
    <w:rPr>
      <w:rFonts w:eastAsia="Times New Roman" w:cs="Times New Roman"/>
      <w:sz w:val="22"/>
      <w:szCs w:val="24"/>
      <w:lang w:eastAsia="en-AU"/>
    </w:rPr>
  </w:style>
  <w:style w:type="character" w:styleId="LineNumber">
    <w:name w:val="line number"/>
    <w:basedOn w:val="OPCCharBase"/>
    <w:uiPriority w:val="99"/>
    <w:semiHidden/>
    <w:unhideWhenUsed/>
    <w:rsid w:val="003E69FB"/>
    <w:rPr>
      <w:sz w:val="16"/>
    </w:rPr>
  </w:style>
  <w:style w:type="table" w:customStyle="1" w:styleId="CFlag">
    <w:name w:val="CFlag"/>
    <w:basedOn w:val="TableNormal"/>
    <w:uiPriority w:val="99"/>
    <w:rsid w:val="003E69FB"/>
    <w:rPr>
      <w:rFonts w:eastAsia="Times New Roman" w:cs="Times New Roman"/>
      <w:lang w:eastAsia="en-AU"/>
    </w:rPr>
    <w:tblPr/>
  </w:style>
  <w:style w:type="paragraph" w:customStyle="1" w:styleId="NotesHeading1">
    <w:name w:val="NotesHeading 1"/>
    <w:basedOn w:val="OPCParaBase"/>
    <w:next w:val="Normal"/>
    <w:rsid w:val="003E69FB"/>
    <w:rPr>
      <w:b/>
      <w:sz w:val="28"/>
      <w:szCs w:val="28"/>
    </w:rPr>
  </w:style>
  <w:style w:type="paragraph" w:customStyle="1" w:styleId="NotesHeading2">
    <w:name w:val="NotesHeading 2"/>
    <w:basedOn w:val="OPCParaBase"/>
    <w:next w:val="Normal"/>
    <w:rsid w:val="003E69FB"/>
    <w:rPr>
      <w:b/>
      <w:sz w:val="28"/>
      <w:szCs w:val="28"/>
    </w:rPr>
  </w:style>
  <w:style w:type="paragraph" w:customStyle="1" w:styleId="SignCoverPageEnd">
    <w:name w:val="SignCoverPageEnd"/>
    <w:basedOn w:val="OPCParaBase"/>
    <w:next w:val="Normal"/>
    <w:rsid w:val="003E69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69FB"/>
    <w:pPr>
      <w:pBdr>
        <w:top w:val="single" w:sz="4" w:space="1" w:color="auto"/>
      </w:pBdr>
      <w:spacing w:before="360"/>
      <w:ind w:right="397"/>
      <w:jc w:val="both"/>
    </w:pPr>
  </w:style>
  <w:style w:type="paragraph" w:customStyle="1" w:styleId="Paragraphsub-sub-sub">
    <w:name w:val="Paragraph(sub-sub-sub)"/>
    <w:aliases w:val="aaaa"/>
    <w:basedOn w:val="OPCParaBase"/>
    <w:rsid w:val="003E69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69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69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69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69F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69FB"/>
    <w:pPr>
      <w:spacing w:before="120"/>
    </w:pPr>
  </w:style>
  <w:style w:type="paragraph" w:customStyle="1" w:styleId="TableTextEndNotes">
    <w:name w:val="TableTextEndNotes"/>
    <w:aliases w:val="Tten"/>
    <w:basedOn w:val="Normal"/>
    <w:rsid w:val="003E69FB"/>
    <w:pPr>
      <w:spacing w:before="60" w:line="240" w:lineRule="auto"/>
    </w:pPr>
    <w:rPr>
      <w:rFonts w:cs="Arial"/>
      <w:sz w:val="20"/>
      <w:szCs w:val="22"/>
    </w:rPr>
  </w:style>
  <w:style w:type="paragraph" w:customStyle="1" w:styleId="TableHeading">
    <w:name w:val="TableHeading"/>
    <w:aliases w:val="th"/>
    <w:basedOn w:val="OPCParaBase"/>
    <w:next w:val="Tabletext"/>
    <w:rsid w:val="003E69FB"/>
    <w:pPr>
      <w:keepNext/>
      <w:spacing w:before="60" w:line="240" w:lineRule="atLeast"/>
    </w:pPr>
    <w:rPr>
      <w:b/>
      <w:sz w:val="20"/>
    </w:rPr>
  </w:style>
  <w:style w:type="paragraph" w:customStyle="1" w:styleId="NoteToSubpara">
    <w:name w:val="NoteToSubpara"/>
    <w:aliases w:val="nts"/>
    <w:basedOn w:val="OPCParaBase"/>
    <w:rsid w:val="003E69FB"/>
    <w:pPr>
      <w:spacing w:before="40" w:line="198" w:lineRule="exact"/>
      <w:ind w:left="2835" w:hanging="709"/>
    </w:pPr>
    <w:rPr>
      <w:sz w:val="18"/>
    </w:rPr>
  </w:style>
  <w:style w:type="paragraph" w:customStyle="1" w:styleId="ENoteTableHeading">
    <w:name w:val="ENoteTableHeading"/>
    <w:aliases w:val="enth"/>
    <w:basedOn w:val="OPCParaBase"/>
    <w:rsid w:val="003E69FB"/>
    <w:pPr>
      <w:keepNext/>
      <w:spacing w:before="60" w:line="240" w:lineRule="atLeast"/>
    </w:pPr>
    <w:rPr>
      <w:rFonts w:ascii="Arial" w:hAnsi="Arial"/>
      <w:b/>
      <w:sz w:val="16"/>
    </w:rPr>
  </w:style>
  <w:style w:type="paragraph" w:customStyle="1" w:styleId="ENoteTTi">
    <w:name w:val="ENoteTTi"/>
    <w:aliases w:val="entti"/>
    <w:basedOn w:val="OPCParaBase"/>
    <w:rsid w:val="003E69FB"/>
    <w:pPr>
      <w:keepNext/>
      <w:spacing w:before="60" w:line="240" w:lineRule="atLeast"/>
      <w:ind w:left="170"/>
    </w:pPr>
    <w:rPr>
      <w:sz w:val="16"/>
    </w:rPr>
  </w:style>
  <w:style w:type="paragraph" w:customStyle="1" w:styleId="ENotesHeading1">
    <w:name w:val="ENotesHeading 1"/>
    <w:aliases w:val="Enh1"/>
    <w:basedOn w:val="OPCParaBase"/>
    <w:next w:val="Normal"/>
    <w:rsid w:val="003E69FB"/>
    <w:pPr>
      <w:spacing w:before="120"/>
      <w:outlineLvl w:val="1"/>
    </w:pPr>
    <w:rPr>
      <w:b/>
      <w:sz w:val="28"/>
      <w:szCs w:val="28"/>
    </w:rPr>
  </w:style>
  <w:style w:type="paragraph" w:customStyle="1" w:styleId="ENotesHeading2">
    <w:name w:val="ENotesHeading 2"/>
    <w:aliases w:val="Enh2"/>
    <w:basedOn w:val="OPCParaBase"/>
    <w:next w:val="Normal"/>
    <w:rsid w:val="003E69FB"/>
    <w:pPr>
      <w:spacing w:before="120" w:after="120"/>
      <w:outlineLvl w:val="2"/>
    </w:pPr>
    <w:rPr>
      <w:b/>
      <w:sz w:val="24"/>
      <w:szCs w:val="28"/>
    </w:rPr>
  </w:style>
  <w:style w:type="paragraph" w:customStyle="1" w:styleId="ENoteTTIndentHeading">
    <w:name w:val="ENoteTTIndentHeading"/>
    <w:aliases w:val="enTTHi"/>
    <w:basedOn w:val="OPCParaBase"/>
    <w:rsid w:val="003E69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69FB"/>
    <w:pPr>
      <w:spacing w:before="60" w:line="240" w:lineRule="atLeast"/>
    </w:pPr>
    <w:rPr>
      <w:sz w:val="16"/>
    </w:rPr>
  </w:style>
  <w:style w:type="paragraph" w:customStyle="1" w:styleId="MadeunderText">
    <w:name w:val="MadeunderText"/>
    <w:basedOn w:val="OPCParaBase"/>
    <w:next w:val="Normal"/>
    <w:rsid w:val="003E69FB"/>
    <w:pPr>
      <w:spacing w:before="240"/>
    </w:pPr>
    <w:rPr>
      <w:sz w:val="24"/>
      <w:szCs w:val="24"/>
    </w:rPr>
  </w:style>
  <w:style w:type="paragraph" w:customStyle="1" w:styleId="ENotesHeading3">
    <w:name w:val="ENotesHeading 3"/>
    <w:aliases w:val="Enh3"/>
    <w:basedOn w:val="OPCParaBase"/>
    <w:next w:val="Normal"/>
    <w:rsid w:val="003E69FB"/>
    <w:pPr>
      <w:keepNext/>
      <w:spacing w:before="120" w:line="240" w:lineRule="auto"/>
      <w:outlineLvl w:val="4"/>
    </w:pPr>
    <w:rPr>
      <w:b/>
      <w:szCs w:val="24"/>
    </w:rPr>
  </w:style>
  <w:style w:type="paragraph" w:customStyle="1" w:styleId="SubPartCASA">
    <w:name w:val="SubPart(CASA)"/>
    <w:aliases w:val="csp"/>
    <w:basedOn w:val="OPCParaBase"/>
    <w:next w:val="ActHead3"/>
    <w:rsid w:val="003E69FB"/>
    <w:pPr>
      <w:keepNext/>
      <w:keepLines/>
      <w:spacing w:before="280"/>
      <w:outlineLvl w:val="1"/>
    </w:pPr>
    <w:rPr>
      <w:b/>
      <w:kern w:val="28"/>
      <w:sz w:val="32"/>
    </w:rPr>
  </w:style>
  <w:style w:type="character" w:customStyle="1" w:styleId="CharSubPartTextCASA">
    <w:name w:val="CharSubPartText(CASA)"/>
    <w:basedOn w:val="OPCCharBase"/>
    <w:uiPriority w:val="1"/>
    <w:rsid w:val="003E69FB"/>
  </w:style>
  <w:style w:type="character" w:customStyle="1" w:styleId="CharSubPartNoCASA">
    <w:name w:val="CharSubPartNo(CASA)"/>
    <w:basedOn w:val="OPCCharBase"/>
    <w:uiPriority w:val="1"/>
    <w:rsid w:val="003E69FB"/>
  </w:style>
  <w:style w:type="paragraph" w:customStyle="1" w:styleId="ENoteTTIndentHeadingSub">
    <w:name w:val="ENoteTTIndentHeadingSub"/>
    <w:aliases w:val="enTTHis"/>
    <w:basedOn w:val="OPCParaBase"/>
    <w:rsid w:val="003E69FB"/>
    <w:pPr>
      <w:keepNext/>
      <w:spacing w:before="60" w:line="240" w:lineRule="atLeast"/>
      <w:ind w:left="340"/>
    </w:pPr>
    <w:rPr>
      <w:b/>
      <w:sz w:val="16"/>
    </w:rPr>
  </w:style>
  <w:style w:type="paragraph" w:customStyle="1" w:styleId="ENoteTTiSub">
    <w:name w:val="ENoteTTiSub"/>
    <w:aliases w:val="enttis"/>
    <w:basedOn w:val="OPCParaBase"/>
    <w:rsid w:val="003E69FB"/>
    <w:pPr>
      <w:keepNext/>
      <w:spacing w:before="60" w:line="240" w:lineRule="atLeast"/>
      <w:ind w:left="340"/>
    </w:pPr>
    <w:rPr>
      <w:sz w:val="16"/>
    </w:rPr>
  </w:style>
  <w:style w:type="paragraph" w:customStyle="1" w:styleId="SubDivisionMigration">
    <w:name w:val="SubDivisionMigration"/>
    <w:aliases w:val="sdm"/>
    <w:basedOn w:val="OPCParaBase"/>
    <w:rsid w:val="003E69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69FB"/>
    <w:pPr>
      <w:keepNext/>
      <w:keepLines/>
      <w:spacing w:before="240" w:line="240" w:lineRule="auto"/>
      <w:ind w:left="1134" w:hanging="1134"/>
    </w:pPr>
    <w:rPr>
      <w:b/>
      <w:sz w:val="28"/>
    </w:rPr>
  </w:style>
  <w:style w:type="table" w:styleId="TableGrid">
    <w:name w:val="Table Grid"/>
    <w:basedOn w:val="TableNormal"/>
    <w:uiPriority w:val="59"/>
    <w:rsid w:val="003E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E69F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69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69FB"/>
    <w:rPr>
      <w:sz w:val="22"/>
    </w:rPr>
  </w:style>
  <w:style w:type="paragraph" w:customStyle="1" w:styleId="SOTextNote">
    <w:name w:val="SO TextNote"/>
    <w:aliases w:val="sont"/>
    <w:basedOn w:val="SOText"/>
    <w:qFormat/>
    <w:rsid w:val="003E69FB"/>
    <w:pPr>
      <w:spacing w:before="122" w:line="198" w:lineRule="exact"/>
      <w:ind w:left="1843" w:hanging="709"/>
    </w:pPr>
    <w:rPr>
      <w:sz w:val="18"/>
    </w:rPr>
  </w:style>
  <w:style w:type="paragraph" w:customStyle="1" w:styleId="SOPara">
    <w:name w:val="SO Para"/>
    <w:aliases w:val="soa"/>
    <w:basedOn w:val="SOText"/>
    <w:link w:val="SOParaChar"/>
    <w:qFormat/>
    <w:rsid w:val="003E69FB"/>
    <w:pPr>
      <w:tabs>
        <w:tab w:val="right" w:pos="1786"/>
      </w:tabs>
      <w:spacing w:before="40"/>
      <w:ind w:left="2070" w:hanging="936"/>
    </w:pPr>
  </w:style>
  <w:style w:type="character" w:customStyle="1" w:styleId="SOParaChar">
    <w:name w:val="SO Para Char"/>
    <w:aliases w:val="soa Char"/>
    <w:basedOn w:val="DefaultParagraphFont"/>
    <w:link w:val="SOPara"/>
    <w:rsid w:val="003E69FB"/>
    <w:rPr>
      <w:sz w:val="22"/>
    </w:rPr>
  </w:style>
  <w:style w:type="paragraph" w:customStyle="1" w:styleId="FileName">
    <w:name w:val="FileName"/>
    <w:basedOn w:val="Normal"/>
    <w:rsid w:val="003E69FB"/>
  </w:style>
  <w:style w:type="paragraph" w:customStyle="1" w:styleId="SOHeadBold">
    <w:name w:val="SO HeadBold"/>
    <w:aliases w:val="sohb"/>
    <w:basedOn w:val="SOText"/>
    <w:next w:val="SOText"/>
    <w:link w:val="SOHeadBoldChar"/>
    <w:qFormat/>
    <w:rsid w:val="003E69FB"/>
    <w:rPr>
      <w:b/>
    </w:rPr>
  </w:style>
  <w:style w:type="character" w:customStyle="1" w:styleId="SOHeadBoldChar">
    <w:name w:val="SO HeadBold Char"/>
    <w:aliases w:val="sohb Char"/>
    <w:basedOn w:val="DefaultParagraphFont"/>
    <w:link w:val="SOHeadBold"/>
    <w:rsid w:val="003E69FB"/>
    <w:rPr>
      <w:b/>
      <w:sz w:val="22"/>
    </w:rPr>
  </w:style>
  <w:style w:type="paragraph" w:customStyle="1" w:styleId="SOHeadItalic">
    <w:name w:val="SO HeadItalic"/>
    <w:aliases w:val="sohi"/>
    <w:basedOn w:val="SOText"/>
    <w:next w:val="SOText"/>
    <w:link w:val="SOHeadItalicChar"/>
    <w:qFormat/>
    <w:rsid w:val="003E69FB"/>
    <w:rPr>
      <w:i/>
    </w:rPr>
  </w:style>
  <w:style w:type="character" w:customStyle="1" w:styleId="SOHeadItalicChar">
    <w:name w:val="SO HeadItalic Char"/>
    <w:aliases w:val="sohi Char"/>
    <w:basedOn w:val="DefaultParagraphFont"/>
    <w:link w:val="SOHeadItalic"/>
    <w:rsid w:val="003E69FB"/>
    <w:rPr>
      <w:i/>
      <w:sz w:val="22"/>
    </w:rPr>
  </w:style>
  <w:style w:type="paragraph" w:customStyle="1" w:styleId="SOBullet">
    <w:name w:val="SO Bullet"/>
    <w:aliases w:val="sotb"/>
    <w:basedOn w:val="SOText"/>
    <w:link w:val="SOBulletChar"/>
    <w:qFormat/>
    <w:rsid w:val="003E69FB"/>
    <w:pPr>
      <w:ind w:left="1559" w:hanging="425"/>
    </w:pPr>
  </w:style>
  <w:style w:type="character" w:customStyle="1" w:styleId="SOBulletChar">
    <w:name w:val="SO Bullet Char"/>
    <w:aliases w:val="sotb Char"/>
    <w:basedOn w:val="DefaultParagraphFont"/>
    <w:link w:val="SOBullet"/>
    <w:rsid w:val="003E69FB"/>
    <w:rPr>
      <w:sz w:val="22"/>
    </w:rPr>
  </w:style>
  <w:style w:type="paragraph" w:customStyle="1" w:styleId="SOBulletNote">
    <w:name w:val="SO BulletNote"/>
    <w:aliases w:val="sonb"/>
    <w:basedOn w:val="SOTextNote"/>
    <w:link w:val="SOBulletNoteChar"/>
    <w:qFormat/>
    <w:rsid w:val="003E69FB"/>
    <w:pPr>
      <w:tabs>
        <w:tab w:val="left" w:pos="1560"/>
      </w:tabs>
      <w:ind w:left="2268" w:hanging="1134"/>
    </w:pPr>
  </w:style>
  <w:style w:type="character" w:customStyle="1" w:styleId="SOBulletNoteChar">
    <w:name w:val="SO BulletNote Char"/>
    <w:aliases w:val="sonb Char"/>
    <w:basedOn w:val="DefaultParagraphFont"/>
    <w:link w:val="SOBulletNote"/>
    <w:rsid w:val="003E69FB"/>
    <w:rPr>
      <w:sz w:val="18"/>
    </w:rPr>
  </w:style>
  <w:style w:type="paragraph" w:customStyle="1" w:styleId="SOText2">
    <w:name w:val="SO Text2"/>
    <w:aliases w:val="sot2"/>
    <w:basedOn w:val="Normal"/>
    <w:next w:val="SOText"/>
    <w:link w:val="SOText2Char"/>
    <w:rsid w:val="003E69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69FB"/>
    <w:rPr>
      <w:sz w:val="22"/>
    </w:rPr>
  </w:style>
  <w:style w:type="character" w:customStyle="1" w:styleId="ItemHeadChar">
    <w:name w:val="ItemHead Char"/>
    <w:aliases w:val="ih Char"/>
    <w:link w:val="ItemHead"/>
    <w:rsid w:val="003A467E"/>
    <w:rPr>
      <w:rFonts w:ascii="Arial" w:eastAsia="Times New Roman" w:hAnsi="Arial" w:cs="Times New Roman"/>
      <w:b/>
      <w:kern w:val="28"/>
      <w:sz w:val="24"/>
      <w:lang w:eastAsia="en-AU"/>
    </w:rPr>
  </w:style>
  <w:style w:type="character" w:customStyle="1" w:styleId="ItemChar">
    <w:name w:val="Item Char"/>
    <w:aliases w:val="i Char"/>
    <w:link w:val="Item"/>
    <w:rsid w:val="003A467E"/>
    <w:rPr>
      <w:rFonts w:eastAsia="Times New Roman" w:cs="Times New Roman"/>
      <w:sz w:val="22"/>
      <w:lang w:eastAsia="en-AU"/>
    </w:rPr>
  </w:style>
  <w:style w:type="character" w:customStyle="1" w:styleId="paragraphChar">
    <w:name w:val="paragraph Char"/>
    <w:aliases w:val="a Char"/>
    <w:basedOn w:val="DefaultParagraphFont"/>
    <w:link w:val="paragraph"/>
    <w:locked/>
    <w:rsid w:val="003A467E"/>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3A467E"/>
    <w:rPr>
      <w:rFonts w:eastAsia="Times New Roman" w:cs="Times New Roman"/>
      <w:sz w:val="22"/>
      <w:lang w:eastAsia="en-AU"/>
    </w:rPr>
  </w:style>
  <w:style w:type="character" w:customStyle="1" w:styleId="Heading1Char">
    <w:name w:val="Heading 1 Char"/>
    <w:basedOn w:val="DefaultParagraphFont"/>
    <w:link w:val="Heading1"/>
    <w:uiPriority w:val="9"/>
    <w:rsid w:val="009A06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06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06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06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06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06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06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0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06AB"/>
    <w:rPr>
      <w:rFonts w:asciiTheme="majorHAnsi" w:eastAsiaTheme="majorEastAsia" w:hAnsiTheme="majorHAnsi" w:cstheme="majorBidi"/>
      <w:i/>
      <w:iCs/>
      <w:color w:val="404040" w:themeColor="text1" w:themeTint="BF"/>
    </w:rPr>
  </w:style>
  <w:style w:type="paragraph" w:customStyle="1" w:styleId="tableText0">
    <w:name w:val="table.Text"/>
    <w:basedOn w:val="Normal"/>
    <w:rsid w:val="0045049F"/>
    <w:pPr>
      <w:spacing w:before="24" w:after="24"/>
    </w:pPr>
    <w:rPr>
      <w:rFonts w:eastAsia="Calibri" w:cs="Times New Roman"/>
      <w:sz w:val="20"/>
    </w:rPr>
  </w:style>
  <w:style w:type="paragraph" w:customStyle="1" w:styleId="tableIndentText">
    <w:name w:val="table.Indent.Text"/>
    <w:rsid w:val="0045049F"/>
    <w:pPr>
      <w:tabs>
        <w:tab w:val="left" w:leader="dot" w:pos="5245"/>
      </w:tabs>
      <w:spacing w:before="24" w:after="24"/>
      <w:ind w:left="851" w:hanging="284"/>
    </w:pPr>
    <w:rPr>
      <w:rFonts w:ascii="Times" w:eastAsia="Times New Roman" w:hAnsi="Times" w:cs="Times New Roman"/>
    </w:rPr>
  </w:style>
  <w:style w:type="paragraph" w:styleId="BalloonText">
    <w:name w:val="Balloon Text"/>
    <w:basedOn w:val="Normal"/>
    <w:link w:val="BalloonTextChar"/>
    <w:uiPriority w:val="99"/>
    <w:semiHidden/>
    <w:unhideWhenUsed/>
    <w:rsid w:val="00962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66"/>
    <w:rPr>
      <w:rFonts w:ascii="Tahoma" w:hAnsi="Tahoma" w:cs="Tahoma"/>
      <w:sz w:val="16"/>
      <w:szCs w:val="16"/>
    </w:rPr>
  </w:style>
  <w:style w:type="character" w:styleId="Hyperlink">
    <w:name w:val="Hyperlink"/>
    <w:basedOn w:val="DefaultParagraphFont"/>
    <w:uiPriority w:val="99"/>
    <w:semiHidden/>
    <w:unhideWhenUsed/>
    <w:rsid w:val="009276E4"/>
    <w:rPr>
      <w:color w:val="0000FF" w:themeColor="hyperlink"/>
      <w:u w:val="single"/>
    </w:rPr>
  </w:style>
  <w:style w:type="character" w:styleId="FollowedHyperlink">
    <w:name w:val="FollowedHyperlink"/>
    <w:basedOn w:val="DefaultParagraphFont"/>
    <w:uiPriority w:val="99"/>
    <w:semiHidden/>
    <w:unhideWhenUsed/>
    <w:rsid w:val="009276E4"/>
    <w:rPr>
      <w:color w:val="0000FF" w:themeColor="hyperlink"/>
      <w:u w:val="single"/>
    </w:rPr>
  </w:style>
  <w:style w:type="paragraph" w:customStyle="1" w:styleId="ShortTP1">
    <w:name w:val="ShortTP1"/>
    <w:basedOn w:val="ShortT"/>
    <w:link w:val="ShortTP1Char"/>
    <w:rsid w:val="00253806"/>
    <w:pPr>
      <w:spacing w:before="800"/>
    </w:pPr>
  </w:style>
  <w:style w:type="character" w:customStyle="1" w:styleId="OPCParaBaseChar">
    <w:name w:val="OPCParaBase Char"/>
    <w:basedOn w:val="DefaultParagraphFont"/>
    <w:link w:val="OPCParaBase"/>
    <w:rsid w:val="00253806"/>
    <w:rPr>
      <w:rFonts w:eastAsia="Times New Roman" w:cs="Times New Roman"/>
      <w:sz w:val="22"/>
      <w:lang w:eastAsia="en-AU"/>
    </w:rPr>
  </w:style>
  <w:style w:type="character" w:customStyle="1" w:styleId="ShortTChar">
    <w:name w:val="ShortT Char"/>
    <w:basedOn w:val="OPCParaBaseChar"/>
    <w:link w:val="ShortT"/>
    <w:rsid w:val="00253806"/>
    <w:rPr>
      <w:rFonts w:eastAsia="Times New Roman" w:cs="Times New Roman"/>
      <w:b/>
      <w:sz w:val="40"/>
      <w:lang w:eastAsia="en-AU"/>
    </w:rPr>
  </w:style>
  <w:style w:type="character" w:customStyle="1" w:styleId="ShortTP1Char">
    <w:name w:val="ShortTP1 Char"/>
    <w:basedOn w:val="ShortTChar"/>
    <w:link w:val="ShortTP1"/>
    <w:rsid w:val="00253806"/>
    <w:rPr>
      <w:rFonts w:eastAsia="Times New Roman" w:cs="Times New Roman"/>
      <w:b/>
      <w:sz w:val="40"/>
      <w:lang w:eastAsia="en-AU"/>
    </w:rPr>
  </w:style>
  <w:style w:type="paragraph" w:customStyle="1" w:styleId="ActNoP1">
    <w:name w:val="ActNoP1"/>
    <w:basedOn w:val="Actno"/>
    <w:link w:val="ActNoP1Char"/>
    <w:rsid w:val="00253806"/>
    <w:pPr>
      <w:spacing w:before="800"/>
    </w:pPr>
    <w:rPr>
      <w:sz w:val="28"/>
    </w:rPr>
  </w:style>
  <w:style w:type="character" w:customStyle="1" w:styleId="ActnoChar">
    <w:name w:val="Actno Char"/>
    <w:basedOn w:val="ShortTChar"/>
    <w:link w:val="Actno"/>
    <w:rsid w:val="00253806"/>
    <w:rPr>
      <w:rFonts w:eastAsia="Times New Roman" w:cs="Times New Roman"/>
      <w:b/>
      <w:sz w:val="40"/>
      <w:lang w:eastAsia="en-AU"/>
    </w:rPr>
  </w:style>
  <w:style w:type="character" w:customStyle="1" w:styleId="ActNoP1Char">
    <w:name w:val="ActNoP1 Char"/>
    <w:basedOn w:val="ActnoChar"/>
    <w:link w:val="ActNoP1"/>
    <w:rsid w:val="00253806"/>
    <w:rPr>
      <w:rFonts w:eastAsia="Times New Roman" w:cs="Times New Roman"/>
      <w:b/>
      <w:sz w:val="28"/>
      <w:lang w:eastAsia="en-AU"/>
    </w:rPr>
  </w:style>
  <w:style w:type="paragraph" w:customStyle="1" w:styleId="ShortTCP">
    <w:name w:val="ShortTCP"/>
    <w:basedOn w:val="ShortT"/>
    <w:link w:val="ShortTCPChar"/>
    <w:rsid w:val="00253806"/>
  </w:style>
  <w:style w:type="character" w:customStyle="1" w:styleId="ShortTCPChar">
    <w:name w:val="ShortTCP Char"/>
    <w:basedOn w:val="ShortTChar"/>
    <w:link w:val="ShortTCP"/>
    <w:rsid w:val="00253806"/>
    <w:rPr>
      <w:rFonts w:eastAsia="Times New Roman" w:cs="Times New Roman"/>
      <w:b/>
      <w:sz w:val="40"/>
      <w:lang w:eastAsia="en-AU"/>
    </w:rPr>
  </w:style>
  <w:style w:type="paragraph" w:customStyle="1" w:styleId="ActNoCP">
    <w:name w:val="ActNoCP"/>
    <w:basedOn w:val="Actno"/>
    <w:link w:val="ActNoCPChar"/>
    <w:rsid w:val="00253806"/>
    <w:pPr>
      <w:spacing w:before="400"/>
    </w:pPr>
  </w:style>
  <w:style w:type="character" w:customStyle="1" w:styleId="ActNoCPChar">
    <w:name w:val="ActNoCP Char"/>
    <w:basedOn w:val="ActnoChar"/>
    <w:link w:val="ActNoCP"/>
    <w:rsid w:val="00253806"/>
    <w:rPr>
      <w:rFonts w:eastAsia="Times New Roman" w:cs="Times New Roman"/>
      <w:b/>
      <w:sz w:val="40"/>
      <w:lang w:eastAsia="en-AU"/>
    </w:rPr>
  </w:style>
  <w:style w:type="paragraph" w:customStyle="1" w:styleId="AssentBk">
    <w:name w:val="AssentBk"/>
    <w:basedOn w:val="Normal"/>
    <w:rsid w:val="00253806"/>
    <w:pPr>
      <w:spacing w:line="240" w:lineRule="auto"/>
    </w:pPr>
    <w:rPr>
      <w:rFonts w:eastAsia="Times New Roman" w:cs="Times New Roman"/>
      <w:sz w:val="20"/>
      <w:lang w:eastAsia="en-AU"/>
    </w:rPr>
  </w:style>
  <w:style w:type="paragraph" w:customStyle="1" w:styleId="AssentDt">
    <w:name w:val="AssentDt"/>
    <w:basedOn w:val="Normal"/>
    <w:rsid w:val="000E26D7"/>
    <w:pPr>
      <w:spacing w:line="240" w:lineRule="auto"/>
    </w:pPr>
    <w:rPr>
      <w:rFonts w:eastAsia="Times New Roman" w:cs="Times New Roman"/>
      <w:sz w:val="20"/>
      <w:lang w:eastAsia="en-AU"/>
    </w:rPr>
  </w:style>
  <w:style w:type="paragraph" w:customStyle="1" w:styleId="2ndRd">
    <w:name w:val="2ndRd"/>
    <w:basedOn w:val="Normal"/>
    <w:rsid w:val="000E26D7"/>
    <w:pPr>
      <w:spacing w:line="240" w:lineRule="auto"/>
    </w:pPr>
    <w:rPr>
      <w:rFonts w:eastAsia="Times New Roman" w:cs="Times New Roman"/>
      <w:sz w:val="20"/>
      <w:lang w:eastAsia="en-AU"/>
    </w:rPr>
  </w:style>
  <w:style w:type="paragraph" w:customStyle="1" w:styleId="ScalePlusRef">
    <w:name w:val="ScalePlusRef"/>
    <w:basedOn w:val="Normal"/>
    <w:rsid w:val="000E26D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04848">
      <w:bodyDiv w:val="1"/>
      <w:marLeft w:val="0"/>
      <w:marRight w:val="0"/>
      <w:marTop w:val="0"/>
      <w:marBottom w:val="0"/>
      <w:divBdr>
        <w:top w:val="none" w:sz="0" w:space="0" w:color="auto"/>
        <w:left w:val="none" w:sz="0" w:space="0" w:color="auto"/>
        <w:bottom w:val="none" w:sz="0" w:space="0" w:color="auto"/>
        <w:right w:val="none" w:sz="0" w:space="0" w:color="auto"/>
      </w:divBdr>
    </w:div>
    <w:div w:id="18739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3340</Words>
  <Characters>13029</Characters>
  <Application>Microsoft Office Word</Application>
  <DocSecurity>0</DocSecurity>
  <PresentationFormat/>
  <Lines>6514</Lines>
  <Paragraphs>1818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2018-03-13T03:13:00Z</cp:lastPrinted>
  <dcterms:created xsi:type="dcterms:W3CDTF">2018-10-05T04:54:00Z</dcterms:created>
  <dcterms:modified xsi:type="dcterms:W3CDTF">2018-10-05T05:06:00Z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(Tax Integrity and Other Measures) Act 2018</vt:lpwstr>
  </property>
  <property fmtid="{D5CDD505-2E9C-101B-9397-08002B2CF9AE}" pid="5" name="ActNo">
    <vt:lpwstr>No. 124,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OPC6725</vt:lpwstr>
  </property>
</Properties>
</file>