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4" w:rsidRDefault="00E24B34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1pt;height:81pt" o:ole="" fillcolor="window">
            <v:imagedata r:id="rId8" o:title=""/>
          </v:shape>
          <o:OLEObject Type="Embed" ProgID="Word.Picture.8" ShapeID="_x0000_i1025" DrawAspect="Content" ObjectID="_1600258393" r:id="rId9"/>
        </w:object>
      </w:r>
    </w:p>
    <w:p w:rsidR="00E24B34" w:rsidRDefault="00E24B34"/>
    <w:p w:rsidR="00E24B34" w:rsidRDefault="00E24B34" w:rsidP="00E24B34">
      <w:pPr>
        <w:spacing w:line="240" w:lineRule="auto"/>
      </w:pPr>
    </w:p>
    <w:p w:rsidR="00E24B34" w:rsidRDefault="00E24B34" w:rsidP="00E24B34"/>
    <w:p w:rsidR="00E24B34" w:rsidRDefault="00E24B34" w:rsidP="00E24B34"/>
    <w:p w:rsidR="00E24B34" w:rsidRDefault="00E24B34" w:rsidP="00E24B34"/>
    <w:p w:rsidR="00E24B34" w:rsidRDefault="00E24B34" w:rsidP="00E24B34"/>
    <w:p w:rsidR="0048364F" w:rsidRPr="00F37C10" w:rsidRDefault="00F012F0" w:rsidP="0048364F">
      <w:pPr>
        <w:pStyle w:val="ShortT"/>
      </w:pPr>
      <w:r w:rsidRPr="00F37C10">
        <w:t xml:space="preserve">Treasury Laws Amendment (Working Holiday Maker Employer </w:t>
      </w:r>
      <w:r w:rsidR="00A64165" w:rsidRPr="00F37C10">
        <w:t>Register</w:t>
      </w:r>
      <w:r w:rsidRPr="00F37C10">
        <w:t xml:space="preserve">) </w:t>
      </w:r>
      <w:r w:rsidR="00E24B34">
        <w:t>Act</w:t>
      </w:r>
      <w:r w:rsidR="00C164CA" w:rsidRPr="00F37C10">
        <w:t xml:space="preserve"> 201</w:t>
      </w:r>
      <w:r w:rsidR="00231852">
        <w:t>8</w:t>
      </w:r>
    </w:p>
    <w:p w:rsidR="0048364F" w:rsidRPr="00F37C10" w:rsidRDefault="0048364F" w:rsidP="0048364F"/>
    <w:p w:rsidR="0048364F" w:rsidRPr="00F37C10" w:rsidRDefault="00C164CA" w:rsidP="00E24B34">
      <w:pPr>
        <w:pStyle w:val="Actno"/>
        <w:spacing w:before="400"/>
      </w:pPr>
      <w:r w:rsidRPr="00F37C10">
        <w:t>No.</w:t>
      </w:r>
      <w:r w:rsidR="00277844">
        <w:t xml:space="preserve"> 125</w:t>
      </w:r>
      <w:r w:rsidRPr="00F37C10">
        <w:t>, 201</w:t>
      </w:r>
      <w:r w:rsidR="00231852">
        <w:t>8</w:t>
      </w:r>
    </w:p>
    <w:p w:rsidR="0048364F" w:rsidRPr="00F37C10" w:rsidRDefault="0048364F" w:rsidP="0048364F"/>
    <w:p w:rsidR="00E24B34" w:rsidRDefault="00E24B34" w:rsidP="00E24B34"/>
    <w:p w:rsidR="00E24B34" w:rsidRDefault="00E24B34" w:rsidP="00E24B34"/>
    <w:p w:rsidR="00E24B34" w:rsidRDefault="00E24B34" w:rsidP="00E24B34"/>
    <w:p w:rsidR="00E24B34" w:rsidRDefault="00E24B34" w:rsidP="00E24B34"/>
    <w:p w:rsidR="0048364F" w:rsidRPr="00F37C10" w:rsidRDefault="00E24B34" w:rsidP="0048364F">
      <w:pPr>
        <w:pStyle w:val="LongT"/>
      </w:pPr>
      <w:r>
        <w:t>An Act</w:t>
      </w:r>
      <w:r w:rsidR="0048364F" w:rsidRPr="00F37C10">
        <w:t xml:space="preserve"> to </w:t>
      </w:r>
      <w:r w:rsidR="00B05BBB" w:rsidRPr="00F37C10">
        <w:t>amend the law relating to taxation</w:t>
      </w:r>
      <w:r w:rsidR="0048364F" w:rsidRPr="00F37C10">
        <w:t>, and for related purposes</w:t>
      </w:r>
    </w:p>
    <w:p w:rsidR="0048364F" w:rsidRPr="00F37C10" w:rsidRDefault="0048364F" w:rsidP="0048364F">
      <w:pPr>
        <w:pStyle w:val="Header"/>
        <w:tabs>
          <w:tab w:val="clear" w:pos="4150"/>
          <w:tab w:val="clear" w:pos="8307"/>
        </w:tabs>
      </w:pPr>
      <w:r w:rsidRPr="00F37C10">
        <w:rPr>
          <w:rStyle w:val="CharAmSchNo"/>
        </w:rPr>
        <w:t xml:space="preserve"> </w:t>
      </w:r>
      <w:r w:rsidRPr="00F37C10">
        <w:rPr>
          <w:rStyle w:val="CharAmSchText"/>
        </w:rPr>
        <w:t xml:space="preserve"> </w:t>
      </w:r>
    </w:p>
    <w:p w:rsidR="0048364F" w:rsidRPr="00F37C10" w:rsidRDefault="0048364F" w:rsidP="0048364F">
      <w:pPr>
        <w:pStyle w:val="Header"/>
        <w:tabs>
          <w:tab w:val="clear" w:pos="4150"/>
          <w:tab w:val="clear" w:pos="8307"/>
        </w:tabs>
      </w:pPr>
      <w:r w:rsidRPr="00F37C10">
        <w:rPr>
          <w:rStyle w:val="CharAmPartNo"/>
        </w:rPr>
        <w:t xml:space="preserve"> </w:t>
      </w:r>
      <w:r w:rsidRPr="00F37C10">
        <w:rPr>
          <w:rStyle w:val="CharAmPartText"/>
        </w:rPr>
        <w:t xml:space="preserve"> </w:t>
      </w:r>
    </w:p>
    <w:p w:rsidR="0048364F" w:rsidRPr="00F37C10" w:rsidRDefault="0048364F" w:rsidP="0048364F">
      <w:pPr>
        <w:sectPr w:rsidR="0048364F" w:rsidRPr="00F37C10" w:rsidSect="00E24B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37C10" w:rsidRDefault="0048364F" w:rsidP="00737745">
      <w:pPr>
        <w:rPr>
          <w:sz w:val="36"/>
        </w:rPr>
      </w:pPr>
      <w:r w:rsidRPr="00F37C10">
        <w:rPr>
          <w:sz w:val="36"/>
        </w:rPr>
        <w:lastRenderedPageBreak/>
        <w:t>Contents</w:t>
      </w:r>
    </w:p>
    <w:bookmarkStart w:id="0" w:name="BKCheck15B_1"/>
    <w:bookmarkEnd w:id="0"/>
    <w:p w:rsidR="00222126" w:rsidRDefault="00222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bookmarkStart w:id="1" w:name="_GoBack"/>
      <w:bookmarkEnd w:id="1"/>
      <w:r w:rsidRPr="00222126">
        <w:rPr>
          <w:noProof/>
        </w:rPr>
        <w:tab/>
      </w:r>
      <w:r w:rsidRPr="00222126">
        <w:rPr>
          <w:noProof/>
        </w:rPr>
        <w:fldChar w:fldCharType="begin"/>
      </w:r>
      <w:r w:rsidRPr="00222126">
        <w:rPr>
          <w:noProof/>
        </w:rPr>
        <w:instrText xml:space="preserve"> PAGEREF _Toc526515874 \h </w:instrText>
      </w:r>
      <w:r w:rsidRPr="00222126">
        <w:rPr>
          <w:noProof/>
        </w:rPr>
      </w:r>
      <w:r w:rsidRPr="00222126">
        <w:rPr>
          <w:noProof/>
        </w:rPr>
        <w:fldChar w:fldCharType="separate"/>
      </w:r>
      <w:r w:rsidR="00631F8B">
        <w:rPr>
          <w:noProof/>
        </w:rPr>
        <w:t>1</w:t>
      </w:r>
      <w:r w:rsidRPr="00222126">
        <w:rPr>
          <w:noProof/>
        </w:rPr>
        <w:fldChar w:fldCharType="end"/>
      </w:r>
    </w:p>
    <w:p w:rsidR="00222126" w:rsidRDefault="00222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2126">
        <w:rPr>
          <w:noProof/>
        </w:rPr>
        <w:tab/>
      </w:r>
      <w:r w:rsidRPr="00222126">
        <w:rPr>
          <w:noProof/>
        </w:rPr>
        <w:fldChar w:fldCharType="begin"/>
      </w:r>
      <w:r w:rsidRPr="00222126">
        <w:rPr>
          <w:noProof/>
        </w:rPr>
        <w:instrText xml:space="preserve"> PAGEREF _Toc526515875 \h </w:instrText>
      </w:r>
      <w:r w:rsidRPr="00222126">
        <w:rPr>
          <w:noProof/>
        </w:rPr>
      </w:r>
      <w:r w:rsidRPr="00222126">
        <w:rPr>
          <w:noProof/>
        </w:rPr>
        <w:fldChar w:fldCharType="separate"/>
      </w:r>
      <w:r w:rsidR="00631F8B">
        <w:rPr>
          <w:noProof/>
        </w:rPr>
        <w:t>2</w:t>
      </w:r>
      <w:r w:rsidRPr="00222126">
        <w:rPr>
          <w:noProof/>
        </w:rPr>
        <w:fldChar w:fldCharType="end"/>
      </w:r>
    </w:p>
    <w:p w:rsidR="00222126" w:rsidRDefault="00222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22126">
        <w:rPr>
          <w:noProof/>
        </w:rPr>
        <w:tab/>
      </w:r>
      <w:r w:rsidRPr="00222126">
        <w:rPr>
          <w:noProof/>
        </w:rPr>
        <w:fldChar w:fldCharType="begin"/>
      </w:r>
      <w:r w:rsidRPr="00222126">
        <w:rPr>
          <w:noProof/>
        </w:rPr>
        <w:instrText xml:space="preserve"> PAGEREF _Toc526515876 \h </w:instrText>
      </w:r>
      <w:r w:rsidRPr="00222126">
        <w:rPr>
          <w:noProof/>
        </w:rPr>
      </w:r>
      <w:r w:rsidRPr="00222126">
        <w:rPr>
          <w:noProof/>
        </w:rPr>
        <w:fldChar w:fldCharType="separate"/>
      </w:r>
      <w:r w:rsidR="00631F8B">
        <w:rPr>
          <w:noProof/>
        </w:rPr>
        <w:t>2</w:t>
      </w:r>
      <w:r w:rsidRPr="00222126">
        <w:rPr>
          <w:noProof/>
        </w:rPr>
        <w:fldChar w:fldCharType="end"/>
      </w:r>
    </w:p>
    <w:p w:rsidR="00222126" w:rsidRDefault="002221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22126">
        <w:rPr>
          <w:b w:val="0"/>
          <w:noProof/>
          <w:sz w:val="18"/>
        </w:rPr>
        <w:tab/>
      </w:r>
      <w:r w:rsidRPr="00222126">
        <w:rPr>
          <w:b w:val="0"/>
          <w:noProof/>
          <w:sz w:val="18"/>
        </w:rPr>
        <w:fldChar w:fldCharType="begin"/>
      </w:r>
      <w:r w:rsidRPr="00222126">
        <w:rPr>
          <w:b w:val="0"/>
          <w:noProof/>
          <w:sz w:val="18"/>
        </w:rPr>
        <w:instrText xml:space="preserve"> PAGEREF _Toc526515877 \h </w:instrText>
      </w:r>
      <w:r w:rsidRPr="00222126">
        <w:rPr>
          <w:b w:val="0"/>
          <w:noProof/>
          <w:sz w:val="18"/>
        </w:rPr>
      </w:r>
      <w:r w:rsidRPr="00222126">
        <w:rPr>
          <w:b w:val="0"/>
          <w:noProof/>
          <w:sz w:val="18"/>
        </w:rPr>
        <w:fldChar w:fldCharType="separate"/>
      </w:r>
      <w:r w:rsidR="00631F8B">
        <w:rPr>
          <w:b w:val="0"/>
          <w:noProof/>
          <w:sz w:val="18"/>
        </w:rPr>
        <w:t>3</w:t>
      </w:r>
      <w:r w:rsidRPr="00222126">
        <w:rPr>
          <w:b w:val="0"/>
          <w:noProof/>
          <w:sz w:val="18"/>
        </w:rPr>
        <w:fldChar w:fldCharType="end"/>
      </w:r>
    </w:p>
    <w:p w:rsidR="00222126" w:rsidRDefault="002221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(Australian Business Number) Act 1999</w:t>
      </w:r>
      <w:r w:rsidRPr="00222126">
        <w:rPr>
          <w:i w:val="0"/>
          <w:noProof/>
          <w:sz w:val="18"/>
        </w:rPr>
        <w:tab/>
      </w:r>
      <w:r w:rsidRPr="00222126">
        <w:rPr>
          <w:i w:val="0"/>
          <w:noProof/>
          <w:sz w:val="18"/>
        </w:rPr>
        <w:fldChar w:fldCharType="begin"/>
      </w:r>
      <w:r w:rsidRPr="00222126">
        <w:rPr>
          <w:i w:val="0"/>
          <w:noProof/>
          <w:sz w:val="18"/>
        </w:rPr>
        <w:instrText xml:space="preserve"> PAGEREF _Toc526515878 \h </w:instrText>
      </w:r>
      <w:r w:rsidRPr="00222126">
        <w:rPr>
          <w:i w:val="0"/>
          <w:noProof/>
          <w:sz w:val="18"/>
        </w:rPr>
      </w:r>
      <w:r w:rsidRPr="00222126">
        <w:rPr>
          <w:i w:val="0"/>
          <w:noProof/>
          <w:sz w:val="18"/>
        </w:rPr>
        <w:fldChar w:fldCharType="separate"/>
      </w:r>
      <w:r w:rsidR="00631F8B">
        <w:rPr>
          <w:i w:val="0"/>
          <w:noProof/>
          <w:sz w:val="18"/>
        </w:rPr>
        <w:t>3</w:t>
      </w:r>
      <w:r w:rsidRPr="00222126">
        <w:rPr>
          <w:i w:val="0"/>
          <w:noProof/>
          <w:sz w:val="18"/>
        </w:rPr>
        <w:fldChar w:fldCharType="end"/>
      </w:r>
    </w:p>
    <w:p w:rsidR="00222126" w:rsidRDefault="002221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222126">
        <w:rPr>
          <w:i w:val="0"/>
          <w:noProof/>
          <w:sz w:val="18"/>
        </w:rPr>
        <w:tab/>
      </w:r>
      <w:r w:rsidRPr="00222126">
        <w:rPr>
          <w:i w:val="0"/>
          <w:noProof/>
          <w:sz w:val="18"/>
        </w:rPr>
        <w:fldChar w:fldCharType="begin"/>
      </w:r>
      <w:r w:rsidRPr="00222126">
        <w:rPr>
          <w:i w:val="0"/>
          <w:noProof/>
          <w:sz w:val="18"/>
        </w:rPr>
        <w:instrText xml:space="preserve"> PAGEREF _Toc526515879 \h </w:instrText>
      </w:r>
      <w:r w:rsidRPr="00222126">
        <w:rPr>
          <w:i w:val="0"/>
          <w:noProof/>
          <w:sz w:val="18"/>
        </w:rPr>
      </w:r>
      <w:r w:rsidRPr="00222126">
        <w:rPr>
          <w:i w:val="0"/>
          <w:noProof/>
          <w:sz w:val="18"/>
        </w:rPr>
        <w:fldChar w:fldCharType="separate"/>
      </w:r>
      <w:r w:rsidR="00631F8B">
        <w:rPr>
          <w:i w:val="0"/>
          <w:noProof/>
          <w:sz w:val="18"/>
        </w:rPr>
        <w:t>3</w:t>
      </w:r>
      <w:r w:rsidRPr="00222126">
        <w:rPr>
          <w:i w:val="0"/>
          <w:noProof/>
          <w:sz w:val="18"/>
        </w:rPr>
        <w:fldChar w:fldCharType="end"/>
      </w:r>
    </w:p>
    <w:p w:rsidR="00060FF9" w:rsidRPr="00F37C10" w:rsidRDefault="00222126" w:rsidP="0048364F">
      <w:r>
        <w:fldChar w:fldCharType="end"/>
      </w:r>
    </w:p>
    <w:p w:rsidR="00FE7F93" w:rsidRPr="00F37C10" w:rsidRDefault="00FE7F93" w:rsidP="0048364F">
      <w:pPr>
        <w:sectPr w:rsidR="00FE7F93" w:rsidRPr="00F37C10" w:rsidSect="00E24B3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E24B34" w:rsidRDefault="00E24B34">
      <w:r>
        <w:object w:dxaOrig="2146" w:dyaOrig="1561">
          <v:shape id="_x0000_i1026" type="#_x0000_t75" alt="Commonwealth Coat of Arms of Australia" style="width:111pt;height:81pt" o:ole="" fillcolor="window">
            <v:imagedata r:id="rId8" o:title=""/>
          </v:shape>
          <o:OLEObject Type="Embed" ProgID="Word.Picture.8" ShapeID="_x0000_i1026" DrawAspect="Content" ObjectID="_1600258394" r:id="rId21"/>
        </w:object>
      </w:r>
    </w:p>
    <w:p w:rsidR="00E24B34" w:rsidRDefault="00E24B34"/>
    <w:p w:rsidR="00E24B34" w:rsidRDefault="00E24B34" w:rsidP="00E24B34">
      <w:pPr>
        <w:spacing w:line="240" w:lineRule="auto"/>
      </w:pPr>
    </w:p>
    <w:p w:rsidR="00E24B34" w:rsidRDefault="00222126" w:rsidP="00E24B34">
      <w:pPr>
        <w:pStyle w:val="ShortTP1"/>
      </w:pPr>
      <w:fldSimple w:instr=" STYLEREF ShortT ">
        <w:r w:rsidR="00631F8B">
          <w:rPr>
            <w:noProof/>
          </w:rPr>
          <w:t>Treasury Laws Amendment (Working Holiday Maker Employer Register) Act 2018</w:t>
        </w:r>
      </w:fldSimple>
    </w:p>
    <w:p w:rsidR="00E24B34" w:rsidRDefault="00222126" w:rsidP="00E24B34">
      <w:pPr>
        <w:pStyle w:val="ActNoP1"/>
      </w:pPr>
      <w:fldSimple w:instr=" STYLEREF Actno ">
        <w:r w:rsidR="00631F8B">
          <w:rPr>
            <w:noProof/>
          </w:rPr>
          <w:t>No. 125, 2018</w:t>
        </w:r>
      </w:fldSimple>
    </w:p>
    <w:p w:rsidR="00E24B34" w:rsidRPr="009A0728" w:rsidRDefault="00E24B3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E24B34" w:rsidRPr="009A0728" w:rsidRDefault="00E24B34" w:rsidP="009A0728">
      <w:pPr>
        <w:spacing w:line="40" w:lineRule="exact"/>
        <w:rPr>
          <w:rFonts w:eastAsia="Calibri"/>
          <w:b/>
          <w:sz w:val="28"/>
        </w:rPr>
      </w:pPr>
    </w:p>
    <w:p w:rsidR="00E24B34" w:rsidRPr="009A0728" w:rsidRDefault="00E24B3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F37C10" w:rsidRDefault="00E24B34" w:rsidP="00F37C10">
      <w:pPr>
        <w:pStyle w:val="Page1"/>
      </w:pPr>
      <w:r>
        <w:t>An Act</w:t>
      </w:r>
      <w:r w:rsidR="00F37C10" w:rsidRPr="00F37C10">
        <w:t xml:space="preserve"> to amend the law relating to taxation, and for related purposes</w:t>
      </w:r>
    </w:p>
    <w:p w:rsidR="00277844" w:rsidRDefault="0027784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 October 2018</w:t>
      </w:r>
      <w:r>
        <w:rPr>
          <w:sz w:val="24"/>
        </w:rPr>
        <w:t>]</w:t>
      </w:r>
    </w:p>
    <w:p w:rsidR="0048364F" w:rsidRPr="00F37C10" w:rsidRDefault="0048364F" w:rsidP="00F37C10">
      <w:pPr>
        <w:spacing w:before="240" w:line="240" w:lineRule="auto"/>
        <w:rPr>
          <w:sz w:val="32"/>
        </w:rPr>
      </w:pPr>
      <w:r w:rsidRPr="00F37C10">
        <w:rPr>
          <w:sz w:val="32"/>
        </w:rPr>
        <w:t>The Parliament of Australia enacts:</w:t>
      </w:r>
    </w:p>
    <w:p w:rsidR="0048364F" w:rsidRPr="00F37C10" w:rsidRDefault="0048364F" w:rsidP="00F37C10">
      <w:pPr>
        <w:pStyle w:val="ActHead5"/>
      </w:pPr>
      <w:bookmarkStart w:id="2" w:name="_Toc526515874"/>
      <w:r w:rsidRPr="00F37C10">
        <w:rPr>
          <w:rStyle w:val="CharSectno"/>
        </w:rPr>
        <w:t>1</w:t>
      </w:r>
      <w:r w:rsidRPr="00F37C10">
        <w:t xml:space="preserve">  Short title</w:t>
      </w:r>
      <w:bookmarkEnd w:id="2"/>
    </w:p>
    <w:p w:rsidR="0048364F" w:rsidRPr="00F37C10" w:rsidRDefault="0048364F" w:rsidP="00F37C10">
      <w:pPr>
        <w:pStyle w:val="subsection"/>
      </w:pPr>
      <w:r w:rsidRPr="00F37C10">
        <w:tab/>
      </w:r>
      <w:r w:rsidRPr="00F37C10">
        <w:tab/>
        <w:t xml:space="preserve">This Act </w:t>
      </w:r>
      <w:r w:rsidR="00275197" w:rsidRPr="00F37C10">
        <w:t xml:space="preserve">is </w:t>
      </w:r>
      <w:r w:rsidRPr="00F37C10">
        <w:t xml:space="preserve">the </w:t>
      </w:r>
      <w:r w:rsidR="00B05BBB" w:rsidRPr="00F37C10">
        <w:rPr>
          <w:i/>
        </w:rPr>
        <w:t>Treasury Laws Amendment (Working Holiday Maker Employer Register)</w:t>
      </w:r>
      <w:r w:rsidR="00B05BBB" w:rsidRPr="00F37C10">
        <w:t xml:space="preserve"> </w:t>
      </w:r>
      <w:r w:rsidR="00C164CA" w:rsidRPr="00F37C10">
        <w:rPr>
          <w:i/>
        </w:rPr>
        <w:t>Act 201</w:t>
      </w:r>
      <w:r w:rsidR="00231852">
        <w:rPr>
          <w:i/>
        </w:rPr>
        <w:t>8</w:t>
      </w:r>
      <w:r w:rsidRPr="00F37C10">
        <w:t>.</w:t>
      </w:r>
    </w:p>
    <w:p w:rsidR="0048364F" w:rsidRPr="00F37C10" w:rsidRDefault="0048364F" w:rsidP="00F37C10">
      <w:pPr>
        <w:pStyle w:val="ActHead5"/>
      </w:pPr>
      <w:bookmarkStart w:id="3" w:name="_Toc526515875"/>
      <w:r w:rsidRPr="00F37C10">
        <w:rPr>
          <w:rStyle w:val="CharSectno"/>
        </w:rPr>
        <w:lastRenderedPageBreak/>
        <w:t>2</w:t>
      </w:r>
      <w:r w:rsidRPr="00F37C10">
        <w:t xml:space="preserve">  Commencement</w:t>
      </w:r>
      <w:bookmarkEnd w:id="3"/>
    </w:p>
    <w:p w:rsidR="0048364F" w:rsidRPr="00F37C10" w:rsidRDefault="0048364F" w:rsidP="00F37C10">
      <w:pPr>
        <w:pStyle w:val="subsection"/>
      </w:pPr>
      <w:r w:rsidRPr="00F37C10">
        <w:tab/>
        <w:t>(1)</w:t>
      </w:r>
      <w:r w:rsidRPr="00F37C10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F37C10" w:rsidRDefault="0048364F" w:rsidP="00F37C10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37C10" w:rsidTr="00B05BB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Commencement information</w:t>
            </w:r>
          </w:p>
        </w:tc>
      </w:tr>
      <w:tr w:rsidR="0048364F" w:rsidRPr="00F37C10" w:rsidTr="00B05BB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Column 3</w:t>
            </w:r>
          </w:p>
        </w:tc>
      </w:tr>
      <w:tr w:rsidR="0048364F" w:rsidRPr="00F37C10" w:rsidTr="00B05BB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37C10" w:rsidRDefault="0048364F" w:rsidP="00F37C10">
            <w:pPr>
              <w:pStyle w:val="TableHeading"/>
            </w:pPr>
            <w:r w:rsidRPr="00F37C10">
              <w:t>Date/Details</w:t>
            </w:r>
          </w:p>
        </w:tc>
      </w:tr>
      <w:tr w:rsidR="00B24FE2" w:rsidRPr="00F37C10" w:rsidTr="00B05BB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4FE2" w:rsidRPr="00F37C10" w:rsidRDefault="00B05BBB" w:rsidP="00F37C10">
            <w:pPr>
              <w:pStyle w:val="Tabletext"/>
            </w:pPr>
            <w:r w:rsidRPr="00F37C10">
              <w:t>1.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4FE2" w:rsidRPr="00F37C10" w:rsidRDefault="00B24FE2" w:rsidP="00F37C10">
            <w:pPr>
              <w:pStyle w:val="Tabletext"/>
            </w:pPr>
            <w:r w:rsidRPr="00F37C10">
              <w:t>The first 1</w:t>
            </w:r>
            <w:r w:rsidR="00F37C10" w:rsidRPr="00F37C10">
              <w:t> </w:t>
            </w:r>
            <w:r w:rsidRPr="00F37C10">
              <w:t>January, 1</w:t>
            </w:r>
            <w:r w:rsidR="00F37C10" w:rsidRPr="00F37C10">
              <w:t> </w:t>
            </w:r>
            <w:r w:rsidRPr="00F37C10">
              <w:t>April, 1</w:t>
            </w:r>
            <w:r w:rsidR="00F37C10" w:rsidRPr="00F37C10">
              <w:t> </w:t>
            </w:r>
            <w:r w:rsidRPr="00F37C10">
              <w:t>July or 1</w:t>
            </w:r>
            <w:r w:rsidR="00F37C10" w:rsidRPr="00F37C10">
              <w:t> </w:t>
            </w:r>
            <w:r w:rsidRPr="00F37C10"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4FE2" w:rsidRPr="00F37C10" w:rsidRDefault="00674945" w:rsidP="00F37C10">
            <w:pPr>
              <w:pStyle w:val="Tabletext"/>
            </w:pPr>
            <w:r w:rsidRPr="00F37C10">
              <w:t>1 January</w:t>
            </w:r>
            <w:r>
              <w:t xml:space="preserve"> 2019</w:t>
            </w:r>
          </w:p>
        </w:tc>
      </w:tr>
    </w:tbl>
    <w:p w:rsidR="0048364F" w:rsidRPr="00F37C10" w:rsidRDefault="00201D27" w:rsidP="00F37C10">
      <w:pPr>
        <w:pStyle w:val="notetext"/>
      </w:pPr>
      <w:r w:rsidRPr="00F37C10">
        <w:t>Note:</w:t>
      </w:r>
      <w:r w:rsidRPr="00F37C10">
        <w:tab/>
        <w:t>This table relates only to the provisions of this Act as originally enacted. It will not be amended to deal with any later amendments of this Act.</w:t>
      </w:r>
    </w:p>
    <w:p w:rsidR="0048364F" w:rsidRPr="00F37C10" w:rsidRDefault="0048364F" w:rsidP="00F37C10">
      <w:pPr>
        <w:pStyle w:val="subsection"/>
      </w:pPr>
      <w:r w:rsidRPr="00F37C10">
        <w:tab/>
        <w:t>(2)</w:t>
      </w:r>
      <w:r w:rsidRPr="00F37C10">
        <w:tab/>
      </w:r>
      <w:r w:rsidR="00201D27" w:rsidRPr="00F37C10">
        <w:t xml:space="preserve">Any information in </w:t>
      </w:r>
      <w:r w:rsidR="00877D48" w:rsidRPr="00F37C10">
        <w:t>c</w:t>
      </w:r>
      <w:r w:rsidR="00201D27" w:rsidRPr="00F37C10">
        <w:t>olumn 3 of the table is not part of this Act. Information may be inserted in this column, or information in it may be edited, in any published version of this Act.</w:t>
      </w:r>
    </w:p>
    <w:p w:rsidR="0048364F" w:rsidRPr="00F37C10" w:rsidRDefault="0048364F" w:rsidP="00F37C10">
      <w:pPr>
        <w:pStyle w:val="ActHead5"/>
      </w:pPr>
      <w:bookmarkStart w:id="4" w:name="_Toc526515876"/>
      <w:r w:rsidRPr="00F37C10">
        <w:rPr>
          <w:rStyle w:val="CharSectno"/>
        </w:rPr>
        <w:t>3</w:t>
      </w:r>
      <w:r w:rsidRPr="00F37C10">
        <w:t xml:space="preserve">  Schedules</w:t>
      </w:r>
      <w:bookmarkEnd w:id="4"/>
    </w:p>
    <w:p w:rsidR="00B24FE2" w:rsidRPr="00F37C10" w:rsidRDefault="0048364F" w:rsidP="00F37C10">
      <w:pPr>
        <w:pStyle w:val="subsection"/>
      </w:pPr>
      <w:r w:rsidRPr="00F37C10">
        <w:tab/>
      </w:r>
      <w:r w:rsidRPr="00F37C10">
        <w:tab/>
      </w:r>
      <w:r w:rsidR="00202618" w:rsidRPr="00F37C10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B24FE2" w:rsidRPr="00F37C10" w:rsidRDefault="00B24FE2" w:rsidP="00F37C10">
      <w:pPr>
        <w:pStyle w:val="ActHead6"/>
        <w:pageBreakBefore/>
      </w:pPr>
      <w:bookmarkStart w:id="5" w:name="_Toc526515877"/>
      <w:bookmarkStart w:id="6" w:name="opcAmSched"/>
      <w:bookmarkStart w:id="7" w:name="opcCurrentFind"/>
      <w:r w:rsidRPr="00F37C10">
        <w:rPr>
          <w:rStyle w:val="CharAmSchNo"/>
        </w:rPr>
        <w:lastRenderedPageBreak/>
        <w:t>Schedule</w:t>
      </w:r>
      <w:r w:rsidR="00F37C10" w:rsidRPr="00F37C10">
        <w:rPr>
          <w:rStyle w:val="CharAmSchNo"/>
        </w:rPr>
        <w:t> </w:t>
      </w:r>
      <w:r w:rsidR="00B05BBB" w:rsidRPr="00F37C10">
        <w:rPr>
          <w:rStyle w:val="CharAmSchNo"/>
        </w:rPr>
        <w:t>1</w:t>
      </w:r>
      <w:r w:rsidRPr="00F37C10">
        <w:t>—</w:t>
      </w:r>
      <w:r w:rsidR="00B05BBB" w:rsidRPr="00F37C10">
        <w:rPr>
          <w:rStyle w:val="CharAmSchText"/>
        </w:rPr>
        <w:t>Amendments</w:t>
      </w:r>
      <w:bookmarkEnd w:id="5"/>
    </w:p>
    <w:bookmarkEnd w:id="6"/>
    <w:bookmarkEnd w:id="7"/>
    <w:p w:rsidR="00B24FE2" w:rsidRPr="00F37C10" w:rsidRDefault="00B24FE2" w:rsidP="00F37C10">
      <w:pPr>
        <w:pStyle w:val="Header"/>
      </w:pPr>
      <w:r w:rsidRPr="00F37C10">
        <w:rPr>
          <w:rStyle w:val="CharAmPartNo"/>
        </w:rPr>
        <w:t xml:space="preserve"> </w:t>
      </w:r>
      <w:r w:rsidRPr="00F37C10">
        <w:rPr>
          <w:rStyle w:val="CharAmPartText"/>
        </w:rPr>
        <w:t xml:space="preserve"> </w:t>
      </w:r>
    </w:p>
    <w:p w:rsidR="00306CAB" w:rsidRPr="00F37C10" w:rsidRDefault="00306CAB" w:rsidP="00F37C10">
      <w:pPr>
        <w:pStyle w:val="ActHead9"/>
        <w:rPr>
          <w:i w:val="0"/>
        </w:rPr>
      </w:pPr>
      <w:bookmarkStart w:id="8" w:name="_Toc526515878"/>
      <w:r w:rsidRPr="00F37C10">
        <w:t>A New Tax System (Australian Business Number) Act 1999</w:t>
      </w:r>
      <w:bookmarkEnd w:id="8"/>
    </w:p>
    <w:p w:rsidR="00306CAB" w:rsidRPr="00F37C10" w:rsidRDefault="00306CAB" w:rsidP="00F37C10">
      <w:pPr>
        <w:pStyle w:val="ItemHead"/>
      </w:pPr>
      <w:r w:rsidRPr="00F37C10">
        <w:t>1  Paragraphs 26(3)(</w:t>
      </w:r>
      <w:proofErr w:type="spellStart"/>
      <w:r w:rsidRPr="00F37C10">
        <w:t>jc</w:t>
      </w:r>
      <w:proofErr w:type="spellEnd"/>
      <w:r w:rsidRPr="00F37C10">
        <w:t>) and (</w:t>
      </w:r>
      <w:proofErr w:type="spellStart"/>
      <w:r w:rsidRPr="00F37C10">
        <w:t>jd</w:t>
      </w:r>
      <w:proofErr w:type="spellEnd"/>
      <w:r w:rsidRPr="00F37C10">
        <w:t>)</w:t>
      </w:r>
    </w:p>
    <w:p w:rsidR="00306CAB" w:rsidRPr="00F37C10" w:rsidRDefault="00306CAB" w:rsidP="00F37C10">
      <w:pPr>
        <w:pStyle w:val="Item"/>
      </w:pPr>
      <w:r w:rsidRPr="00F37C10">
        <w:t>Repeal the paragraphs.</w:t>
      </w:r>
    </w:p>
    <w:p w:rsidR="00306CAB" w:rsidRPr="00F37C10" w:rsidRDefault="00306CAB" w:rsidP="00F37C10">
      <w:pPr>
        <w:pStyle w:val="ActHead9"/>
        <w:rPr>
          <w:i w:val="0"/>
        </w:rPr>
      </w:pPr>
      <w:bookmarkStart w:id="9" w:name="_Toc526515879"/>
      <w:r w:rsidRPr="00F37C10">
        <w:t>Taxation Administration Act 1953</w:t>
      </w:r>
      <w:bookmarkEnd w:id="9"/>
    </w:p>
    <w:p w:rsidR="00306CAB" w:rsidRPr="00F37C10" w:rsidRDefault="00306CAB" w:rsidP="00F37C10">
      <w:pPr>
        <w:pStyle w:val="ItemHead"/>
      </w:pPr>
      <w:r w:rsidRPr="00F37C10">
        <w:t>2  Subsection</w:t>
      </w:r>
      <w:r w:rsidR="00F37C10" w:rsidRPr="00F37C10">
        <w:t> </w:t>
      </w:r>
      <w:r w:rsidRPr="00F37C10">
        <w:t>16</w:t>
      </w:r>
      <w:r w:rsidR="00213993">
        <w:noBreakHyphen/>
      </w:r>
      <w:r w:rsidRPr="00F37C10">
        <w:t>147(6) in Schedule</w:t>
      </w:r>
      <w:r w:rsidR="00F37C10" w:rsidRPr="00F37C10">
        <w:t> </w:t>
      </w:r>
      <w:r w:rsidRPr="00F37C10">
        <w:t>1</w:t>
      </w:r>
    </w:p>
    <w:p w:rsidR="00306CAB" w:rsidRPr="00F37C10" w:rsidRDefault="00306CAB" w:rsidP="00F37C10">
      <w:pPr>
        <w:pStyle w:val="Item"/>
      </w:pPr>
      <w:r w:rsidRPr="00F37C10">
        <w:t>Repeal the subsection.</w:t>
      </w:r>
    </w:p>
    <w:p w:rsidR="00306CAB" w:rsidRPr="00F37C10" w:rsidRDefault="00306CAB" w:rsidP="00F37C10">
      <w:pPr>
        <w:pStyle w:val="ItemHead"/>
      </w:pPr>
      <w:r w:rsidRPr="00F37C10">
        <w:t>3  Subsection</w:t>
      </w:r>
      <w:r w:rsidR="00F37C10" w:rsidRPr="00F37C10">
        <w:t> </w:t>
      </w:r>
      <w:r w:rsidRPr="00F37C10">
        <w:t>355</w:t>
      </w:r>
      <w:r w:rsidR="00213993">
        <w:noBreakHyphen/>
      </w:r>
      <w:r w:rsidRPr="00F37C10">
        <w:t>65(8) in Schedule</w:t>
      </w:r>
      <w:r w:rsidR="00F37C10" w:rsidRPr="00F37C10">
        <w:t> </w:t>
      </w:r>
      <w:r w:rsidRPr="00F37C10">
        <w:t>1 (cell at table item</w:t>
      </w:r>
      <w:r w:rsidR="00F37C10" w:rsidRPr="00F37C10">
        <w:t> </w:t>
      </w:r>
      <w:r w:rsidRPr="00F37C10">
        <w:t>5, column headed “and the record or disclosure …”)</w:t>
      </w:r>
    </w:p>
    <w:p w:rsidR="00306CAB" w:rsidRPr="00F37C10" w:rsidRDefault="00306CAB" w:rsidP="00F37C10">
      <w:pPr>
        <w:pStyle w:val="Item"/>
      </w:pPr>
      <w:r w:rsidRPr="00F37C10">
        <w:t>Repeal the cell, substitute:</w:t>
      </w:r>
    </w:p>
    <w:tbl>
      <w:tblPr>
        <w:tblW w:w="0" w:type="auto"/>
        <w:tblInd w:w="8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2"/>
      </w:tblGrid>
      <w:tr w:rsidR="00306CAB" w:rsidRPr="00F37C10" w:rsidTr="00B20A89">
        <w:tc>
          <w:tcPr>
            <w:tcW w:w="3462" w:type="dxa"/>
            <w:shd w:val="clear" w:color="auto" w:fill="auto"/>
          </w:tcPr>
          <w:p w:rsidR="00306CAB" w:rsidRPr="00F37C10" w:rsidRDefault="00306CAB" w:rsidP="00F37C10">
            <w:pPr>
              <w:pStyle w:val="Tablea"/>
            </w:pPr>
            <w:r w:rsidRPr="00F37C10">
              <w:t>(a) is of the fact of an entity’s actual or reasonably suspected non</w:t>
            </w:r>
            <w:r w:rsidR="00213993">
              <w:noBreakHyphen/>
            </w:r>
            <w:r w:rsidRPr="00F37C10">
              <w:t xml:space="preserve">compliance with a </w:t>
            </w:r>
            <w:r w:rsidR="00F37C10" w:rsidRPr="00F37C10">
              <w:rPr>
                <w:position w:val="6"/>
                <w:sz w:val="16"/>
              </w:rPr>
              <w:t>*</w:t>
            </w:r>
            <w:r w:rsidRPr="00F37C10">
              <w:t>taxation law; and</w:t>
            </w:r>
          </w:p>
          <w:p w:rsidR="00306CAB" w:rsidRPr="00F37C10" w:rsidRDefault="00306CAB" w:rsidP="00F37C10">
            <w:pPr>
              <w:pStyle w:val="Tablea"/>
            </w:pPr>
            <w:r w:rsidRPr="00F37C10">
              <w:t xml:space="preserve">(b) is for the purpose of ensuring the entity’s compliance with the </w:t>
            </w:r>
            <w:r w:rsidRPr="00F37C10">
              <w:rPr>
                <w:i/>
                <w:iCs/>
              </w:rPr>
              <w:t>Fair Work Act 2009</w:t>
            </w:r>
            <w:r w:rsidRPr="00F37C10">
              <w:t>.</w:t>
            </w:r>
          </w:p>
        </w:tc>
      </w:tr>
    </w:tbl>
    <w:p w:rsidR="00306CAB" w:rsidRPr="00F37C10" w:rsidRDefault="00306CAB" w:rsidP="00F37C10">
      <w:pPr>
        <w:pStyle w:val="ItemHead"/>
      </w:pPr>
      <w:r w:rsidRPr="00F37C10">
        <w:t>4  Application of amendments</w:t>
      </w:r>
    </w:p>
    <w:p w:rsidR="00306CAB" w:rsidRPr="00F37C10" w:rsidRDefault="00306CAB" w:rsidP="00F37C10">
      <w:pPr>
        <w:pStyle w:val="Subitem"/>
      </w:pPr>
      <w:r w:rsidRPr="00F37C10">
        <w:t>(1)</w:t>
      </w:r>
      <w:r w:rsidRPr="00F37C10">
        <w:tab/>
        <w:t>The amendments made by item</w:t>
      </w:r>
      <w:r w:rsidR="00F37C10" w:rsidRPr="00F37C10">
        <w:t> </w:t>
      </w:r>
      <w:r w:rsidRPr="00F37C10">
        <w:t xml:space="preserve">1 of this Schedule apply in relation to the giving of copies of entries in the Australian Business Register on or after </w:t>
      </w:r>
      <w:r w:rsidR="00FE510B" w:rsidRPr="00F37C10">
        <w:t>2</w:t>
      </w:r>
      <w:r w:rsidR="00F37C10" w:rsidRPr="00F37C10">
        <w:t> </w:t>
      </w:r>
      <w:r w:rsidR="00FE510B" w:rsidRPr="00F37C10">
        <w:t>December 2016</w:t>
      </w:r>
      <w:r w:rsidRPr="00F37C10">
        <w:t>.</w:t>
      </w:r>
    </w:p>
    <w:p w:rsidR="00306CAB" w:rsidRPr="00F37C10" w:rsidRDefault="00306CAB" w:rsidP="00F37C10">
      <w:pPr>
        <w:pStyle w:val="Subitem"/>
      </w:pPr>
      <w:r w:rsidRPr="00F37C10">
        <w:t>(2)</w:t>
      </w:r>
      <w:r w:rsidRPr="00F37C10">
        <w:tab/>
        <w:t>The amendment made by item</w:t>
      </w:r>
      <w:r w:rsidR="00F37C10" w:rsidRPr="00F37C10">
        <w:t> </w:t>
      </w:r>
      <w:r w:rsidRPr="00F37C10">
        <w:t>2 of this Schedule applies in relation to registrations made under section</w:t>
      </w:r>
      <w:r w:rsidR="00F37C10" w:rsidRPr="00F37C10">
        <w:t> </w:t>
      </w:r>
      <w:r w:rsidRPr="00F37C10">
        <w:t>16</w:t>
      </w:r>
      <w:r w:rsidR="00213993">
        <w:noBreakHyphen/>
      </w:r>
      <w:r w:rsidRPr="00F37C10">
        <w:t>147 in Schedule</w:t>
      </w:r>
      <w:r w:rsidR="00F37C10" w:rsidRPr="00F37C10">
        <w:t> </w:t>
      </w:r>
      <w:r w:rsidRPr="00F37C10">
        <w:t xml:space="preserve">1 to the </w:t>
      </w:r>
      <w:r w:rsidRPr="00F37C10">
        <w:rPr>
          <w:i/>
        </w:rPr>
        <w:t>Taxation Administration Act 1953</w:t>
      </w:r>
      <w:r w:rsidRPr="00F37C10">
        <w:t xml:space="preserve"> on or after 2</w:t>
      </w:r>
      <w:r w:rsidR="00F37C10" w:rsidRPr="00F37C10">
        <w:t> </w:t>
      </w:r>
      <w:r w:rsidRPr="00F37C10">
        <w:t>December 2016.</w:t>
      </w:r>
    </w:p>
    <w:p w:rsidR="00306CAB" w:rsidRPr="00F37C10" w:rsidRDefault="00306CAB" w:rsidP="00F37C10">
      <w:pPr>
        <w:pStyle w:val="Subitem"/>
      </w:pPr>
      <w:r w:rsidRPr="00F37C10">
        <w:t>(3)</w:t>
      </w:r>
      <w:r w:rsidRPr="00F37C10">
        <w:tab/>
        <w:t>The amendment made by item</w:t>
      </w:r>
      <w:r w:rsidR="00F37C10" w:rsidRPr="00F37C10">
        <w:t> </w:t>
      </w:r>
      <w:r w:rsidRPr="00F37C10">
        <w:t xml:space="preserve">3 of this Schedule applies in relation to disclosures of information on or after </w:t>
      </w:r>
      <w:r w:rsidR="00FE510B" w:rsidRPr="00F37C10">
        <w:t>2</w:t>
      </w:r>
      <w:r w:rsidR="00F37C10" w:rsidRPr="00F37C10">
        <w:t> </w:t>
      </w:r>
      <w:r w:rsidR="00FE510B" w:rsidRPr="00F37C10">
        <w:t>December 2016</w:t>
      </w:r>
      <w:r w:rsidRPr="00F37C10">
        <w:t xml:space="preserve"> (whether the information was acquired before, on or after that day).</w:t>
      </w:r>
    </w:p>
    <w:p w:rsidR="00213993" w:rsidRDefault="00306CAB" w:rsidP="00F37C10">
      <w:pPr>
        <w:pStyle w:val="Subitem"/>
      </w:pPr>
      <w:r w:rsidRPr="00F37C10">
        <w:t>(4)</w:t>
      </w:r>
      <w:r w:rsidRPr="00F37C10">
        <w:tab/>
        <w:t xml:space="preserve">Despite </w:t>
      </w:r>
      <w:proofErr w:type="spellStart"/>
      <w:r w:rsidR="00F37C10" w:rsidRPr="00F37C10">
        <w:t>subitem</w:t>
      </w:r>
      <w:proofErr w:type="spellEnd"/>
      <w:r w:rsidR="00F37C10" w:rsidRPr="00F37C10">
        <w:t> (</w:t>
      </w:r>
      <w:r w:rsidRPr="00F37C10">
        <w:t>3), a person does not commit an offence against section</w:t>
      </w:r>
      <w:r w:rsidR="00F37C10" w:rsidRPr="00F37C10">
        <w:t> </w:t>
      </w:r>
      <w:r w:rsidRPr="00F37C10">
        <w:t>355</w:t>
      </w:r>
      <w:r w:rsidR="00213993">
        <w:noBreakHyphen/>
      </w:r>
      <w:r w:rsidRPr="00F37C10">
        <w:t>25 in Schedule</w:t>
      </w:r>
      <w:r w:rsidR="00F37C10" w:rsidRPr="00F37C10">
        <w:t> </w:t>
      </w:r>
      <w:r w:rsidRPr="00F37C10">
        <w:t xml:space="preserve">1 to the </w:t>
      </w:r>
      <w:r w:rsidRPr="00F37C10">
        <w:rPr>
          <w:i/>
        </w:rPr>
        <w:t>Taxation Administration Act 1953</w:t>
      </w:r>
      <w:r w:rsidRPr="00F37C10">
        <w:t xml:space="preserve"> </w:t>
      </w:r>
      <w:r w:rsidRPr="00F37C10">
        <w:lastRenderedPageBreak/>
        <w:t>in respect of conduct engaged in before the commencement of this Schedule, if the conduct would not have constituted an offence if the amendment made by item</w:t>
      </w:r>
      <w:r w:rsidR="00F37C10" w:rsidRPr="00F37C10">
        <w:t> </w:t>
      </w:r>
      <w:r w:rsidRPr="00F37C10">
        <w:t>3 of this Schedule did not apply.</w:t>
      </w:r>
    </w:p>
    <w:p w:rsidR="00277844" w:rsidRDefault="00277844" w:rsidP="00277844"/>
    <w:p w:rsidR="00277844" w:rsidRDefault="00277844" w:rsidP="00277844">
      <w:pPr>
        <w:pStyle w:val="AssentBk"/>
        <w:keepNext/>
      </w:pPr>
    </w:p>
    <w:p w:rsidR="00277844" w:rsidRDefault="00277844" w:rsidP="00277844">
      <w:pPr>
        <w:pStyle w:val="AssentBk"/>
        <w:keepNext/>
      </w:pPr>
    </w:p>
    <w:p w:rsidR="00277844" w:rsidRDefault="00277844" w:rsidP="00277844">
      <w:pPr>
        <w:pStyle w:val="2ndRd"/>
        <w:keepNext/>
        <w:pBdr>
          <w:top w:val="single" w:sz="2" w:space="1" w:color="auto"/>
        </w:pBdr>
      </w:pPr>
    </w:p>
    <w:p w:rsidR="00277844" w:rsidRDefault="00277844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77844" w:rsidRDefault="0027784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16 February 2017</w:t>
      </w:r>
    </w:p>
    <w:p w:rsidR="00277844" w:rsidRDefault="0027784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10 May 2018</w:t>
      </w:r>
      <w:r>
        <w:t>]</w:t>
      </w:r>
    </w:p>
    <w:p w:rsidR="00277844" w:rsidRDefault="00277844" w:rsidP="000C5962"/>
    <w:p w:rsidR="00E24B34" w:rsidRPr="00277844" w:rsidRDefault="00277844" w:rsidP="00277844">
      <w:pPr>
        <w:framePr w:hSpace="180" w:wrap="around" w:vAnchor="text" w:hAnchor="page" w:x="2386" w:y="7416"/>
      </w:pPr>
      <w:r>
        <w:t>(24/17)</w:t>
      </w:r>
    </w:p>
    <w:p w:rsidR="00277844" w:rsidRDefault="00277844"/>
    <w:sectPr w:rsidR="00277844" w:rsidSect="00E24B3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F0" w:rsidRDefault="00F012F0" w:rsidP="0048364F">
      <w:pPr>
        <w:spacing w:line="240" w:lineRule="auto"/>
      </w:pPr>
      <w:r>
        <w:separator/>
      </w:r>
    </w:p>
  </w:endnote>
  <w:endnote w:type="continuationSeparator" w:id="0">
    <w:p w:rsidR="00F012F0" w:rsidRDefault="00F012F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F37C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44" w:rsidRDefault="00277844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277844" w:rsidRDefault="00277844" w:rsidP="00CD12A5"/>
  <w:p w:rsidR="00055B5C" w:rsidRDefault="00055B5C" w:rsidP="00F37C10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F37C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F37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Treasury Laws Amendment (Working Holiday Maker Employer Register)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No. 125,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F37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No. 125,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Treasury Laws Amendment (Working Holiday Maker Employer Register)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1F8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37C10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F37C10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Treasury Laws Amendment (Working Holiday Maker Employer Register)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No. 125,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37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37C10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No. 125,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Treasury Laws Amendment (Working Holiday Maker Employer Register)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37C1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37C10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No. 125,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sz w:val="18"/>
            </w:rPr>
            <w:t>Treasury Laws Amendment (Working Holiday Maker Employer Register)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631F8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F0" w:rsidRDefault="00F012F0" w:rsidP="0048364F">
      <w:pPr>
        <w:spacing w:line="240" w:lineRule="auto"/>
      </w:pPr>
      <w:r>
        <w:separator/>
      </w:r>
    </w:p>
  </w:footnote>
  <w:footnote w:type="continuationSeparator" w:id="0">
    <w:p w:rsidR="00F012F0" w:rsidRDefault="00F012F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31F8B">
      <w:rPr>
        <w:b/>
        <w:sz w:val="20"/>
      </w:rPr>
      <w:fldChar w:fldCharType="separate"/>
    </w:r>
    <w:r w:rsidR="00631F8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631F8B">
      <w:rPr>
        <w:sz w:val="20"/>
      </w:rPr>
      <w:fldChar w:fldCharType="separate"/>
    </w:r>
    <w:r w:rsidR="00631F8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631F8B">
      <w:rPr>
        <w:sz w:val="20"/>
      </w:rPr>
      <w:fldChar w:fldCharType="separate"/>
    </w:r>
    <w:r w:rsidR="00631F8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31F8B">
      <w:rPr>
        <w:b/>
        <w:sz w:val="20"/>
      </w:rPr>
      <w:fldChar w:fldCharType="separate"/>
    </w:r>
    <w:r w:rsidR="00631F8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0"/>
    <w:rsid w:val="000113BC"/>
    <w:rsid w:val="000136AF"/>
    <w:rsid w:val="000417C9"/>
    <w:rsid w:val="00055B5C"/>
    <w:rsid w:val="00056391"/>
    <w:rsid w:val="00060FF9"/>
    <w:rsid w:val="000614BF"/>
    <w:rsid w:val="000A701C"/>
    <w:rsid w:val="000B1FD2"/>
    <w:rsid w:val="000D05EF"/>
    <w:rsid w:val="000F21C1"/>
    <w:rsid w:val="00101D90"/>
    <w:rsid w:val="0010745C"/>
    <w:rsid w:val="00113BD1"/>
    <w:rsid w:val="00122206"/>
    <w:rsid w:val="00155F50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13993"/>
    <w:rsid w:val="00222126"/>
    <w:rsid w:val="00231852"/>
    <w:rsid w:val="00240749"/>
    <w:rsid w:val="002433D1"/>
    <w:rsid w:val="00263820"/>
    <w:rsid w:val="00275197"/>
    <w:rsid w:val="00277844"/>
    <w:rsid w:val="00293B89"/>
    <w:rsid w:val="00297ECB"/>
    <w:rsid w:val="002B2CC8"/>
    <w:rsid w:val="002B5A30"/>
    <w:rsid w:val="002D043A"/>
    <w:rsid w:val="002D395A"/>
    <w:rsid w:val="00306CAB"/>
    <w:rsid w:val="003415D3"/>
    <w:rsid w:val="00350417"/>
    <w:rsid w:val="00352B0F"/>
    <w:rsid w:val="00375C6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60775"/>
    <w:rsid w:val="00584811"/>
    <w:rsid w:val="00593AA6"/>
    <w:rsid w:val="00594161"/>
    <w:rsid w:val="00594749"/>
    <w:rsid w:val="005A0D92"/>
    <w:rsid w:val="005A4AF5"/>
    <w:rsid w:val="005B4067"/>
    <w:rsid w:val="005C3F41"/>
    <w:rsid w:val="005D5D77"/>
    <w:rsid w:val="005E13E5"/>
    <w:rsid w:val="005E152A"/>
    <w:rsid w:val="005F22AB"/>
    <w:rsid w:val="00600219"/>
    <w:rsid w:val="00631F8B"/>
    <w:rsid w:val="00641DE5"/>
    <w:rsid w:val="00656F0C"/>
    <w:rsid w:val="00674945"/>
    <w:rsid w:val="00677CC2"/>
    <w:rsid w:val="00681F92"/>
    <w:rsid w:val="006842C2"/>
    <w:rsid w:val="00685F42"/>
    <w:rsid w:val="0069207B"/>
    <w:rsid w:val="006A3637"/>
    <w:rsid w:val="006C0722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37745"/>
    <w:rsid w:val="007440B7"/>
    <w:rsid w:val="007634AD"/>
    <w:rsid w:val="007715C9"/>
    <w:rsid w:val="00774EDD"/>
    <w:rsid w:val="007757EC"/>
    <w:rsid w:val="007E7D4A"/>
    <w:rsid w:val="007F59B3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8F77C4"/>
    <w:rsid w:val="009103F3"/>
    <w:rsid w:val="00932377"/>
    <w:rsid w:val="009332BE"/>
    <w:rsid w:val="00967042"/>
    <w:rsid w:val="0098255A"/>
    <w:rsid w:val="009845BE"/>
    <w:rsid w:val="009969C9"/>
    <w:rsid w:val="00A048FF"/>
    <w:rsid w:val="00A10775"/>
    <w:rsid w:val="00A231E2"/>
    <w:rsid w:val="00A34638"/>
    <w:rsid w:val="00A36C48"/>
    <w:rsid w:val="00A41E0B"/>
    <w:rsid w:val="00A55631"/>
    <w:rsid w:val="00A64165"/>
    <w:rsid w:val="00A64912"/>
    <w:rsid w:val="00A70A74"/>
    <w:rsid w:val="00AA3795"/>
    <w:rsid w:val="00AC1E75"/>
    <w:rsid w:val="00AD329A"/>
    <w:rsid w:val="00AD5641"/>
    <w:rsid w:val="00AE1088"/>
    <w:rsid w:val="00AF1BA4"/>
    <w:rsid w:val="00B032D8"/>
    <w:rsid w:val="00B05BBB"/>
    <w:rsid w:val="00B24FE2"/>
    <w:rsid w:val="00B33B3C"/>
    <w:rsid w:val="00B526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A4100"/>
    <w:rsid w:val="00CD4A65"/>
    <w:rsid w:val="00CE1E31"/>
    <w:rsid w:val="00CF0BB2"/>
    <w:rsid w:val="00D00EAA"/>
    <w:rsid w:val="00D01ECD"/>
    <w:rsid w:val="00D13441"/>
    <w:rsid w:val="00D243A3"/>
    <w:rsid w:val="00D477C3"/>
    <w:rsid w:val="00D52EFE"/>
    <w:rsid w:val="00D63EF6"/>
    <w:rsid w:val="00D67417"/>
    <w:rsid w:val="00D70DFB"/>
    <w:rsid w:val="00D73029"/>
    <w:rsid w:val="00D766DF"/>
    <w:rsid w:val="00DE2002"/>
    <w:rsid w:val="00DF7AE9"/>
    <w:rsid w:val="00E05704"/>
    <w:rsid w:val="00E24B34"/>
    <w:rsid w:val="00E24D66"/>
    <w:rsid w:val="00E54292"/>
    <w:rsid w:val="00E74DC7"/>
    <w:rsid w:val="00E87699"/>
    <w:rsid w:val="00E90542"/>
    <w:rsid w:val="00EC0375"/>
    <w:rsid w:val="00ED492F"/>
    <w:rsid w:val="00EF2E3A"/>
    <w:rsid w:val="00F012F0"/>
    <w:rsid w:val="00F047E2"/>
    <w:rsid w:val="00F078DC"/>
    <w:rsid w:val="00F13E86"/>
    <w:rsid w:val="00F17B00"/>
    <w:rsid w:val="00F37C10"/>
    <w:rsid w:val="00F4603C"/>
    <w:rsid w:val="00F63A79"/>
    <w:rsid w:val="00F677A9"/>
    <w:rsid w:val="00F84CF5"/>
    <w:rsid w:val="00F92D35"/>
    <w:rsid w:val="00FA046F"/>
    <w:rsid w:val="00FA420B"/>
    <w:rsid w:val="00FD1E13"/>
    <w:rsid w:val="00FD7EB1"/>
    <w:rsid w:val="00FE41C9"/>
    <w:rsid w:val="00FE510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C1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B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B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B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B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B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7C10"/>
  </w:style>
  <w:style w:type="paragraph" w:customStyle="1" w:styleId="OPCParaBase">
    <w:name w:val="OPCParaBase"/>
    <w:link w:val="OPCParaBaseChar"/>
    <w:qFormat/>
    <w:rsid w:val="00F37C1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37C1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7C1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7C1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7C1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7C1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37C1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7C1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7C1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7C1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7C1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37C10"/>
  </w:style>
  <w:style w:type="paragraph" w:customStyle="1" w:styleId="Blocks">
    <w:name w:val="Blocks"/>
    <w:aliases w:val="bb"/>
    <w:basedOn w:val="OPCParaBase"/>
    <w:qFormat/>
    <w:rsid w:val="00F37C1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7C1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7C10"/>
    <w:rPr>
      <w:i/>
    </w:rPr>
  </w:style>
  <w:style w:type="paragraph" w:customStyle="1" w:styleId="BoxList">
    <w:name w:val="BoxList"/>
    <w:aliases w:val="bl"/>
    <w:basedOn w:val="BoxText"/>
    <w:qFormat/>
    <w:rsid w:val="00F37C1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7C1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7C1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7C10"/>
    <w:pPr>
      <w:ind w:left="1985" w:hanging="851"/>
    </w:pPr>
  </w:style>
  <w:style w:type="character" w:customStyle="1" w:styleId="CharAmPartNo">
    <w:name w:val="CharAmPartNo"/>
    <w:basedOn w:val="OPCCharBase"/>
    <w:qFormat/>
    <w:rsid w:val="00F37C10"/>
  </w:style>
  <w:style w:type="character" w:customStyle="1" w:styleId="CharAmPartText">
    <w:name w:val="CharAmPartText"/>
    <w:basedOn w:val="OPCCharBase"/>
    <w:qFormat/>
    <w:rsid w:val="00F37C10"/>
  </w:style>
  <w:style w:type="character" w:customStyle="1" w:styleId="CharAmSchNo">
    <w:name w:val="CharAmSchNo"/>
    <w:basedOn w:val="OPCCharBase"/>
    <w:qFormat/>
    <w:rsid w:val="00F37C10"/>
  </w:style>
  <w:style w:type="character" w:customStyle="1" w:styleId="CharAmSchText">
    <w:name w:val="CharAmSchText"/>
    <w:basedOn w:val="OPCCharBase"/>
    <w:qFormat/>
    <w:rsid w:val="00F37C10"/>
  </w:style>
  <w:style w:type="character" w:customStyle="1" w:styleId="CharBoldItalic">
    <w:name w:val="CharBoldItalic"/>
    <w:basedOn w:val="OPCCharBase"/>
    <w:uiPriority w:val="1"/>
    <w:qFormat/>
    <w:rsid w:val="00F37C1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7C10"/>
  </w:style>
  <w:style w:type="character" w:customStyle="1" w:styleId="CharChapText">
    <w:name w:val="CharChapText"/>
    <w:basedOn w:val="OPCCharBase"/>
    <w:uiPriority w:val="1"/>
    <w:qFormat/>
    <w:rsid w:val="00F37C10"/>
  </w:style>
  <w:style w:type="character" w:customStyle="1" w:styleId="CharDivNo">
    <w:name w:val="CharDivNo"/>
    <w:basedOn w:val="OPCCharBase"/>
    <w:uiPriority w:val="1"/>
    <w:qFormat/>
    <w:rsid w:val="00F37C10"/>
  </w:style>
  <w:style w:type="character" w:customStyle="1" w:styleId="CharDivText">
    <w:name w:val="CharDivText"/>
    <w:basedOn w:val="OPCCharBase"/>
    <w:uiPriority w:val="1"/>
    <w:qFormat/>
    <w:rsid w:val="00F37C10"/>
  </w:style>
  <w:style w:type="character" w:customStyle="1" w:styleId="CharItalic">
    <w:name w:val="CharItalic"/>
    <w:basedOn w:val="OPCCharBase"/>
    <w:uiPriority w:val="1"/>
    <w:qFormat/>
    <w:rsid w:val="00F37C10"/>
    <w:rPr>
      <w:i/>
    </w:rPr>
  </w:style>
  <w:style w:type="character" w:customStyle="1" w:styleId="CharPartNo">
    <w:name w:val="CharPartNo"/>
    <w:basedOn w:val="OPCCharBase"/>
    <w:uiPriority w:val="1"/>
    <w:qFormat/>
    <w:rsid w:val="00F37C10"/>
  </w:style>
  <w:style w:type="character" w:customStyle="1" w:styleId="CharPartText">
    <w:name w:val="CharPartText"/>
    <w:basedOn w:val="OPCCharBase"/>
    <w:uiPriority w:val="1"/>
    <w:qFormat/>
    <w:rsid w:val="00F37C10"/>
  </w:style>
  <w:style w:type="character" w:customStyle="1" w:styleId="CharSectno">
    <w:name w:val="CharSectno"/>
    <w:basedOn w:val="OPCCharBase"/>
    <w:qFormat/>
    <w:rsid w:val="00F37C10"/>
  </w:style>
  <w:style w:type="character" w:customStyle="1" w:styleId="CharSubdNo">
    <w:name w:val="CharSubdNo"/>
    <w:basedOn w:val="OPCCharBase"/>
    <w:uiPriority w:val="1"/>
    <w:qFormat/>
    <w:rsid w:val="00F37C10"/>
  </w:style>
  <w:style w:type="character" w:customStyle="1" w:styleId="CharSubdText">
    <w:name w:val="CharSubdText"/>
    <w:basedOn w:val="OPCCharBase"/>
    <w:uiPriority w:val="1"/>
    <w:qFormat/>
    <w:rsid w:val="00F37C10"/>
  </w:style>
  <w:style w:type="paragraph" w:customStyle="1" w:styleId="CTA--">
    <w:name w:val="CTA --"/>
    <w:basedOn w:val="OPCParaBase"/>
    <w:next w:val="Normal"/>
    <w:rsid w:val="00F37C1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7C1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7C1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7C1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7C1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7C1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7C1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7C1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7C1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7C1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7C1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7C1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7C1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7C1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37C1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7C1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7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7C1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7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7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7C1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7C1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7C1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7C1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7C1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7C1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7C1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7C1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7C1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7C1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7C1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7C1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7C1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7C1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7C1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7C1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7C1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7C1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7C1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7C1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7C1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7C1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7C1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7C1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7C1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7C1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7C1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7C1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7C1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7C1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7C1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7C1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7C1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7C1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37C1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37C1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37C1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37C1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7C1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7C1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7C1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7C1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7C1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7C1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7C1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37C10"/>
    <w:rPr>
      <w:sz w:val="16"/>
    </w:rPr>
  </w:style>
  <w:style w:type="table" w:customStyle="1" w:styleId="CFlag">
    <w:name w:val="CFlag"/>
    <w:basedOn w:val="TableNormal"/>
    <w:uiPriority w:val="99"/>
    <w:rsid w:val="00F37C1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37C1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7C1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37C1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7C1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37C1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7C1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7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7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7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37C10"/>
    <w:pPr>
      <w:spacing w:before="120"/>
    </w:pPr>
  </w:style>
  <w:style w:type="paragraph" w:customStyle="1" w:styleId="TableTextEndNotes">
    <w:name w:val="TableTextEndNotes"/>
    <w:aliases w:val="Tten"/>
    <w:basedOn w:val="Normal"/>
    <w:rsid w:val="00F37C1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37C1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37C1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7C1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7C1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7C1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7C1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7C1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7C1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7C1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7C1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37C1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37C10"/>
  </w:style>
  <w:style w:type="character" w:customStyle="1" w:styleId="CharSubPartNoCASA">
    <w:name w:val="CharSubPartNo(CASA)"/>
    <w:basedOn w:val="OPCCharBase"/>
    <w:uiPriority w:val="1"/>
    <w:rsid w:val="00F37C10"/>
  </w:style>
  <w:style w:type="paragraph" w:customStyle="1" w:styleId="ENoteTTIndentHeadingSub">
    <w:name w:val="ENoteTTIndentHeadingSub"/>
    <w:aliases w:val="enTTHis"/>
    <w:basedOn w:val="OPCParaBase"/>
    <w:rsid w:val="00F37C1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7C1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7C1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7C1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3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F37C1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7C10"/>
    <w:rPr>
      <w:sz w:val="22"/>
    </w:rPr>
  </w:style>
  <w:style w:type="paragraph" w:customStyle="1" w:styleId="SOTextNote">
    <w:name w:val="SO TextNote"/>
    <w:aliases w:val="sont"/>
    <w:basedOn w:val="SOText"/>
    <w:qFormat/>
    <w:rsid w:val="00F37C1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7C1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7C10"/>
    <w:rPr>
      <w:sz w:val="22"/>
    </w:rPr>
  </w:style>
  <w:style w:type="paragraph" w:customStyle="1" w:styleId="FileName">
    <w:name w:val="FileName"/>
    <w:basedOn w:val="Normal"/>
    <w:rsid w:val="00F37C1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7C1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7C1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7C1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7C1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7C1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7C1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7C1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7C1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7C10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318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8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3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B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3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B3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3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B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E24B3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24B3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24B3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24B3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24B3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24B3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24B3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E24B34"/>
  </w:style>
  <w:style w:type="character" w:customStyle="1" w:styleId="ShortTCPChar">
    <w:name w:val="ShortTCP Char"/>
    <w:basedOn w:val="ShortTChar"/>
    <w:link w:val="ShortTCP"/>
    <w:rsid w:val="00E24B3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24B34"/>
    <w:pPr>
      <w:spacing w:before="400"/>
    </w:pPr>
  </w:style>
  <w:style w:type="character" w:customStyle="1" w:styleId="ActNoCPChar">
    <w:name w:val="ActNoCP Char"/>
    <w:basedOn w:val="ActnoChar"/>
    <w:link w:val="ActNoCP"/>
    <w:rsid w:val="00E24B3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24B3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D1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2778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778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7784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C1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B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B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B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B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B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7C10"/>
  </w:style>
  <w:style w:type="paragraph" w:customStyle="1" w:styleId="OPCParaBase">
    <w:name w:val="OPCParaBase"/>
    <w:link w:val="OPCParaBaseChar"/>
    <w:qFormat/>
    <w:rsid w:val="00F37C1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37C1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7C1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7C1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7C1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7C1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37C1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7C1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7C1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7C1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7C1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37C10"/>
  </w:style>
  <w:style w:type="paragraph" w:customStyle="1" w:styleId="Blocks">
    <w:name w:val="Blocks"/>
    <w:aliases w:val="bb"/>
    <w:basedOn w:val="OPCParaBase"/>
    <w:qFormat/>
    <w:rsid w:val="00F37C1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7C1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7C10"/>
    <w:rPr>
      <w:i/>
    </w:rPr>
  </w:style>
  <w:style w:type="paragraph" w:customStyle="1" w:styleId="BoxList">
    <w:name w:val="BoxList"/>
    <w:aliases w:val="bl"/>
    <w:basedOn w:val="BoxText"/>
    <w:qFormat/>
    <w:rsid w:val="00F37C1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7C1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7C1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7C10"/>
    <w:pPr>
      <w:ind w:left="1985" w:hanging="851"/>
    </w:pPr>
  </w:style>
  <w:style w:type="character" w:customStyle="1" w:styleId="CharAmPartNo">
    <w:name w:val="CharAmPartNo"/>
    <w:basedOn w:val="OPCCharBase"/>
    <w:qFormat/>
    <w:rsid w:val="00F37C10"/>
  </w:style>
  <w:style w:type="character" w:customStyle="1" w:styleId="CharAmPartText">
    <w:name w:val="CharAmPartText"/>
    <w:basedOn w:val="OPCCharBase"/>
    <w:qFormat/>
    <w:rsid w:val="00F37C10"/>
  </w:style>
  <w:style w:type="character" w:customStyle="1" w:styleId="CharAmSchNo">
    <w:name w:val="CharAmSchNo"/>
    <w:basedOn w:val="OPCCharBase"/>
    <w:qFormat/>
    <w:rsid w:val="00F37C10"/>
  </w:style>
  <w:style w:type="character" w:customStyle="1" w:styleId="CharAmSchText">
    <w:name w:val="CharAmSchText"/>
    <w:basedOn w:val="OPCCharBase"/>
    <w:qFormat/>
    <w:rsid w:val="00F37C10"/>
  </w:style>
  <w:style w:type="character" w:customStyle="1" w:styleId="CharBoldItalic">
    <w:name w:val="CharBoldItalic"/>
    <w:basedOn w:val="OPCCharBase"/>
    <w:uiPriority w:val="1"/>
    <w:qFormat/>
    <w:rsid w:val="00F37C1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7C10"/>
  </w:style>
  <w:style w:type="character" w:customStyle="1" w:styleId="CharChapText">
    <w:name w:val="CharChapText"/>
    <w:basedOn w:val="OPCCharBase"/>
    <w:uiPriority w:val="1"/>
    <w:qFormat/>
    <w:rsid w:val="00F37C10"/>
  </w:style>
  <w:style w:type="character" w:customStyle="1" w:styleId="CharDivNo">
    <w:name w:val="CharDivNo"/>
    <w:basedOn w:val="OPCCharBase"/>
    <w:uiPriority w:val="1"/>
    <w:qFormat/>
    <w:rsid w:val="00F37C10"/>
  </w:style>
  <w:style w:type="character" w:customStyle="1" w:styleId="CharDivText">
    <w:name w:val="CharDivText"/>
    <w:basedOn w:val="OPCCharBase"/>
    <w:uiPriority w:val="1"/>
    <w:qFormat/>
    <w:rsid w:val="00F37C10"/>
  </w:style>
  <w:style w:type="character" w:customStyle="1" w:styleId="CharItalic">
    <w:name w:val="CharItalic"/>
    <w:basedOn w:val="OPCCharBase"/>
    <w:uiPriority w:val="1"/>
    <w:qFormat/>
    <w:rsid w:val="00F37C10"/>
    <w:rPr>
      <w:i/>
    </w:rPr>
  </w:style>
  <w:style w:type="character" w:customStyle="1" w:styleId="CharPartNo">
    <w:name w:val="CharPartNo"/>
    <w:basedOn w:val="OPCCharBase"/>
    <w:uiPriority w:val="1"/>
    <w:qFormat/>
    <w:rsid w:val="00F37C10"/>
  </w:style>
  <w:style w:type="character" w:customStyle="1" w:styleId="CharPartText">
    <w:name w:val="CharPartText"/>
    <w:basedOn w:val="OPCCharBase"/>
    <w:uiPriority w:val="1"/>
    <w:qFormat/>
    <w:rsid w:val="00F37C10"/>
  </w:style>
  <w:style w:type="character" w:customStyle="1" w:styleId="CharSectno">
    <w:name w:val="CharSectno"/>
    <w:basedOn w:val="OPCCharBase"/>
    <w:qFormat/>
    <w:rsid w:val="00F37C10"/>
  </w:style>
  <w:style w:type="character" w:customStyle="1" w:styleId="CharSubdNo">
    <w:name w:val="CharSubdNo"/>
    <w:basedOn w:val="OPCCharBase"/>
    <w:uiPriority w:val="1"/>
    <w:qFormat/>
    <w:rsid w:val="00F37C10"/>
  </w:style>
  <w:style w:type="character" w:customStyle="1" w:styleId="CharSubdText">
    <w:name w:val="CharSubdText"/>
    <w:basedOn w:val="OPCCharBase"/>
    <w:uiPriority w:val="1"/>
    <w:qFormat/>
    <w:rsid w:val="00F37C10"/>
  </w:style>
  <w:style w:type="paragraph" w:customStyle="1" w:styleId="CTA--">
    <w:name w:val="CTA --"/>
    <w:basedOn w:val="OPCParaBase"/>
    <w:next w:val="Normal"/>
    <w:rsid w:val="00F37C1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7C1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7C1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7C1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7C1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7C1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7C1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7C1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7C1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7C1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7C1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7C1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7C1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7C1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37C1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7C1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7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7C1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7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7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7C1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7C1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7C1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7C1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7C1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7C1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7C1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7C1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7C1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7C1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7C1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7C1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7C1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7C1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7C1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7C1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7C1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7C1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7C1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7C1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7C1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7C1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7C1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7C1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7C1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7C1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7C1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7C1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7C1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7C1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7C1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7C1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7C1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7C1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37C1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37C1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37C1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37C1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37C1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37C1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7C1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7C1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7C1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7C1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7C1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7C1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7C1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37C10"/>
    <w:rPr>
      <w:sz w:val="16"/>
    </w:rPr>
  </w:style>
  <w:style w:type="table" w:customStyle="1" w:styleId="CFlag">
    <w:name w:val="CFlag"/>
    <w:basedOn w:val="TableNormal"/>
    <w:uiPriority w:val="99"/>
    <w:rsid w:val="00F37C1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37C1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7C1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37C1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7C1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37C1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7C1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7C1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7C1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7C1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37C10"/>
    <w:pPr>
      <w:spacing w:before="120"/>
    </w:pPr>
  </w:style>
  <w:style w:type="paragraph" w:customStyle="1" w:styleId="TableTextEndNotes">
    <w:name w:val="TableTextEndNotes"/>
    <w:aliases w:val="Tten"/>
    <w:basedOn w:val="Normal"/>
    <w:rsid w:val="00F37C1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37C1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37C1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7C1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7C1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7C1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7C1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7C1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7C1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7C1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7C1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37C1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37C10"/>
  </w:style>
  <w:style w:type="character" w:customStyle="1" w:styleId="CharSubPartNoCASA">
    <w:name w:val="CharSubPartNo(CASA)"/>
    <w:basedOn w:val="OPCCharBase"/>
    <w:uiPriority w:val="1"/>
    <w:rsid w:val="00F37C10"/>
  </w:style>
  <w:style w:type="paragraph" w:customStyle="1" w:styleId="ENoteTTIndentHeadingSub">
    <w:name w:val="ENoteTTIndentHeadingSub"/>
    <w:aliases w:val="enTTHis"/>
    <w:basedOn w:val="OPCParaBase"/>
    <w:rsid w:val="00F37C1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7C1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7C1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7C1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3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F37C1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7C10"/>
    <w:rPr>
      <w:sz w:val="22"/>
    </w:rPr>
  </w:style>
  <w:style w:type="paragraph" w:customStyle="1" w:styleId="SOTextNote">
    <w:name w:val="SO TextNote"/>
    <w:aliases w:val="sont"/>
    <w:basedOn w:val="SOText"/>
    <w:qFormat/>
    <w:rsid w:val="00F37C1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7C1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7C10"/>
    <w:rPr>
      <w:sz w:val="22"/>
    </w:rPr>
  </w:style>
  <w:style w:type="paragraph" w:customStyle="1" w:styleId="FileName">
    <w:name w:val="FileName"/>
    <w:basedOn w:val="Normal"/>
    <w:rsid w:val="00F37C1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7C1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7C1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7C1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7C1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7C1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7C1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7C1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7C1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7C1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7C10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318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8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3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B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3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B3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3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B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E24B3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E24B3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E24B3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E24B3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24B3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E24B3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E24B3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E24B34"/>
  </w:style>
  <w:style w:type="character" w:customStyle="1" w:styleId="ShortTCPChar">
    <w:name w:val="ShortTCP Char"/>
    <w:basedOn w:val="ShortTChar"/>
    <w:link w:val="ShortTCP"/>
    <w:rsid w:val="00E24B3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E24B34"/>
    <w:pPr>
      <w:spacing w:before="400"/>
    </w:pPr>
  </w:style>
  <w:style w:type="character" w:customStyle="1" w:styleId="ActNoCPChar">
    <w:name w:val="ActNoCP Char"/>
    <w:basedOn w:val="ActnoChar"/>
    <w:link w:val="ActNoCP"/>
    <w:rsid w:val="00E24B3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E24B3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D1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2778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778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7784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744</Words>
  <Characters>2902</Characters>
  <Application>Microsoft Office Word</Application>
  <DocSecurity>0</DocSecurity>
  <PresentationFormat/>
  <Lines>1451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2017-01-11T06:49:00Z</cp:lastPrinted>
  <dcterms:created xsi:type="dcterms:W3CDTF">2018-10-05T05:10:00Z</dcterms:created>
  <dcterms:modified xsi:type="dcterms:W3CDTF">2018-10-05T05:21:00Z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Treasury Laws Amendment (Working Holiday Maker Employer Register) Act 2018</vt:lpwstr>
  </property>
  <property fmtid="{D5CDD505-2E9C-101B-9397-08002B2CF9AE}" pid="5" name="ActNo">
    <vt:lpwstr>No. 125,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OPC6336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