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54" w:rsidRDefault="00317054" w:rsidP="00424B97">
      <w:r>
        <w:rPr>
          <w:noProof/>
          <w:lang w:eastAsia="en-AU"/>
        </w:rPr>
        <w:drawing>
          <wp:inline distT="0" distB="0" distL="0" distR="0" wp14:anchorId="11157F2C" wp14:editId="00BC7B21">
            <wp:extent cx="612013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7">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p w:rsidR="00E558DF" w:rsidRDefault="00E558DF" w:rsidP="00424B97"/>
    <w:p w:rsidR="00E558DF" w:rsidRPr="00E558DF" w:rsidRDefault="00E558DF" w:rsidP="00E558DF">
      <w:pPr>
        <w:widowControl w:val="0"/>
        <w:spacing w:after="0" w:line="240" w:lineRule="auto"/>
        <w:jc w:val="center"/>
        <w:rPr>
          <w:rFonts w:eastAsia="Times New Roman" w:cs="Times New Roman"/>
          <w:snapToGrid w:val="0"/>
          <w:color w:val="4E1A74"/>
          <w:sz w:val="20"/>
          <w:szCs w:val="20"/>
          <w:lang w:val="en-US"/>
        </w:rPr>
      </w:pPr>
      <w:r w:rsidRPr="00E558DF">
        <w:rPr>
          <w:rFonts w:eastAsia="Times New Roman" w:cs="Times New Roman"/>
          <w:i/>
          <w:snapToGrid w:val="0"/>
          <w:color w:val="4E1A74"/>
          <w:sz w:val="20"/>
          <w:szCs w:val="20"/>
          <w:lang w:val="en-US"/>
        </w:rPr>
        <w:t xml:space="preserve">Australian Radiation Protection and Nuclear Safety Act 1998 </w:t>
      </w:r>
    </w:p>
    <w:p w:rsidR="00E558DF" w:rsidRPr="00E558DF" w:rsidRDefault="00E558DF" w:rsidP="00E558DF">
      <w:pPr>
        <w:widowControl w:val="0"/>
        <w:spacing w:after="0" w:line="240" w:lineRule="auto"/>
        <w:jc w:val="center"/>
        <w:rPr>
          <w:rFonts w:eastAsia="Times New Roman" w:cs="Times New Roman"/>
          <w:snapToGrid w:val="0"/>
          <w:color w:val="4E1A74"/>
          <w:sz w:val="20"/>
          <w:szCs w:val="20"/>
          <w:lang w:val="en-US"/>
        </w:rPr>
      </w:pPr>
      <w:r w:rsidRPr="00E558DF">
        <w:rPr>
          <w:rFonts w:eastAsia="Times New Roman" w:cs="Times New Roman"/>
          <w:snapToGrid w:val="0"/>
          <w:color w:val="4E1A74"/>
          <w:sz w:val="20"/>
          <w:szCs w:val="20"/>
          <w:lang w:val="en-US"/>
        </w:rPr>
        <w:t>Australian Radiation Protection and Nuclear Safety Regulations 1999</w:t>
      </w:r>
    </w:p>
    <w:p w:rsidR="00E558DF" w:rsidRPr="00E558DF" w:rsidRDefault="00E558DF" w:rsidP="00E558DF">
      <w:pPr>
        <w:widowControl w:val="0"/>
        <w:spacing w:after="0" w:line="240" w:lineRule="auto"/>
        <w:rPr>
          <w:rFonts w:eastAsia="Times New Roman" w:cs="Times New Roman"/>
          <w:b/>
          <w:i/>
          <w:snapToGrid w:val="0"/>
          <w:color w:val="4E1A74"/>
          <w:sz w:val="24"/>
          <w:szCs w:val="20"/>
          <w:lang w:val="en-US"/>
        </w:rPr>
      </w:pPr>
    </w:p>
    <w:p w:rsidR="00E558DF" w:rsidRPr="00E558DF" w:rsidRDefault="00E558DF" w:rsidP="00E558DF">
      <w:pPr>
        <w:keepNext/>
        <w:keepLines/>
        <w:spacing w:before="200" w:after="0"/>
        <w:jc w:val="center"/>
        <w:outlineLvl w:val="1"/>
        <w:rPr>
          <w:rFonts w:eastAsiaTheme="majorEastAsia" w:cstheme="majorBidi"/>
          <w:b/>
          <w:bCs/>
          <w:color w:val="258325"/>
          <w:sz w:val="28"/>
          <w:szCs w:val="28"/>
          <w:lang w:eastAsia="en-AU"/>
        </w:rPr>
      </w:pPr>
      <w:r w:rsidRPr="00E558DF">
        <w:rPr>
          <w:rFonts w:eastAsiaTheme="majorEastAsia" w:cstheme="majorBidi"/>
          <w:b/>
          <w:bCs/>
          <w:color w:val="258325"/>
          <w:sz w:val="28"/>
          <w:szCs w:val="28"/>
          <w:lang w:eastAsia="en-AU"/>
        </w:rPr>
        <w:t>Declaration of Exemption</w:t>
      </w:r>
    </w:p>
    <w:p w:rsidR="00E558DF" w:rsidRPr="00E558DF" w:rsidRDefault="00E558DF" w:rsidP="00E558DF">
      <w:pPr>
        <w:keepNext/>
        <w:keepLines/>
        <w:spacing w:before="200" w:after="0"/>
        <w:outlineLvl w:val="1"/>
        <w:rPr>
          <w:rFonts w:eastAsiaTheme="majorEastAsia" w:cstheme="majorBidi"/>
          <w:b/>
          <w:bCs/>
          <w:i/>
          <w:color w:val="1F497D" w:themeColor="text2"/>
          <w:sz w:val="24"/>
          <w:szCs w:val="24"/>
          <w:lang w:eastAsia="en-AU"/>
        </w:rPr>
      </w:pPr>
    </w:p>
    <w:p w:rsidR="00E558DF" w:rsidRPr="00E558DF" w:rsidRDefault="00E558DF" w:rsidP="00E558DF">
      <w:pPr>
        <w:tabs>
          <w:tab w:val="right" w:pos="426"/>
        </w:tabs>
        <w:autoSpaceDE w:val="0"/>
        <w:autoSpaceDN w:val="0"/>
        <w:spacing w:before="60" w:after="0" w:line="260" w:lineRule="exact"/>
        <w:ind w:left="426" w:right="567"/>
        <w:jc w:val="both"/>
        <w:rPr>
          <w:rFonts w:eastAsia="Times New Roman" w:cs="Times New Roman"/>
          <w:lang w:eastAsia="en-AU"/>
        </w:rPr>
      </w:pPr>
      <w:r w:rsidRPr="00E558DF">
        <w:rPr>
          <w:rFonts w:eastAsia="Times New Roman" w:cs="Times New Roman"/>
          <w:lang w:eastAsia="en-AU"/>
        </w:rPr>
        <w:t>I, Carl-Magnus Larsson,</w:t>
      </w:r>
      <w:r w:rsidRPr="00E558DF">
        <w:rPr>
          <w:rFonts w:eastAsia="Times New Roman" w:cs="Times New Roman"/>
          <w:b/>
          <w:lang w:eastAsia="en-AU"/>
        </w:rPr>
        <w:t xml:space="preserve"> </w:t>
      </w:r>
      <w:r w:rsidRPr="00E558DF">
        <w:rPr>
          <w:rFonts w:eastAsia="Times New Roman" w:cs="Times New Roman"/>
          <w:lang w:eastAsia="en-AU"/>
        </w:rPr>
        <w:t xml:space="preserve">Chief Executive Officer of ARPANSA, acting under the Australian Radiation Protection and Nuclear Safety Regulations 1999 (the Regulations), hereby conclude that siting a new controlled facility, namely: </w:t>
      </w:r>
    </w:p>
    <w:p w:rsidR="00E558DF" w:rsidRPr="00E558DF" w:rsidRDefault="00E558DF" w:rsidP="00E558DF">
      <w:pPr>
        <w:tabs>
          <w:tab w:val="right" w:pos="426"/>
        </w:tabs>
        <w:autoSpaceDE w:val="0"/>
        <w:autoSpaceDN w:val="0"/>
        <w:spacing w:before="60" w:after="0" w:line="260" w:lineRule="exact"/>
        <w:ind w:left="426" w:right="567"/>
        <w:jc w:val="both"/>
        <w:rPr>
          <w:rFonts w:eastAsia="Times New Roman" w:cs="Times New Roman"/>
          <w:lang w:eastAsia="en-AU"/>
        </w:rPr>
      </w:pPr>
    </w:p>
    <w:p w:rsidR="00E558DF" w:rsidRPr="00E558DF" w:rsidRDefault="00E558DF" w:rsidP="00E558DF">
      <w:pPr>
        <w:tabs>
          <w:tab w:val="right" w:pos="426"/>
        </w:tabs>
        <w:autoSpaceDE w:val="0"/>
        <w:autoSpaceDN w:val="0"/>
        <w:spacing w:before="120" w:after="120" w:line="260" w:lineRule="exact"/>
        <w:ind w:left="426" w:right="567"/>
        <w:jc w:val="center"/>
        <w:rPr>
          <w:rFonts w:eastAsia="Times New Roman" w:cs="Times New Roman"/>
          <w:lang w:eastAsia="en-AU"/>
        </w:rPr>
      </w:pPr>
      <w:r w:rsidRPr="00E558DF">
        <w:rPr>
          <w:rFonts w:eastAsia="Times New Roman" w:cs="Times New Roman"/>
          <w:lang w:eastAsia="en-AU"/>
        </w:rPr>
        <w:t xml:space="preserve"> The particle accelerator with beam energy of more than 1 MeV, located at the ARPANSA site, 619 Lower Plenty Road, Yallambie VIC, </w:t>
      </w:r>
    </w:p>
    <w:p w:rsidR="00E558DF" w:rsidRPr="00E558DF" w:rsidRDefault="00E558DF" w:rsidP="00E558DF">
      <w:pPr>
        <w:tabs>
          <w:tab w:val="right" w:pos="426"/>
        </w:tabs>
        <w:autoSpaceDE w:val="0"/>
        <w:autoSpaceDN w:val="0"/>
        <w:spacing w:before="60" w:after="0" w:line="260" w:lineRule="exact"/>
        <w:ind w:right="567"/>
        <w:jc w:val="both"/>
        <w:rPr>
          <w:rFonts w:eastAsia="Times New Roman" w:cs="Times New Roman"/>
          <w:lang w:eastAsia="en-AU"/>
        </w:rPr>
      </w:pPr>
    </w:p>
    <w:p w:rsidR="00E558DF" w:rsidRPr="00E558DF" w:rsidRDefault="00E558DF" w:rsidP="00E558DF">
      <w:pPr>
        <w:tabs>
          <w:tab w:val="right" w:pos="426"/>
        </w:tabs>
        <w:autoSpaceDE w:val="0"/>
        <w:autoSpaceDN w:val="0"/>
        <w:spacing w:before="60" w:after="0" w:line="260" w:lineRule="exact"/>
        <w:ind w:left="426" w:right="567"/>
        <w:jc w:val="both"/>
        <w:rPr>
          <w:rFonts w:eastAsia="Times New Roman" w:cs="Times New Roman"/>
          <w:lang w:eastAsia="en-AU"/>
        </w:rPr>
      </w:pPr>
      <w:proofErr w:type="gramStart"/>
      <w:r w:rsidRPr="00E558DF">
        <w:rPr>
          <w:rFonts w:eastAsia="Times New Roman" w:cs="Times New Roman"/>
          <w:lang w:eastAsia="en-AU"/>
        </w:rPr>
        <w:t>which</w:t>
      </w:r>
      <w:proofErr w:type="gramEnd"/>
      <w:r w:rsidRPr="00E558DF">
        <w:rPr>
          <w:rFonts w:eastAsia="Times New Roman" w:cs="Times New Roman"/>
          <w:lang w:eastAsia="en-AU"/>
        </w:rPr>
        <w:t xml:space="preserve"> is to be controlled by ARPANSA Medical Radiation Services (MRS), will not pose an unacceptable potential hazard to the health and safety of people or the environment and, therefore, satisfies the requirements of sub-regulation 37(1) of the Regulations. </w:t>
      </w:r>
    </w:p>
    <w:p w:rsidR="00E558DF" w:rsidRPr="00E558DF" w:rsidRDefault="00E558DF" w:rsidP="00E558DF">
      <w:pPr>
        <w:tabs>
          <w:tab w:val="right" w:pos="426"/>
        </w:tabs>
        <w:autoSpaceDE w:val="0"/>
        <w:autoSpaceDN w:val="0"/>
        <w:spacing w:before="60" w:after="0" w:line="260" w:lineRule="exact"/>
        <w:ind w:left="426" w:right="567"/>
        <w:jc w:val="both"/>
        <w:rPr>
          <w:rFonts w:eastAsia="Times New Roman" w:cs="Times New Roman"/>
          <w:lang w:eastAsia="en-AU"/>
        </w:rPr>
      </w:pPr>
    </w:p>
    <w:p w:rsidR="00E558DF" w:rsidRPr="00E558DF" w:rsidRDefault="00E558DF" w:rsidP="00E558DF">
      <w:pPr>
        <w:tabs>
          <w:tab w:val="right" w:pos="426"/>
        </w:tabs>
        <w:autoSpaceDE w:val="0"/>
        <w:autoSpaceDN w:val="0"/>
        <w:spacing w:before="60" w:after="0" w:line="260" w:lineRule="exact"/>
        <w:ind w:left="426" w:right="567"/>
        <w:jc w:val="both"/>
        <w:rPr>
          <w:rFonts w:eastAsia="Times New Roman" w:cs="Times New Roman"/>
          <w:lang w:eastAsia="en-AU"/>
        </w:rPr>
      </w:pPr>
      <w:r w:rsidRPr="00E558DF">
        <w:rPr>
          <w:rFonts w:eastAsia="Times New Roman" w:cs="Times New Roman"/>
          <w:lang w:eastAsia="en-AU"/>
        </w:rPr>
        <w:t xml:space="preserve">The particle accelerator, specifically a linear accelerator, will be of a typical design producing electrons of up to 20 MeV. It will be operated as a national facility for calibration of radiotherapy linear accelerators in Australia and overseas. The organisation has been operating linear accelerators for the last 20 years on the campus for similar purposes. </w:t>
      </w:r>
    </w:p>
    <w:p w:rsidR="00E558DF" w:rsidRPr="00E558DF" w:rsidRDefault="00E558DF" w:rsidP="00E558DF">
      <w:pPr>
        <w:tabs>
          <w:tab w:val="right" w:pos="426"/>
          <w:tab w:val="right" w:pos="1191"/>
        </w:tabs>
        <w:autoSpaceDE w:val="0"/>
        <w:autoSpaceDN w:val="0"/>
        <w:spacing w:before="60" w:after="0" w:line="260" w:lineRule="exact"/>
        <w:ind w:left="1418" w:right="567" w:hanging="1418"/>
        <w:jc w:val="both"/>
        <w:rPr>
          <w:rFonts w:eastAsia="Times New Roman" w:cs="Times New Roman"/>
          <w:lang w:eastAsia="en-AU"/>
        </w:rPr>
      </w:pPr>
    </w:p>
    <w:p w:rsidR="00E558DF" w:rsidRPr="00E558DF" w:rsidRDefault="00E558DF" w:rsidP="00E558DF">
      <w:pPr>
        <w:tabs>
          <w:tab w:val="right" w:pos="426"/>
        </w:tabs>
        <w:autoSpaceDE w:val="0"/>
        <w:autoSpaceDN w:val="0"/>
        <w:spacing w:before="60" w:after="0" w:line="260" w:lineRule="exact"/>
        <w:ind w:left="426" w:right="567"/>
        <w:jc w:val="both"/>
        <w:rPr>
          <w:rFonts w:eastAsia="Times New Roman" w:cs="Times New Roman"/>
          <w:lang w:eastAsia="en-AU"/>
        </w:rPr>
      </w:pPr>
      <w:r w:rsidRPr="00E558DF">
        <w:rPr>
          <w:rFonts w:eastAsia="Times New Roman" w:cs="Times New Roman"/>
          <w:lang w:eastAsia="en-AU"/>
        </w:rPr>
        <w:t>Consequently, I exempt MRS from the need to obtain authorisation to prepare a site for the particle accelerator for the purposes of section 30(1</w:t>
      </w:r>
      <w:proofErr w:type="gramStart"/>
      <w:r w:rsidRPr="00E558DF">
        <w:rPr>
          <w:rFonts w:eastAsia="Times New Roman" w:cs="Times New Roman"/>
          <w:lang w:eastAsia="en-AU"/>
        </w:rPr>
        <w:t>)(</w:t>
      </w:r>
      <w:proofErr w:type="gramEnd"/>
      <w:r w:rsidRPr="00E558DF">
        <w:rPr>
          <w:rFonts w:eastAsia="Times New Roman" w:cs="Times New Roman"/>
          <w:lang w:eastAsia="en-AU"/>
        </w:rPr>
        <w:t xml:space="preserve">a) of the </w:t>
      </w:r>
      <w:r w:rsidRPr="00E558DF">
        <w:rPr>
          <w:rFonts w:eastAsia="Times New Roman" w:cs="Times New Roman"/>
          <w:i/>
          <w:lang w:eastAsia="en-AU"/>
        </w:rPr>
        <w:t xml:space="preserve">Australian Radiation Protection and Nuclear Safety Act 1998, </w:t>
      </w:r>
      <w:r w:rsidRPr="00E558DF">
        <w:rPr>
          <w:rFonts w:eastAsia="Times New Roman" w:cs="Times New Roman"/>
          <w:lang w:eastAsia="en-AU"/>
        </w:rPr>
        <w:t xml:space="preserve">as it will be housed in existing premises. </w:t>
      </w:r>
    </w:p>
    <w:p w:rsidR="00E558DF" w:rsidRPr="00E558DF" w:rsidRDefault="00E558DF" w:rsidP="00E558DF">
      <w:pPr>
        <w:tabs>
          <w:tab w:val="right" w:pos="426"/>
        </w:tabs>
        <w:autoSpaceDE w:val="0"/>
        <w:autoSpaceDN w:val="0"/>
        <w:spacing w:before="60" w:after="0" w:line="260" w:lineRule="exact"/>
        <w:ind w:left="426" w:right="567"/>
        <w:jc w:val="both"/>
        <w:rPr>
          <w:rFonts w:eastAsia="Times New Roman" w:cs="Times New Roman"/>
          <w:lang w:eastAsia="en-AU"/>
        </w:rPr>
      </w:pPr>
    </w:p>
    <w:p w:rsidR="00E558DF" w:rsidRDefault="00E558DF" w:rsidP="00E558DF">
      <w:pPr>
        <w:widowControl w:val="0"/>
        <w:tabs>
          <w:tab w:val="right" w:pos="284"/>
          <w:tab w:val="left" w:pos="851"/>
        </w:tabs>
        <w:spacing w:after="0" w:line="240" w:lineRule="auto"/>
        <w:ind w:left="426" w:right="425"/>
        <w:jc w:val="both"/>
        <w:rPr>
          <w:rFonts w:eastAsia="Times New Roman" w:cs="Times New Roman"/>
          <w:snapToGrid w:val="0"/>
          <w:lang w:val="en-US"/>
        </w:rPr>
      </w:pPr>
      <w:r w:rsidRPr="00E558DF">
        <w:rPr>
          <w:rFonts w:eastAsia="Times New Roman" w:cs="Times New Roman"/>
          <w:snapToGrid w:val="0"/>
          <w:lang w:val="en-US"/>
        </w:rPr>
        <w:t xml:space="preserve">This Exemption will expire when the facility </w:t>
      </w:r>
      <w:r w:rsidRPr="00E558DF">
        <w:rPr>
          <w:rFonts w:eastAsia="Times New Roman" w:cs="Times New Roman"/>
          <w:snapToGrid w:val="0"/>
        </w:rPr>
        <w:t>licence</w:t>
      </w:r>
      <w:r w:rsidRPr="00E558DF">
        <w:rPr>
          <w:rFonts w:eastAsia="Times New Roman" w:cs="Times New Roman"/>
          <w:snapToGrid w:val="0"/>
          <w:lang w:val="en-US"/>
        </w:rPr>
        <w:t xml:space="preserve"> for construction</w:t>
      </w:r>
      <w:r w:rsidRPr="00E558DF">
        <w:rPr>
          <w:rFonts w:eastAsia="Times New Roman" w:cs="Times New Roman"/>
          <w:snapToGrid w:val="0"/>
        </w:rPr>
        <w:t xml:space="preserve"> </w:t>
      </w:r>
      <w:r w:rsidRPr="00E558DF">
        <w:rPr>
          <w:rFonts w:eastAsia="Times New Roman" w:cs="Times New Roman"/>
          <w:snapToGrid w:val="0"/>
          <w:lang w:val="en-US"/>
        </w:rPr>
        <w:t>is issued.</w:t>
      </w:r>
    </w:p>
    <w:p w:rsidR="00293B74" w:rsidRDefault="00293B74" w:rsidP="00E558DF">
      <w:pPr>
        <w:widowControl w:val="0"/>
        <w:tabs>
          <w:tab w:val="right" w:pos="284"/>
          <w:tab w:val="left" w:pos="851"/>
        </w:tabs>
        <w:spacing w:after="0" w:line="240" w:lineRule="auto"/>
        <w:ind w:left="426" w:right="425"/>
        <w:jc w:val="both"/>
        <w:rPr>
          <w:rFonts w:eastAsia="Times New Roman" w:cs="Times New Roman"/>
          <w:snapToGrid w:val="0"/>
          <w:lang w:val="en-US"/>
        </w:rPr>
      </w:pPr>
    </w:p>
    <w:p w:rsidR="00293B74" w:rsidRDefault="00293B74" w:rsidP="00E558DF">
      <w:pPr>
        <w:widowControl w:val="0"/>
        <w:tabs>
          <w:tab w:val="right" w:pos="284"/>
          <w:tab w:val="left" w:pos="851"/>
        </w:tabs>
        <w:spacing w:after="0" w:line="240" w:lineRule="auto"/>
        <w:ind w:left="426" w:right="425"/>
        <w:jc w:val="both"/>
        <w:rPr>
          <w:rFonts w:eastAsia="Times New Roman" w:cs="Times New Roman"/>
          <w:snapToGrid w:val="0"/>
          <w:lang w:val="en-US"/>
        </w:rPr>
      </w:pPr>
    </w:p>
    <w:p w:rsidR="00E558DF" w:rsidRPr="00E558DF" w:rsidRDefault="00293B74" w:rsidP="00293B74">
      <w:pPr>
        <w:widowControl w:val="0"/>
        <w:tabs>
          <w:tab w:val="right" w:pos="284"/>
          <w:tab w:val="left" w:pos="851"/>
        </w:tabs>
        <w:spacing w:after="0" w:line="240" w:lineRule="auto"/>
        <w:ind w:left="426" w:right="425"/>
        <w:jc w:val="both"/>
        <w:rPr>
          <w:rFonts w:eastAsia="Times New Roman" w:cs="Times New Roman"/>
          <w:snapToGrid w:val="0"/>
          <w:lang w:val="en-US"/>
        </w:rPr>
      </w:pPr>
      <w:r w:rsidRPr="00293B74">
        <w:rPr>
          <w:rFonts w:eastAsia="Times New Roman" w:cs="Times New Roman"/>
          <w:noProof/>
          <w:snapToGrid w:val="0"/>
          <w:lang w:eastAsia="en-AU"/>
        </w:rPr>
        <w:drawing>
          <wp:inline distT="0" distB="0" distL="0" distR="0">
            <wp:extent cx="1325880" cy="473157"/>
            <wp:effectExtent l="0" t="0" r="7620" b="3175"/>
            <wp:docPr id="6" name="Picture 6" descr="\\nsw-fs02.arpansa.local\folders$\smithn\Desktop\SIGNATURES\C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w-fs02.arpansa.local\folders$\smithn\Desktop\SIGNATURES\CM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242" cy="478639"/>
                    </a:xfrm>
                    <a:prstGeom prst="rect">
                      <a:avLst/>
                    </a:prstGeom>
                    <a:noFill/>
                    <a:ln>
                      <a:noFill/>
                    </a:ln>
                  </pic:spPr>
                </pic:pic>
              </a:graphicData>
            </a:graphic>
          </wp:inline>
        </w:drawing>
      </w:r>
    </w:p>
    <w:p w:rsidR="00E558DF" w:rsidRDefault="00E558DF" w:rsidP="00E558DF">
      <w:pPr>
        <w:widowControl w:val="0"/>
        <w:tabs>
          <w:tab w:val="right" w:pos="284"/>
          <w:tab w:val="right" w:pos="426"/>
          <w:tab w:val="left" w:pos="851"/>
        </w:tabs>
        <w:spacing w:after="0" w:line="240" w:lineRule="auto"/>
        <w:jc w:val="both"/>
        <w:rPr>
          <w:rFonts w:eastAsia="Times New Roman" w:cs="Times New Roman"/>
          <w:b/>
          <w:snapToGrid w:val="0"/>
          <w:lang w:val="en-US"/>
        </w:rPr>
      </w:pPr>
      <w:r>
        <w:rPr>
          <w:rFonts w:eastAsia="Times New Roman" w:cs="Times New Roman"/>
          <w:b/>
          <w:snapToGrid w:val="0"/>
          <w:lang w:val="en-US"/>
        </w:rPr>
        <w:t xml:space="preserve">        </w:t>
      </w:r>
    </w:p>
    <w:p w:rsidR="00E558DF" w:rsidRPr="00E558DF" w:rsidRDefault="00E558DF" w:rsidP="00E558DF">
      <w:pPr>
        <w:widowControl w:val="0"/>
        <w:tabs>
          <w:tab w:val="right" w:pos="284"/>
          <w:tab w:val="right" w:pos="426"/>
          <w:tab w:val="left" w:pos="851"/>
        </w:tabs>
        <w:spacing w:after="0" w:line="240" w:lineRule="auto"/>
        <w:jc w:val="both"/>
        <w:rPr>
          <w:rFonts w:eastAsia="Times New Roman" w:cs="Times New Roman"/>
          <w:b/>
          <w:snapToGrid w:val="0"/>
          <w:lang w:val="en-US"/>
        </w:rPr>
      </w:pPr>
      <w:r>
        <w:rPr>
          <w:rFonts w:eastAsia="Times New Roman" w:cs="Times New Roman"/>
          <w:b/>
          <w:snapToGrid w:val="0"/>
          <w:lang w:val="en-US"/>
        </w:rPr>
        <w:t xml:space="preserve">       </w:t>
      </w:r>
      <w:r>
        <w:rPr>
          <w:rFonts w:eastAsia="Times New Roman" w:cs="Times New Roman"/>
          <w:b/>
          <w:snapToGrid w:val="0"/>
          <w:lang w:val="en-US"/>
        </w:rPr>
        <w:tab/>
        <w:t xml:space="preserve">  </w:t>
      </w:r>
      <w:r w:rsidRPr="00E558DF">
        <w:rPr>
          <w:rFonts w:eastAsia="Times New Roman" w:cs="Times New Roman"/>
          <w:b/>
          <w:snapToGrid w:val="0"/>
          <w:lang w:val="en-US"/>
        </w:rPr>
        <w:t>Carl-Magnus Larsson</w:t>
      </w:r>
      <w:bookmarkStart w:id="0" w:name="_GoBack"/>
      <w:bookmarkEnd w:id="0"/>
    </w:p>
    <w:p w:rsidR="00E558DF" w:rsidRPr="00E558DF" w:rsidRDefault="00E558DF" w:rsidP="00E558DF">
      <w:pPr>
        <w:widowControl w:val="0"/>
        <w:tabs>
          <w:tab w:val="right" w:pos="284"/>
          <w:tab w:val="right" w:pos="426"/>
          <w:tab w:val="left" w:pos="851"/>
        </w:tabs>
        <w:spacing w:after="0" w:line="240" w:lineRule="auto"/>
        <w:ind w:left="567" w:hanging="141"/>
        <w:jc w:val="both"/>
        <w:rPr>
          <w:rFonts w:eastAsia="Times New Roman" w:cs="Times New Roman"/>
          <w:b/>
          <w:snapToGrid w:val="0"/>
          <w:lang w:val="en-US"/>
        </w:rPr>
      </w:pPr>
      <w:r w:rsidRPr="00E558DF">
        <w:rPr>
          <w:rFonts w:eastAsia="Times New Roman" w:cs="Times New Roman"/>
          <w:b/>
          <w:snapToGrid w:val="0"/>
          <w:lang w:val="en-US"/>
        </w:rPr>
        <w:t xml:space="preserve">CEO of ARPANSA </w:t>
      </w:r>
    </w:p>
    <w:p w:rsidR="00E558DF" w:rsidRPr="00E558DF" w:rsidRDefault="00E558DF" w:rsidP="00E558DF">
      <w:pPr>
        <w:widowControl w:val="0"/>
        <w:tabs>
          <w:tab w:val="right" w:pos="284"/>
          <w:tab w:val="right" w:pos="426"/>
          <w:tab w:val="left" w:pos="851"/>
        </w:tabs>
        <w:spacing w:after="0" w:line="240" w:lineRule="auto"/>
        <w:jc w:val="both"/>
        <w:rPr>
          <w:rFonts w:eastAsia="Times New Roman" w:cs="Times New Roman"/>
          <w:b/>
          <w:snapToGrid w:val="0"/>
          <w:lang w:val="en-US"/>
        </w:rPr>
      </w:pPr>
    </w:p>
    <w:p w:rsidR="00E558DF" w:rsidRPr="00E558DF" w:rsidRDefault="00E558DF" w:rsidP="00E558DF">
      <w:pPr>
        <w:widowControl w:val="0"/>
        <w:tabs>
          <w:tab w:val="right" w:pos="284"/>
          <w:tab w:val="right" w:pos="426"/>
          <w:tab w:val="left" w:pos="851"/>
        </w:tabs>
        <w:spacing w:after="0" w:line="240" w:lineRule="auto"/>
        <w:ind w:left="567" w:hanging="141"/>
        <w:jc w:val="both"/>
        <w:rPr>
          <w:rFonts w:eastAsia="Times New Roman" w:cs="Times New Roman"/>
          <w:snapToGrid w:val="0"/>
          <w:lang w:val="en-US"/>
        </w:rPr>
      </w:pPr>
      <w:r>
        <w:rPr>
          <w:rFonts w:eastAsia="Times New Roman" w:cs="Times New Roman"/>
          <w:snapToGrid w:val="0"/>
          <w:lang w:val="en-US"/>
        </w:rPr>
        <w:t>3</w:t>
      </w:r>
      <w:r w:rsidR="00F94EB1">
        <w:rPr>
          <w:rFonts w:eastAsia="Times New Roman" w:cs="Times New Roman"/>
          <w:snapToGrid w:val="0"/>
          <w:lang w:val="en-US"/>
        </w:rPr>
        <w:t>rd</w:t>
      </w:r>
      <w:r>
        <w:rPr>
          <w:rFonts w:eastAsia="Times New Roman" w:cs="Times New Roman"/>
          <w:snapToGrid w:val="0"/>
          <w:lang w:val="en-US"/>
        </w:rPr>
        <w:t xml:space="preserve"> January 2018</w:t>
      </w:r>
    </w:p>
    <w:p w:rsidR="00E558DF" w:rsidRDefault="00E558DF" w:rsidP="00424B97"/>
    <w:sectPr w:rsidR="00E558DF" w:rsidSect="008E4F6C">
      <w:headerReference w:type="first" r:id="rId9"/>
      <w:foot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54" w:rsidRPr="00317054" w:rsidRDefault="00317054" w:rsidP="00317054">
    <w:pPr>
      <w:tabs>
        <w:tab w:val="left" w:pos="3686"/>
        <w:tab w:val="right" w:pos="9498"/>
      </w:tabs>
      <w:spacing w:before="240" w:after="0" w:line="240" w:lineRule="auto"/>
      <w:rPr>
        <w:rFonts w:eastAsiaTheme="minorEastAsia"/>
        <w:color w:val="262626" w:themeColor="text1" w:themeTint="D9"/>
        <w:sz w:val="16"/>
        <w:szCs w:val="18"/>
        <w:lang w:eastAsia="en-AU"/>
      </w:rPr>
    </w:pPr>
    <w:r w:rsidRPr="00317054">
      <w:rPr>
        <w:rFonts w:eastAsiaTheme="minorEastAsia"/>
        <w:noProof/>
        <w:color w:val="262626" w:themeColor="text1" w:themeTint="D9"/>
        <w:sz w:val="12"/>
        <w:lang w:eastAsia="en-AU"/>
      </w:rPr>
      <w:drawing>
        <wp:anchor distT="0" distB="0" distL="114300" distR="114300" simplePos="0" relativeHeight="251659264" behindDoc="0" locked="0" layoutInCell="1" allowOverlap="1" wp14:anchorId="349A6D3E" wp14:editId="235DB0C7">
          <wp:simplePos x="0" y="0"/>
          <wp:positionH relativeFrom="column">
            <wp:posOffset>0</wp:posOffset>
          </wp:positionH>
          <wp:positionV relativeFrom="paragraph">
            <wp:posOffset>26035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317054">
      <w:rPr>
        <w:rFonts w:eastAsiaTheme="minorEastAsia"/>
        <w:color w:val="262626" w:themeColor="text1" w:themeTint="D9"/>
        <w:sz w:val="16"/>
        <w:lang w:eastAsia="en-AU"/>
      </w:rPr>
      <w:t>619 Lower Plenty Road, Yallambie VIC 3085</w:t>
    </w:r>
    <w:r w:rsidRPr="00317054">
      <w:rPr>
        <w:rFonts w:eastAsiaTheme="minorEastAsia"/>
        <w:color w:val="262626" w:themeColor="text1" w:themeTint="D9"/>
        <w:sz w:val="16"/>
        <w:lang w:eastAsia="en-AU"/>
      </w:rPr>
      <w:tab/>
      <w:t>38–40 Urunga Parade, Miranda NSW 2228</w:t>
    </w:r>
    <w:r w:rsidRPr="00317054">
      <w:rPr>
        <w:rFonts w:eastAsiaTheme="minorEastAsia"/>
        <w:color w:val="262626" w:themeColor="text1" w:themeTint="D9"/>
        <w:sz w:val="16"/>
        <w:lang w:eastAsia="en-AU"/>
      </w:rPr>
      <w:tab/>
      <w:t>info@arpansa.gov.au</w:t>
    </w:r>
    <w:r w:rsidRPr="00317054">
      <w:rPr>
        <w:rFonts w:eastAsiaTheme="minorEastAsia"/>
        <w:color w:val="262626" w:themeColor="text1" w:themeTint="D9"/>
        <w:sz w:val="16"/>
        <w:lang w:eastAsia="en-AU"/>
      </w:rPr>
      <w:br/>
    </w:r>
    <w:r w:rsidRPr="00317054">
      <w:rPr>
        <w:rFonts w:eastAsiaTheme="minorEastAsia"/>
        <w:color w:val="262626" w:themeColor="text1" w:themeTint="D9"/>
        <w:sz w:val="16"/>
        <w:szCs w:val="18"/>
        <w:lang w:eastAsia="en-AU"/>
      </w:rPr>
      <w:t>+61 3 9433 2211</w:t>
    </w:r>
    <w:r w:rsidRPr="00317054">
      <w:rPr>
        <w:rFonts w:eastAsiaTheme="minorEastAsia"/>
        <w:color w:val="262626" w:themeColor="text1" w:themeTint="D9"/>
        <w:sz w:val="16"/>
        <w:szCs w:val="18"/>
        <w:lang w:eastAsia="en-AU"/>
      </w:rPr>
      <w:tab/>
      <w:t>PO Box 655, Miranda 2228</w:t>
    </w:r>
    <w:r w:rsidRPr="00317054">
      <w:rPr>
        <w:rFonts w:eastAsiaTheme="minorEastAsia"/>
        <w:color w:val="262626" w:themeColor="text1" w:themeTint="D9"/>
        <w:sz w:val="16"/>
        <w:szCs w:val="18"/>
        <w:lang w:eastAsia="en-AU"/>
      </w:rPr>
      <w:tab/>
      <w:t>arpansa.gov.au</w:t>
    </w:r>
    <w:r w:rsidRPr="00317054">
      <w:rPr>
        <w:rFonts w:eastAsiaTheme="minorEastAsia"/>
        <w:color w:val="262626" w:themeColor="text1" w:themeTint="D9"/>
        <w:sz w:val="16"/>
        <w:szCs w:val="18"/>
        <w:lang w:eastAsia="en-AU"/>
      </w:rPr>
      <w:br/>
    </w:r>
    <w:r w:rsidRPr="00317054">
      <w:rPr>
        <w:rFonts w:eastAsiaTheme="minorEastAsia"/>
        <w:color w:val="262626" w:themeColor="text1" w:themeTint="D9"/>
        <w:sz w:val="16"/>
        <w:szCs w:val="18"/>
        <w:lang w:eastAsia="en-AU"/>
      </w:rPr>
      <w:tab/>
      <w:t>+61 2 9541 8333</w:t>
    </w:r>
  </w:p>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293B74"/>
    <w:rsid w:val="00317054"/>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E558DF"/>
    <w:rsid w:val="00F40885"/>
    <w:rsid w:val="00F94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070EB9"/>
  <w15:docId w15:val="{B034C784-1148-4FAF-98AE-D75118AF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1A88E-0B7B-40D1-9A36-3120C8D5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Narelle Archer</cp:lastModifiedBy>
  <cp:revision>7</cp:revision>
  <cp:lastPrinted>2013-06-24T01:35:00Z</cp:lastPrinted>
  <dcterms:created xsi:type="dcterms:W3CDTF">2017-12-19T22:46:00Z</dcterms:created>
  <dcterms:modified xsi:type="dcterms:W3CDTF">2018-01-02T23:41:00Z</dcterms:modified>
</cp:coreProperties>
</file>