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C4" w:rsidRPr="00527496" w:rsidRDefault="00A06CC4" w:rsidP="00A06CC4">
      <w:pPr>
        <w:ind w:right="-2"/>
        <w:outlineLvl w:val="4"/>
        <w:rPr>
          <w:b/>
          <w:bCs/>
          <w:color w:val="000000"/>
          <w:sz w:val="24"/>
          <w:szCs w:val="24"/>
          <w:lang w:eastAsia="en-AU"/>
        </w:rPr>
      </w:pPr>
    </w:p>
    <w:p w:rsidR="00A06CC4" w:rsidRPr="00527496" w:rsidRDefault="00A06CC4" w:rsidP="00A06CC4">
      <w:pPr>
        <w:ind w:right="-2"/>
        <w:outlineLvl w:val="4"/>
        <w:rPr>
          <w:b/>
          <w:bCs/>
          <w:color w:val="000000"/>
          <w:sz w:val="24"/>
          <w:szCs w:val="24"/>
          <w:lang w:eastAsia="en-AU"/>
        </w:rPr>
      </w:pPr>
    </w:p>
    <w:p w:rsidR="00A06CC4" w:rsidRPr="00527496" w:rsidRDefault="00A06CC4" w:rsidP="00A06CC4">
      <w:pPr>
        <w:ind w:right="-2"/>
        <w:outlineLvl w:val="4"/>
        <w:rPr>
          <w:b/>
          <w:bCs/>
          <w:color w:val="000000"/>
          <w:sz w:val="50"/>
          <w:szCs w:val="50"/>
          <w:lang w:eastAsia="en-AU"/>
        </w:rPr>
      </w:pPr>
      <w:bookmarkStart w:id="0" w:name="_GoBack"/>
      <w:r w:rsidRPr="00527496">
        <w:rPr>
          <w:noProof/>
          <w:color w:val="0000FF"/>
          <w:lang w:eastAsia="en-AU"/>
        </w:rPr>
        <w:drawing>
          <wp:inline distT="0" distB="0" distL="0" distR="0" wp14:anchorId="1155A0DB" wp14:editId="1D08B00D">
            <wp:extent cx="1854300" cy="1378363"/>
            <wp:effectExtent l="0" t="0" r="0" b="0"/>
            <wp:docPr id="4" name="irc_mi" descr="Image result for Australian government cre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ustralian government cre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432" cy="1380691"/>
                    </a:xfrm>
                    <a:prstGeom prst="rect">
                      <a:avLst/>
                    </a:prstGeom>
                    <a:noFill/>
                    <a:ln>
                      <a:noFill/>
                    </a:ln>
                  </pic:spPr>
                </pic:pic>
              </a:graphicData>
            </a:graphic>
          </wp:inline>
        </w:drawing>
      </w:r>
      <w:bookmarkEnd w:id="0"/>
    </w:p>
    <w:p w:rsidR="00A06CC4" w:rsidRPr="00527496" w:rsidRDefault="00A06CC4" w:rsidP="00A06CC4">
      <w:pPr>
        <w:ind w:right="-2"/>
        <w:outlineLvl w:val="4"/>
        <w:rPr>
          <w:b/>
          <w:bCs/>
          <w:color w:val="000000"/>
          <w:sz w:val="50"/>
          <w:szCs w:val="50"/>
          <w:lang w:eastAsia="en-AU"/>
        </w:rPr>
      </w:pPr>
    </w:p>
    <w:p w:rsidR="00216FC3" w:rsidRDefault="00A06CC4" w:rsidP="00A06CC4">
      <w:pPr>
        <w:ind w:right="-2"/>
        <w:jc w:val="left"/>
        <w:outlineLvl w:val="4"/>
        <w:rPr>
          <w:b/>
          <w:bCs/>
          <w:i/>
          <w:color w:val="000000"/>
          <w:sz w:val="50"/>
          <w:szCs w:val="50"/>
          <w:lang w:eastAsia="en-AU"/>
        </w:rPr>
      </w:pPr>
      <w:r w:rsidRPr="00527496">
        <w:rPr>
          <w:b/>
          <w:bCs/>
          <w:i/>
          <w:color w:val="000000"/>
          <w:sz w:val="50"/>
          <w:szCs w:val="50"/>
          <w:lang w:eastAsia="en-AU"/>
        </w:rPr>
        <w:t>Australian National</w:t>
      </w:r>
      <w:r>
        <w:rPr>
          <w:b/>
          <w:bCs/>
          <w:i/>
          <w:color w:val="000000"/>
          <w:sz w:val="50"/>
          <w:szCs w:val="50"/>
          <w:lang w:eastAsia="en-AU"/>
        </w:rPr>
        <w:t xml:space="preserve"> Audit Office Auditing Standards</w:t>
      </w:r>
    </w:p>
    <w:p w:rsidR="00216FC3" w:rsidRPr="007846E0" w:rsidRDefault="00216FC3" w:rsidP="00216FC3">
      <w:pPr>
        <w:ind w:right="-2"/>
        <w:outlineLvl w:val="4"/>
        <w:rPr>
          <w:bCs/>
          <w:color w:val="000000"/>
          <w:szCs w:val="22"/>
          <w:lang w:eastAsia="en-AU"/>
        </w:rPr>
      </w:pPr>
      <w:r w:rsidRPr="007846E0">
        <w:rPr>
          <w:bCs/>
          <w:color w:val="000000"/>
          <w:szCs w:val="22"/>
          <w:lang w:eastAsia="en-AU"/>
        </w:rPr>
        <w:t>I, Grant Hehir, Auditor-General, make the following instrument.</w:t>
      </w:r>
    </w:p>
    <w:p w:rsidR="00216FC3" w:rsidRPr="007846E0" w:rsidRDefault="00216FC3" w:rsidP="00216FC3">
      <w:pPr>
        <w:ind w:right="-2"/>
        <w:outlineLvl w:val="4"/>
        <w:rPr>
          <w:bCs/>
          <w:color w:val="000000"/>
          <w:szCs w:val="22"/>
          <w:lang w:eastAsia="en-AU"/>
        </w:rPr>
      </w:pPr>
    </w:p>
    <w:p w:rsidR="00216FC3" w:rsidRPr="00E408C5" w:rsidRDefault="00216FC3" w:rsidP="00216FC3">
      <w:pPr>
        <w:ind w:right="-2"/>
        <w:rPr>
          <w:color w:val="000000"/>
          <w:szCs w:val="22"/>
        </w:rPr>
      </w:pPr>
      <w:r w:rsidRPr="007846E0">
        <w:rPr>
          <w:bCs/>
          <w:color w:val="000000"/>
          <w:szCs w:val="22"/>
          <w:lang w:eastAsia="en-AU"/>
        </w:rPr>
        <w:t>Dated</w:t>
      </w:r>
      <w:r>
        <w:rPr>
          <w:bCs/>
          <w:color w:val="000000"/>
          <w:szCs w:val="22"/>
          <w:lang w:eastAsia="en-AU"/>
        </w:rPr>
        <w:t xml:space="preserve"> 28 </w:t>
      </w:r>
      <w:r>
        <w:rPr>
          <w:color w:val="000000"/>
          <w:szCs w:val="22"/>
        </w:rPr>
        <w:t>February 2018</w:t>
      </w:r>
    </w:p>
    <w:p w:rsidR="00216FC3" w:rsidRPr="007846E0" w:rsidRDefault="00216FC3" w:rsidP="00216FC3">
      <w:pPr>
        <w:ind w:right="-2"/>
        <w:outlineLvl w:val="4"/>
        <w:rPr>
          <w:bCs/>
          <w:color w:val="000000"/>
          <w:szCs w:val="22"/>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
          <w:bCs/>
          <w:color w:val="000000"/>
          <w:sz w:val="24"/>
          <w:szCs w:val="24"/>
          <w:lang w:eastAsia="en-AU"/>
        </w:rPr>
      </w:pPr>
    </w:p>
    <w:p w:rsidR="00216FC3" w:rsidRPr="00527496" w:rsidRDefault="00216FC3" w:rsidP="00216FC3">
      <w:pPr>
        <w:ind w:right="-2"/>
        <w:outlineLvl w:val="4"/>
        <w:rPr>
          <w:bCs/>
          <w:color w:val="000000"/>
          <w:lang w:eastAsia="en-AU"/>
        </w:rPr>
      </w:pPr>
    </w:p>
    <w:p w:rsidR="00216FC3" w:rsidRPr="00527496" w:rsidRDefault="00216FC3" w:rsidP="00216FC3">
      <w:pPr>
        <w:ind w:right="-2"/>
        <w:outlineLvl w:val="4"/>
        <w:rPr>
          <w:bCs/>
          <w:color w:val="000000"/>
          <w:lang w:eastAsia="en-AU"/>
        </w:rPr>
      </w:pPr>
    </w:p>
    <w:p w:rsidR="00216FC3" w:rsidRPr="00527496" w:rsidRDefault="00216FC3" w:rsidP="00216FC3">
      <w:pPr>
        <w:ind w:right="-2"/>
        <w:outlineLvl w:val="4"/>
        <w:rPr>
          <w:bCs/>
          <w:color w:val="000000"/>
          <w:lang w:eastAsia="en-AU"/>
        </w:rPr>
      </w:pPr>
    </w:p>
    <w:p w:rsidR="00216FC3" w:rsidRPr="00527496" w:rsidRDefault="00216FC3" w:rsidP="00216FC3">
      <w:pPr>
        <w:ind w:right="-2"/>
        <w:outlineLvl w:val="4"/>
        <w:rPr>
          <w:bCs/>
          <w:color w:val="000000"/>
          <w:lang w:eastAsia="en-AU"/>
        </w:rPr>
      </w:pPr>
    </w:p>
    <w:p w:rsidR="00216FC3" w:rsidRPr="00527496" w:rsidRDefault="00216FC3" w:rsidP="00216FC3">
      <w:pPr>
        <w:ind w:right="-2"/>
        <w:outlineLvl w:val="4"/>
        <w:rPr>
          <w:bCs/>
          <w:color w:val="000000"/>
          <w:lang w:eastAsia="en-AU"/>
        </w:rPr>
      </w:pPr>
    </w:p>
    <w:p w:rsidR="00216FC3" w:rsidRPr="00527496" w:rsidRDefault="00216FC3" w:rsidP="00216FC3">
      <w:pPr>
        <w:ind w:right="-2"/>
        <w:outlineLvl w:val="4"/>
        <w:rPr>
          <w:bCs/>
          <w:color w:val="000000"/>
          <w:lang w:eastAsia="en-AU"/>
        </w:rPr>
      </w:pPr>
    </w:p>
    <w:p w:rsidR="00216FC3" w:rsidRPr="00527496" w:rsidRDefault="00216FC3" w:rsidP="00216FC3">
      <w:pPr>
        <w:ind w:right="-2"/>
        <w:outlineLvl w:val="4"/>
        <w:rPr>
          <w:bCs/>
          <w:color w:val="000000"/>
          <w:lang w:eastAsia="en-AU"/>
        </w:rPr>
      </w:pPr>
    </w:p>
    <w:p w:rsidR="00216FC3" w:rsidRPr="00527496" w:rsidRDefault="00216FC3" w:rsidP="00216FC3">
      <w:pPr>
        <w:ind w:right="-2"/>
        <w:outlineLvl w:val="4"/>
        <w:rPr>
          <w:bCs/>
          <w:color w:val="000000"/>
          <w:lang w:eastAsia="en-AU"/>
        </w:rPr>
      </w:pPr>
      <w:r w:rsidRPr="00527496">
        <w:rPr>
          <w:bCs/>
          <w:color w:val="000000"/>
          <w:lang w:eastAsia="en-AU"/>
        </w:rPr>
        <w:t>Grant Hehir</w:t>
      </w:r>
    </w:p>
    <w:p w:rsidR="00216FC3" w:rsidRPr="00527496" w:rsidRDefault="00216FC3" w:rsidP="00216FC3">
      <w:pPr>
        <w:ind w:right="-2"/>
        <w:outlineLvl w:val="4"/>
        <w:rPr>
          <w:b/>
          <w:bCs/>
          <w:color w:val="000000"/>
          <w:lang w:eastAsia="en-AU"/>
        </w:rPr>
      </w:pPr>
      <w:r w:rsidRPr="00527496">
        <w:rPr>
          <w:b/>
          <w:bCs/>
          <w:color w:val="000000"/>
          <w:lang w:eastAsia="en-AU"/>
        </w:rPr>
        <w:t>Auditor-General</w:t>
      </w:r>
    </w:p>
    <w:p w:rsidR="00216FC3" w:rsidRPr="00527496" w:rsidRDefault="00216FC3" w:rsidP="00216FC3">
      <w:pPr>
        <w:overflowPunct/>
        <w:autoSpaceDE/>
        <w:autoSpaceDN/>
        <w:adjustRightInd/>
        <w:spacing w:after="200" w:line="276" w:lineRule="auto"/>
        <w:jc w:val="left"/>
        <w:textAlignment w:val="auto"/>
        <w:rPr>
          <w:b/>
          <w:bCs/>
          <w:color w:val="0000FF"/>
          <w:sz w:val="26"/>
          <w:szCs w:val="26"/>
        </w:rPr>
      </w:pPr>
      <w:r w:rsidRPr="00527496">
        <w:rPr>
          <w:b/>
          <w:bCs/>
          <w:color w:val="0000FF"/>
          <w:sz w:val="26"/>
          <w:szCs w:val="26"/>
        </w:rPr>
        <w:br w:type="page"/>
      </w:r>
    </w:p>
    <w:p w:rsidR="00216FC3" w:rsidRPr="007846E0" w:rsidRDefault="00216FC3" w:rsidP="00216FC3">
      <w:pPr>
        <w:rPr>
          <w:rFonts w:ascii="Times Roman" w:eastAsia="Calibri" w:hAnsi="Times Roman"/>
          <w:b/>
          <w:color w:val="000000"/>
          <w:szCs w:val="22"/>
        </w:rPr>
      </w:pPr>
      <w:r w:rsidRPr="007846E0">
        <w:rPr>
          <w:rFonts w:ascii="Times Roman" w:eastAsia="Calibri" w:hAnsi="Times Roman"/>
          <w:b/>
          <w:color w:val="000000"/>
          <w:szCs w:val="22"/>
        </w:rPr>
        <w:lastRenderedPageBreak/>
        <w:t>Name</w:t>
      </w:r>
    </w:p>
    <w:p w:rsidR="00216FC3" w:rsidRPr="007846E0" w:rsidRDefault="00216FC3" w:rsidP="00216FC3">
      <w:pPr>
        <w:rPr>
          <w:rFonts w:ascii="Times Roman" w:eastAsia="Calibri" w:hAnsi="Times Roman"/>
          <w:b/>
          <w:color w:val="000000"/>
          <w:szCs w:val="22"/>
        </w:rPr>
      </w:pPr>
    </w:p>
    <w:p w:rsidR="00216FC3" w:rsidRPr="007846E0" w:rsidRDefault="00216FC3" w:rsidP="00216FC3">
      <w:pPr>
        <w:pStyle w:val="ListParagraph"/>
        <w:numPr>
          <w:ilvl w:val="0"/>
          <w:numId w:val="2"/>
        </w:numPr>
        <w:rPr>
          <w:rFonts w:ascii="Times Roman" w:hAnsi="Times Roman"/>
          <w:color w:val="000000"/>
        </w:rPr>
      </w:pPr>
      <w:r w:rsidRPr="007846E0">
        <w:rPr>
          <w:rFonts w:ascii="Times Roman" w:hAnsi="Times Roman"/>
          <w:color w:val="000000"/>
        </w:rPr>
        <w:t xml:space="preserve">This instrument is the </w:t>
      </w:r>
      <w:r w:rsidRPr="007846E0">
        <w:rPr>
          <w:rFonts w:ascii="Times Roman" w:hAnsi="Times Roman"/>
          <w:i/>
          <w:color w:val="000000"/>
        </w:rPr>
        <w:t>Australian National Audit Office Auditing Standards</w:t>
      </w:r>
      <w:r w:rsidRPr="007846E0">
        <w:rPr>
          <w:rFonts w:ascii="Times Roman" w:hAnsi="Times Roman"/>
          <w:color w:val="000000"/>
        </w:rPr>
        <w:t>.</w:t>
      </w:r>
    </w:p>
    <w:p w:rsidR="00216FC3" w:rsidRPr="007846E0" w:rsidRDefault="00216FC3" w:rsidP="00216FC3">
      <w:pPr>
        <w:rPr>
          <w:rFonts w:ascii="Times Roman" w:hAnsi="Times Roman"/>
          <w:color w:val="000000"/>
          <w:szCs w:val="22"/>
        </w:rPr>
      </w:pPr>
    </w:p>
    <w:p w:rsidR="00216FC3" w:rsidRPr="007846E0" w:rsidRDefault="00216FC3" w:rsidP="00216FC3">
      <w:pPr>
        <w:rPr>
          <w:rFonts w:ascii="Times Roman" w:eastAsia="Calibri" w:hAnsi="Times Roman"/>
          <w:b/>
          <w:color w:val="000000"/>
          <w:szCs w:val="22"/>
        </w:rPr>
      </w:pPr>
      <w:r w:rsidRPr="007846E0">
        <w:rPr>
          <w:rFonts w:ascii="Times Roman" w:eastAsia="Calibri" w:hAnsi="Times Roman"/>
          <w:b/>
          <w:color w:val="000000"/>
          <w:szCs w:val="22"/>
        </w:rPr>
        <w:t xml:space="preserve">Commencement </w:t>
      </w:r>
    </w:p>
    <w:p w:rsidR="00216FC3" w:rsidRPr="007846E0" w:rsidRDefault="00216FC3" w:rsidP="00216FC3">
      <w:pPr>
        <w:rPr>
          <w:rFonts w:ascii="Times Roman" w:eastAsia="Calibri" w:hAnsi="Times Roman"/>
          <w:b/>
          <w:color w:val="000000"/>
          <w:szCs w:val="22"/>
        </w:rPr>
      </w:pPr>
    </w:p>
    <w:p w:rsidR="00216FC3" w:rsidRPr="007846E0" w:rsidRDefault="00216FC3" w:rsidP="00216FC3">
      <w:pPr>
        <w:pStyle w:val="ListParagraph"/>
        <w:numPr>
          <w:ilvl w:val="0"/>
          <w:numId w:val="2"/>
        </w:numPr>
        <w:rPr>
          <w:rFonts w:ascii="Times Roman" w:hAnsi="Times Roman"/>
          <w:color w:val="000000"/>
        </w:rPr>
      </w:pPr>
      <w:r w:rsidRPr="007846E0">
        <w:rPr>
          <w:rFonts w:ascii="Times Roman" w:hAnsi="Times Roman"/>
          <w:color w:val="000000"/>
        </w:rPr>
        <w:t>This instrument commences as follows:</w:t>
      </w:r>
    </w:p>
    <w:p w:rsidR="00216FC3" w:rsidRPr="007846E0" w:rsidRDefault="00216FC3" w:rsidP="00216FC3">
      <w:pPr>
        <w:rPr>
          <w:rFonts w:ascii="Times Roman" w:eastAsia="Calibri" w:hAnsi="Times Roman"/>
          <w:b/>
          <w:color w:val="000000"/>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529"/>
        <w:gridCol w:w="2529"/>
        <w:gridCol w:w="2529"/>
      </w:tblGrid>
      <w:tr w:rsidR="00216FC3" w:rsidRPr="00A40D8A" w:rsidTr="00741A93">
        <w:tc>
          <w:tcPr>
            <w:tcW w:w="7587" w:type="dxa"/>
            <w:gridSpan w:val="3"/>
            <w:tcBorders>
              <w:bottom w:val="single" w:sz="4" w:space="0" w:color="auto"/>
            </w:tcBorders>
          </w:tcPr>
          <w:p w:rsidR="00216FC3" w:rsidRPr="007846E0" w:rsidRDefault="00216FC3" w:rsidP="00741A93">
            <w:pPr>
              <w:rPr>
                <w:rFonts w:ascii="Times Roman" w:hAnsi="Times Roman"/>
                <w:b/>
                <w:color w:val="000000"/>
                <w:szCs w:val="22"/>
              </w:rPr>
            </w:pPr>
            <w:r w:rsidRPr="007846E0">
              <w:rPr>
                <w:rFonts w:ascii="Times Roman" w:hAnsi="Times Roman"/>
                <w:b/>
                <w:color w:val="000000"/>
                <w:szCs w:val="22"/>
              </w:rPr>
              <w:t>Commencement information</w:t>
            </w:r>
          </w:p>
        </w:tc>
      </w:tr>
      <w:tr w:rsidR="00216FC3" w:rsidRPr="00A40D8A" w:rsidTr="00741A93">
        <w:tc>
          <w:tcPr>
            <w:tcW w:w="2529" w:type="dxa"/>
            <w:tcBorders>
              <w:bottom w:val="single" w:sz="4" w:space="0" w:color="auto"/>
              <w:right w:val="nil"/>
            </w:tcBorders>
          </w:tcPr>
          <w:p w:rsidR="00216FC3" w:rsidRPr="007846E0" w:rsidRDefault="00216FC3" w:rsidP="00741A93">
            <w:pPr>
              <w:rPr>
                <w:rFonts w:ascii="Times Roman" w:hAnsi="Times Roman"/>
                <w:color w:val="000000"/>
                <w:szCs w:val="22"/>
              </w:rPr>
            </w:pPr>
            <w:r w:rsidRPr="007846E0">
              <w:rPr>
                <w:rFonts w:ascii="Times Roman" w:hAnsi="Times Roman"/>
                <w:color w:val="000000"/>
                <w:szCs w:val="22"/>
              </w:rPr>
              <w:t>Column 1</w:t>
            </w:r>
          </w:p>
        </w:tc>
        <w:tc>
          <w:tcPr>
            <w:tcW w:w="2529" w:type="dxa"/>
            <w:tcBorders>
              <w:left w:val="nil"/>
              <w:bottom w:val="single" w:sz="4" w:space="0" w:color="auto"/>
              <w:right w:val="nil"/>
            </w:tcBorders>
          </w:tcPr>
          <w:p w:rsidR="00216FC3" w:rsidRPr="007846E0" w:rsidRDefault="00216FC3" w:rsidP="00741A93">
            <w:pPr>
              <w:rPr>
                <w:rFonts w:ascii="Times Roman" w:hAnsi="Times Roman"/>
                <w:color w:val="000000"/>
                <w:szCs w:val="22"/>
              </w:rPr>
            </w:pPr>
            <w:r w:rsidRPr="007846E0">
              <w:rPr>
                <w:rFonts w:ascii="Times Roman" w:hAnsi="Times Roman"/>
                <w:color w:val="000000"/>
                <w:szCs w:val="22"/>
              </w:rPr>
              <w:t>Column 2</w:t>
            </w:r>
          </w:p>
        </w:tc>
        <w:tc>
          <w:tcPr>
            <w:tcW w:w="2529" w:type="dxa"/>
            <w:tcBorders>
              <w:left w:val="nil"/>
              <w:bottom w:val="single" w:sz="4" w:space="0" w:color="auto"/>
            </w:tcBorders>
          </w:tcPr>
          <w:p w:rsidR="00216FC3" w:rsidRPr="007846E0" w:rsidRDefault="00216FC3" w:rsidP="00741A93">
            <w:pPr>
              <w:rPr>
                <w:rFonts w:ascii="Times Roman" w:hAnsi="Times Roman"/>
                <w:color w:val="000000"/>
                <w:szCs w:val="22"/>
              </w:rPr>
            </w:pPr>
            <w:r w:rsidRPr="007846E0">
              <w:rPr>
                <w:rFonts w:ascii="Times Roman" w:hAnsi="Times Roman"/>
                <w:color w:val="000000"/>
                <w:szCs w:val="22"/>
              </w:rPr>
              <w:t>Column 3</w:t>
            </w:r>
          </w:p>
        </w:tc>
      </w:tr>
      <w:tr w:rsidR="00216FC3" w:rsidRPr="00A40D8A" w:rsidTr="00741A93">
        <w:tc>
          <w:tcPr>
            <w:tcW w:w="2529" w:type="dxa"/>
            <w:tcBorders>
              <w:top w:val="single" w:sz="4" w:space="0" w:color="auto"/>
              <w:bottom w:val="single" w:sz="4" w:space="0" w:color="auto"/>
              <w:right w:val="nil"/>
            </w:tcBorders>
          </w:tcPr>
          <w:p w:rsidR="00216FC3" w:rsidRPr="007846E0" w:rsidRDefault="00216FC3" w:rsidP="00741A93">
            <w:pPr>
              <w:rPr>
                <w:rFonts w:ascii="Times Roman" w:hAnsi="Times Roman"/>
                <w:color w:val="000000"/>
                <w:szCs w:val="22"/>
              </w:rPr>
            </w:pPr>
            <w:r w:rsidRPr="007846E0">
              <w:rPr>
                <w:rFonts w:ascii="Times Roman" w:hAnsi="Times Roman"/>
                <w:color w:val="000000"/>
                <w:szCs w:val="22"/>
              </w:rPr>
              <w:t>Provisions</w:t>
            </w:r>
          </w:p>
        </w:tc>
        <w:tc>
          <w:tcPr>
            <w:tcW w:w="2529" w:type="dxa"/>
            <w:tcBorders>
              <w:top w:val="single" w:sz="4" w:space="0" w:color="auto"/>
              <w:left w:val="nil"/>
              <w:bottom w:val="single" w:sz="4" w:space="0" w:color="auto"/>
              <w:right w:val="nil"/>
            </w:tcBorders>
          </w:tcPr>
          <w:p w:rsidR="00216FC3" w:rsidRPr="007846E0" w:rsidRDefault="00216FC3" w:rsidP="00741A93">
            <w:pPr>
              <w:rPr>
                <w:rFonts w:ascii="Times Roman" w:hAnsi="Times Roman"/>
                <w:color w:val="000000"/>
                <w:szCs w:val="22"/>
              </w:rPr>
            </w:pPr>
            <w:r w:rsidRPr="007846E0">
              <w:rPr>
                <w:rFonts w:ascii="Times Roman" w:hAnsi="Times Roman"/>
                <w:color w:val="000000"/>
                <w:szCs w:val="22"/>
              </w:rPr>
              <w:t>Commencement</w:t>
            </w:r>
          </w:p>
        </w:tc>
        <w:tc>
          <w:tcPr>
            <w:tcW w:w="2529" w:type="dxa"/>
            <w:tcBorders>
              <w:top w:val="single" w:sz="4" w:space="0" w:color="auto"/>
              <w:left w:val="nil"/>
              <w:bottom w:val="single" w:sz="4" w:space="0" w:color="auto"/>
            </w:tcBorders>
          </w:tcPr>
          <w:p w:rsidR="00216FC3" w:rsidRPr="007846E0" w:rsidRDefault="00216FC3" w:rsidP="00741A93">
            <w:pPr>
              <w:rPr>
                <w:rFonts w:ascii="Times Roman" w:hAnsi="Times Roman"/>
                <w:color w:val="000000"/>
                <w:szCs w:val="22"/>
              </w:rPr>
            </w:pPr>
            <w:r w:rsidRPr="007846E0">
              <w:rPr>
                <w:rFonts w:ascii="Times Roman" w:hAnsi="Times Roman"/>
                <w:color w:val="000000"/>
                <w:szCs w:val="22"/>
              </w:rPr>
              <w:t>Date/ Details</w:t>
            </w:r>
          </w:p>
        </w:tc>
      </w:tr>
      <w:tr w:rsidR="00216FC3" w:rsidRPr="00A40D8A" w:rsidTr="00741A93">
        <w:tc>
          <w:tcPr>
            <w:tcW w:w="2529" w:type="dxa"/>
            <w:tcBorders>
              <w:top w:val="single" w:sz="4" w:space="0" w:color="auto"/>
              <w:right w:val="nil"/>
            </w:tcBorders>
          </w:tcPr>
          <w:p w:rsidR="00216FC3" w:rsidRPr="007846E0" w:rsidRDefault="00216FC3" w:rsidP="00741A93">
            <w:pPr>
              <w:rPr>
                <w:rFonts w:ascii="Times Roman" w:eastAsia="Calibri" w:hAnsi="Times Roman"/>
                <w:color w:val="000000"/>
                <w:szCs w:val="22"/>
              </w:rPr>
            </w:pPr>
            <w:r w:rsidRPr="007846E0">
              <w:rPr>
                <w:rFonts w:ascii="Times Roman" w:hAnsi="Times Roman"/>
                <w:color w:val="000000"/>
                <w:szCs w:val="22"/>
              </w:rPr>
              <w:t>The whole of this instrument</w:t>
            </w:r>
          </w:p>
        </w:tc>
        <w:tc>
          <w:tcPr>
            <w:tcW w:w="2529" w:type="dxa"/>
            <w:tcBorders>
              <w:top w:val="single" w:sz="4" w:space="0" w:color="auto"/>
              <w:left w:val="nil"/>
              <w:right w:val="nil"/>
            </w:tcBorders>
          </w:tcPr>
          <w:p w:rsidR="00216FC3" w:rsidRPr="007846E0" w:rsidRDefault="00216FC3" w:rsidP="00741A93">
            <w:pPr>
              <w:rPr>
                <w:rFonts w:ascii="Times Roman" w:hAnsi="Times Roman"/>
                <w:color w:val="000000"/>
                <w:szCs w:val="22"/>
              </w:rPr>
            </w:pPr>
            <w:r>
              <w:rPr>
                <w:rFonts w:ascii="Times Roman" w:hAnsi="Times Roman"/>
                <w:color w:val="000000"/>
                <w:szCs w:val="22"/>
              </w:rPr>
              <w:t>Date of registration</w:t>
            </w:r>
          </w:p>
        </w:tc>
        <w:tc>
          <w:tcPr>
            <w:tcW w:w="2529" w:type="dxa"/>
            <w:tcBorders>
              <w:top w:val="single" w:sz="4" w:space="0" w:color="auto"/>
              <w:left w:val="nil"/>
            </w:tcBorders>
          </w:tcPr>
          <w:p w:rsidR="00216FC3" w:rsidRPr="007846E0" w:rsidRDefault="00216FC3" w:rsidP="00741A93">
            <w:pPr>
              <w:rPr>
                <w:rFonts w:ascii="Times Roman" w:hAnsi="Times Roman"/>
                <w:color w:val="000000"/>
                <w:szCs w:val="22"/>
              </w:rPr>
            </w:pPr>
          </w:p>
        </w:tc>
      </w:tr>
    </w:tbl>
    <w:p w:rsidR="00216FC3" w:rsidRPr="007846E0" w:rsidRDefault="00216FC3" w:rsidP="00216FC3">
      <w:pPr>
        <w:rPr>
          <w:rFonts w:ascii="Times Roman" w:hAnsi="Times Roman"/>
          <w:color w:val="000000"/>
          <w:szCs w:val="22"/>
        </w:rPr>
      </w:pPr>
    </w:p>
    <w:p w:rsidR="00216FC3" w:rsidRPr="007846E0" w:rsidRDefault="00216FC3" w:rsidP="00216FC3">
      <w:pPr>
        <w:rPr>
          <w:rFonts w:ascii="Times Roman" w:hAnsi="Times Roman"/>
          <w:color w:val="000000"/>
          <w:szCs w:val="22"/>
        </w:rPr>
      </w:pPr>
    </w:p>
    <w:p w:rsidR="00216FC3" w:rsidRPr="007846E0" w:rsidRDefault="00216FC3" w:rsidP="00216FC3">
      <w:pPr>
        <w:ind w:left="426" w:hanging="426"/>
        <w:rPr>
          <w:rFonts w:ascii="Times Roman" w:eastAsia="Calibri" w:hAnsi="Times Roman"/>
          <w:b/>
          <w:color w:val="000000"/>
          <w:szCs w:val="22"/>
        </w:rPr>
      </w:pPr>
      <w:r w:rsidRPr="007846E0">
        <w:rPr>
          <w:rFonts w:ascii="Times Roman" w:eastAsia="Calibri" w:hAnsi="Times Roman"/>
          <w:b/>
          <w:color w:val="000000"/>
          <w:szCs w:val="22"/>
        </w:rPr>
        <w:t>Authority</w:t>
      </w:r>
    </w:p>
    <w:p w:rsidR="00216FC3" w:rsidRPr="007846E0" w:rsidRDefault="00216FC3" w:rsidP="00216FC3">
      <w:pPr>
        <w:ind w:left="426" w:hanging="426"/>
        <w:rPr>
          <w:rFonts w:ascii="Times Roman" w:eastAsia="Calibri" w:hAnsi="Times Roman"/>
          <w:b/>
          <w:color w:val="000000"/>
          <w:szCs w:val="22"/>
        </w:rPr>
      </w:pPr>
    </w:p>
    <w:p w:rsidR="00216FC3" w:rsidRPr="007846E0" w:rsidRDefault="00216FC3" w:rsidP="00216FC3">
      <w:pPr>
        <w:pStyle w:val="ListParagraph"/>
        <w:numPr>
          <w:ilvl w:val="0"/>
          <w:numId w:val="2"/>
        </w:numPr>
        <w:rPr>
          <w:rFonts w:ascii="Times Roman" w:hAnsi="Times Roman"/>
          <w:color w:val="000000"/>
        </w:rPr>
      </w:pPr>
      <w:r w:rsidRPr="007846E0">
        <w:rPr>
          <w:rFonts w:ascii="Times Roman" w:eastAsia="Times New Roman" w:hAnsi="Times Roman"/>
          <w:color w:val="000000"/>
        </w:rPr>
        <w:t xml:space="preserve">As required by section 24 of the </w:t>
      </w:r>
      <w:r w:rsidRPr="007846E0">
        <w:rPr>
          <w:rFonts w:ascii="Times Roman" w:eastAsia="Times New Roman" w:hAnsi="Times Roman"/>
          <w:i/>
          <w:color w:val="000000"/>
        </w:rPr>
        <w:t>Auditor-General Act 1997</w:t>
      </w:r>
      <w:r w:rsidRPr="007846E0">
        <w:rPr>
          <w:rFonts w:ascii="Times Roman" w:eastAsia="Times New Roman" w:hAnsi="Times Roman"/>
          <w:color w:val="000000"/>
        </w:rPr>
        <w:t xml:space="preserve"> (the Act), I hereby set auditing standards that are to be complied with by persons performing any of the following functions:</w:t>
      </w:r>
    </w:p>
    <w:p w:rsidR="00216FC3" w:rsidRPr="007846E0" w:rsidRDefault="00216FC3" w:rsidP="00216FC3">
      <w:pPr>
        <w:ind w:left="709" w:hanging="709"/>
        <w:rPr>
          <w:rFonts w:ascii="Times Roman" w:hAnsi="Times Roman"/>
          <w:color w:val="000000"/>
          <w:szCs w:val="22"/>
        </w:rPr>
      </w:pPr>
      <w:r w:rsidRPr="007846E0">
        <w:rPr>
          <w:rFonts w:ascii="Times Roman" w:hAnsi="Times Roman"/>
          <w:color w:val="000000"/>
          <w:szCs w:val="22"/>
        </w:rPr>
        <w:t>(a)</w:t>
      </w:r>
      <w:r w:rsidRPr="007846E0">
        <w:rPr>
          <w:rFonts w:ascii="Times Roman" w:hAnsi="Times Roman"/>
          <w:color w:val="000000"/>
          <w:szCs w:val="22"/>
        </w:rPr>
        <w:tab/>
      </w:r>
      <w:proofErr w:type="gramStart"/>
      <w:r w:rsidRPr="007846E0">
        <w:rPr>
          <w:rFonts w:ascii="Times Roman" w:hAnsi="Times Roman"/>
          <w:color w:val="000000"/>
          <w:szCs w:val="22"/>
        </w:rPr>
        <w:t>an</w:t>
      </w:r>
      <w:proofErr w:type="gramEnd"/>
      <w:r w:rsidRPr="007846E0">
        <w:rPr>
          <w:rFonts w:ascii="Times Roman" w:hAnsi="Times Roman"/>
          <w:color w:val="000000"/>
          <w:szCs w:val="22"/>
        </w:rPr>
        <w:t xml:space="preserve"> audit or review referred to in Division 1 (Annual financial statement audits); Division 1A (Annual performance statement audits); Division 2 (Performance audits) or Division 2A (Assurance reviews) of Part 4 of the Act;</w:t>
      </w:r>
    </w:p>
    <w:p w:rsidR="00216FC3" w:rsidRPr="007846E0" w:rsidRDefault="00216FC3" w:rsidP="00216FC3">
      <w:pPr>
        <w:pStyle w:val="ListParagraph"/>
        <w:autoSpaceDE w:val="0"/>
        <w:autoSpaceDN w:val="0"/>
        <w:adjustRightInd w:val="0"/>
        <w:spacing w:after="0" w:line="240" w:lineRule="auto"/>
        <w:ind w:left="714"/>
        <w:contextualSpacing w:val="0"/>
        <w:jc w:val="both"/>
        <w:rPr>
          <w:rFonts w:ascii="Times Roman" w:hAnsi="Times Roman"/>
          <w:color w:val="000000"/>
        </w:rPr>
      </w:pPr>
    </w:p>
    <w:p w:rsidR="00216FC3" w:rsidRPr="007846E0" w:rsidRDefault="00216FC3" w:rsidP="00216FC3">
      <w:pPr>
        <w:ind w:left="720" w:hanging="720"/>
        <w:rPr>
          <w:rFonts w:ascii="Times Roman" w:hAnsi="Times Roman"/>
          <w:color w:val="000000"/>
          <w:szCs w:val="22"/>
        </w:rPr>
      </w:pPr>
      <w:r w:rsidRPr="007846E0">
        <w:rPr>
          <w:rFonts w:ascii="Times Roman" w:hAnsi="Times Roman"/>
          <w:color w:val="000000"/>
          <w:szCs w:val="22"/>
        </w:rPr>
        <w:t>(b)</w:t>
      </w:r>
      <w:r w:rsidRPr="007846E0">
        <w:rPr>
          <w:rFonts w:ascii="Times Roman" w:hAnsi="Times Roman"/>
          <w:color w:val="000000"/>
          <w:szCs w:val="22"/>
        </w:rPr>
        <w:tab/>
      </w:r>
      <w:proofErr w:type="gramStart"/>
      <w:r w:rsidRPr="007846E0">
        <w:rPr>
          <w:rFonts w:ascii="Times Roman" w:hAnsi="Times Roman"/>
          <w:color w:val="000000"/>
          <w:szCs w:val="22"/>
        </w:rPr>
        <w:t>an</w:t>
      </w:r>
      <w:proofErr w:type="gramEnd"/>
      <w:r w:rsidRPr="007846E0">
        <w:rPr>
          <w:rFonts w:ascii="Times Roman" w:hAnsi="Times Roman"/>
          <w:color w:val="000000"/>
          <w:szCs w:val="22"/>
        </w:rPr>
        <w:t xml:space="preserve"> audit under Division 2 of Part 7 of the Act (Audit of the Australian National Audit Office); and</w:t>
      </w:r>
    </w:p>
    <w:p w:rsidR="00216FC3" w:rsidRPr="007846E0" w:rsidRDefault="00216FC3" w:rsidP="00216FC3">
      <w:pPr>
        <w:ind w:left="720" w:hanging="720"/>
        <w:rPr>
          <w:rFonts w:ascii="Times Roman" w:hAnsi="Times Roman"/>
          <w:color w:val="000000"/>
          <w:szCs w:val="22"/>
        </w:rPr>
      </w:pPr>
    </w:p>
    <w:p w:rsidR="00216FC3" w:rsidRPr="007846E0" w:rsidRDefault="00216FC3" w:rsidP="00216FC3">
      <w:pPr>
        <w:ind w:left="720" w:hanging="720"/>
        <w:rPr>
          <w:rFonts w:ascii="Times Roman" w:hAnsi="Times Roman"/>
          <w:color w:val="000000"/>
          <w:szCs w:val="22"/>
        </w:rPr>
      </w:pPr>
      <w:r w:rsidRPr="007846E0">
        <w:rPr>
          <w:rFonts w:ascii="Times Roman" w:hAnsi="Times Roman"/>
          <w:color w:val="000000"/>
          <w:szCs w:val="22"/>
        </w:rPr>
        <w:t>(c)</w:t>
      </w:r>
      <w:r w:rsidRPr="007846E0">
        <w:rPr>
          <w:rFonts w:ascii="Times Roman" w:hAnsi="Times Roman"/>
          <w:color w:val="000000"/>
          <w:szCs w:val="22"/>
        </w:rPr>
        <w:tab/>
      </w:r>
      <w:proofErr w:type="gramStart"/>
      <w:r w:rsidRPr="007846E0">
        <w:rPr>
          <w:rFonts w:ascii="Times Roman" w:hAnsi="Times Roman"/>
          <w:color w:val="000000"/>
          <w:szCs w:val="22"/>
        </w:rPr>
        <w:t>an</w:t>
      </w:r>
      <w:proofErr w:type="gramEnd"/>
      <w:r w:rsidRPr="007846E0">
        <w:rPr>
          <w:rFonts w:ascii="Times Roman" w:hAnsi="Times Roman"/>
          <w:color w:val="000000"/>
          <w:szCs w:val="22"/>
        </w:rPr>
        <w:t xml:space="preserve"> audit under section 49 of the </w:t>
      </w:r>
      <w:r w:rsidRPr="007846E0">
        <w:rPr>
          <w:rFonts w:ascii="Times Roman" w:hAnsi="Times Roman"/>
          <w:i/>
          <w:color w:val="000000"/>
          <w:szCs w:val="22"/>
        </w:rPr>
        <w:t xml:space="preserve">Public Governance, Performance and Accountability Act 2013 </w:t>
      </w:r>
      <w:r w:rsidRPr="007846E0">
        <w:rPr>
          <w:rFonts w:ascii="Times Roman" w:hAnsi="Times Roman"/>
          <w:color w:val="000000"/>
          <w:szCs w:val="22"/>
        </w:rPr>
        <w:t xml:space="preserve">(audit of the </w:t>
      </w:r>
      <w:r w:rsidRPr="007846E0">
        <w:rPr>
          <w:rFonts w:ascii="Times Roman" w:hAnsi="Times Roman"/>
          <w:szCs w:val="22"/>
        </w:rPr>
        <w:t>annual consolidated financial statements of the Australian Government).</w:t>
      </w:r>
    </w:p>
    <w:p w:rsidR="00216FC3" w:rsidRPr="007846E0" w:rsidRDefault="00216FC3" w:rsidP="00216FC3">
      <w:pPr>
        <w:rPr>
          <w:rFonts w:ascii="Times Roman" w:hAnsi="Times Roman"/>
          <w:color w:val="000000"/>
          <w:szCs w:val="22"/>
        </w:rPr>
      </w:pPr>
    </w:p>
    <w:p w:rsidR="00216FC3" w:rsidRPr="007846E0" w:rsidRDefault="00216FC3" w:rsidP="00216FC3">
      <w:pPr>
        <w:ind w:left="426" w:hanging="426"/>
        <w:rPr>
          <w:rFonts w:ascii="Times Roman" w:eastAsia="Calibri" w:hAnsi="Times Roman"/>
          <w:b/>
          <w:color w:val="000000"/>
          <w:szCs w:val="22"/>
        </w:rPr>
      </w:pPr>
      <w:r w:rsidRPr="007846E0">
        <w:rPr>
          <w:rFonts w:ascii="Times Roman" w:eastAsia="Calibri" w:hAnsi="Times Roman"/>
          <w:b/>
          <w:color w:val="000000"/>
          <w:szCs w:val="22"/>
        </w:rPr>
        <w:t>Auditing Standards</w:t>
      </w:r>
      <w:r w:rsidRPr="007846E0">
        <w:rPr>
          <w:rFonts w:ascii="Times Roman" w:eastAsia="Calibri" w:hAnsi="Times Roman"/>
          <w:b/>
          <w:color w:val="000000"/>
          <w:szCs w:val="22"/>
        </w:rPr>
        <w:tab/>
      </w:r>
    </w:p>
    <w:p w:rsidR="00216FC3" w:rsidRPr="007846E0" w:rsidRDefault="00216FC3" w:rsidP="00216FC3">
      <w:pPr>
        <w:rPr>
          <w:rFonts w:ascii="Times Roman" w:hAnsi="Times Roman"/>
          <w:color w:val="000000"/>
          <w:szCs w:val="22"/>
        </w:rPr>
      </w:pPr>
    </w:p>
    <w:p w:rsidR="00216FC3" w:rsidRPr="007846E0" w:rsidRDefault="00216FC3" w:rsidP="00216FC3">
      <w:pPr>
        <w:pStyle w:val="ListParagraph"/>
        <w:numPr>
          <w:ilvl w:val="0"/>
          <w:numId w:val="2"/>
        </w:numPr>
        <w:rPr>
          <w:rFonts w:ascii="Times Roman" w:hAnsi="Times Roman"/>
          <w:color w:val="000000"/>
        </w:rPr>
      </w:pPr>
      <w:r w:rsidRPr="007846E0">
        <w:rPr>
          <w:rFonts w:ascii="Times Roman" w:eastAsia="Times New Roman" w:hAnsi="Times Roman"/>
          <w:color w:val="000000"/>
        </w:rPr>
        <w:t>The Australian National Audit Office (ANAO) Auditing Standards comprise the standards referred to below, to the extent that they are not inconsistent with requirements of the Act or other relevant legislation, and to the extent that they apply to the relevant audit or review activity:</w:t>
      </w:r>
    </w:p>
    <w:p w:rsidR="00216FC3" w:rsidRPr="007846E0" w:rsidRDefault="00216FC3" w:rsidP="00216FC3">
      <w:pPr>
        <w:ind w:left="720" w:hanging="720"/>
        <w:rPr>
          <w:rFonts w:ascii="Times Roman" w:hAnsi="Times Roman"/>
          <w:color w:val="000000"/>
          <w:szCs w:val="22"/>
        </w:rPr>
      </w:pPr>
      <w:r w:rsidRPr="007846E0">
        <w:rPr>
          <w:rFonts w:ascii="Times Roman" w:hAnsi="Times Roman"/>
          <w:color w:val="000000"/>
          <w:szCs w:val="22"/>
        </w:rPr>
        <w:t>(a)</w:t>
      </w:r>
      <w:r w:rsidRPr="007846E0">
        <w:rPr>
          <w:rFonts w:ascii="Times Roman" w:hAnsi="Times Roman"/>
          <w:color w:val="000000"/>
          <w:szCs w:val="22"/>
        </w:rPr>
        <w:tab/>
        <w:t xml:space="preserve">Standards made by the Australian Auditing and Assurance Standards Board (AUASB) pursuant to </w:t>
      </w:r>
      <w:r>
        <w:rPr>
          <w:rFonts w:ascii="Times Roman" w:hAnsi="Times Roman"/>
          <w:color w:val="000000"/>
          <w:szCs w:val="22"/>
        </w:rPr>
        <w:t>paragraph</w:t>
      </w:r>
      <w:r w:rsidRPr="007846E0">
        <w:rPr>
          <w:rFonts w:ascii="Times Roman" w:hAnsi="Times Roman"/>
          <w:color w:val="000000"/>
          <w:szCs w:val="22"/>
        </w:rPr>
        <w:t xml:space="preserve"> 227B(1)(a) of the </w:t>
      </w:r>
      <w:r w:rsidRPr="007846E0">
        <w:rPr>
          <w:rFonts w:ascii="Times Roman" w:hAnsi="Times Roman"/>
          <w:i/>
          <w:color w:val="000000"/>
          <w:szCs w:val="22"/>
        </w:rPr>
        <w:t>Australian Securities and Investments Commission Act 2001</w:t>
      </w:r>
      <w:r w:rsidRPr="007846E0">
        <w:rPr>
          <w:rFonts w:ascii="Times Roman" w:hAnsi="Times Roman"/>
          <w:color w:val="000000"/>
          <w:szCs w:val="22"/>
        </w:rPr>
        <w:t xml:space="preserve"> </w:t>
      </w:r>
      <w:r>
        <w:rPr>
          <w:rFonts w:ascii="Times Roman" w:hAnsi="Times Roman"/>
          <w:color w:val="000000"/>
          <w:szCs w:val="22"/>
        </w:rPr>
        <w:t xml:space="preserve">(ASIC Act) </w:t>
      </w:r>
      <w:r w:rsidRPr="007846E0">
        <w:rPr>
          <w:rFonts w:ascii="Times Roman" w:hAnsi="Times Roman"/>
          <w:color w:val="000000"/>
          <w:szCs w:val="22"/>
        </w:rPr>
        <w:t xml:space="preserve">and section 336 of the </w:t>
      </w:r>
      <w:r w:rsidRPr="007846E0">
        <w:rPr>
          <w:rFonts w:ascii="Times Roman" w:hAnsi="Times Roman"/>
          <w:i/>
          <w:color w:val="000000"/>
          <w:szCs w:val="22"/>
        </w:rPr>
        <w:t>Corporations Act 2001</w:t>
      </w:r>
      <w:r w:rsidRPr="007846E0">
        <w:rPr>
          <w:rFonts w:ascii="Times Roman" w:hAnsi="Times Roman"/>
          <w:color w:val="000000"/>
          <w:szCs w:val="22"/>
        </w:rPr>
        <w:t xml:space="preserve">, that are current from time to time. </w:t>
      </w:r>
    </w:p>
    <w:p w:rsidR="00216FC3" w:rsidRPr="007846E0" w:rsidRDefault="00216FC3" w:rsidP="00216FC3">
      <w:pPr>
        <w:pStyle w:val="ListParagraph"/>
        <w:autoSpaceDE w:val="0"/>
        <w:autoSpaceDN w:val="0"/>
        <w:adjustRightInd w:val="0"/>
        <w:spacing w:after="0" w:line="240" w:lineRule="auto"/>
        <w:ind w:left="0"/>
        <w:contextualSpacing w:val="0"/>
        <w:jc w:val="both"/>
        <w:rPr>
          <w:rFonts w:ascii="Times Roman" w:hAnsi="Times Roman"/>
          <w:color w:val="000000"/>
        </w:rPr>
      </w:pPr>
    </w:p>
    <w:p w:rsidR="00216FC3" w:rsidRPr="007846E0" w:rsidRDefault="00216FC3" w:rsidP="00216FC3">
      <w:pPr>
        <w:ind w:left="720" w:hanging="720"/>
        <w:rPr>
          <w:rFonts w:ascii="Times Roman" w:hAnsi="Times Roman"/>
          <w:color w:val="000000"/>
          <w:szCs w:val="22"/>
        </w:rPr>
      </w:pPr>
      <w:r w:rsidRPr="007846E0">
        <w:rPr>
          <w:rFonts w:ascii="Times Roman" w:hAnsi="Times Roman"/>
          <w:color w:val="000000"/>
          <w:szCs w:val="22"/>
        </w:rPr>
        <w:t>(b)</w:t>
      </w:r>
      <w:r w:rsidRPr="007846E0">
        <w:rPr>
          <w:rFonts w:ascii="Times Roman" w:hAnsi="Times Roman"/>
          <w:color w:val="000000"/>
          <w:szCs w:val="22"/>
        </w:rPr>
        <w:tab/>
        <w:t xml:space="preserve">The standards listed in the following table that are issued by the AUASB pursuant to </w:t>
      </w:r>
      <w:r>
        <w:rPr>
          <w:rFonts w:ascii="Times Roman" w:hAnsi="Times Roman"/>
          <w:color w:val="000000"/>
          <w:szCs w:val="22"/>
        </w:rPr>
        <w:t>paragraph</w:t>
      </w:r>
      <w:r w:rsidRPr="007846E0">
        <w:rPr>
          <w:rFonts w:ascii="Times Roman" w:hAnsi="Times Roman"/>
          <w:color w:val="000000"/>
          <w:szCs w:val="22"/>
        </w:rPr>
        <w:t xml:space="preserve"> </w:t>
      </w:r>
      <w:proofErr w:type="gramStart"/>
      <w:r w:rsidRPr="007846E0">
        <w:rPr>
          <w:rFonts w:ascii="Times Roman" w:hAnsi="Times Roman"/>
          <w:color w:val="000000"/>
          <w:szCs w:val="22"/>
        </w:rPr>
        <w:t>227B(</w:t>
      </w:r>
      <w:proofErr w:type="gramEnd"/>
      <w:r w:rsidRPr="007846E0">
        <w:rPr>
          <w:rFonts w:ascii="Times Roman" w:hAnsi="Times Roman"/>
          <w:color w:val="000000"/>
          <w:szCs w:val="22"/>
        </w:rPr>
        <w:t xml:space="preserve">1)(b) of the </w:t>
      </w:r>
      <w:r>
        <w:rPr>
          <w:rFonts w:ascii="Times Roman" w:hAnsi="Times Roman"/>
          <w:color w:val="000000"/>
          <w:szCs w:val="22"/>
        </w:rPr>
        <w:t>ASIC Act</w:t>
      </w:r>
      <w:r w:rsidRPr="007846E0">
        <w:rPr>
          <w:rFonts w:ascii="Times Roman" w:hAnsi="Times Roman"/>
          <w:i/>
          <w:color w:val="000000"/>
          <w:szCs w:val="22"/>
        </w:rPr>
        <w:t>.</w:t>
      </w:r>
    </w:p>
    <w:p w:rsidR="00216FC3" w:rsidRPr="007846E0" w:rsidRDefault="00216FC3" w:rsidP="00216FC3">
      <w:pPr>
        <w:rPr>
          <w:rFonts w:ascii="Times Roman" w:hAnsi="Times Roman"/>
          <w:color w:val="000000"/>
          <w:szCs w:val="22"/>
        </w:rPr>
      </w:pPr>
    </w:p>
    <w:p w:rsidR="00216FC3" w:rsidRPr="007846E0" w:rsidRDefault="00216FC3" w:rsidP="00216FC3">
      <w:pPr>
        <w:rPr>
          <w:rFonts w:ascii="Times Roman" w:hAnsi="Times Roman"/>
          <w:color w:val="000000"/>
          <w:szCs w:val="22"/>
        </w:rPr>
      </w:pPr>
    </w:p>
    <w:p w:rsidR="00216FC3" w:rsidRPr="007846E0" w:rsidRDefault="00216FC3" w:rsidP="00216FC3">
      <w:pPr>
        <w:rPr>
          <w:rFonts w:ascii="Times Roman" w:hAnsi="Times Roman"/>
          <w:color w:val="000000"/>
          <w:szCs w:val="22"/>
        </w:rPr>
      </w:pPr>
    </w:p>
    <w:tbl>
      <w:tblPr>
        <w:tblStyle w:val="TableGrid"/>
        <w:tblW w:w="666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3969"/>
        <w:gridCol w:w="1275"/>
      </w:tblGrid>
      <w:tr w:rsidR="00216FC3" w:rsidRPr="00A40D8A" w:rsidTr="00741A93">
        <w:trPr>
          <w:tblHeader/>
        </w:trPr>
        <w:tc>
          <w:tcPr>
            <w:tcW w:w="1418" w:type="dxa"/>
            <w:shd w:val="pct20" w:color="auto" w:fill="auto"/>
            <w:vAlign w:val="center"/>
          </w:tcPr>
          <w:p w:rsidR="00216FC3" w:rsidRPr="007846E0" w:rsidRDefault="00216FC3" w:rsidP="00741A93">
            <w:pPr>
              <w:jc w:val="left"/>
              <w:rPr>
                <w:rFonts w:ascii="Times Roman" w:hAnsi="Times Roman"/>
                <w:b/>
                <w:color w:val="000000"/>
                <w:szCs w:val="22"/>
              </w:rPr>
            </w:pPr>
            <w:r w:rsidRPr="007846E0">
              <w:rPr>
                <w:rFonts w:ascii="Times Roman" w:hAnsi="Times Roman"/>
                <w:b/>
                <w:color w:val="000000"/>
                <w:szCs w:val="22"/>
              </w:rPr>
              <w:lastRenderedPageBreak/>
              <w:t>Standard Number</w:t>
            </w:r>
          </w:p>
        </w:tc>
        <w:tc>
          <w:tcPr>
            <w:tcW w:w="3969" w:type="dxa"/>
            <w:shd w:val="pct20" w:color="auto" w:fill="auto"/>
            <w:vAlign w:val="center"/>
          </w:tcPr>
          <w:p w:rsidR="00216FC3" w:rsidRPr="007846E0" w:rsidRDefault="00216FC3" w:rsidP="00741A93">
            <w:pPr>
              <w:jc w:val="left"/>
              <w:rPr>
                <w:rFonts w:ascii="Times Roman" w:hAnsi="Times Roman"/>
                <w:b/>
                <w:color w:val="000000"/>
                <w:szCs w:val="22"/>
              </w:rPr>
            </w:pPr>
            <w:r w:rsidRPr="007846E0">
              <w:rPr>
                <w:rFonts w:ascii="Times Roman" w:hAnsi="Times Roman"/>
                <w:b/>
                <w:color w:val="000000"/>
                <w:szCs w:val="22"/>
              </w:rPr>
              <w:t>Title</w:t>
            </w:r>
          </w:p>
        </w:tc>
        <w:tc>
          <w:tcPr>
            <w:tcW w:w="1275" w:type="dxa"/>
            <w:shd w:val="pct20" w:color="auto" w:fill="auto"/>
            <w:vAlign w:val="center"/>
          </w:tcPr>
          <w:p w:rsidR="00216FC3" w:rsidRPr="007846E0" w:rsidRDefault="00216FC3" w:rsidP="00741A93">
            <w:pPr>
              <w:jc w:val="left"/>
              <w:rPr>
                <w:rFonts w:ascii="Times Roman" w:hAnsi="Times Roman"/>
                <w:b/>
                <w:color w:val="000000"/>
                <w:szCs w:val="22"/>
              </w:rPr>
            </w:pPr>
            <w:r w:rsidRPr="007846E0">
              <w:rPr>
                <w:rFonts w:ascii="Times Roman" w:hAnsi="Times Roman"/>
                <w:b/>
                <w:color w:val="000000"/>
                <w:szCs w:val="22"/>
              </w:rPr>
              <w:t>Issue Date</w:t>
            </w:r>
          </w:p>
        </w:tc>
      </w:tr>
      <w:tr w:rsidR="00216FC3" w:rsidRPr="00A40D8A" w:rsidTr="00741A93">
        <w:trPr>
          <w:trHeight w:val="940"/>
          <w:tblHeader/>
        </w:trPr>
        <w:tc>
          <w:tcPr>
            <w:tcW w:w="1418"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ASA 805</w:t>
            </w:r>
          </w:p>
        </w:tc>
        <w:tc>
          <w:tcPr>
            <w:tcW w:w="3969"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i/>
                <w:color w:val="000000"/>
                <w:szCs w:val="22"/>
              </w:rPr>
              <w:t>Special Considerations – Audits of Single Financial Statements and Specific Elements, Accounts or Items of a Financial Statement</w:t>
            </w:r>
          </w:p>
        </w:tc>
        <w:tc>
          <w:tcPr>
            <w:tcW w:w="1275"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May 2017</w:t>
            </w:r>
          </w:p>
        </w:tc>
      </w:tr>
      <w:tr w:rsidR="00216FC3" w:rsidRPr="00A40D8A" w:rsidTr="00741A93">
        <w:trPr>
          <w:trHeight w:val="864"/>
          <w:tblHeader/>
        </w:trPr>
        <w:tc>
          <w:tcPr>
            <w:tcW w:w="1418"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ASRE 2400</w:t>
            </w:r>
          </w:p>
        </w:tc>
        <w:tc>
          <w:tcPr>
            <w:tcW w:w="3969"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i/>
                <w:color w:val="000000"/>
                <w:szCs w:val="22"/>
              </w:rPr>
              <w:t>Review of a Financial Report Performed by an Assurance Practitioner Who is Not the Auditor of the Entity</w:t>
            </w:r>
          </w:p>
        </w:tc>
        <w:tc>
          <w:tcPr>
            <w:tcW w:w="1275"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May 2017</w:t>
            </w:r>
          </w:p>
        </w:tc>
      </w:tr>
      <w:tr w:rsidR="00216FC3" w:rsidRPr="00A40D8A" w:rsidTr="00741A93">
        <w:trPr>
          <w:trHeight w:val="706"/>
          <w:tblHeader/>
        </w:trPr>
        <w:tc>
          <w:tcPr>
            <w:tcW w:w="1418"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ASRE 2405</w:t>
            </w:r>
          </w:p>
        </w:tc>
        <w:tc>
          <w:tcPr>
            <w:tcW w:w="3969"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i/>
                <w:color w:val="000000"/>
                <w:szCs w:val="22"/>
              </w:rPr>
              <w:t>Review of Historical Financial Information Other than a Financial Report</w:t>
            </w:r>
          </w:p>
        </w:tc>
        <w:tc>
          <w:tcPr>
            <w:tcW w:w="1275"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August 2008</w:t>
            </w:r>
          </w:p>
        </w:tc>
      </w:tr>
      <w:tr w:rsidR="00216FC3" w:rsidRPr="00A40D8A" w:rsidTr="00741A93">
        <w:trPr>
          <w:trHeight w:val="678"/>
          <w:tblHeader/>
        </w:trPr>
        <w:tc>
          <w:tcPr>
            <w:tcW w:w="1418"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ASAE 3000</w:t>
            </w:r>
          </w:p>
        </w:tc>
        <w:tc>
          <w:tcPr>
            <w:tcW w:w="3969" w:type="dxa"/>
            <w:tcBorders>
              <w:bottom w:val="single" w:sz="2" w:space="0" w:color="auto"/>
            </w:tcBorders>
            <w:vAlign w:val="center"/>
          </w:tcPr>
          <w:p w:rsidR="00216FC3" w:rsidRPr="007846E0" w:rsidRDefault="00216FC3" w:rsidP="00741A93">
            <w:pPr>
              <w:jc w:val="left"/>
              <w:rPr>
                <w:rFonts w:ascii="Times Roman" w:hAnsi="Times Roman"/>
                <w:i/>
                <w:color w:val="000000"/>
                <w:szCs w:val="22"/>
              </w:rPr>
            </w:pPr>
            <w:r w:rsidRPr="007846E0">
              <w:rPr>
                <w:rFonts w:ascii="Times Roman" w:hAnsi="Times Roman"/>
                <w:i/>
                <w:color w:val="000000"/>
                <w:szCs w:val="22"/>
              </w:rPr>
              <w:t>Assurance Engagements Other than Audits or Reviews of Historical Financial Information</w:t>
            </w:r>
          </w:p>
        </w:tc>
        <w:tc>
          <w:tcPr>
            <w:tcW w:w="1275"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May 2017</w:t>
            </w:r>
          </w:p>
        </w:tc>
      </w:tr>
      <w:tr w:rsidR="00216FC3" w:rsidRPr="00A40D8A" w:rsidTr="00741A93">
        <w:trPr>
          <w:trHeight w:val="678"/>
          <w:tblHeader/>
        </w:trPr>
        <w:tc>
          <w:tcPr>
            <w:tcW w:w="1418"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ASAE 3100</w:t>
            </w:r>
          </w:p>
        </w:tc>
        <w:tc>
          <w:tcPr>
            <w:tcW w:w="3969"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i/>
                <w:color w:val="000000"/>
                <w:szCs w:val="22"/>
              </w:rPr>
              <w:t>Compliance Engagements</w:t>
            </w:r>
          </w:p>
        </w:tc>
        <w:tc>
          <w:tcPr>
            <w:tcW w:w="1275"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February 2017</w:t>
            </w:r>
          </w:p>
        </w:tc>
      </w:tr>
      <w:tr w:rsidR="00216FC3" w:rsidRPr="00A40D8A" w:rsidTr="00741A93">
        <w:trPr>
          <w:trHeight w:val="702"/>
          <w:tblHeader/>
        </w:trPr>
        <w:tc>
          <w:tcPr>
            <w:tcW w:w="1418"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ASAE 3150</w:t>
            </w:r>
          </w:p>
        </w:tc>
        <w:tc>
          <w:tcPr>
            <w:tcW w:w="3969"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i/>
                <w:color w:val="000000"/>
                <w:szCs w:val="22"/>
              </w:rPr>
              <w:t>Assurance Engagements on Controls</w:t>
            </w:r>
          </w:p>
        </w:tc>
        <w:tc>
          <w:tcPr>
            <w:tcW w:w="1275" w:type="dxa"/>
            <w:tcBorders>
              <w:bottom w:val="single" w:sz="2" w:space="0" w:color="auto"/>
            </w:tcBorders>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January 2015</w:t>
            </w:r>
          </w:p>
        </w:tc>
      </w:tr>
      <w:tr w:rsidR="00216FC3" w:rsidRPr="00A40D8A" w:rsidTr="00741A93">
        <w:trPr>
          <w:trHeight w:val="624"/>
          <w:tblHeader/>
        </w:trPr>
        <w:tc>
          <w:tcPr>
            <w:tcW w:w="1418"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ASRS 4400</w:t>
            </w:r>
          </w:p>
        </w:tc>
        <w:tc>
          <w:tcPr>
            <w:tcW w:w="3969" w:type="dxa"/>
            <w:vAlign w:val="center"/>
          </w:tcPr>
          <w:p w:rsidR="00216FC3" w:rsidRPr="007846E0" w:rsidRDefault="00216FC3" w:rsidP="00741A93">
            <w:pPr>
              <w:jc w:val="left"/>
              <w:rPr>
                <w:rFonts w:ascii="Times Roman" w:hAnsi="Times Roman"/>
                <w:i/>
                <w:color w:val="000000"/>
                <w:szCs w:val="22"/>
              </w:rPr>
            </w:pPr>
            <w:r w:rsidRPr="007846E0">
              <w:rPr>
                <w:rFonts w:ascii="Times Roman" w:hAnsi="Times Roman"/>
                <w:i/>
                <w:color w:val="000000"/>
                <w:szCs w:val="22"/>
              </w:rPr>
              <w:t>Agreed-Upon Procedures Engagements to Report Actual Findings</w:t>
            </w:r>
          </w:p>
        </w:tc>
        <w:tc>
          <w:tcPr>
            <w:tcW w:w="1275" w:type="dxa"/>
            <w:vAlign w:val="center"/>
          </w:tcPr>
          <w:p w:rsidR="00216FC3" w:rsidRPr="007846E0" w:rsidRDefault="00216FC3" w:rsidP="00741A93">
            <w:pPr>
              <w:jc w:val="left"/>
              <w:rPr>
                <w:rFonts w:ascii="Times Roman" w:hAnsi="Times Roman"/>
                <w:color w:val="000000"/>
                <w:szCs w:val="22"/>
              </w:rPr>
            </w:pPr>
            <w:r w:rsidRPr="007846E0">
              <w:rPr>
                <w:rFonts w:ascii="Times Roman" w:hAnsi="Times Roman"/>
                <w:color w:val="000000"/>
                <w:szCs w:val="22"/>
              </w:rPr>
              <w:t>July 2013</w:t>
            </w:r>
          </w:p>
        </w:tc>
      </w:tr>
    </w:tbl>
    <w:p w:rsidR="00216FC3" w:rsidRPr="007846E0" w:rsidRDefault="00216FC3" w:rsidP="00216FC3">
      <w:pPr>
        <w:ind w:right="96"/>
        <w:rPr>
          <w:rFonts w:ascii="Times Roman" w:hAnsi="Times Roman"/>
          <w:szCs w:val="22"/>
        </w:rPr>
      </w:pPr>
    </w:p>
    <w:p w:rsidR="00216FC3" w:rsidRPr="007846E0" w:rsidRDefault="00216FC3" w:rsidP="00216FC3">
      <w:pPr>
        <w:pStyle w:val="ListParagraph"/>
        <w:numPr>
          <w:ilvl w:val="0"/>
          <w:numId w:val="2"/>
        </w:numPr>
        <w:rPr>
          <w:rFonts w:ascii="Times Roman" w:hAnsi="Times Roman"/>
          <w:color w:val="000000"/>
        </w:rPr>
      </w:pPr>
      <w:r w:rsidRPr="007846E0">
        <w:rPr>
          <w:rFonts w:ascii="Times Roman" w:eastAsia="Times New Roman" w:hAnsi="Times Roman"/>
          <w:color w:val="000000"/>
        </w:rPr>
        <w:t>In respect of a performance audit under Division 2 of Part 4 of the Act and a performance audit of the Australian National Audit Office under Division 2 of Part 7 of the Act the ANAO Auditing Standards comprise the standards referred to below, to the extent that they are not inconsistent with requirements of the Act or other relevant legislation, and to the extent that they apply to the relevant audit or review activity:</w:t>
      </w:r>
    </w:p>
    <w:p w:rsidR="00216FC3" w:rsidRPr="007846E0" w:rsidRDefault="00216FC3" w:rsidP="00216FC3">
      <w:pPr>
        <w:ind w:left="709" w:hanging="709"/>
        <w:rPr>
          <w:rFonts w:ascii="Times Roman" w:hAnsi="Times Roman"/>
          <w:szCs w:val="22"/>
        </w:rPr>
      </w:pPr>
      <w:r w:rsidRPr="007846E0">
        <w:rPr>
          <w:rFonts w:ascii="Times Roman" w:hAnsi="Times Roman"/>
          <w:szCs w:val="22"/>
        </w:rPr>
        <w:t>(a)</w:t>
      </w:r>
      <w:r w:rsidRPr="007846E0">
        <w:rPr>
          <w:rFonts w:ascii="Times Roman" w:hAnsi="Times Roman"/>
          <w:szCs w:val="22"/>
        </w:rPr>
        <w:tab/>
        <w:t xml:space="preserve">Standard on Assurance Engagements ASAE 3500 </w:t>
      </w:r>
      <w:r w:rsidRPr="008E5510">
        <w:rPr>
          <w:rFonts w:ascii="Times Roman" w:hAnsi="Times Roman"/>
          <w:i/>
          <w:szCs w:val="22"/>
        </w:rPr>
        <w:t>Performance Engagements</w:t>
      </w:r>
      <w:r w:rsidRPr="007846E0">
        <w:rPr>
          <w:rFonts w:ascii="Times Roman" w:hAnsi="Times Roman"/>
          <w:szCs w:val="22"/>
        </w:rPr>
        <w:t xml:space="preserve"> issued </w:t>
      </w:r>
      <w:r>
        <w:rPr>
          <w:rFonts w:ascii="Times Roman" w:hAnsi="Times Roman"/>
          <w:szCs w:val="22"/>
        </w:rPr>
        <w:t xml:space="preserve">on </w:t>
      </w:r>
      <w:r w:rsidRPr="007846E0">
        <w:rPr>
          <w:rFonts w:ascii="Times Roman" w:hAnsi="Times Roman"/>
          <w:szCs w:val="22"/>
        </w:rPr>
        <w:t xml:space="preserve">5 October 2017 by the AUASB pursuant to </w:t>
      </w:r>
      <w:r>
        <w:rPr>
          <w:rFonts w:ascii="Times Roman" w:hAnsi="Times Roman"/>
          <w:szCs w:val="22"/>
        </w:rPr>
        <w:t>paragraph</w:t>
      </w:r>
      <w:r w:rsidRPr="007846E0">
        <w:rPr>
          <w:rFonts w:ascii="Times Roman" w:hAnsi="Times Roman"/>
          <w:szCs w:val="22"/>
        </w:rPr>
        <w:t xml:space="preserve"> 227B(1)(b) of the </w:t>
      </w:r>
      <w:r>
        <w:rPr>
          <w:rFonts w:ascii="Times Roman" w:hAnsi="Times Roman"/>
          <w:szCs w:val="22"/>
        </w:rPr>
        <w:t>ASIC Act</w:t>
      </w:r>
      <w:r w:rsidRPr="007846E0">
        <w:rPr>
          <w:rFonts w:ascii="Times Roman" w:hAnsi="Times Roman"/>
          <w:szCs w:val="22"/>
        </w:rPr>
        <w:t>, except for the following requirements paragraphs:</w:t>
      </w:r>
    </w:p>
    <w:p w:rsidR="00216FC3" w:rsidRPr="007846E0" w:rsidRDefault="00216FC3" w:rsidP="00216FC3">
      <w:pPr>
        <w:rPr>
          <w:rFonts w:ascii="Times Roman" w:hAnsi="Times Roman"/>
          <w:szCs w:val="22"/>
        </w:rPr>
      </w:pPr>
    </w:p>
    <w:p w:rsidR="00216FC3" w:rsidRPr="007846E0" w:rsidRDefault="00216FC3" w:rsidP="00216FC3">
      <w:pPr>
        <w:pStyle w:val="ListParagraph"/>
        <w:numPr>
          <w:ilvl w:val="0"/>
          <w:numId w:val="1"/>
        </w:numPr>
        <w:rPr>
          <w:rFonts w:ascii="Times Roman" w:hAnsi="Times Roman"/>
        </w:rPr>
      </w:pPr>
      <w:r w:rsidRPr="007846E0">
        <w:rPr>
          <w:rFonts w:ascii="Times Roman" w:hAnsi="Times Roman"/>
        </w:rPr>
        <w:t>Paragraph 33 relating to obtaining an understanding of internal controls relevant to the evaluation of the activity’s performance against the identified criteria;</w:t>
      </w:r>
    </w:p>
    <w:p w:rsidR="00216FC3" w:rsidRPr="007846E0" w:rsidRDefault="00216FC3" w:rsidP="00216FC3">
      <w:pPr>
        <w:pStyle w:val="ListParagraph"/>
        <w:ind w:left="1429"/>
        <w:rPr>
          <w:rFonts w:ascii="Times Roman" w:hAnsi="Times Roman"/>
        </w:rPr>
      </w:pPr>
    </w:p>
    <w:p w:rsidR="00216FC3" w:rsidRDefault="00216FC3" w:rsidP="00216FC3">
      <w:pPr>
        <w:pStyle w:val="ListParagraph"/>
        <w:numPr>
          <w:ilvl w:val="0"/>
          <w:numId w:val="1"/>
        </w:numPr>
        <w:rPr>
          <w:rFonts w:ascii="Times Roman" w:hAnsi="Times Roman"/>
        </w:rPr>
      </w:pPr>
      <w:r w:rsidRPr="007846E0">
        <w:rPr>
          <w:rFonts w:ascii="Times Roman" w:hAnsi="Times Roman"/>
        </w:rPr>
        <w:t>Paragraph 34 relating to procedures relating to non-compliance with laws and regulations; and</w:t>
      </w:r>
    </w:p>
    <w:p w:rsidR="00216FC3" w:rsidRPr="008E5510" w:rsidRDefault="00216FC3" w:rsidP="00216FC3">
      <w:pPr>
        <w:pStyle w:val="ListParagraph"/>
        <w:ind w:left="1429"/>
        <w:rPr>
          <w:rFonts w:ascii="Times Roman" w:hAnsi="Times Roman"/>
        </w:rPr>
      </w:pPr>
    </w:p>
    <w:p w:rsidR="00216FC3" w:rsidRPr="007846E0" w:rsidRDefault="00216FC3" w:rsidP="00216FC3">
      <w:pPr>
        <w:pStyle w:val="ListParagraph"/>
        <w:numPr>
          <w:ilvl w:val="0"/>
          <w:numId w:val="1"/>
        </w:numPr>
        <w:rPr>
          <w:rFonts w:ascii="Times Roman" w:hAnsi="Times Roman"/>
        </w:rPr>
      </w:pPr>
      <w:r w:rsidRPr="007846E0">
        <w:rPr>
          <w:rFonts w:ascii="Times Roman" w:hAnsi="Times Roman"/>
        </w:rPr>
        <w:t xml:space="preserve">Paragraph 45 relating to the assurance report content. </w:t>
      </w:r>
    </w:p>
    <w:p w:rsidR="00216FC3" w:rsidRPr="007846E0" w:rsidRDefault="00216FC3" w:rsidP="00216FC3">
      <w:pPr>
        <w:rPr>
          <w:rFonts w:ascii="Times Roman" w:hAnsi="Times Roman"/>
          <w:szCs w:val="22"/>
        </w:rPr>
      </w:pPr>
    </w:p>
    <w:p w:rsidR="00216FC3" w:rsidRPr="007846E0" w:rsidRDefault="00216FC3" w:rsidP="00216FC3">
      <w:pPr>
        <w:ind w:left="709" w:hanging="709"/>
        <w:rPr>
          <w:rFonts w:ascii="Times Roman" w:hAnsi="Times Roman"/>
          <w:szCs w:val="22"/>
        </w:rPr>
      </w:pPr>
      <w:r w:rsidRPr="007846E0">
        <w:rPr>
          <w:rFonts w:ascii="Times Roman" w:hAnsi="Times Roman"/>
          <w:szCs w:val="22"/>
        </w:rPr>
        <w:t>(b)</w:t>
      </w:r>
      <w:r w:rsidRPr="007846E0">
        <w:rPr>
          <w:rFonts w:ascii="Times Roman" w:hAnsi="Times Roman"/>
          <w:szCs w:val="22"/>
        </w:rPr>
        <w:tab/>
        <w:t xml:space="preserve">The reporting requirements of the International Standard of Supreme Audit Institutions ISSAI 3000 </w:t>
      </w:r>
      <w:r w:rsidRPr="008E5510">
        <w:rPr>
          <w:rFonts w:ascii="Times Roman" w:hAnsi="Times Roman"/>
          <w:i/>
          <w:szCs w:val="22"/>
        </w:rPr>
        <w:t>Standard for Performance Auditing</w:t>
      </w:r>
      <w:r w:rsidRPr="007846E0">
        <w:rPr>
          <w:rFonts w:ascii="Times Roman" w:hAnsi="Times Roman"/>
          <w:szCs w:val="22"/>
        </w:rPr>
        <w:t>, endorsed 2016, by the International Organisation of Supreme Audit Institutions (INTOSAI) contained in paragraphs 116, 122, 124 and 126.</w:t>
      </w:r>
    </w:p>
    <w:p w:rsidR="00216FC3" w:rsidRPr="007846E0" w:rsidRDefault="00216FC3" w:rsidP="00216FC3">
      <w:pPr>
        <w:rPr>
          <w:rFonts w:ascii="Times Roman" w:hAnsi="Times Roman"/>
          <w:szCs w:val="22"/>
        </w:rPr>
      </w:pPr>
    </w:p>
    <w:p w:rsidR="00216FC3" w:rsidRPr="007846E0" w:rsidRDefault="00216FC3" w:rsidP="00216FC3">
      <w:pPr>
        <w:pStyle w:val="ListParagraph"/>
        <w:numPr>
          <w:ilvl w:val="0"/>
          <w:numId w:val="2"/>
        </w:numPr>
        <w:rPr>
          <w:rFonts w:ascii="Times Roman" w:hAnsi="Times Roman"/>
        </w:rPr>
      </w:pPr>
      <w:r w:rsidRPr="007846E0">
        <w:rPr>
          <w:rFonts w:ascii="Times Roman" w:hAnsi="Times Roman"/>
        </w:rPr>
        <w:t xml:space="preserve">The ANAO Auditing Standards relating to the conduct of financial statement and performance audits are consistent with ISSAI 200 </w:t>
      </w:r>
      <w:r w:rsidRPr="007846E0">
        <w:rPr>
          <w:rFonts w:ascii="Times Roman" w:hAnsi="Times Roman"/>
          <w:i/>
        </w:rPr>
        <w:t>Fundamental Principles of Financial Auditing</w:t>
      </w:r>
      <w:r w:rsidRPr="007846E0">
        <w:rPr>
          <w:rFonts w:ascii="Times Roman" w:hAnsi="Times Roman"/>
        </w:rPr>
        <w:t xml:space="preserve"> and ISSAI 300 </w:t>
      </w:r>
      <w:r w:rsidRPr="007846E0">
        <w:rPr>
          <w:rFonts w:ascii="Times Roman" w:hAnsi="Times Roman"/>
          <w:i/>
        </w:rPr>
        <w:t xml:space="preserve">Fundamental Principles of Performance Auditing </w:t>
      </w:r>
      <w:r w:rsidRPr="007846E0">
        <w:rPr>
          <w:rFonts w:ascii="Times Roman" w:hAnsi="Times Roman"/>
        </w:rPr>
        <w:t>respectively,</w:t>
      </w:r>
      <w:r>
        <w:rPr>
          <w:rFonts w:ascii="Times Roman" w:hAnsi="Times Roman"/>
        </w:rPr>
        <w:t xml:space="preserve"> </w:t>
      </w:r>
      <w:r w:rsidRPr="007846E0">
        <w:rPr>
          <w:rFonts w:ascii="Times Roman" w:hAnsi="Times Roman"/>
        </w:rPr>
        <w:t xml:space="preserve">issued by </w:t>
      </w:r>
      <w:r>
        <w:rPr>
          <w:rFonts w:ascii="Times Roman" w:hAnsi="Times Roman"/>
        </w:rPr>
        <w:t>INTOSAI</w:t>
      </w:r>
      <w:r w:rsidRPr="007846E0">
        <w:rPr>
          <w:rFonts w:ascii="Times Roman" w:hAnsi="Times Roman"/>
        </w:rPr>
        <w:t xml:space="preserve"> (issued 2013).</w:t>
      </w:r>
    </w:p>
    <w:p w:rsidR="00216FC3" w:rsidRPr="007846E0" w:rsidRDefault="00216FC3" w:rsidP="00216FC3">
      <w:pPr>
        <w:jc w:val="left"/>
        <w:rPr>
          <w:rFonts w:ascii="Times Roman" w:hAnsi="Times Roman"/>
          <w:szCs w:val="22"/>
        </w:rPr>
      </w:pPr>
    </w:p>
    <w:p w:rsidR="00216FC3" w:rsidRPr="007846E0" w:rsidRDefault="00216FC3" w:rsidP="00216FC3">
      <w:pPr>
        <w:pStyle w:val="ListParagraph"/>
        <w:numPr>
          <w:ilvl w:val="0"/>
          <w:numId w:val="2"/>
        </w:numPr>
        <w:rPr>
          <w:rFonts w:ascii="Times Roman" w:hAnsi="Times Roman"/>
        </w:rPr>
      </w:pPr>
      <w:r w:rsidRPr="007846E0">
        <w:rPr>
          <w:rFonts w:ascii="Times Roman" w:hAnsi="Times Roman"/>
        </w:rPr>
        <w:t>These ANAO Auditing Standards revoke all previous auditing standards set under section 24 of the Act.</w:t>
      </w:r>
    </w:p>
    <w:p w:rsidR="00A06CC4" w:rsidRPr="00527496" w:rsidRDefault="00A06CC4" w:rsidP="00216FC3">
      <w:pPr>
        <w:pStyle w:val="Heading2"/>
        <w:rPr>
          <w:lang w:eastAsia="en-AU"/>
        </w:rPr>
      </w:pPr>
    </w:p>
    <w:sectPr w:rsidR="00A06CC4" w:rsidRPr="00527496"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FF" w:rsidRDefault="00D33BFF" w:rsidP="003A707F">
      <w:r>
        <w:separator/>
      </w:r>
    </w:p>
  </w:endnote>
  <w:endnote w:type="continuationSeparator" w:id="0">
    <w:p w:rsidR="00D33BFF" w:rsidRDefault="00D33BFF"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Roma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FF" w:rsidRDefault="00D33BFF" w:rsidP="003A707F">
      <w:r>
        <w:separator/>
      </w:r>
    </w:p>
  </w:footnote>
  <w:footnote w:type="continuationSeparator" w:id="0">
    <w:p w:rsidR="00D33BFF" w:rsidRDefault="00D33BFF"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762"/>
    <w:multiLevelType w:val="hybridMultilevel"/>
    <w:tmpl w:val="DD7A49B0"/>
    <w:lvl w:ilvl="0" w:tplc="6FCC51B8">
      <w:start w:val="1"/>
      <w:numFmt w:val="decimal"/>
      <w:lvlText w:val="%1."/>
      <w:lvlJc w:val="left"/>
      <w:pPr>
        <w:ind w:left="360" w:hanging="360"/>
      </w:pPr>
      <w:rPr>
        <w:rFonts w:ascii="Times Roman" w:hAnsi="Times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290627B"/>
    <w:multiLevelType w:val="hybridMultilevel"/>
    <w:tmpl w:val="CA1C1D5C"/>
    <w:lvl w:ilvl="0" w:tplc="266410A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16FC3"/>
    <w:rsid w:val="00280BCD"/>
    <w:rsid w:val="003A3F8E"/>
    <w:rsid w:val="003A707F"/>
    <w:rsid w:val="003B0EC1"/>
    <w:rsid w:val="003B573B"/>
    <w:rsid w:val="003F2CBD"/>
    <w:rsid w:val="00424B97"/>
    <w:rsid w:val="004B2753"/>
    <w:rsid w:val="00520873"/>
    <w:rsid w:val="00573D44"/>
    <w:rsid w:val="00840A06"/>
    <w:rsid w:val="008439B7"/>
    <w:rsid w:val="0087253F"/>
    <w:rsid w:val="008E4F6C"/>
    <w:rsid w:val="009539C7"/>
    <w:rsid w:val="009964C9"/>
    <w:rsid w:val="009B79E6"/>
    <w:rsid w:val="00A00F21"/>
    <w:rsid w:val="00A06CC4"/>
    <w:rsid w:val="00B05672"/>
    <w:rsid w:val="00B84226"/>
    <w:rsid w:val="00C63C4E"/>
    <w:rsid w:val="00C72C30"/>
    <w:rsid w:val="00D229E5"/>
    <w:rsid w:val="00D33BFF"/>
    <w:rsid w:val="00D77A88"/>
    <w:rsid w:val="00E517FD"/>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A41EF14-C4AD-45E0-8B34-FE7DA485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C4"/>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216F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A06CC4"/>
    <w:pPr>
      <w:overflowPunct/>
      <w:autoSpaceDE/>
      <w:autoSpaceDN/>
      <w:adjustRightInd/>
      <w:spacing w:after="200" w:line="276" w:lineRule="auto"/>
      <w:ind w:left="720"/>
      <w:contextualSpacing/>
      <w:jc w:val="left"/>
      <w:textAlignment w:val="auto"/>
    </w:pPr>
    <w:rPr>
      <w:rFonts w:ascii="Calibri" w:eastAsia="Calibri" w:hAnsi="Calibri"/>
      <w:szCs w:val="22"/>
    </w:rPr>
  </w:style>
  <w:style w:type="table" w:styleId="TableGrid">
    <w:name w:val="Table Grid"/>
    <w:basedOn w:val="TableNormal"/>
    <w:uiPriority w:val="59"/>
    <w:rsid w:val="00A0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6F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u/url?sa=i&amp;rct=j&amp;q=&amp;esrc=s&amp;source=images&amp;cd=&amp;cad=rja&amp;uact=8&amp;ved=0ahUKEwjztN-ZzYrYAhVIspQKHbSiCaQQjRwIBw&amp;url=https://www.pmc.gov.au/government/commonwealth-coat-arms&amp;psig=AOvVaw1FfqnktxUBMEDGeJ_ZyUUu&amp;ust=15133787167366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BDDF-BA5B-46A5-BA1A-3F8AC929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Dale Stoddart</cp:lastModifiedBy>
  <cp:revision>5</cp:revision>
  <cp:lastPrinted>2013-06-24T01:35:00Z</cp:lastPrinted>
  <dcterms:created xsi:type="dcterms:W3CDTF">2018-02-22T04:35:00Z</dcterms:created>
  <dcterms:modified xsi:type="dcterms:W3CDTF">2018-02-28T05:13:00Z</dcterms:modified>
</cp:coreProperties>
</file>