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50" w:rsidRPr="007C076B" w:rsidRDefault="00BA0D50" w:rsidP="00BA0D50">
      <w:pPr>
        <w:pStyle w:val="Heading3"/>
        <w:jc w:val="left"/>
        <w:rPr>
          <w:rFonts w:asciiTheme="minorHAnsi" w:hAnsiTheme="minorHAnsi"/>
          <w:b w:val="0"/>
          <w:szCs w:val="22"/>
          <w:lang w:val="en-AU"/>
        </w:rPr>
      </w:pPr>
      <w:r>
        <w:rPr>
          <w:noProof/>
          <w:lang w:val="en-AU"/>
        </w:rPr>
        <w:drawing>
          <wp:inline distT="0" distB="0" distL="0" distR="0" wp14:anchorId="74C3D5EC" wp14:editId="17F2BA5E">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A0D50" w:rsidRPr="007C076B" w:rsidRDefault="00BA0D50" w:rsidP="00BA0D50">
      <w:pPr>
        <w:jc w:val="right"/>
        <w:rPr>
          <w:caps/>
          <w:u w:val="single"/>
          <w:lang w:val="en-US"/>
        </w:rPr>
      </w:pPr>
      <w:bookmarkStart w:id="0" w:name="Start"/>
      <w:bookmarkEnd w:id="0"/>
      <w:r>
        <w:t>14 June 2018</w:t>
      </w:r>
    </w:p>
    <w:p w:rsidR="00BA0D50" w:rsidRPr="007C076B" w:rsidRDefault="00BA0D50" w:rsidP="00BA0D50">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caps w:val="0"/>
          <w:sz w:val="32"/>
          <w:szCs w:val="32"/>
          <w:lang w:val="en-US"/>
        </w:rPr>
        <w:t xml:space="preserve"> canola </w:t>
      </w:r>
      <w:r w:rsidRPr="007C076B">
        <w:rPr>
          <w:rFonts w:asciiTheme="minorHAnsi" w:hAnsiTheme="minorHAnsi"/>
          <w:caps w:val="0"/>
          <w:sz w:val="32"/>
          <w:szCs w:val="32"/>
          <w:lang w:val="en-US"/>
        </w:rPr>
        <w:t>field trial</w:t>
      </w:r>
    </w:p>
    <w:p w:rsidR="00BA0D50" w:rsidRPr="00372FC5" w:rsidRDefault="00BA0D50" w:rsidP="00BA0D50">
      <w:pPr>
        <w:spacing w:after="120"/>
      </w:pPr>
      <w:r w:rsidRPr="007C076B">
        <w:t xml:space="preserve">Australia’s gene technology regulatory system is designed to protect the health and safety of people and the </w:t>
      </w:r>
      <w:r w:rsidRPr="00372FC5">
        <w:t>environment by identifying risks posed by, or as a result of, gene technology and managing those risks.</w:t>
      </w:r>
    </w:p>
    <w:p w:rsidR="00BA0D50" w:rsidRPr="00372FC5" w:rsidRDefault="00BA0D50" w:rsidP="00BA0D50">
      <w:pPr>
        <w:spacing w:after="120"/>
      </w:pPr>
      <w:r w:rsidRPr="00372FC5">
        <w:t>The Gene Technology Regulator is currently assessing licence application DIR 163 from Nuseed Pty Ltd. The application is for a field trial (</w:t>
      </w:r>
      <w:r w:rsidRPr="00372FC5">
        <w:rPr>
          <w:snapToGrid w:val="0"/>
        </w:rPr>
        <w:t>limited and controlled release) of</w:t>
      </w:r>
      <w:r w:rsidRPr="00372FC5">
        <w:rPr>
          <w:rFonts w:ascii="Calibri" w:hAnsi="Calibri"/>
        </w:rPr>
        <w:t xml:space="preserve"> canola plants genetically modified</w:t>
      </w:r>
      <w:r w:rsidRPr="00372FC5">
        <w:rPr>
          <w:rFonts w:ascii="Calibri" w:hAnsi="Calibri"/>
          <w:snapToGrid w:val="0"/>
        </w:rPr>
        <w:t xml:space="preserve"> </w:t>
      </w:r>
      <w:r w:rsidRPr="00372FC5">
        <w:rPr>
          <w:rFonts w:cstheme="minorHAnsi"/>
        </w:rPr>
        <w:t>for altered oil content and herbicide tolerance</w:t>
      </w:r>
      <w:r w:rsidRPr="00372FC5">
        <w:t>.</w:t>
      </w:r>
      <w:r w:rsidRPr="00372FC5">
        <w:rPr>
          <w:snapToGrid w:val="0"/>
        </w:rPr>
        <w:t xml:space="preserve"> </w:t>
      </w:r>
      <w:r w:rsidRPr="00372FC5">
        <w:t>The purpose of the field trial is to gather data, under field conditions for agronomic performance, oil profile and content, nutritional assessment, compositional analysis, molecular analysis</w:t>
      </w:r>
      <w:r>
        <w:t xml:space="preserve"> and </w:t>
      </w:r>
      <w:r w:rsidRPr="00372FC5">
        <w:t>genetic stability.</w:t>
      </w:r>
    </w:p>
    <w:p w:rsidR="00BA0D50" w:rsidRPr="00570CCC" w:rsidRDefault="00BA0D50" w:rsidP="00BA0D50">
      <w:pPr>
        <w:pStyle w:val="Arrow"/>
        <w:numPr>
          <w:ilvl w:val="0"/>
          <w:numId w:val="0"/>
        </w:numPr>
        <w:spacing w:after="120"/>
        <w:rPr>
          <w:rFonts w:ascii="Calibri" w:hAnsi="Calibri"/>
          <w:sz w:val="22"/>
          <w:szCs w:val="22"/>
        </w:rPr>
      </w:pPr>
      <w:r w:rsidRPr="00545D9A">
        <w:rPr>
          <w:rFonts w:ascii="Calibri" w:hAnsi="Calibri"/>
          <w:sz w:val="22"/>
          <w:szCs w:val="22"/>
        </w:rPr>
        <w:t>The trial</w:t>
      </w:r>
      <w:r>
        <w:rPr>
          <w:rFonts w:ascii="Calibri" w:hAnsi="Calibri"/>
          <w:sz w:val="22"/>
          <w:szCs w:val="22"/>
        </w:rPr>
        <w:t xml:space="preserve"> sites are</w:t>
      </w:r>
      <w:r w:rsidRPr="00545D9A">
        <w:rPr>
          <w:rFonts w:ascii="Calibri" w:hAnsi="Calibri"/>
          <w:sz w:val="22"/>
          <w:szCs w:val="22"/>
        </w:rPr>
        <w:t xml:space="preserve"> proposed to </w:t>
      </w:r>
      <w:r w:rsidRPr="006401A2">
        <w:rPr>
          <w:rFonts w:asciiTheme="minorHAnsi" w:hAnsiTheme="minorHAnsi"/>
          <w:sz w:val="22"/>
          <w:szCs w:val="22"/>
        </w:rPr>
        <w:t xml:space="preserve">be selected </w:t>
      </w:r>
      <w:r>
        <w:rPr>
          <w:rFonts w:asciiTheme="minorHAnsi" w:hAnsiTheme="minorHAnsi"/>
          <w:sz w:val="22"/>
          <w:szCs w:val="22"/>
        </w:rPr>
        <w:t>in</w:t>
      </w:r>
      <w:r w:rsidRPr="006401A2">
        <w:rPr>
          <w:rFonts w:asciiTheme="minorHAnsi" w:hAnsiTheme="minorHAnsi"/>
          <w:sz w:val="22"/>
          <w:szCs w:val="22"/>
        </w:rPr>
        <w:t xml:space="preserve"> </w:t>
      </w:r>
      <w:r>
        <w:rPr>
          <w:rFonts w:asciiTheme="minorHAnsi" w:hAnsiTheme="minorHAnsi"/>
          <w:sz w:val="22"/>
          <w:szCs w:val="22"/>
        </w:rPr>
        <w:t>95</w:t>
      </w:r>
      <w:r w:rsidRPr="006401A2">
        <w:rPr>
          <w:rFonts w:asciiTheme="minorHAnsi" w:hAnsiTheme="minorHAnsi"/>
          <w:sz w:val="22"/>
          <w:szCs w:val="22"/>
        </w:rPr>
        <w:t xml:space="preserve"> possible local government areas in </w:t>
      </w:r>
      <w:r w:rsidRPr="006401A2">
        <w:rPr>
          <w:rFonts w:ascii="Calibri" w:hAnsi="Calibri"/>
          <w:sz w:val="22"/>
          <w:szCs w:val="22"/>
        </w:rPr>
        <w:t>New South Wales</w:t>
      </w:r>
      <w:r w:rsidRPr="006401A2">
        <w:rPr>
          <w:rFonts w:asciiTheme="minorHAnsi" w:hAnsiTheme="minorHAnsi"/>
          <w:sz w:val="22"/>
          <w:szCs w:val="22"/>
        </w:rPr>
        <w:t>, Victoria and Queensland</w:t>
      </w:r>
      <w:r>
        <w:rPr>
          <w:rFonts w:asciiTheme="minorHAnsi" w:hAnsiTheme="minorHAnsi"/>
          <w:sz w:val="22"/>
          <w:szCs w:val="22"/>
        </w:rPr>
        <w:t xml:space="preserve">. The field trial may occur </w:t>
      </w:r>
      <w:r w:rsidRPr="00A86645">
        <w:rPr>
          <w:rFonts w:asciiTheme="minorHAnsi" w:hAnsiTheme="minorHAnsi"/>
          <w:sz w:val="22"/>
          <w:szCs w:val="22"/>
        </w:rPr>
        <w:t>over five growing seasons between November 2018 and December 2023. The proposal is to plant</w:t>
      </w:r>
      <w:r>
        <w:rPr>
          <w:rFonts w:asciiTheme="minorHAnsi" w:hAnsiTheme="minorHAnsi"/>
          <w:sz w:val="22"/>
          <w:szCs w:val="22"/>
        </w:rPr>
        <w:t xml:space="preserve"> a total maximum of</w:t>
      </w:r>
      <w:r w:rsidRPr="00417577">
        <w:rPr>
          <w:rFonts w:asciiTheme="minorHAnsi" w:hAnsiTheme="minorHAnsi"/>
          <w:sz w:val="22"/>
          <w:szCs w:val="22"/>
        </w:rPr>
        <w:t xml:space="preserve"> </w:t>
      </w:r>
      <w:r w:rsidRPr="00A86645">
        <w:rPr>
          <w:rFonts w:asciiTheme="minorHAnsi" w:hAnsiTheme="minorHAnsi"/>
          <w:sz w:val="22"/>
          <w:szCs w:val="22"/>
        </w:rPr>
        <w:t>150</w:t>
      </w:r>
      <w:r>
        <w:rPr>
          <w:rFonts w:asciiTheme="minorHAnsi" w:hAnsiTheme="minorHAnsi"/>
          <w:sz w:val="22"/>
          <w:szCs w:val="22"/>
        </w:rPr>
        <w:t xml:space="preserve"> </w:t>
      </w:r>
      <w:r w:rsidRPr="00A86645">
        <w:rPr>
          <w:rFonts w:asciiTheme="minorHAnsi" w:hAnsiTheme="minorHAnsi"/>
          <w:sz w:val="22"/>
          <w:szCs w:val="22"/>
        </w:rPr>
        <w:t>ha</w:t>
      </w:r>
      <w:r>
        <w:rPr>
          <w:rFonts w:asciiTheme="minorHAnsi" w:hAnsiTheme="minorHAnsi"/>
          <w:sz w:val="22"/>
          <w:szCs w:val="22"/>
        </w:rPr>
        <w:t xml:space="preserve"> per </w:t>
      </w:r>
      <w:r w:rsidRPr="00A86645">
        <w:rPr>
          <w:rFonts w:asciiTheme="minorHAnsi" w:hAnsiTheme="minorHAnsi"/>
          <w:sz w:val="22"/>
          <w:szCs w:val="22"/>
        </w:rPr>
        <w:t>year</w:t>
      </w:r>
      <w:r w:rsidRPr="00E94691">
        <w:rPr>
          <w:rFonts w:asciiTheme="minorHAnsi" w:hAnsiTheme="minorHAnsi" w:cs="Arial"/>
          <w:sz w:val="22"/>
          <w:szCs w:val="22"/>
        </w:rPr>
        <w:t xml:space="preserve"> </w:t>
      </w:r>
      <w:r>
        <w:rPr>
          <w:rFonts w:asciiTheme="minorHAnsi" w:hAnsiTheme="minorHAnsi" w:cs="Arial"/>
          <w:sz w:val="22"/>
          <w:szCs w:val="22"/>
        </w:rPr>
        <w:t>on up to</w:t>
      </w:r>
      <w:r w:rsidRPr="00A86645">
        <w:rPr>
          <w:rFonts w:asciiTheme="minorHAnsi" w:hAnsiTheme="minorHAnsi" w:cs="Arial"/>
          <w:sz w:val="22"/>
          <w:szCs w:val="22"/>
        </w:rPr>
        <w:t xml:space="preserve"> </w:t>
      </w:r>
      <w:r>
        <w:rPr>
          <w:rFonts w:asciiTheme="minorHAnsi" w:hAnsiTheme="minorHAnsi"/>
          <w:sz w:val="22"/>
          <w:szCs w:val="22"/>
        </w:rPr>
        <w:t xml:space="preserve">20 </w:t>
      </w:r>
      <w:r>
        <w:rPr>
          <w:rFonts w:asciiTheme="minorHAnsi" w:hAnsiTheme="minorHAnsi" w:cs="Arial"/>
          <w:sz w:val="22"/>
          <w:szCs w:val="22"/>
        </w:rPr>
        <w:t>sites</w:t>
      </w:r>
      <w:r w:rsidRPr="00A86645">
        <w:rPr>
          <w:rFonts w:asciiTheme="minorHAnsi" w:hAnsiTheme="minorHAnsi"/>
          <w:sz w:val="22"/>
          <w:szCs w:val="22"/>
        </w:rPr>
        <w:t>.</w:t>
      </w:r>
      <w:r>
        <w:rPr>
          <w:rFonts w:asciiTheme="minorHAnsi" w:hAnsiTheme="minorHAnsi"/>
          <w:sz w:val="22"/>
          <w:szCs w:val="22"/>
        </w:rPr>
        <w:t xml:space="preserve"> </w:t>
      </w:r>
      <w:r w:rsidRPr="007C076B">
        <w:rPr>
          <w:rFonts w:asciiTheme="minorHAnsi" w:hAnsiTheme="minorHAnsi"/>
          <w:sz w:val="22"/>
          <w:szCs w:val="22"/>
        </w:rPr>
        <w:t xml:space="preserve">The GM </w:t>
      </w:r>
      <w:r>
        <w:rPr>
          <w:rFonts w:asciiTheme="minorHAnsi" w:hAnsiTheme="minorHAnsi"/>
          <w:sz w:val="22"/>
          <w:szCs w:val="22"/>
        </w:rPr>
        <w:t xml:space="preserve">canola grown in this field trial </w:t>
      </w:r>
      <w:r w:rsidRPr="007C076B">
        <w:rPr>
          <w:rFonts w:asciiTheme="minorHAnsi" w:hAnsiTheme="minorHAnsi"/>
          <w:sz w:val="22"/>
          <w:szCs w:val="22"/>
        </w:rPr>
        <w:t xml:space="preserve">would not </w:t>
      </w:r>
      <w:r>
        <w:rPr>
          <w:rFonts w:asciiTheme="minorHAnsi" w:hAnsiTheme="minorHAnsi"/>
          <w:sz w:val="22"/>
          <w:szCs w:val="22"/>
        </w:rPr>
        <w:t>be used for commercial human food or animal feed.</w:t>
      </w:r>
    </w:p>
    <w:p w:rsidR="00BA0D50" w:rsidRPr="007C076B" w:rsidRDefault="00BA0D50" w:rsidP="00BA0D50">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A consultation Risk Assessment and Risk Management Plan (RARMP) has been prepared, which concludes that </w:t>
      </w:r>
      <w:r w:rsidRPr="006A4908">
        <w:rPr>
          <w:rFonts w:asciiTheme="minorHAnsi" w:hAnsiTheme="minorHAnsi"/>
          <w:sz w:val="22"/>
          <w:szCs w:val="22"/>
        </w:rPr>
        <w:t xml:space="preserve">the proposed release would pose negligible risk to human health and safety or to the environment. A range of </w:t>
      </w:r>
      <w:r w:rsidRPr="007C076B">
        <w:rPr>
          <w:rFonts w:asciiTheme="minorHAnsi" w:hAnsiTheme="minorHAnsi"/>
          <w:sz w:val="22"/>
          <w:szCs w:val="22"/>
        </w:rPr>
        <w:t>draft licence conditions would limit the size, location</w:t>
      </w:r>
      <w:r>
        <w:rPr>
          <w:rFonts w:asciiTheme="minorHAnsi" w:hAnsiTheme="minorHAnsi"/>
          <w:sz w:val="22"/>
          <w:szCs w:val="22"/>
        </w:rPr>
        <w:t>s</w:t>
      </w:r>
      <w:r w:rsidRPr="007C076B">
        <w:rPr>
          <w:rFonts w:asciiTheme="minorHAnsi" w:hAnsiTheme="minorHAnsi"/>
          <w:sz w:val="22"/>
          <w:szCs w:val="22"/>
        </w:rPr>
        <w:t xml:space="preserve"> and duration of the release, as well as restrict the spread and persistence of the GMOs and the introduced genetic material.</w:t>
      </w:r>
    </w:p>
    <w:p w:rsidR="00BA0D50" w:rsidRPr="007C076B" w:rsidRDefault="00BA0D50" w:rsidP="00BA0D50">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7C076B">
          <w:rPr>
            <w:rStyle w:val="Hyperlink"/>
          </w:rPr>
          <w:t>What’s</w:t>
        </w:r>
        <w:proofErr w:type="gramEnd"/>
        <w:r w:rsidRPr="007C076B">
          <w:rPr>
            <w:rStyle w:val="Hyperlink"/>
          </w:rPr>
          <w:t xml:space="preserve"> New</w:t>
        </w:r>
      </w:hyperlink>
      <w:r w:rsidRPr="007C076B">
        <w:t xml:space="preserve"> or by contacting the Office. Please quote application DIR 1</w:t>
      </w:r>
      <w:r>
        <w:t>63</w:t>
      </w:r>
      <w:r w:rsidRPr="007C076B">
        <w:t xml:space="preserve"> in any correspondence.</w:t>
      </w:r>
    </w:p>
    <w:p w:rsidR="00BA0D50" w:rsidRPr="007C076B" w:rsidRDefault="00BA0D50" w:rsidP="00BA0D50">
      <w:pPr>
        <w:spacing w:after="120"/>
      </w:pPr>
      <w:r w:rsidRPr="007C076B">
        <w:t xml:space="preserve">Submissions should be received by close of business on </w:t>
      </w:r>
      <w:r>
        <w:rPr>
          <w:b/>
        </w:rPr>
        <w:t xml:space="preserve">26 July </w:t>
      </w:r>
      <w:r w:rsidRPr="00570CCC">
        <w:rPr>
          <w:b/>
        </w:rPr>
        <w:t>2018</w:t>
      </w:r>
      <w:r w:rsidRPr="007C076B">
        <w:t>.</w:t>
      </w:r>
    </w:p>
    <w:p w:rsidR="00BA0D50" w:rsidRPr="007C076B" w:rsidRDefault="00BA0D50" w:rsidP="00BA0D50">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BA0D50" w:rsidRPr="007C076B" w:rsidRDefault="00BA0D50" w:rsidP="00BA0D50">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BA0D50" w:rsidRPr="007C076B" w:rsidRDefault="00BA0D50" w:rsidP="00BA0D50">
      <w:pPr>
        <w:pStyle w:val="BodyText3"/>
        <w:keepNext/>
        <w:jc w:val="center"/>
        <w:rPr>
          <w:rFonts w:asciiTheme="minorHAnsi" w:hAnsiTheme="minorHAnsi"/>
          <w:sz w:val="22"/>
          <w:szCs w:val="22"/>
        </w:rPr>
      </w:pPr>
      <w:hyperlink r:id="rId12" w:history="1">
        <w:r w:rsidRPr="007C076B">
          <w:rPr>
            <w:rStyle w:val="Hyperlink"/>
            <w:rFonts w:asciiTheme="minorHAnsi" w:hAnsiTheme="minorHAnsi"/>
            <w:sz w:val="22"/>
            <w:szCs w:val="22"/>
          </w:rPr>
          <w:t>OGTR website</w:t>
        </w:r>
      </w:hyperlink>
      <w:r w:rsidRPr="007C076B">
        <w:rPr>
          <w:rFonts w:asciiTheme="minorHAnsi" w:hAnsiTheme="minorHAnsi"/>
          <w:sz w:val="22"/>
          <w:szCs w:val="22"/>
        </w:rPr>
        <w:t xml:space="preserve"> </w:t>
      </w:r>
      <w:r w:rsidRPr="007C076B">
        <w:rPr>
          <w:rFonts w:asciiTheme="minorHAnsi" w:hAnsiTheme="minorHAnsi"/>
          <w:sz w:val="22"/>
          <w:szCs w:val="22"/>
        </w:rPr>
        <w:softHyphen/>
        <w:t xml:space="preserve"> www.ogtr.gov.au</w:t>
      </w:r>
    </w:p>
    <w:p w:rsidR="004B2753" w:rsidRPr="00424B97" w:rsidRDefault="004B2753" w:rsidP="00424B97">
      <w:bookmarkStart w:id="1" w:name="_GoBack"/>
      <w:bookmarkEnd w:id="1"/>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A0D50"/>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0D50"/>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A0D50"/>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A0D50"/>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0D50"/>
    <w:rPr>
      <w:rFonts w:ascii="Times New Roman" w:eastAsia="Times New Roman" w:hAnsi="Times New Roman" w:cs="Times New Roman"/>
      <w:b/>
      <w:szCs w:val="20"/>
      <w:lang w:val="en-US" w:eastAsia="en-AU"/>
    </w:rPr>
  </w:style>
  <w:style w:type="character" w:styleId="Hyperlink">
    <w:name w:val="Hyperlink"/>
    <w:basedOn w:val="DefaultParagraphFont"/>
    <w:rsid w:val="00BA0D50"/>
    <w:rPr>
      <w:color w:val="0000FF"/>
      <w:u w:val="single"/>
    </w:rPr>
  </w:style>
  <w:style w:type="paragraph" w:styleId="BodyText3">
    <w:name w:val="Body Text 3"/>
    <w:basedOn w:val="Normal"/>
    <w:link w:val="BodyText3Char"/>
    <w:rsid w:val="00BA0D50"/>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A0D50"/>
    <w:rPr>
      <w:rFonts w:ascii="Times New Roman" w:eastAsia="Times New Roman" w:hAnsi="Times New Roman" w:cs="Times New Roman"/>
      <w:b/>
      <w:sz w:val="24"/>
      <w:szCs w:val="20"/>
      <w:lang w:eastAsia="en-AU"/>
    </w:rPr>
  </w:style>
  <w:style w:type="paragraph" w:customStyle="1" w:styleId="Arrow">
    <w:name w:val="Arrow"/>
    <w:basedOn w:val="Normal"/>
    <w:rsid w:val="00BA0D50"/>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0D50"/>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A0D50"/>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A0D50"/>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0D50"/>
    <w:rPr>
      <w:rFonts w:ascii="Times New Roman" w:eastAsia="Times New Roman" w:hAnsi="Times New Roman" w:cs="Times New Roman"/>
      <w:b/>
      <w:szCs w:val="20"/>
      <w:lang w:val="en-US" w:eastAsia="en-AU"/>
    </w:rPr>
  </w:style>
  <w:style w:type="character" w:styleId="Hyperlink">
    <w:name w:val="Hyperlink"/>
    <w:basedOn w:val="DefaultParagraphFont"/>
    <w:rsid w:val="00BA0D50"/>
    <w:rPr>
      <w:color w:val="0000FF"/>
      <w:u w:val="single"/>
    </w:rPr>
  </w:style>
  <w:style w:type="paragraph" w:styleId="BodyText3">
    <w:name w:val="Body Text 3"/>
    <w:basedOn w:val="Normal"/>
    <w:link w:val="BodyText3Char"/>
    <w:rsid w:val="00BA0D50"/>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A0D50"/>
    <w:rPr>
      <w:rFonts w:ascii="Times New Roman" w:eastAsia="Times New Roman" w:hAnsi="Times New Roman" w:cs="Times New Roman"/>
      <w:b/>
      <w:sz w:val="24"/>
      <w:szCs w:val="20"/>
      <w:lang w:eastAsia="en-AU"/>
    </w:rPr>
  </w:style>
  <w:style w:type="paragraph" w:customStyle="1" w:styleId="Arrow">
    <w:name w:val="Arrow"/>
    <w:basedOn w:val="Normal"/>
    <w:rsid w:val="00BA0D50"/>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16EB-6C82-4511-9BD4-684A128C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MARTIN AVILA, Elena</cp:lastModifiedBy>
  <cp:revision>2</cp:revision>
  <cp:lastPrinted>2013-06-24T01:35:00Z</cp:lastPrinted>
  <dcterms:created xsi:type="dcterms:W3CDTF">2018-06-08T00:26:00Z</dcterms:created>
  <dcterms:modified xsi:type="dcterms:W3CDTF">2018-06-08T00:26:00Z</dcterms:modified>
</cp:coreProperties>
</file>