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E6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36B86" w:rsidRPr="00C36B86" w:rsidRDefault="00C36B86" w:rsidP="00DF0B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65024A" w:rsidRDefault="00C36B86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C36B86">
        <w:rPr>
          <w:rFonts w:asciiTheme="minorHAnsi" w:hAnsiTheme="minorHAnsi" w:cs="Courier New"/>
          <w:b/>
          <w:sz w:val="22"/>
          <w:szCs w:val="22"/>
        </w:rPr>
        <w:t>Determination of names and boundaries of federal electoral divisions in</w:t>
      </w:r>
      <w:r w:rsidR="00210802">
        <w:rPr>
          <w:rFonts w:asciiTheme="minorHAnsi" w:hAnsiTheme="minorHAnsi" w:cs="Courier New"/>
          <w:b/>
          <w:sz w:val="22"/>
          <w:szCs w:val="22"/>
        </w:rPr>
        <w:t xml:space="preserve"> </w:t>
      </w:r>
    </w:p>
    <w:p w:rsidR="00C36B86" w:rsidRPr="00C36B86" w:rsidRDefault="00210802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210802">
        <w:rPr>
          <w:rFonts w:asciiTheme="minorHAnsi" w:hAnsiTheme="minorHAnsi" w:cs="Courier New"/>
          <w:b/>
          <w:color w:val="000000" w:themeColor="text1"/>
          <w:sz w:val="22"/>
          <w:szCs w:val="22"/>
        </w:rPr>
        <w:t>the Australian Capital Territory</w:t>
      </w: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As determined by the Electoral Commissioner on 31 August 2017,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the Australian Capital Territory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is entitled to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three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members of the House of Representatives.</w:t>
      </w: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</w:p>
    <w:p w:rsid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Pursuant to sub-section 73(1) of the </w:t>
      </w:r>
      <w:r w:rsidRPr="00210802">
        <w:rPr>
          <w:rFonts w:asciiTheme="minorHAnsi" w:hAnsiTheme="minorHAnsi" w:cs="Courier New"/>
          <w:i/>
          <w:color w:val="000000" w:themeColor="text1"/>
          <w:sz w:val="22"/>
          <w:szCs w:val="22"/>
        </w:rPr>
        <w:t>Commonwealth Electoral Act 1918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(the Electoral Act), the augmented Electoral Commission for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the Australian Capital Territory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has determined the names of the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three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electoral </w:t>
      </w:r>
      <w:r w:rsidRPr="00C36B86">
        <w:rPr>
          <w:rFonts w:asciiTheme="minorHAnsi" w:hAnsiTheme="minorHAnsi" w:cs="Courier New"/>
          <w:sz w:val="22"/>
          <w:szCs w:val="22"/>
        </w:rPr>
        <w:t xml:space="preserve">divisions are: </w:t>
      </w:r>
    </w:p>
    <w:p w:rsidR="00635CDF" w:rsidRDefault="00635CDF" w:rsidP="00C36B86">
      <w:pPr>
        <w:pStyle w:val="PlainText"/>
        <w:numPr>
          <w:ilvl w:val="0"/>
          <w:numId w:val="3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Bean</w:t>
      </w:r>
    </w:p>
    <w:p w:rsidR="00C36B86" w:rsidRPr="00A14082" w:rsidRDefault="00210802" w:rsidP="00C36B86">
      <w:pPr>
        <w:pStyle w:val="PlainText"/>
        <w:numPr>
          <w:ilvl w:val="0"/>
          <w:numId w:val="3"/>
        </w:numPr>
        <w:rPr>
          <w:rFonts w:asciiTheme="minorHAnsi" w:hAnsiTheme="minorHAnsi" w:cs="Courier New"/>
          <w:sz w:val="22"/>
          <w:szCs w:val="22"/>
        </w:rPr>
      </w:pPr>
      <w:r w:rsidRPr="00A14082">
        <w:rPr>
          <w:rFonts w:asciiTheme="minorHAnsi" w:hAnsiTheme="minorHAnsi" w:cs="Courier New"/>
          <w:sz w:val="22"/>
          <w:szCs w:val="22"/>
        </w:rPr>
        <w:t>Canberra</w:t>
      </w:r>
    </w:p>
    <w:p w:rsidR="00210802" w:rsidRPr="00A14082" w:rsidRDefault="00210802" w:rsidP="00C36B86">
      <w:pPr>
        <w:pStyle w:val="PlainText"/>
        <w:numPr>
          <w:ilvl w:val="0"/>
          <w:numId w:val="3"/>
        </w:numPr>
        <w:rPr>
          <w:rFonts w:asciiTheme="minorHAnsi" w:hAnsiTheme="minorHAnsi" w:cs="Courier New"/>
          <w:sz w:val="22"/>
          <w:szCs w:val="22"/>
        </w:rPr>
      </w:pPr>
      <w:proofErr w:type="spellStart"/>
      <w:r w:rsidRPr="00A14082">
        <w:rPr>
          <w:rFonts w:asciiTheme="minorHAnsi" w:hAnsiTheme="minorHAnsi" w:cs="Courier New"/>
          <w:sz w:val="22"/>
          <w:szCs w:val="22"/>
        </w:rPr>
        <w:t>Fen</w:t>
      </w:r>
      <w:r w:rsidR="00EB72D2" w:rsidRPr="00A14082">
        <w:rPr>
          <w:rFonts w:asciiTheme="minorHAnsi" w:hAnsiTheme="minorHAnsi" w:cs="Courier New"/>
          <w:sz w:val="22"/>
          <w:szCs w:val="22"/>
        </w:rPr>
        <w:t>n</w:t>
      </w:r>
      <w:r w:rsidRPr="00A14082">
        <w:rPr>
          <w:rFonts w:asciiTheme="minorHAnsi" w:hAnsiTheme="minorHAnsi" w:cs="Courier New"/>
          <w:sz w:val="22"/>
          <w:szCs w:val="22"/>
        </w:rPr>
        <w:t>er</w:t>
      </w:r>
      <w:proofErr w:type="spellEnd"/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36B86">
        <w:rPr>
          <w:rFonts w:asciiTheme="minorHAnsi" w:hAnsiTheme="minorHAnsi" w:cs="Courier New"/>
          <w:sz w:val="22"/>
          <w:szCs w:val="22"/>
        </w:rPr>
        <w:t xml:space="preserve">Pursuant to sub-section 73(1) of the Electoral Act, the augmented Electoral </w:t>
      </w:r>
      <w:r w:rsidRPr="003678B6">
        <w:rPr>
          <w:rFonts w:asciiTheme="minorHAnsi" w:hAnsiTheme="minorHAnsi" w:cs="Courier New"/>
          <w:sz w:val="22"/>
          <w:szCs w:val="22"/>
        </w:rPr>
        <w:t xml:space="preserve">Commission for </w:t>
      </w:r>
      <w:r w:rsidR="00210802" w:rsidRPr="003678B6">
        <w:rPr>
          <w:rFonts w:asciiTheme="minorHAnsi" w:hAnsiTheme="minorHAnsi" w:cs="Courier New"/>
          <w:color w:val="000000" w:themeColor="text1"/>
          <w:sz w:val="22"/>
          <w:szCs w:val="22"/>
        </w:rPr>
        <w:t>the Australian Capital Territory</w:t>
      </w:r>
      <w:r w:rsidRPr="003678B6">
        <w:rPr>
          <w:rFonts w:asciiTheme="minorHAnsi" w:hAnsiTheme="minorHAnsi" w:cs="Courier New"/>
          <w:sz w:val="22"/>
          <w:szCs w:val="22"/>
        </w:rPr>
        <w:t xml:space="preserve"> has determined that the boundaries of these electoral divisions are</w:t>
      </w:r>
      <w:r w:rsidRPr="00C36B86">
        <w:rPr>
          <w:rFonts w:asciiTheme="minorHAnsi" w:hAnsiTheme="minorHAnsi" w:cs="Courier New"/>
          <w:sz w:val="22"/>
          <w:szCs w:val="22"/>
        </w:rPr>
        <w:t xml:space="preserve"> as shown on the maps displayed on the Australian Electoral Commission website at www.aec.gov.au/Electorates/Redistributions and lodged in file number </w:t>
      </w:r>
      <w:bookmarkStart w:id="0" w:name="_GoBack"/>
      <w:r w:rsidRPr="00D6459A">
        <w:rPr>
          <w:rFonts w:asciiTheme="minorHAnsi" w:hAnsiTheme="minorHAnsi" w:cs="Courier New"/>
          <w:sz w:val="22"/>
          <w:szCs w:val="22"/>
        </w:rPr>
        <w:t>1</w:t>
      </w:r>
      <w:r w:rsidR="00210802" w:rsidRPr="00D6459A">
        <w:rPr>
          <w:rFonts w:asciiTheme="minorHAnsi" w:hAnsiTheme="minorHAnsi" w:cs="Courier New"/>
          <w:sz w:val="22"/>
          <w:szCs w:val="22"/>
        </w:rPr>
        <w:t>8</w:t>
      </w:r>
      <w:r w:rsidRPr="00D6459A">
        <w:rPr>
          <w:rFonts w:asciiTheme="minorHAnsi" w:hAnsiTheme="minorHAnsi" w:cs="Courier New"/>
          <w:sz w:val="22"/>
          <w:szCs w:val="22"/>
        </w:rPr>
        <w:t>/</w:t>
      </w:r>
      <w:r w:rsidR="00D6459A" w:rsidRPr="00D6459A">
        <w:rPr>
          <w:rFonts w:asciiTheme="minorHAnsi" w:hAnsiTheme="minorHAnsi" w:cs="Courier New"/>
          <w:sz w:val="22"/>
          <w:szCs w:val="22"/>
        </w:rPr>
        <w:t>405</w:t>
      </w:r>
      <w:r w:rsidRPr="00D6459A">
        <w:rPr>
          <w:rFonts w:asciiTheme="minorHAnsi" w:hAnsiTheme="minorHAnsi" w:cs="Courier New"/>
          <w:sz w:val="22"/>
          <w:szCs w:val="22"/>
        </w:rPr>
        <w:t xml:space="preserve"> at the </w:t>
      </w:r>
      <w:bookmarkEnd w:id="0"/>
      <w:r w:rsidRPr="00C36B86">
        <w:rPr>
          <w:rFonts w:asciiTheme="minorHAnsi" w:hAnsiTheme="minorHAnsi" w:cs="Courier New"/>
          <w:sz w:val="22"/>
          <w:szCs w:val="22"/>
        </w:rPr>
        <w:t>National Office of the Australian Electoral Commission in Canberra.</w:t>
      </w: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The augmented Electoral Commission for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the Australian Capital Territory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has made decisions in accordance with the requirements of sub-sections</w:t>
      </w:r>
      <w:r w:rsidR="009826DC"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56AA, </w:t>
      </w: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>73(3), 73(4) and 73(4A) of the Electoral Act.</w:t>
      </w: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</w:p>
    <w:p w:rsidR="00C36B86" w:rsidRPr="00210802" w:rsidRDefault="00B84A0B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>As provided for by sub-section 73(1) of the Electoral Act, and s</w:t>
      </w:r>
      <w:r w:rsidR="00C36B86"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ubject to the provisions of the Electoral Act, the electoral divisions determined by this notice will apply from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13 July 2018</w:t>
      </w:r>
      <w:r w:rsidR="00C36B86"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until the next determination of names and boundaries of electoral divisions in the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Australian Capital Territory</w:t>
      </w:r>
      <w:r w:rsidR="00C36B86"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is published in the </w:t>
      </w:r>
      <w:r w:rsidR="00C36B86" w:rsidRPr="00210802">
        <w:rPr>
          <w:rFonts w:asciiTheme="minorHAnsi" w:hAnsiTheme="minorHAnsi" w:cs="Courier New"/>
          <w:i/>
          <w:color w:val="000000" w:themeColor="text1"/>
          <w:sz w:val="22"/>
          <w:szCs w:val="22"/>
        </w:rPr>
        <w:t>Commonwealth Government Notices Gazette</w:t>
      </w:r>
      <w:r w:rsidR="00C36B86"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pursuant to sub-section 73(1) or sub-section 76(6) of the Electoral Act.</w:t>
      </w:r>
    </w:p>
    <w:p w:rsidR="00792D26" w:rsidRPr="00210802" w:rsidRDefault="00792D2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</w:p>
    <w:p w:rsidR="00792D26" w:rsidRPr="00210802" w:rsidRDefault="00792D2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>Until the next following expiration or dissolution of the House of Representatives, the redistribution does not affect the election of a new member to fill a vacancy happening in the House of Representatives.</w:t>
      </w: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 </w:t>
      </w: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</w:p>
    <w:p w:rsidR="006E16FF" w:rsidRPr="007F2336" w:rsidRDefault="006E16FF" w:rsidP="006E16FF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F2336">
        <w:rPr>
          <w:rFonts w:asciiTheme="minorHAnsi" w:hAnsiTheme="minorHAnsi" w:cs="Courier New"/>
          <w:sz w:val="22"/>
          <w:szCs w:val="22"/>
        </w:rPr>
        <w:t>Tom Rogers</w:t>
      </w:r>
    </w:p>
    <w:p w:rsidR="006E16FF" w:rsidRPr="00F45FEF" w:rsidRDefault="006E16FF" w:rsidP="006E16FF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F2336">
        <w:rPr>
          <w:rFonts w:asciiTheme="minorHAnsi" w:hAnsiTheme="minorHAnsi" w:cs="Courier New"/>
          <w:sz w:val="22"/>
          <w:szCs w:val="22"/>
        </w:rPr>
        <w:t>Presiding Member</w:t>
      </w:r>
    </w:p>
    <w:p w:rsidR="00C36B86" w:rsidRPr="00210802" w:rsidRDefault="00C36B86" w:rsidP="00C36B86">
      <w:pPr>
        <w:pStyle w:val="PlainTex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210802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Augmented Electoral Commission for </w:t>
      </w:r>
      <w:r w:rsidR="00210802" w:rsidRPr="00210802">
        <w:rPr>
          <w:rFonts w:asciiTheme="minorHAnsi" w:hAnsiTheme="minorHAnsi" w:cs="Courier New"/>
          <w:color w:val="000000" w:themeColor="text1"/>
          <w:sz w:val="22"/>
          <w:szCs w:val="22"/>
        </w:rPr>
        <w:t>the Australian Capital Territory</w:t>
      </w:r>
    </w:p>
    <w:sectPr w:rsidR="00C36B86" w:rsidRPr="00210802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400C"/>
    <w:multiLevelType w:val="hybridMultilevel"/>
    <w:tmpl w:val="7B4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3094"/>
    <w:rsid w:val="00050E2E"/>
    <w:rsid w:val="000E1F2B"/>
    <w:rsid w:val="0019625B"/>
    <w:rsid w:val="001C2AAD"/>
    <w:rsid w:val="001F6E54"/>
    <w:rsid w:val="00210802"/>
    <w:rsid w:val="00224D71"/>
    <w:rsid w:val="00280BCD"/>
    <w:rsid w:val="002C5D42"/>
    <w:rsid w:val="00312875"/>
    <w:rsid w:val="003678B6"/>
    <w:rsid w:val="00392FE3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35CDF"/>
    <w:rsid w:val="0065024A"/>
    <w:rsid w:val="00675062"/>
    <w:rsid w:val="0068353E"/>
    <w:rsid w:val="006D4151"/>
    <w:rsid w:val="006E16FF"/>
    <w:rsid w:val="00716DD4"/>
    <w:rsid w:val="007573BA"/>
    <w:rsid w:val="00792D26"/>
    <w:rsid w:val="007C289B"/>
    <w:rsid w:val="00840A06"/>
    <w:rsid w:val="008439B7"/>
    <w:rsid w:val="00862F2A"/>
    <w:rsid w:val="0087253F"/>
    <w:rsid w:val="008A162B"/>
    <w:rsid w:val="008E2B04"/>
    <w:rsid w:val="008E4F6C"/>
    <w:rsid w:val="009539C7"/>
    <w:rsid w:val="009826DC"/>
    <w:rsid w:val="009E426B"/>
    <w:rsid w:val="00A00F21"/>
    <w:rsid w:val="00A14082"/>
    <w:rsid w:val="00B46489"/>
    <w:rsid w:val="00B84226"/>
    <w:rsid w:val="00B84A0B"/>
    <w:rsid w:val="00B8733C"/>
    <w:rsid w:val="00C36B86"/>
    <w:rsid w:val="00C63C4E"/>
    <w:rsid w:val="00C72C30"/>
    <w:rsid w:val="00CE7CC7"/>
    <w:rsid w:val="00D229E5"/>
    <w:rsid w:val="00D6459A"/>
    <w:rsid w:val="00D77A88"/>
    <w:rsid w:val="00DF0BE6"/>
    <w:rsid w:val="00EA388E"/>
    <w:rsid w:val="00EB1A31"/>
    <w:rsid w:val="00EB72D2"/>
    <w:rsid w:val="00EF3C6D"/>
    <w:rsid w:val="00F10C06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F0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BE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3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D49D-07BD-46D0-A8B3-F782D521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12</cp:revision>
  <cp:lastPrinted>2016-05-03T00:15:00Z</cp:lastPrinted>
  <dcterms:created xsi:type="dcterms:W3CDTF">2018-01-04T06:57:00Z</dcterms:created>
  <dcterms:modified xsi:type="dcterms:W3CDTF">2018-07-09T00:01:00Z</dcterms:modified>
</cp:coreProperties>
</file>