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67822" w14:textId="77777777" w:rsidR="00B83BBD" w:rsidRDefault="00B83BBD" w:rsidP="00B83BBD">
      <w:pPr>
        <w:pStyle w:val="NormalWeb"/>
        <w:spacing w:before="0" w:beforeAutospacing="0" w:after="0" w:afterAutospacing="0"/>
        <w:jc w:val="center"/>
        <w:rPr>
          <w:rFonts w:asciiTheme="minorHAnsi" w:hAnsiTheme="minorHAnsi"/>
        </w:rPr>
      </w:pPr>
      <w:bookmarkStart w:id="0" w:name="top"/>
    </w:p>
    <w:p w14:paraId="42D67823" w14:textId="77777777" w:rsidR="00B83BBD" w:rsidRPr="0059089C" w:rsidRDefault="00B83BBD" w:rsidP="00B83BBD">
      <w:pPr>
        <w:pStyle w:val="NormalWeb"/>
        <w:spacing w:before="0" w:beforeAutospacing="0" w:after="0" w:afterAutospacing="0"/>
        <w:jc w:val="center"/>
        <w:rPr>
          <w:rFonts w:asciiTheme="minorHAnsi" w:hAnsiTheme="minorHAnsi"/>
        </w:rPr>
      </w:pPr>
      <w:r w:rsidRPr="0059089C">
        <w:rPr>
          <w:rFonts w:asciiTheme="minorHAnsi" w:hAnsiTheme="minorHAnsi"/>
        </w:rPr>
        <w:t>DEPARTMENT</w:t>
      </w:r>
      <w:bookmarkEnd w:id="0"/>
      <w:r w:rsidRPr="0059089C">
        <w:rPr>
          <w:rFonts w:asciiTheme="minorHAnsi" w:hAnsiTheme="minorHAnsi"/>
        </w:rPr>
        <w:t xml:space="preserve"> OF </w:t>
      </w:r>
      <w:r w:rsidR="00CC240A">
        <w:rPr>
          <w:rFonts w:asciiTheme="minorHAnsi" w:hAnsiTheme="minorHAnsi"/>
        </w:rPr>
        <w:t>THE</w:t>
      </w:r>
      <w:r w:rsidRPr="0059089C">
        <w:rPr>
          <w:rFonts w:asciiTheme="minorHAnsi" w:hAnsiTheme="minorHAnsi"/>
        </w:rPr>
        <w:t xml:space="preserve"> ENVIRONMENT</w:t>
      </w:r>
      <w:r w:rsidR="009A72C5">
        <w:rPr>
          <w:rFonts w:asciiTheme="minorHAnsi" w:hAnsiTheme="minorHAnsi"/>
        </w:rPr>
        <w:t xml:space="preserve"> AND ENERGY</w:t>
      </w:r>
    </w:p>
    <w:p w14:paraId="42D67824" w14:textId="77777777" w:rsidR="00B83BBD" w:rsidRPr="0059089C" w:rsidRDefault="00B83BBD" w:rsidP="00B83BBD">
      <w:pPr>
        <w:pStyle w:val="NormalWeb"/>
        <w:spacing w:before="0" w:beforeAutospacing="0" w:after="0" w:afterAutospacing="0"/>
        <w:jc w:val="center"/>
        <w:rPr>
          <w:rFonts w:asciiTheme="minorHAnsi" w:hAnsiTheme="minorHAnsi"/>
          <w:i/>
          <w:iCs/>
        </w:rPr>
      </w:pPr>
      <w:r w:rsidRPr="0059089C">
        <w:rPr>
          <w:rFonts w:asciiTheme="minorHAnsi" w:hAnsiTheme="minorHAnsi"/>
          <w:i/>
          <w:iCs/>
        </w:rPr>
        <w:t>Environment Protection and Biodiversity Conservation Act 1999</w:t>
      </w:r>
    </w:p>
    <w:p w14:paraId="42D67825" w14:textId="77777777" w:rsidR="00B83BBD" w:rsidRPr="001F18A6" w:rsidRDefault="00B83BBD" w:rsidP="00B83BBD">
      <w:pPr>
        <w:pStyle w:val="NormalWeb"/>
        <w:spacing w:before="0" w:beforeAutospacing="0" w:after="0" w:afterAutospacing="0"/>
        <w:jc w:val="center"/>
        <w:rPr>
          <w:rFonts w:asciiTheme="minorHAnsi" w:hAnsiTheme="minorHAnsi"/>
          <w:i/>
          <w:iCs/>
          <w:sz w:val="22"/>
          <w:szCs w:val="22"/>
        </w:rPr>
      </w:pPr>
    </w:p>
    <w:p w14:paraId="42D67826"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bookmarkStart w:id="1" w:name="_GoBack"/>
      <w:r w:rsidRPr="00FA1DB4">
        <w:rPr>
          <w:rFonts w:asciiTheme="minorHAnsi" w:hAnsiTheme="minorHAnsi"/>
          <w:i/>
          <w:iCs/>
          <w:sz w:val="22"/>
        </w:rPr>
        <w:t xml:space="preserve">For further information see the referrals list at </w:t>
      </w:r>
      <w:hyperlink r:id="rId13" w:history="1">
        <w:r w:rsidRPr="00FA1DB4">
          <w:rPr>
            <w:rStyle w:val="Hyperlink"/>
            <w:rFonts w:asciiTheme="minorHAnsi" w:hAnsiTheme="minorHAnsi"/>
            <w:i/>
            <w:sz w:val="22"/>
          </w:rPr>
          <w:t>http://epbcnotices.environment.gov.au/referralslist/</w:t>
        </w:r>
      </w:hyperlink>
    </w:p>
    <w:bookmarkEnd w:id="1"/>
    <w:p w14:paraId="42D67827" w14:textId="77777777" w:rsidR="00DB2525" w:rsidRPr="00FA1DB4" w:rsidRDefault="00DB2525" w:rsidP="00DB2525">
      <w:pPr>
        <w:pStyle w:val="NormalWeb"/>
        <w:tabs>
          <w:tab w:val="center" w:pos="4153"/>
          <w:tab w:val="right" w:pos="8306"/>
        </w:tabs>
        <w:spacing w:before="0" w:beforeAutospacing="0" w:after="0" w:afterAutospacing="0"/>
        <w:jc w:val="center"/>
        <w:rPr>
          <w:rFonts w:asciiTheme="minorHAnsi" w:hAnsiTheme="minorHAnsi"/>
          <w:i/>
          <w:iCs/>
          <w:sz w:val="22"/>
        </w:rPr>
      </w:pPr>
      <w:proofErr w:type="gramStart"/>
      <w:r w:rsidRPr="00FA1DB4">
        <w:rPr>
          <w:rFonts w:asciiTheme="minorHAnsi" w:hAnsiTheme="minorHAnsi"/>
          <w:i/>
          <w:iCs/>
          <w:sz w:val="22"/>
        </w:rPr>
        <w:t>and</w:t>
      </w:r>
      <w:proofErr w:type="gramEnd"/>
      <w:r w:rsidRPr="00FA1DB4">
        <w:rPr>
          <w:rFonts w:asciiTheme="minorHAnsi" w:hAnsiTheme="minorHAnsi"/>
          <w:i/>
          <w:iCs/>
          <w:sz w:val="22"/>
        </w:rPr>
        <w:t xml:space="preserve"> type the reference number in the </w:t>
      </w:r>
      <w:r>
        <w:rPr>
          <w:rFonts w:asciiTheme="minorHAnsi" w:hAnsiTheme="minorHAnsi"/>
          <w:i/>
          <w:iCs/>
          <w:sz w:val="22"/>
        </w:rPr>
        <w:t>Filter by Referral Number</w:t>
      </w:r>
      <w:r w:rsidRPr="00FA1DB4">
        <w:rPr>
          <w:rFonts w:asciiTheme="minorHAnsi" w:hAnsiTheme="minorHAnsi"/>
          <w:i/>
          <w:iCs/>
          <w:sz w:val="22"/>
        </w:rPr>
        <w:t xml:space="preserve"> box</w:t>
      </w:r>
    </w:p>
    <w:p w14:paraId="42D67828" w14:textId="77777777" w:rsidR="008B3EB7" w:rsidRPr="002C4F3F" w:rsidRDefault="008B3EB7" w:rsidP="003B66E6">
      <w:pPr>
        <w:pStyle w:val="NormalWeb"/>
        <w:tabs>
          <w:tab w:val="center" w:pos="4153"/>
          <w:tab w:val="right" w:pos="8306"/>
        </w:tabs>
        <w:spacing w:before="0" w:beforeAutospacing="0" w:after="0" w:afterAutospacing="0" w:line="276" w:lineRule="auto"/>
        <w:rPr>
          <w:rFonts w:asciiTheme="minorHAnsi" w:hAnsiTheme="minorHAnsi"/>
          <w:caps/>
          <w:sz w:val="22"/>
          <w:szCs w:val="16"/>
        </w:rPr>
      </w:pPr>
    </w:p>
    <w:p w14:paraId="42D67858" w14:textId="77777777" w:rsidR="002C4F3F" w:rsidRPr="0059089C" w:rsidRDefault="002C4F3F" w:rsidP="003B66E6">
      <w:pPr>
        <w:spacing w:after="0"/>
        <w:rPr>
          <w:caps/>
        </w:rPr>
      </w:pPr>
      <w:r w:rsidRPr="0059089C">
        <w:rPr>
          <w:caps/>
        </w:rPr>
        <w:t xml:space="preserve">actions determined as </w:t>
      </w:r>
      <w:r>
        <w:rPr>
          <w:caps/>
        </w:rPr>
        <w:t xml:space="preserve">NOT </w:t>
      </w:r>
      <w:r w:rsidRPr="0059089C">
        <w:rPr>
          <w:caps/>
        </w:rPr>
        <w:t>requiring approval (</w:t>
      </w:r>
      <w:r w:rsidRPr="0059089C">
        <w:rPr>
          <w:i/>
          <w:caps/>
        </w:rPr>
        <w:t>EPBC A</w:t>
      </w:r>
      <w:r w:rsidRPr="0059089C">
        <w:rPr>
          <w:i/>
        </w:rPr>
        <w:t>ct</w:t>
      </w:r>
      <w:r w:rsidRPr="0059089C">
        <w:rPr>
          <w:caps/>
        </w:rPr>
        <w:t xml:space="preserve"> </w:t>
      </w:r>
      <w:r w:rsidRPr="0059089C">
        <w:t>s</w:t>
      </w:r>
      <w:r w:rsidRPr="0059089C">
        <w:rPr>
          <w:caps/>
        </w:rPr>
        <w:t>.75)</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2C4F3F" w:rsidRPr="0059089C" w14:paraId="42D6785C" w14:textId="77777777" w:rsidTr="004C0E14">
        <w:tc>
          <w:tcPr>
            <w:tcW w:w="1134" w:type="dxa"/>
          </w:tcPr>
          <w:p w14:paraId="42D67859" w14:textId="77777777" w:rsidR="002C4F3F" w:rsidRPr="0059089C" w:rsidRDefault="002C4F3F" w:rsidP="004C0E1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7513" w:type="dxa"/>
          </w:tcPr>
          <w:p w14:paraId="42D6785A" w14:textId="77777777" w:rsidR="002C4F3F" w:rsidRPr="0059089C" w:rsidRDefault="002C4F3F" w:rsidP="004C0E1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5B" w14:textId="77777777" w:rsidR="002C4F3F" w:rsidRPr="0059089C" w:rsidRDefault="002C4F3F" w:rsidP="004C0E14">
            <w:pPr>
              <w:spacing w:line="276" w:lineRule="auto"/>
              <w:rPr>
                <w:rFonts w:asciiTheme="minorHAnsi" w:hAnsiTheme="minorHAnsi"/>
                <w:b/>
                <w:sz w:val="16"/>
                <w:szCs w:val="16"/>
              </w:rPr>
            </w:pPr>
            <w:r w:rsidRPr="0059089C">
              <w:rPr>
                <w:rFonts w:asciiTheme="minorHAnsi" w:hAnsiTheme="minorHAnsi"/>
                <w:b/>
                <w:sz w:val="16"/>
                <w:szCs w:val="16"/>
              </w:rPr>
              <w:t>Date</w:t>
            </w:r>
          </w:p>
        </w:tc>
      </w:tr>
      <w:tr w:rsidR="004C0E14" w:rsidRPr="0059089C" w14:paraId="42D67860" w14:textId="77777777" w:rsidTr="004C0E14">
        <w:tc>
          <w:tcPr>
            <w:tcW w:w="1134" w:type="dxa"/>
          </w:tcPr>
          <w:p w14:paraId="42D6785D" w14:textId="6230AB91"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2018/8217</w:t>
            </w:r>
          </w:p>
        </w:tc>
        <w:tc>
          <w:tcPr>
            <w:tcW w:w="7513" w:type="dxa"/>
          </w:tcPr>
          <w:p w14:paraId="42D6785E" w14:textId="33C0EF04"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SNOWY HYDRO LIMITED / Commonwealth / Lobs Hole Ravine Road, Kosciuszko National Park, NSW, 2627 / New South Wales / Snowy 2.0 Exploratory works, Snowy Mountains, NSW</w:t>
            </w:r>
          </w:p>
        </w:tc>
        <w:tc>
          <w:tcPr>
            <w:tcW w:w="992" w:type="dxa"/>
          </w:tcPr>
          <w:p w14:paraId="42D6785F" w14:textId="1C361783"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10/07/2018</w:t>
            </w:r>
          </w:p>
        </w:tc>
      </w:tr>
      <w:tr w:rsidR="004C0E14" w:rsidRPr="0059089C" w14:paraId="42D67864" w14:textId="77777777" w:rsidTr="004C0E14">
        <w:tc>
          <w:tcPr>
            <w:tcW w:w="1134" w:type="dxa"/>
          </w:tcPr>
          <w:p w14:paraId="42D67861" w14:textId="1606C166"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2018/8215</w:t>
            </w:r>
          </w:p>
        </w:tc>
        <w:tc>
          <w:tcPr>
            <w:tcW w:w="7513" w:type="dxa"/>
          </w:tcPr>
          <w:p w14:paraId="42D67862" w14:textId="512F6619"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 xml:space="preserve">WATER CORPORATION / Waste Management (sewerage) / Multiple Lots and Road Reserves / Western Australia / </w:t>
            </w:r>
            <w:proofErr w:type="spellStart"/>
            <w:r>
              <w:rPr>
                <w:rFonts w:ascii="Calibri" w:hAnsi="Calibri"/>
                <w:color w:val="000000"/>
                <w:sz w:val="16"/>
                <w:szCs w:val="16"/>
              </w:rPr>
              <w:t>Quinns</w:t>
            </w:r>
            <w:proofErr w:type="spellEnd"/>
            <w:r>
              <w:rPr>
                <w:rFonts w:ascii="Calibri" w:hAnsi="Calibri"/>
                <w:color w:val="000000"/>
                <w:sz w:val="16"/>
                <w:szCs w:val="16"/>
              </w:rPr>
              <w:t xml:space="preserve"> Main sewer extension, Clarkson - Neerabup, WA</w:t>
            </w:r>
          </w:p>
        </w:tc>
        <w:tc>
          <w:tcPr>
            <w:tcW w:w="992" w:type="dxa"/>
          </w:tcPr>
          <w:p w14:paraId="42D67863" w14:textId="3F4D5D72"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11/07/2018</w:t>
            </w:r>
          </w:p>
        </w:tc>
      </w:tr>
      <w:tr w:rsidR="004C0E14" w:rsidRPr="0059089C" w14:paraId="42D67868" w14:textId="77777777" w:rsidTr="004C0E14">
        <w:tc>
          <w:tcPr>
            <w:tcW w:w="1134" w:type="dxa"/>
          </w:tcPr>
          <w:p w14:paraId="42D67865" w14:textId="0A6E29FC"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2018/8197</w:t>
            </w:r>
          </w:p>
        </w:tc>
        <w:tc>
          <w:tcPr>
            <w:tcW w:w="7513" w:type="dxa"/>
          </w:tcPr>
          <w:p w14:paraId="42D67866" w14:textId="40D5F4AB"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 xml:space="preserve">NORTHERN TERRITORY OF AUSTRALIA / Transport - Land / NT Portion 220, Kakadu National Park / Northern Territory / </w:t>
            </w:r>
            <w:proofErr w:type="spellStart"/>
            <w:r>
              <w:rPr>
                <w:rFonts w:ascii="Calibri" w:hAnsi="Calibri"/>
                <w:color w:val="000000"/>
                <w:sz w:val="16"/>
                <w:szCs w:val="16"/>
              </w:rPr>
              <w:t>Gimbat</w:t>
            </w:r>
            <w:proofErr w:type="spellEnd"/>
            <w:r>
              <w:rPr>
                <w:rFonts w:ascii="Calibri" w:hAnsi="Calibri"/>
                <w:color w:val="000000"/>
                <w:sz w:val="16"/>
                <w:szCs w:val="16"/>
              </w:rPr>
              <w:t xml:space="preserve"> Road-</w:t>
            </w:r>
            <w:proofErr w:type="spellStart"/>
            <w:r>
              <w:rPr>
                <w:rFonts w:ascii="Calibri" w:hAnsi="Calibri"/>
                <w:color w:val="000000"/>
                <w:sz w:val="16"/>
                <w:szCs w:val="16"/>
              </w:rPr>
              <w:t>Kambolgie</w:t>
            </w:r>
            <w:proofErr w:type="spellEnd"/>
            <w:r>
              <w:rPr>
                <w:rFonts w:ascii="Calibri" w:hAnsi="Calibri"/>
                <w:color w:val="000000"/>
                <w:sz w:val="16"/>
                <w:szCs w:val="16"/>
              </w:rPr>
              <w:t xml:space="preserve"> Creek crossing upgrade, Kakadu NP, NT</w:t>
            </w:r>
          </w:p>
        </w:tc>
        <w:tc>
          <w:tcPr>
            <w:tcW w:w="992" w:type="dxa"/>
          </w:tcPr>
          <w:p w14:paraId="42D67867" w14:textId="4AED3DF1"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13/07/2018</w:t>
            </w:r>
          </w:p>
        </w:tc>
      </w:tr>
      <w:tr w:rsidR="004C0E14" w:rsidRPr="0059089C" w14:paraId="42D6786C" w14:textId="77777777" w:rsidTr="004C0E14">
        <w:tc>
          <w:tcPr>
            <w:tcW w:w="1134" w:type="dxa"/>
          </w:tcPr>
          <w:p w14:paraId="42D67869" w14:textId="7ED84C1F"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2017/8117</w:t>
            </w:r>
          </w:p>
        </w:tc>
        <w:tc>
          <w:tcPr>
            <w:tcW w:w="7513" w:type="dxa"/>
          </w:tcPr>
          <w:p w14:paraId="42D6786A" w14:textId="181F8E15"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WESTERN AUSTRALIAN LAND AUTHORITY / Tourism and Recreation / Lot 591 on deposited plan 71791 / Western Australia / Broome Motorplex Relocation Project, Lot 591 Broome Road</w:t>
            </w:r>
          </w:p>
        </w:tc>
        <w:tc>
          <w:tcPr>
            <w:tcW w:w="992" w:type="dxa"/>
          </w:tcPr>
          <w:p w14:paraId="42D6786B" w14:textId="44AEBEBE"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18/07/2018</w:t>
            </w:r>
          </w:p>
        </w:tc>
      </w:tr>
    </w:tbl>
    <w:p w14:paraId="42D67876" w14:textId="77777777" w:rsidR="002C4F3F" w:rsidRDefault="002C4F3F" w:rsidP="003B66E6">
      <w:pPr>
        <w:spacing w:after="0"/>
        <w:rPr>
          <w:caps/>
        </w:rPr>
      </w:pPr>
    </w:p>
    <w:p w14:paraId="42D67877" w14:textId="77777777" w:rsidR="008B3EB7" w:rsidRPr="0059089C" w:rsidRDefault="008B3EB7" w:rsidP="003B66E6">
      <w:pPr>
        <w:spacing w:after="0"/>
        <w:rPr>
          <w:caps/>
        </w:rPr>
      </w:pPr>
      <w:r w:rsidRPr="0059089C">
        <w:rPr>
          <w:caps/>
        </w:rPr>
        <w:t>Assessment Approach (</w:t>
      </w:r>
      <w:r w:rsidRPr="0059089C">
        <w:rPr>
          <w:i/>
          <w:caps/>
        </w:rPr>
        <w:t>EPBC A</w:t>
      </w:r>
      <w:r w:rsidRPr="0059089C">
        <w:rPr>
          <w:i/>
        </w:rPr>
        <w:t>ct</w:t>
      </w:r>
      <w:r w:rsidRPr="0059089C">
        <w:rPr>
          <w:caps/>
        </w:rPr>
        <w:t xml:space="preserve"> </w:t>
      </w:r>
      <w:r w:rsidRPr="0059089C">
        <w:t>s</w:t>
      </w:r>
      <w:r w:rsidRPr="0059089C">
        <w:rPr>
          <w:caps/>
        </w:rPr>
        <w:t>.87)</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7C" w14:textId="77777777" w:rsidTr="004C0E14">
        <w:tc>
          <w:tcPr>
            <w:tcW w:w="1134" w:type="dxa"/>
          </w:tcPr>
          <w:p w14:paraId="42D67878"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79"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7A"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 xml:space="preserve">Assessment Approach </w:t>
            </w:r>
          </w:p>
        </w:tc>
        <w:tc>
          <w:tcPr>
            <w:tcW w:w="992" w:type="dxa"/>
          </w:tcPr>
          <w:p w14:paraId="42D6787B"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Date</w:t>
            </w:r>
          </w:p>
        </w:tc>
      </w:tr>
      <w:tr w:rsidR="004C0E14" w:rsidRPr="0059089C" w14:paraId="42D67881" w14:textId="77777777" w:rsidTr="004C0E14">
        <w:tc>
          <w:tcPr>
            <w:tcW w:w="1134" w:type="dxa"/>
          </w:tcPr>
          <w:p w14:paraId="42D6787D" w14:textId="7650CF78"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2018/8163</w:t>
            </w:r>
          </w:p>
        </w:tc>
        <w:tc>
          <w:tcPr>
            <w:tcW w:w="5387" w:type="dxa"/>
          </w:tcPr>
          <w:p w14:paraId="42D6787E" w14:textId="1534256F"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TM Gold Pty Ltd / Mining / Mary River West pastoral lease (PPL815) / Northern Territory / Spring Hill Gold Project, 200km SE of Darwin, NT</w:t>
            </w:r>
          </w:p>
        </w:tc>
        <w:tc>
          <w:tcPr>
            <w:tcW w:w="2126" w:type="dxa"/>
          </w:tcPr>
          <w:p w14:paraId="42D6787F" w14:textId="6DDB2D11"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Preliminary Documentation</w:t>
            </w:r>
          </w:p>
        </w:tc>
        <w:tc>
          <w:tcPr>
            <w:tcW w:w="992" w:type="dxa"/>
          </w:tcPr>
          <w:p w14:paraId="42D67880" w14:textId="1031F275"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18/07/2018</w:t>
            </w:r>
          </w:p>
        </w:tc>
      </w:tr>
    </w:tbl>
    <w:p w14:paraId="42D67883" w14:textId="77777777" w:rsidR="00841C3C" w:rsidRPr="002C4F3F" w:rsidRDefault="00841C3C" w:rsidP="003B66E6">
      <w:pPr>
        <w:spacing w:after="0"/>
        <w:rPr>
          <w:szCs w:val="16"/>
        </w:rPr>
      </w:pPr>
    </w:p>
    <w:p w14:paraId="42D67884" w14:textId="77777777" w:rsidR="008B3EB7" w:rsidRPr="0059089C" w:rsidRDefault="008B3EB7" w:rsidP="003B66E6">
      <w:pPr>
        <w:spacing w:after="0"/>
        <w:rPr>
          <w:caps/>
        </w:rPr>
      </w:pPr>
      <w:r w:rsidRPr="0059089C">
        <w:rPr>
          <w:caps/>
        </w:rPr>
        <w:t>DECISION ON APPROVAL (</w:t>
      </w:r>
      <w:r w:rsidRPr="0059089C">
        <w:rPr>
          <w:i/>
          <w:caps/>
        </w:rPr>
        <w:t>EPBC A</w:t>
      </w:r>
      <w:r w:rsidRPr="0059089C">
        <w:rPr>
          <w:i/>
        </w:rPr>
        <w:t>ct</w:t>
      </w:r>
      <w:r w:rsidRPr="0059089C">
        <w:rPr>
          <w:caps/>
        </w:rPr>
        <w:t xml:space="preserve"> </w:t>
      </w:r>
      <w:r w:rsidRPr="0059089C">
        <w:t>s</w:t>
      </w:r>
      <w:r w:rsidRPr="0059089C">
        <w:rPr>
          <w:caps/>
        </w:rPr>
        <w:t>.133)</w:t>
      </w:r>
    </w:p>
    <w:tbl>
      <w:tblPr>
        <w:tblStyle w:val="TableGrid"/>
        <w:tblW w:w="9639" w:type="dxa"/>
        <w:tblInd w:w="108" w:type="dxa"/>
        <w:tblLayout w:type="fixed"/>
        <w:tblLook w:val="01E0" w:firstRow="1" w:lastRow="1" w:firstColumn="1" w:lastColumn="1" w:noHBand="0" w:noVBand="0"/>
      </w:tblPr>
      <w:tblGrid>
        <w:gridCol w:w="1134"/>
        <w:gridCol w:w="5387"/>
        <w:gridCol w:w="2126"/>
        <w:gridCol w:w="992"/>
      </w:tblGrid>
      <w:tr w:rsidR="008B3EB7" w:rsidRPr="0059089C" w14:paraId="42D67889" w14:textId="77777777" w:rsidTr="004C0E14">
        <w:tc>
          <w:tcPr>
            <w:tcW w:w="1134" w:type="dxa"/>
          </w:tcPr>
          <w:p w14:paraId="42D67885"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Reference</w:t>
            </w:r>
          </w:p>
        </w:tc>
        <w:tc>
          <w:tcPr>
            <w:tcW w:w="5387" w:type="dxa"/>
          </w:tcPr>
          <w:p w14:paraId="42D67886"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Title</w:t>
            </w:r>
          </w:p>
        </w:tc>
        <w:tc>
          <w:tcPr>
            <w:tcW w:w="2126" w:type="dxa"/>
          </w:tcPr>
          <w:p w14:paraId="42D67887"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Approval Decision</w:t>
            </w:r>
          </w:p>
        </w:tc>
        <w:tc>
          <w:tcPr>
            <w:tcW w:w="992" w:type="dxa"/>
          </w:tcPr>
          <w:p w14:paraId="42D67888"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Date</w:t>
            </w:r>
          </w:p>
        </w:tc>
      </w:tr>
      <w:tr w:rsidR="004C0E14" w:rsidRPr="0059089C" w14:paraId="42D6788E" w14:textId="77777777" w:rsidTr="004C0E14">
        <w:tc>
          <w:tcPr>
            <w:tcW w:w="1134" w:type="dxa"/>
          </w:tcPr>
          <w:p w14:paraId="42D6788A" w14:textId="6CB312F2"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2017/7909</w:t>
            </w:r>
          </w:p>
        </w:tc>
        <w:tc>
          <w:tcPr>
            <w:tcW w:w="5387" w:type="dxa"/>
          </w:tcPr>
          <w:p w14:paraId="42D6788B" w14:textId="2CEAB2C5"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Roads and Maritime Services / Transport - Land / between Yallah and Oak Flats / New South Wales / Albion Park Rail Bypass, NSW</w:t>
            </w:r>
          </w:p>
        </w:tc>
        <w:tc>
          <w:tcPr>
            <w:tcW w:w="2126" w:type="dxa"/>
          </w:tcPr>
          <w:p w14:paraId="42D6788C" w14:textId="4C32319C"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42D6788D" w14:textId="185F4E15"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29/05/2018</w:t>
            </w:r>
          </w:p>
        </w:tc>
      </w:tr>
      <w:tr w:rsidR="004C0E14" w:rsidRPr="0059089C" w14:paraId="57BA9CC4" w14:textId="77777777" w:rsidTr="004C0E14">
        <w:tc>
          <w:tcPr>
            <w:tcW w:w="1134" w:type="dxa"/>
          </w:tcPr>
          <w:p w14:paraId="35F2FD4C" w14:textId="3C27A608" w:rsidR="004C0E14" w:rsidRDefault="004C0E14" w:rsidP="004C0E14">
            <w:pPr>
              <w:rPr>
                <w:rFonts w:ascii="Calibri" w:hAnsi="Calibri" w:cs="Arial"/>
                <w:color w:val="000000"/>
                <w:sz w:val="16"/>
                <w:szCs w:val="16"/>
              </w:rPr>
            </w:pPr>
            <w:r>
              <w:rPr>
                <w:rFonts w:ascii="Calibri" w:hAnsi="Calibri"/>
                <w:color w:val="000000"/>
                <w:sz w:val="16"/>
                <w:szCs w:val="16"/>
              </w:rPr>
              <w:t>2016/7804</w:t>
            </w:r>
          </w:p>
        </w:tc>
        <w:tc>
          <w:tcPr>
            <w:tcW w:w="5387" w:type="dxa"/>
          </w:tcPr>
          <w:p w14:paraId="45EC29BF" w14:textId="6BF318AA" w:rsidR="004C0E14" w:rsidRDefault="004C0E14" w:rsidP="004C0E14">
            <w:pPr>
              <w:rPr>
                <w:rFonts w:ascii="Calibri" w:hAnsi="Calibri" w:cs="Arial"/>
                <w:color w:val="000000"/>
                <w:sz w:val="16"/>
                <w:szCs w:val="16"/>
              </w:rPr>
            </w:pPr>
            <w:r>
              <w:rPr>
                <w:rFonts w:ascii="Calibri" w:hAnsi="Calibri"/>
                <w:color w:val="000000"/>
                <w:sz w:val="16"/>
                <w:szCs w:val="16"/>
              </w:rPr>
              <w:t xml:space="preserve">Peter </w:t>
            </w:r>
            <w:proofErr w:type="spellStart"/>
            <w:r>
              <w:rPr>
                <w:rFonts w:ascii="Calibri" w:hAnsi="Calibri"/>
                <w:color w:val="000000"/>
                <w:sz w:val="16"/>
                <w:szCs w:val="16"/>
              </w:rPr>
              <w:t>MacBeth</w:t>
            </w:r>
            <w:proofErr w:type="spellEnd"/>
            <w:r>
              <w:rPr>
                <w:rFonts w:ascii="Calibri" w:hAnsi="Calibri"/>
                <w:color w:val="000000"/>
                <w:sz w:val="16"/>
                <w:szCs w:val="16"/>
              </w:rPr>
              <w:t xml:space="preserve"> / Residential Development / DP 835288, Oakdale / New South Wales / Residential subdivision, Lot 1, 1550 </w:t>
            </w:r>
            <w:proofErr w:type="spellStart"/>
            <w:r>
              <w:rPr>
                <w:rFonts w:ascii="Calibri" w:hAnsi="Calibri"/>
                <w:color w:val="000000"/>
                <w:sz w:val="16"/>
                <w:szCs w:val="16"/>
              </w:rPr>
              <w:t>Burragorang</w:t>
            </w:r>
            <w:proofErr w:type="spellEnd"/>
            <w:r>
              <w:rPr>
                <w:rFonts w:ascii="Calibri" w:hAnsi="Calibri"/>
                <w:color w:val="000000"/>
                <w:sz w:val="16"/>
                <w:szCs w:val="16"/>
              </w:rPr>
              <w:t xml:space="preserve"> Road, Oakdale, NSW</w:t>
            </w:r>
          </w:p>
        </w:tc>
        <w:tc>
          <w:tcPr>
            <w:tcW w:w="2126" w:type="dxa"/>
          </w:tcPr>
          <w:p w14:paraId="100A55C3" w14:textId="0F3426B9" w:rsidR="004C0E14" w:rsidRDefault="004C0E14" w:rsidP="004C0E14">
            <w:pPr>
              <w:rPr>
                <w:rFonts w:ascii="Calibri" w:hAnsi="Calibri" w:cs="Arial"/>
                <w:color w:val="000000"/>
                <w:sz w:val="16"/>
                <w:szCs w:val="16"/>
              </w:rPr>
            </w:pPr>
            <w:r>
              <w:rPr>
                <w:rFonts w:ascii="Calibri" w:hAnsi="Calibri"/>
                <w:color w:val="000000"/>
                <w:sz w:val="16"/>
                <w:szCs w:val="16"/>
              </w:rPr>
              <w:t>Approved with conditions</w:t>
            </w:r>
          </w:p>
        </w:tc>
        <w:tc>
          <w:tcPr>
            <w:tcW w:w="992" w:type="dxa"/>
          </w:tcPr>
          <w:p w14:paraId="7788D75A" w14:textId="7F24A700" w:rsidR="004C0E14" w:rsidRDefault="004C0E14" w:rsidP="004C0E14">
            <w:pPr>
              <w:rPr>
                <w:rFonts w:ascii="Calibri" w:hAnsi="Calibri" w:cs="Arial"/>
                <w:color w:val="000000"/>
                <w:sz w:val="16"/>
                <w:szCs w:val="16"/>
              </w:rPr>
            </w:pPr>
            <w:r>
              <w:rPr>
                <w:rFonts w:ascii="Calibri" w:hAnsi="Calibri"/>
                <w:color w:val="000000"/>
                <w:sz w:val="16"/>
                <w:szCs w:val="16"/>
              </w:rPr>
              <w:t>20/07/2018</w:t>
            </w:r>
          </w:p>
        </w:tc>
      </w:tr>
    </w:tbl>
    <w:p w14:paraId="42D6788F" w14:textId="77777777" w:rsidR="008B3EB7" w:rsidRPr="002C4F3F" w:rsidRDefault="008B3EB7" w:rsidP="003B66E6">
      <w:pPr>
        <w:spacing w:after="0"/>
        <w:rPr>
          <w:szCs w:val="16"/>
        </w:rPr>
      </w:pPr>
    </w:p>
    <w:p w14:paraId="42D6789C" w14:textId="77777777" w:rsidR="008B3EB7" w:rsidRPr="0059089C" w:rsidRDefault="008B3EB7" w:rsidP="003B66E6">
      <w:pPr>
        <w:spacing w:after="0"/>
        <w:rPr>
          <w:caps/>
        </w:rPr>
      </w:pPr>
      <w:r w:rsidRPr="0059089C">
        <w:rPr>
          <w:caps/>
        </w:rPr>
        <w:t>variation of conditions of approval (</w:t>
      </w:r>
      <w:r w:rsidRPr="0059089C">
        <w:rPr>
          <w:i/>
          <w:caps/>
        </w:rPr>
        <w:t>EPBC A</w:t>
      </w:r>
      <w:r w:rsidRPr="0059089C">
        <w:rPr>
          <w:i/>
        </w:rPr>
        <w:t>ct</w:t>
      </w:r>
      <w:r w:rsidRPr="0059089C">
        <w:rPr>
          <w:caps/>
        </w:rPr>
        <w:t xml:space="preserve"> </w:t>
      </w:r>
      <w:r w:rsidRPr="0059089C">
        <w:t>s</w:t>
      </w:r>
      <w:r w:rsidRPr="0059089C">
        <w:rPr>
          <w:caps/>
        </w:rPr>
        <w:t>.143)</w:t>
      </w:r>
    </w:p>
    <w:tbl>
      <w:tblPr>
        <w:tblStyle w:val="TableGrid"/>
        <w:tblW w:w="9639" w:type="dxa"/>
        <w:tblInd w:w="108" w:type="dxa"/>
        <w:tblLayout w:type="fixed"/>
        <w:tblLook w:val="01E0" w:firstRow="1" w:lastRow="1" w:firstColumn="1" w:lastColumn="1" w:noHBand="0" w:noVBand="0"/>
      </w:tblPr>
      <w:tblGrid>
        <w:gridCol w:w="1134"/>
        <w:gridCol w:w="7513"/>
        <w:gridCol w:w="992"/>
      </w:tblGrid>
      <w:tr w:rsidR="008B3EB7" w:rsidRPr="0059089C" w14:paraId="42D678A0" w14:textId="77777777" w:rsidTr="004C0E14">
        <w:tc>
          <w:tcPr>
            <w:tcW w:w="1134" w:type="dxa"/>
          </w:tcPr>
          <w:p w14:paraId="42D6789D" w14:textId="77777777" w:rsidR="008B3EB7" w:rsidRPr="0059089C" w:rsidRDefault="008B3EB7" w:rsidP="004C0E14">
            <w:pPr>
              <w:spacing w:line="276" w:lineRule="auto"/>
              <w:rPr>
                <w:rFonts w:asciiTheme="minorHAnsi" w:hAnsiTheme="minorHAnsi"/>
                <w:b/>
                <w:sz w:val="16"/>
                <w:szCs w:val="16"/>
              </w:rPr>
            </w:pPr>
            <w:bookmarkStart w:id="2" w:name="OLE_LINK1"/>
            <w:r w:rsidRPr="0059089C">
              <w:rPr>
                <w:rFonts w:asciiTheme="minorHAnsi" w:hAnsiTheme="minorHAnsi"/>
                <w:b/>
                <w:sz w:val="16"/>
                <w:szCs w:val="16"/>
              </w:rPr>
              <w:t>Reference</w:t>
            </w:r>
          </w:p>
        </w:tc>
        <w:tc>
          <w:tcPr>
            <w:tcW w:w="7513" w:type="dxa"/>
          </w:tcPr>
          <w:p w14:paraId="42D6789E"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Title</w:t>
            </w:r>
          </w:p>
        </w:tc>
        <w:tc>
          <w:tcPr>
            <w:tcW w:w="992" w:type="dxa"/>
          </w:tcPr>
          <w:p w14:paraId="42D6789F" w14:textId="77777777" w:rsidR="008B3EB7" w:rsidRPr="0059089C" w:rsidRDefault="008B3EB7" w:rsidP="004C0E14">
            <w:pPr>
              <w:spacing w:line="276" w:lineRule="auto"/>
              <w:rPr>
                <w:rFonts w:asciiTheme="minorHAnsi" w:hAnsiTheme="minorHAnsi"/>
                <w:b/>
                <w:sz w:val="16"/>
                <w:szCs w:val="16"/>
              </w:rPr>
            </w:pPr>
            <w:r w:rsidRPr="0059089C">
              <w:rPr>
                <w:rFonts w:asciiTheme="minorHAnsi" w:hAnsiTheme="minorHAnsi"/>
                <w:b/>
                <w:sz w:val="16"/>
                <w:szCs w:val="16"/>
              </w:rPr>
              <w:t>Date</w:t>
            </w:r>
          </w:p>
        </w:tc>
      </w:tr>
      <w:tr w:rsidR="004C0E14" w:rsidRPr="0059089C" w14:paraId="42D678A4" w14:textId="77777777" w:rsidTr="004C0E14">
        <w:tc>
          <w:tcPr>
            <w:tcW w:w="1134" w:type="dxa"/>
          </w:tcPr>
          <w:p w14:paraId="42D678A1" w14:textId="5DBF23DF"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2014/7190</w:t>
            </w:r>
          </w:p>
        </w:tc>
        <w:tc>
          <w:tcPr>
            <w:tcW w:w="7513" w:type="dxa"/>
          </w:tcPr>
          <w:p w14:paraId="42D678A2" w14:textId="08D01927" w:rsidR="004C0E14" w:rsidRDefault="004C0E14" w:rsidP="004C0E14">
            <w:pPr>
              <w:spacing w:line="276" w:lineRule="auto"/>
              <w:rPr>
                <w:rFonts w:ascii="Calibri" w:hAnsi="Calibri" w:cs="Arial"/>
                <w:color w:val="000000"/>
                <w:sz w:val="16"/>
                <w:szCs w:val="16"/>
              </w:rPr>
            </w:pPr>
            <w:r>
              <w:rPr>
                <w:rFonts w:ascii="Calibri" w:hAnsi="Calibri"/>
                <w:color w:val="000000"/>
                <w:sz w:val="16"/>
                <w:szCs w:val="16"/>
              </w:rPr>
              <w:t>SUNLAND GROUP PROJECT MANAGEMENT PTY LTD / Residential Development / Rifle Range Road, Pimpama / Queensland / Nambucca Crescent residential subdivision Pimpama, QLD</w:t>
            </w:r>
          </w:p>
        </w:tc>
        <w:tc>
          <w:tcPr>
            <w:tcW w:w="992" w:type="dxa"/>
          </w:tcPr>
          <w:p w14:paraId="42D678A3" w14:textId="6A4ACFF0" w:rsidR="004C0E14" w:rsidRPr="004C0E14" w:rsidRDefault="004C0E14" w:rsidP="004C0E14">
            <w:pPr>
              <w:rPr>
                <w:rFonts w:ascii="Calibri" w:hAnsi="Calibri"/>
                <w:color w:val="000000"/>
                <w:sz w:val="16"/>
                <w:szCs w:val="16"/>
              </w:rPr>
            </w:pPr>
            <w:r>
              <w:rPr>
                <w:rFonts w:ascii="Calibri" w:hAnsi="Calibri"/>
                <w:color w:val="000000"/>
                <w:sz w:val="16"/>
                <w:szCs w:val="16"/>
              </w:rPr>
              <w:t>12/07/2018</w:t>
            </w:r>
          </w:p>
        </w:tc>
      </w:tr>
      <w:bookmarkEnd w:id="2"/>
    </w:tbl>
    <w:p w14:paraId="42D678A9" w14:textId="77777777" w:rsidR="008B3EB7" w:rsidRPr="004021AD" w:rsidRDefault="008B3EB7" w:rsidP="003B66E6">
      <w:pPr>
        <w:spacing w:after="0"/>
        <w:rPr>
          <w:szCs w:val="16"/>
        </w:rPr>
      </w:pPr>
    </w:p>
    <w:p w14:paraId="42D678E3" w14:textId="58913ABF" w:rsidR="008B3EB7" w:rsidRDefault="008B3EB7" w:rsidP="003B66E6">
      <w:pPr>
        <w:spacing w:after="0"/>
        <w:rPr>
          <w:color w:val="000000"/>
          <w:sz w:val="18"/>
          <w:szCs w:val="18"/>
        </w:rPr>
      </w:pPr>
      <w:r w:rsidRPr="0059089C">
        <w:rPr>
          <w:color w:val="000000"/>
          <w:sz w:val="18"/>
          <w:szCs w:val="18"/>
        </w:rPr>
        <w:t xml:space="preserve">Some public notifications on the Internet and in the Gazette relating to the processing of referrals for approval under Chapter 4 of the </w:t>
      </w:r>
      <w:r w:rsidRPr="0059089C">
        <w:rPr>
          <w:i/>
          <w:color w:val="000000"/>
          <w:sz w:val="18"/>
          <w:szCs w:val="18"/>
        </w:rPr>
        <w:t>Environment Protection and Biodiversity Conservation Act 1999</w:t>
      </w:r>
      <w:r w:rsidRPr="0059089C">
        <w:rPr>
          <w:color w:val="000000"/>
          <w:sz w:val="18"/>
          <w:szCs w:val="18"/>
        </w:rPr>
        <w:t xml:space="preserve"> may occasionally be missed in processing by the Department o</w:t>
      </w:r>
      <w:r w:rsidR="00BF4ECD">
        <w:rPr>
          <w:color w:val="000000"/>
          <w:sz w:val="18"/>
          <w:szCs w:val="18"/>
        </w:rPr>
        <w:t>f the Environment</w:t>
      </w:r>
      <w:r w:rsidRPr="0059089C">
        <w:rPr>
          <w:color w:val="000000"/>
          <w:sz w:val="18"/>
          <w:szCs w:val="18"/>
        </w:rPr>
        <w:t xml:space="preserve"> </w:t>
      </w:r>
      <w:r w:rsidR="009A72C5">
        <w:rPr>
          <w:color w:val="000000"/>
          <w:sz w:val="18"/>
          <w:szCs w:val="18"/>
        </w:rPr>
        <w:t xml:space="preserve">and Energy </w:t>
      </w:r>
      <w:r w:rsidRPr="0059089C">
        <w:rPr>
          <w:color w:val="000000"/>
          <w:sz w:val="18"/>
          <w:szCs w:val="18"/>
        </w:rPr>
        <w:t xml:space="preserve">or may not meet timeframes for notification.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 xml:space="preserve">has implemented systems and ongoing quality assurance procedures to minimise any risk of missing a notification within the required timeframe. Where a missed notification is identified the practice will be to notify these even though the timeframe for notification has lapsed. This will ensure that the history of notifications for each referral is available to the public. The </w:t>
      </w:r>
      <w:r w:rsidR="00BF4ECD" w:rsidRPr="0059089C">
        <w:rPr>
          <w:color w:val="000000"/>
          <w:sz w:val="18"/>
          <w:szCs w:val="18"/>
        </w:rPr>
        <w:t>Department o</w:t>
      </w:r>
      <w:r w:rsidR="00BF4ECD">
        <w:rPr>
          <w:color w:val="000000"/>
          <w:sz w:val="18"/>
          <w:szCs w:val="18"/>
        </w:rPr>
        <w:t>f the Environment</w:t>
      </w:r>
      <w:r w:rsidR="009A72C5">
        <w:rPr>
          <w:color w:val="000000"/>
          <w:sz w:val="18"/>
          <w:szCs w:val="18"/>
        </w:rPr>
        <w:t xml:space="preserve"> and Energy</w:t>
      </w:r>
      <w:r w:rsidR="00BF4ECD" w:rsidRPr="0059089C">
        <w:rPr>
          <w:color w:val="000000"/>
          <w:sz w:val="18"/>
          <w:szCs w:val="18"/>
        </w:rPr>
        <w:t xml:space="preserve"> </w:t>
      </w:r>
      <w:r w:rsidRPr="0059089C">
        <w:rPr>
          <w:color w:val="000000"/>
          <w:sz w:val="18"/>
          <w:szCs w:val="18"/>
        </w:rPr>
        <w:t>regrets any inconvenience that may be caused by a missed notification. Please note that late notifications have not affected subsequent processing of referrals or assessments and they do not</w:t>
      </w:r>
      <w:r>
        <w:rPr>
          <w:color w:val="000000"/>
          <w:sz w:val="18"/>
          <w:szCs w:val="18"/>
        </w:rPr>
        <w:t xml:space="preserve"> affect decisions made.</w:t>
      </w:r>
    </w:p>
    <w:sectPr w:rsidR="008B3EB7" w:rsidSect="008E4F6C">
      <w:headerReference w:type="first" r:id="rId14"/>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6790C" w14:textId="77777777" w:rsidR="00C6395C" w:rsidRDefault="00C6395C" w:rsidP="003A707F">
      <w:pPr>
        <w:spacing w:after="0" w:line="240" w:lineRule="auto"/>
      </w:pPr>
      <w:r>
        <w:separator/>
      </w:r>
    </w:p>
  </w:endnote>
  <w:endnote w:type="continuationSeparator" w:id="0">
    <w:p w14:paraId="42D6790D" w14:textId="77777777" w:rsidR="00C6395C" w:rsidRDefault="00C6395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6790A" w14:textId="77777777" w:rsidR="00C6395C" w:rsidRDefault="00C6395C" w:rsidP="003A707F">
      <w:pPr>
        <w:spacing w:after="0" w:line="240" w:lineRule="auto"/>
      </w:pPr>
      <w:r>
        <w:separator/>
      </w:r>
    </w:p>
  </w:footnote>
  <w:footnote w:type="continuationSeparator" w:id="0">
    <w:p w14:paraId="42D6790B" w14:textId="77777777" w:rsidR="00C6395C" w:rsidRDefault="00C6395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C6395C" w:rsidRPr="00CE796A" w14:paraId="42D67911" w14:textId="77777777" w:rsidTr="00A162B8">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6790E" w14:textId="77777777" w:rsidR="00C6395C" w:rsidRPr="00CE796A" w:rsidRDefault="00C6395C" w:rsidP="00840A06">
          <w:pPr>
            <w:spacing w:before="60" w:after="0"/>
            <w:ind w:left="-51"/>
            <w:rPr>
              <w:rFonts w:ascii="Arial" w:hAnsi="Arial"/>
              <w:sz w:val="12"/>
            </w:rPr>
          </w:pPr>
          <w:bookmarkStart w:id="3" w:name="OLE_LINK2"/>
          <w:r>
            <w:rPr>
              <w:rFonts w:ascii="Arial" w:hAnsi="Arial"/>
              <w:noProof/>
              <w:sz w:val="12"/>
              <w:lang w:eastAsia="en-AU"/>
            </w:rPr>
            <w:drawing>
              <wp:inline distT="0" distB="0" distL="0" distR="0" wp14:anchorId="42D67917" wp14:editId="42D67918">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2D6790F" w14:textId="77777777" w:rsidR="00C6395C" w:rsidRPr="00CE796A" w:rsidRDefault="00C6395C"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42D67910" w14:textId="77777777" w:rsidR="00C6395C" w:rsidRPr="00CE796A" w:rsidRDefault="00C6395C"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C6395C" w:rsidRPr="00CE796A" w14:paraId="42D67914"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2D67912" w14:textId="77777777" w:rsidR="00C6395C" w:rsidRPr="00CE796A" w:rsidRDefault="00C6395C" w:rsidP="00840A06">
          <w:pPr>
            <w:spacing w:after="0"/>
            <w:ind w:left="-51"/>
            <w:rPr>
              <w:rFonts w:ascii="Arial" w:hAnsi="Arial" w:cs="Arial"/>
              <w:sz w:val="14"/>
              <w:szCs w:val="14"/>
            </w:rPr>
          </w:pPr>
          <w:bookmarkStart w:id="4" w:name="GazNo"/>
          <w:bookmarkEnd w:id="4"/>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42D67913" w14:textId="77777777" w:rsidR="00C6395C" w:rsidRPr="00840A06" w:rsidRDefault="00C6395C"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3"/>
  </w:tbl>
  <w:p w14:paraId="42D67915" w14:textId="77777777" w:rsidR="00C6395C" w:rsidRPr="003A707F" w:rsidRDefault="00C6395C" w:rsidP="00F40885">
    <w:pPr>
      <w:pStyle w:val="Header"/>
      <w:rPr>
        <w:sz w:val="2"/>
        <w:szCs w:val="2"/>
      </w:rPr>
    </w:pPr>
  </w:p>
  <w:p w14:paraId="42D67916" w14:textId="77777777" w:rsidR="00C6395C" w:rsidRPr="00F40885" w:rsidRDefault="00C6395C">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73CED"/>
    <w:multiLevelType w:val="hybridMultilevel"/>
    <w:tmpl w:val="B05C65AC"/>
    <w:lvl w:ilvl="0" w:tplc="67CEA37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0D333A"/>
    <w:multiLevelType w:val="hybridMultilevel"/>
    <w:tmpl w:val="5BA2C208"/>
    <w:lvl w:ilvl="0" w:tplc="3ACAB790">
      <w:numFmt w:val="bullet"/>
      <w:lvlText w:val=""/>
      <w:lvlJc w:val="left"/>
      <w:pPr>
        <w:ind w:left="720" w:hanging="360"/>
      </w:pPr>
      <w:rPr>
        <w:rFonts w:ascii="Symbol" w:eastAsia="Times New Roman" w:hAnsi="Symbol" w:cs="Aria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C5A17CD"/>
    <w:multiLevelType w:val="hybridMultilevel"/>
    <w:tmpl w:val="AF3048B0"/>
    <w:lvl w:ilvl="0" w:tplc="297C004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4B4955"/>
    <w:multiLevelType w:val="hybridMultilevel"/>
    <w:tmpl w:val="F754F0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1C1661"/>
    <w:multiLevelType w:val="hybridMultilevel"/>
    <w:tmpl w:val="534841A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9CB7BAC"/>
    <w:multiLevelType w:val="hybridMultilevel"/>
    <w:tmpl w:val="0846E73C"/>
    <w:lvl w:ilvl="0" w:tplc="29CA909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033404"/>
    <w:multiLevelType w:val="hybridMultilevel"/>
    <w:tmpl w:val="69A8DD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34184"/>
    <w:rsid w:val="000A2BDB"/>
    <w:rsid w:val="000E1F2B"/>
    <w:rsid w:val="000F07C4"/>
    <w:rsid w:val="00110731"/>
    <w:rsid w:val="001454DF"/>
    <w:rsid w:val="0018568B"/>
    <w:rsid w:val="001C2AAD"/>
    <w:rsid w:val="001E3481"/>
    <w:rsid w:val="001F526E"/>
    <w:rsid w:val="001F6E54"/>
    <w:rsid w:val="00237CE7"/>
    <w:rsid w:val="00280818"/>
    <w:rsid w:val="00280BCD"/>
    <w:rsid w:val="00291A60"/>
    <w:rsid w:val="002A21FB"/>
    <w:rsid w:val="002C4F3F"/>
    <w:rsid w:val="002E5F1D"/>
    <w:rsid w:val="003117F9"/>
    <w:rsid w:val="00361F79"/>
    <w:rsid w:val="00365117"/>
    <w:rsid w:val="003A707F"/>
    <w:rsid w:val="003B0EC1"/>
    <w:rsid w:val="003B573B"/>
    <w:rsid w:val="003B66E6"/>
    <w:rsid w:val="003D71BC"/>
    <w:rsid w:val="003F2CBD"/>
    <w:rsid w:val="004021AD"/>
    <w:rsid w:val="00405530"/>
    <w:rsid w:val="00424B97"/>
    <w:rsid w:val="00445473"/>
    <w:rsid w:val="004B2753"/>
    <w:rsid w:val="004B4E3D"/>
    <w:rsid w:val="004C0E14"/>
    <w:rsid w:val="004F66BD"/>
    <w:rsid w:val="00520873"/>
    <w:rsid w:val="00566CA3"/>
    <w:rsid w:val="00573D44"/>
    <w:rsid w:val="00626810"/>
    <w:rsid w:val="00656A10"/>
    <w:rsid w:val="0067768F"/>
    <w:rsid w:val="007A63E4"/>
    <w:rsid w:val="007E032A"/>
    <w:rsid w:val="00811AA7"/>
    <w:rsid w:val="00840A06"/>
    <w:rsid w:val="00841C3C"/>
    <w:rsid w:val="008439B7"/>
    <w:rsid w:val="0087253F"/>
    <w:rsid w:val="008B3EB7"/>
    <w:rsid w:val="008D53DD"/>
    <w:rsid w:val="008D596A"/>
    <w:rsid w:val="008E4F6C"/>
    <w:rsid w:val="00925A2C"/>
    <w:rsid w:val="009539C7"/>
    <w:rsid w:val="00963825"/>
    <w:rsid w:val="009A72C5"/>
    <w:rsid w:val="009C4E63"/>
    <w:rsid w:val="009F2BF9"/>
    <w:rsid w:val="00A00F21"/>
    <w:rsid w:val="00A162B8"/>
    <w:rsid w:val="00A17F8A"/>
    <w:rsid w:val="00A53659"/>
    <w:rsid w:val="00AA5128"/>
    <w:rsid w:val="00AA5F14"/>
    <w:rsid w:val="00B0063C"/>
    <w:rsid w:val="00B279FA"/>
    <w:rsid w:val="00B466DD"/>
    <w:rsid w:val="00B610AC"/>
    <w:rsid w:val="00B83BBD"/>
    <w:rsid w:val="00B84226"/>
    <w:rsid w:val="00B97629"/>
    <w:rsid w:val="00BE1490"/>
    <w:rsid w:val="00BF4ECD"/>
    <w:rsid w:val="00BF4F72"/>
    <w:rsid w:val="00C23A3D"/>
    <w:rsid w:val="00C272B1"/>
    <w:rsid w:val="00C514ED"/>
    <w:rsid w:val="00C60E1A"/>
    <w:rsid w:val="00C62C31"/>
    <w:rsid w:val="00C6395C"/>
    <w:rsid w:val="00C63C4E"/>
    <w:rsid w:val="00CC240A"/>
    <w:rsid w:val="00D04B83"/>
    <w:rsid w:val="00D46AF3"/>
    <w:rsid w:val="00D77A88"/>
    <w:rsid w:val="00D96F2A"/>
    <w:rsid w:val="00DB0084"/>
    <w:rsid w:val="00DB2525"/>
    <w:rsid w:val="00EE1942"/>
    <w:rsid w:val="00F11B12"/>
    <w:rsid w:val="00F40885"/>
    <w:rsid w:val="00F5559F"/>
    <w:rsid w:val="00F73882"/>
    <w:rsid w:val="00FB49AE"/>
    <w:rsid w:val="00FD0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45057"/>
    <o:shapelayout v:ext="edit">
      <o:idmap v:ext="edit" data="1"/>
    </o:shapelayout>
  </w:shapeDefaults>
  <w:decimalSymbol w:val="."/>
  <w:listSeparator w:val=","/>
  <w14:docId w14:val="42D67822"/>
  <w15:docId w15:val="{66709E60-7E76-4E66-B078-E248A0728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paragraph" w:styleId="NormalWeb">
    <w:name w:val="Normal (Web)"/>
    <w:basedOn w:val="Normal"/>
    <w:rsid w:val="00B83BB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rsid w:val="00B83BBD"/>
    <w:rPr>
      <w:color w:val="0000FF"/>
      <w:u w:val="single"/>
    </w:rPr>
  </w:style>
  <w:style w:type="table" w:styleId="TableGrid">
    <w:name w:val="Table Grid"/>
    <w:basedOn w:val="TableNormal"/>
    <w:rsid w:val="00B83BB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372112">
      <w:bodyDiv w:val="1"/>
      <w:marLeft w:val="0"/>
      <w:marRight w:val="0"/>
      <w:marTop w:val="0"/>
      <w:marBottom w:val="0"/>
      <w:divBdr>
        <w:top w:val="none" w:sz="0" w:space="0" w:color="auto"/>
        <w:left w:val="none" w:sz="0" w:space="0" w:color="auto"/>
        <w:bottom w:val="none" w:sz="0" w:space="0" w:color="auto"/>
        <w:right w:val="none" w:sz="0" w:space="0" w:color="auto"/>
      </w:divBdr>
    </w:div>
    <w:div w:id="148604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epbcnotices.environment.gov.au/referralslis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Description xmlns="4f01874a-75c0-48e1-8215-c6f3101fd3a7">Lodged on 23/07/2018.</DocumentDescription>
    <Function xmlns="4f01874a-75c0-48e1-8215-c6f3101fd3a7">Administration</Function>
    <Approval xmlns="4f01874a-75c0-48e1-8215-c6f3101fd3a7" xsi:nil="true"/>
    <RecordNumber xmlns="4f01874a-75c0-48e1-8215-c6f3101fd3a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PIRE Word Document" ma:contentTypeID="0x010100FA74AAA033C0CE4A81C1ECDFABC86D270100DFE0362CF5C57B4AA5417769E1460584" ma:contentTypeVersion="5" ma:contentTypeDescription="Create a new Word Document" ma:contentTypeScope="" ma:versionID="0ac6c998edf88713ad586c0301456a46">
  <xsd:schema xmlns:xsd="http://www.w3.org/2001/XMLSchema" xmlns:xs="http://www.w3.org/2001/XMLSchema" xmlns:p="http://schemas.microsoft.com/office/2006/metadata/properties" xmlns:ns2="4f01874a-75c0-48e1-8215-c6f3101fd3a7" targetNamespace="http://schemas.microsoft.com/office/2006/metadata/properties" ma:root="true" ma:fieldsID="1a9dbf4fcaa4c293246d30e08f7fd281" ns2:_="">
    <xsd:import namespace="4f01874a-75c0-48e1-8215-c6f3101fd3a7"/>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1874a-75c0-48e1-8215-c6f3101fd3a7"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75FE3-4435-407F-82B0-5D7C87BC48AE}"/>
</file>

<file path=customXml/itemProps2.xml><?xml version="1.0" encoding="utf-8"?>
<ds:datastoreItem xmlns:ds="http://schemas.openxmlformats.org/officeDocument/2006/customXml" ds:itemID="{30A1804A-0EEA-4CE4-B9DF-E5C1CE55792A}"/>
</file>

<file path=customXml/itemProps3.xml><?xml version="1.0" encoding="utf-8"?>
<ds:datastoreItem xmlns:ds="http://schemas.openxmlformats.org/officeDocument/2006/customXml" ds:itemID="{B474AB40-B307-4658-9711-46930296EA1E}"/>
</file>

<file path=customXml/itemProps4.xml><?xml version="1.0" encoding="utf-8"?>
<ds:datastoreItem xmlns:ds="http://schemas.openxmlformats.org/officeDocument/2006/customXml" ds:itemID="{A3DDAD5B-BA29-481D-ACC5-964341BFF627}"/>
</file>

<file path=customXml/itemProps5.xml><?xml version="1.0" encoding="utf-8"?>
<ds:datastoreItem xmlns:ds="http://schemas.openxmlformats.org/officeDocument/2006/customXml" ds:itemID="{40851654-27BF-44AA-923D-126083D0F348}"/>
</file>

<file path=customXml/itemProps6.xml><?xml version="1.0" encoding="utf-8"?>
<ds:datastoreItem xmlns:ds="http://schemas.openxmlformats.org/officeDocument/2006/customXml" ds:itemID="{662B0965-B70B-4398-B05B-14D5A935D290}"/>
</file>

<file path=docProps/app.xml><?xml version="1.0" encoding="utf-8"?>
<Properties xmlns="http://schemas.openxmlformats.org/officeDocument/2006/extended-properties" xmlns:vt="http://schemas.openxmlformats.org/officeDocument/2006/docPropsVTypes">
  <Template>B4A106AF.dotm</Template>
  <TotalTime>1</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Administration-Gazette Publication Template-1819</vt:lpstr>
    </vt:vector>
  </TitlesOfParts>
  <Company>Office of Parliamentary Counsel</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Gazette-180716to180722</dc:title>
  <dc:creator>Trott, Megan</dc:creator>
  <cp:lastModifiedBy>Dalton, Megan</cp:lastModifiedBy>
  <cp:revision>3</cp:revision>
  <cp:lastPrinted>2013-06-24T01:35:00Z</cp:lastPrinted>
  <dcterms:created xsi:type="dcterms:W3CDTF">2018-07-23T03:18:00Z</dcterms:created>
  <dcterms:modified xsi:type="dcterms:W3CDTF">2018-07-23T03:19:00Z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0x010100FA74AAA033C0CE4A81C1ECDFABC86D270100DFE0362CF5C57B4AA5417769E1460584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{ee06f586-34ff-4e60-9b59-8034275c7b5d}</vt:lpwstr>
  </property>
  <property fmtid="{D5CDD505-2E9C-101B-9397-08002B2CF9AE}" pid="6" name="RecordPoint_ActiveItemListId">
    <vt:lpwstr>{04f4f6ab-d50f-45cd-b68a-68d100a3b95d}</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{400230e2-1c41-4151-b6b1-2cf380ced45c}</vt:lpwstr>
  </property>
  <property fmtid="{D5CDD505-2E9C-101B-9397-08002B2CF9AE}" pid="11" name="RecordPoint_ActiveItemWebId">
    <vt:lpwstr>{4f01874a-75c0-48e1-8215-c6f3101fd3a7}</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tadataSecurityLog">
    <vt:lpwstr/>
  </property>
</Properties>
</file>