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F78" w:rsidRPr="00345C83" w:rsidRDefault="00051F78" w:rsidP="00345C83">
      <w:pPr>
        <w:pStyle w:val="Title-QldSI"/>
      </w:pPr>
      <w:r>
        <w:t>Heavy Vehicle National Law</w:t>
      </w:r>
    </w:p>
    <w:p w:rsidR="00051F78" w:rsidRDefault="00DE2398" w:rsidP="00DC18FA">
      <w:pPr>
        <w:pStyle w:val="Subdivisionheading-QldSI"/>
      </w:pPr>
      <w:r>
        <w:t xml:space="preserve">Heavy Vehicle </w:t>
      </w:r>
      <w:r w:rsidR="00C22634">
        <w:t xml:space="preserve">Stated Maps </w:t>
      </w:r>
      <w:r>
        <w:t>– Amendment Notice</w:t>
      </w:r>
      <w:r w:rsidR="00EC45F1">
        <w:t xml:space="preserve"> 201</w:t>
      </w:r>
      <w:r w:rsidR="00866CCF">
        <w:t>8</w:t>
      </w:r>
      <w:r w:rsidR="00EC45F1">
        <w:t xml:space="preserve"> (No.</w:t>
      </w:r>
      <w:r w:rsidR="00434B76">
        <w:t>3</w:t>
      </w:r>
      <w:r w:rsidR="00C22634">
        <w:t>)</w:t>
      </w:r>
    </w:p>
    <w:p w:rsidR="005247BC" w:rsidRDefault="00627BB7" w:rsidP="005247BC">
      <w:pPr>
        <w:pStyle w:val="Subdivisionheading-QldSI"/>
      </w:pPr>
      <w:r w:rsidRPr="00345C83">
        <w:t>Statutory Instrument</w:t>
      </w:r>
      <w:r w:rsidR="00051F78" w:rsidRPr="00345C83">
        <w:t xml:space="preserve"> </w:t>
      </w:r>
      <w:r w:rsidRPr="00345C83">
        <w:t>Series</w:t>
      </w:r>
      <w:r w:rsidR="00051F78" w:rsidRPr="00345C83">
        <w:t>:</w:t>
      </w:r>
    </w:p>
    <w:p w:rsidR="00C22634" w:rsidRPr="00345C83" w:rsidRDefault="00C22634" w:rsidP="0050712B">
      <w:pPr>
        <w:pStyle w:val="Subdivisionheading-QldSI"/>
        <w:spacing w:after="176"/>
      </w:pPr>
      <w:r>
        <w:t>Stated Maps – Amendment Notice</w:t>
      </w:r>
    </w:p>
    <w:p w:rsidR="00BB7C0F" w:rsidRDefault="00BB7C0F" w:rsidP="00BB7C0F">
      <w:pPr>
        <w:pStyle w:val="Sectionheading-QldSI"/>
      </w:pPr>
      <w:r w:rsidRPr="00B47601">
        <w:rPr>
          <w:lang w:val="en-AU"/>
        </w:rPr>
        <w:t>Authorising</w:t>
      </w:r>
      <w:r w:rsidR="00B60CF9">
        <w:t xml:space="preserve"> provision</w:t>
      </w:r>
    </w:p>
    <w:p w:rsidR="00B47601" w:rsidRDefault="00197BA1" w:rsidP="00B47601">
      <w:pPr>
        <w:pStyle w:val="BodyLevel1singleparanonumber"/>
        <w:spacing w:after="0"/>
      </w:pPr>
      <w:r w:rsidRPr="00197BA1">
        <w:t xml:space="preserve">This Notice </w:t>
      </w:r>
      <w:r w:rsidRPr="00541973">
        <w:t>is made under</w:t>
      </w:r>
      <w:r w:rsidR="00B47601">
        <w:t>:</w:t>
      </w:r>
      <w:r w:rsidRPr="00541973">
        <w:t xml:space="preserve"> </w:t>
      </w:r>
    </w:p>
    <w:p w:rsidR="00BB7C0F" w:rsidRDefault="00B47601" w:rsidP="00ED6E67">
      <w:pPr>
        <w:pStyle w:val="BodyLevel1singleparanonumber"/>
        <w:numPr>
          <w:ilvl w:val="0"/>
          <w:numId w:val="9"/>
        </w:numPr>
        <w:spacing w:before="0" w:after="0"/>
      </w:pPr>
      <w:r w:rsidRPr="00541973">
        <w:t>Section</w:t>
      </w:r>
      <w:r w:rsidR="00197BA1" w:rsidRPr="00541973">
        <w:t xml:space="preserve"> </w:t>
      </w:r>
      <w:r w:rsidR="00E8512A" w:rsidRPr="00541973">
        <w:t xml:space="preserve">174 </w:t>
      </w:r>
      <w:r w:rsidR="00197BA1" w:rsidRPr="00541973">
        <w:t>of the Heavy Vehicle National Law as applied in e</w:t>
      </w:r>
      <w:r w:rsidR="00E8512A" w:rsidRPr="00541973">
        <w:t>ach participating jurisdiction</w:t>
      </w:r>
      <w:r>
        <w:t>;</w:t>
      </w:r>
      <w:r w:rsidR="003F0A44">
        <w:t xml:space="preserve"> or</w:t>
      </w:r>
    </w:p>
    <w:p w:rsidR="00B47601" w:rsidRPr="00BB7C0F" w:rsidRDefault="00B47601" w:rsidP="00ED6E67">
      <w:pPr>
        <w:pStyle w:val="BodyLevel1singleparanonumber"/>
        <w:numPr>
          <w:ilvl w:val="0"/>
          <w:numId w:val="9"/>
        </w:numPr>
        <w:spacing w:before="0"/>
      </w:pPr>
      <w:r w:rsidRPr="00541973">
        <w:t>Section 1</w:t>
      </w:r>
      <w:r>
        <w:t>8</w:t>
      </w:r>
      <w:r w:rsidRPr="00541973">
        <w:t xml:space="preserve"> of the Heavy Vehicle </w:t>
      </w:r>
      <w:r w:rsidRPr="00B47601">
        <w:t>(Mass, Dimension and Loading) National Regulation</w:t>
      </w:r>
      <w:r>
        <w:t xml:space="preserve"> </w:t>
      </w:r>
      <w:r w:rsidRPr="00541973">
        <w:t>as applied in each participating jurisdiction</w:t>
      </w:r>
      <w:r>
        <w:t>.</w:t>
      </w:r>
    </w:p>
    <w:p w:rsidR="00BB7C0F" w:rsidRDefault="00BB7C0F" w:rsidP="00BB7C0F">
      <w:pPr>
        <w:pStyle w:val="Sectionheading-QldSI"/>
      </w:pPr>
      <w:r w:rsidRPr="00BB7C0F">
        <w:t>Purpose</w:t>
      </w:r>
    </w:p>
    <w:p w:rsidR="00BB7C0F" w:rsidRDefault="00844782" w:rsidP="00844782">
      <w:pPr>
        <w:pStyle w:val="BodyLevel1singleparanonumber"/>
      </w:pPr>
      <w:r w:rsidRPr="00844782">
        <w:t xml:space="preserve">The purpose of this Notice is to </w:t>
      </w:r>
      <w:r w:rsidR="00DE2398">
        <w:t xml:space="preserve">amend </w:t>
      </w:r>
      <w:r w:rsidR="00D332E8">
        <w:t xml:space="preserve">stated maps </w:t>
      </w:r>
      <w:r w:rsidR="00DE2398">
        <w:t>for vehicles</w:t>
      </w:r>
      <w:r w:rsidR="00E8512A">
        <w:t xml:space="preserve"> </w:t>
      </w:r>
      <w:r w:rsidR="001816D2">
        <w:t>at</w:t>
      </w:r>
      <w:r w:rsidR="00E8512A">
        <w:t xml:space="preserve"> the request of road managers.   </w:t>
      </w:r>
    </w:p>
    <w:p w:rsidR="00BB7C0F" w:rsidRDefault="00BB7C0F" w:rsidP="00BB7C0F">
      <w:pPr>
        <w:pStyle w:val="Sectionheading-QldSI"/>
      </w:pPr>
      <w:r w:rsidRPr="00BB7C0F">
        <w:t>Commencement</w:t>
      </w:r>
      <w:r w:rsidR="00E8512A">
        <w:t xml:space="preserve"> </w:t>
      </w:r>
      <w:r w:rsidRPr="00BB7C0F">
        <w:t>Date</w:t>
      </w:r>
    </w:p>
    <w:p w:rsidR="008F5696" w:rsidRDefault="00E8512A" w:rsidP="008F5696">
      <w:pPr>
        <w:pStyle w:val="BodyLevel1singleparanonumber"/>
      </w:pPr>
      <w:r>
        <w:t xml:space="preserve">The amendments take effect </w:t>
      </w:r>
      <w:r w:rsidR="00E16934">
        <w:t>28 days after publication</w:t>
      </w:r>
      <w:r>
        <w:t xml:space="preserve">. </w:t>
      </w:r>
    </w:p>
    <w:p w:rsidR="00A87784" w:rsidRPr="00345C83" w:rsidRDefault="00A87784" w:rsidP="00345C83">
      <w:pPr>
        <w:pStyle w:val="Sectionheading-QldSI"/>
      </w:pPr>
      <w:r>
        <w:t>Title</w:t>
      </w:r>
    </w:p>
    <w:p w:rsidR="00A04C05" w:rsidRPr="00345C83" w:rsidRDefault="00A87784" w:rsidP="00C22634">
      <w:pPr>
        <w:pStyle w:val="BodyLevel1singleparanonumber"/>
      </w:pPr>
      <w:r w:rsidRPr="005C5B4E">
        <w:t>This Notice may be cited as the</w:t>
      </w:r>
      <w:r>
        <w:t xml:space="preserve"> </w:t>
      </w:r>
      <w:r w:rsidR="00C22634">
        <w:t>Heavy Vehicle Stated Ma</w:t>
      </w:r>
      <w:r w:rsidR="00EC45F1">
        <w:t>ps – Amendment Notice 201</w:t>
      </w:r>
      <w:r w:rsidR="00906231">
        <w:t>8</w:t>
      </w:r>
      <w:r w:rsidR="00EC45F1">
        <w:t xml:space="preserve"> (No.</w:t>
      </w:r>
      <w:r w:rsidR="003F14D4">
        <w:t>3</w:t>
      </w:r>
      <w:r w:rsidR="00C22634">
        <w:t>)</w:t>
      </w:r>
    </w:p>
    <w:p w:rsidR="00051F78" w:rsidRDefault="00BB7C0F" w:rsidP="00BB7C0F">
      <w:pPr>
        <w:pStyle w:val="Sectionheading-QldSI"/>
      </w:pPr>
      <w:r w:rsidRPr="00BB7C0F">
        <w:t>Application</w:t>
      </w:r>
    </w:p>
    <w:p w:rsidR="00A04C05" w:rsidRDefault="00F15018" w:rsidP="00B47601">
      <w:pPr>
        <w:pStyle w:val="BodyLevel1singleparanonumber"/>
      </w:pPr>
      <w:r>
        <w:t xml:space="preserve">This Notice applies in all participating jurisdictions. </w:t>
      </w:r>
      <w:r w:rsidR="00960855">
        <w:t xml:space="preserve"> </w:t>
      </w:r>
    </w:p>
    <w:p w:rsidR="00844782" w:rsidRDefault="00E8512A" w:rsidP="00844782">
      <w:pPr>
        <w:pStyle w:val="Sectionheading-QldSI"/>
      </w:pPr>
      <w:r>
        <w:t>Amendments</w:t>
      </w:r>
    </w:p>
    <w:p w:rsidR="008873AE" w:rsidRDefault="001816D2" w:rsidP="008873AE">
      <w:pPr>
        <w:pStyle w:val="BodyLevel1singleparanonumber"/>
      </w:pPr>
      <w:r>
        <w:t xml:space="preserve">The specified </w:t>
      </w:r>
      <w:r w:rsidR="00B60CF9">
        <w:t>networks</w:t>
      </w:r>
      <w:r>
        <w:t xml:space="preserve"> in </w:t>
      </w:r>
      <w:r w:rsidR="001826ED">
        <w:t>Column 2</w:t>
      </w:r>
      <w:r w:rsidR="000B21F6">
        <w:t xml:space="preserve"> of</w:t>
      </w:r>
      <w:r w:rsidR="00541973">
        <w:t xml:space="preserve"> Schedule </w:t>
      </w:r>
      <w:r w:rsidR="000B21F6">
        <w:t xml:space="preserve">1 </w:t>
      </w:r>
      <w:r w:rsidR="00541973">
        <w:t>to</w:t>
      </w:r>
      <w:r>
        <w:t xml:space="preserve"> this Notice </w:t>
      </w:r>
      <w:r w:rsidR="00F15018">
        <w:t xml:space="preserve">are </w:t>
      </w:r>
      <w:r>
        <w:t>amended</w:t>
      </w:r>
      <w:r w:rsidR="00541973">
        <w:t xml:space="preserve"> a</w:t>
      </w:r>
      <w:r w:rsidR="00F15018">
        <w:t xml:space="preserve">s specified </w:t>
      </w:r>
      <w:r w:rsidR="001826ED">
        <w:t>in Column 4</w:t>
      </w:r>
      <w:r w:rsidR="00F15018">
        <w:t xml:space="preserve"> for the</w:t>
      </w:r>
      <w:r w:rsidR="001826ED">
        <w:t xml:space="preserve"> </w:t>
      </w:r>
      <w:r w:rsidR="00F15018">
        <w:t xml:space="preserve">Road Manager’s </w:t>
      </w:r>
      <w:r w:rsidR="001826ED">
        <w:t>reasons shown in Column 5</w:t>
      </w:r>
      <w:r w:rsidR="00541973">
        <w:t>.</w:t>
      </w:r>
    </w:p>
    <w:p w:rsidR="004C30B2" w:rsidRDefault="004C30B2" w:rsidP="008873AE">
      <w:pPr>
        <w:pStyle w:val="BodyLevel1singleparanonumber"/>
      </w:pPr>
    </w:p>
    <w:p w:rsidR="008873AE" w:rsidRDefault="008873AE" w:rsidP="008873AE">
      <w:pPr>
        <w:pStyle w:val="BodyLevel1singleparanonumber"/>
        <w:ind w:left="720"/>
        <w:contextualSpacing/>
      </w:pPr>
    </w:p>
    <w:p w:rsidR="008873AE" w:rsidRDefault="008873AE" w:rsidP="008873AE">
      <w:pPr>
        <w:pStyle w:val="BodyLevel1singleparanonumber"/>
        <w:ind w:left="720"/>
        <w:contextualSpacing/>
      </w:pPr>
    </w:p>
    <w:p w:rsidR="009109C5" w:rsidRDefault="009109C5" w:rsidP="008873AE">
      <w:pPr>
        <w:pStyle w:val="BodyLevel1singleparanonumber"/>
        <w:ind w:left="720"/>
        <w:contextualSpacing/>
      </w:pPr>
    </w:p>
    <w:p w:rsidR="009109C5" w:rsidRDefault="009109C5" w:rsidP="008873AE">
      <w:pPr>
        <w:pStyle w:val="BodyLevel1singleparanonumber"/>
        <w:ind w:left="720"/>
        <w:contextualSpacing/>
      </w:pPr>
    </w:p>
    <w:p w:rsidR="008873AE" w:rsidRDefault="008873AE" w:rsidP="008873AE">
      <w:pPr>
        <w:pStyle w:val="BodyLevel1singleparanonumber"/>
        <w:ind w:left="720"/>
        <w:contextualSpacing/>
      </w:pPr>
      <w:r>
        <w:t xml:space="preserve">Dated: </w:t>
      </w:r>
      <w:r w:rsidR="00434B76">
        <w:t>1</w:t>
      </w:r>
      <w:r w:rsidR="003F14D4">
        <w:t>6</w:t>
      </w:r>
      <w:r w:rsidR="0050712B">
        <w:t xml:space="preserve"> </w:t>
      </w:r>
      <w:r w:rsidR="00434B76">
        <w:t>July</w:t>
      </w:r>
      <w:r w:rsidR="00ED6E67">
        <w:t xml:space="preserve"> 201</w:t>
      </w:r>
      <w:r w:rsidR="00906231">
        <w:t>8</w:t>
      </w:r>
      <w:r>
        <w:tab/>
      </w:r>
    </w:p>
    <w:p w:rsidR="008873AE" w:rsidRDefault="008873AE" w:rsidP="008873AE">
      <w:pPr>
        <w:pStyle w:val="BodyLevel1singleparanonumber"/>
        <w:ind w:left="720"/>
        <w:contextualSpacing/>
      </w:pPr>
    </w:p>
    <w:p w:rsidR="008873AE" w:rsidRDefault="003F14D4" w:rsidP="008873AE">
      <w:pPr>
        <w:pStyle w:val="BodyLevel1singleparanonumber"/>
        <w:ind w:left="720"/>
        <w:contextualSpacing/>
      </w:pPr>
      <w:r>
        <w:t>Roger Garcia</w:t>
      </w:r>
      <w:r w:rsidR="00F604D3">
        <w:t xml:space="preserve"> </w:t>
      </w:r>
    </w:p>
    <w:p w:rsidR="008873AE" w:rsidRPr="008873AE" w:rsidRDefault="003F14D4" w:rsidP="008873AE">
      <w:pPr>
        <w:pStyle w:val="BodyLevel1singleparanonumber"/>
        <w:ind w:left="720"/>
        <w:contextualSpacing/>
        <w:rPr>
          <w:i/>
        </w:rPr>
      </w:pPr>
      <w:r>
        <w:rPr>
          <w:i/>
        </w:rPr>
        <w:t xml:space="preserve">Manager </w:t>
      </w:r>
      <w:r w:rsidRPr="008873AE">
        <w:rPr>
          <w:i/>
        </w:rPr>
        <w:t>Network</w:t>
      </w:r>
      <w:r w:rsidR="0029096F">
        <w:rPr>
          <w:i/>
        </w:rPr>
        <w:t xml:space="preserve"> </w:t>
      </w:r>
      <w:r w:rsidR="008873AE" w:rsidRPr="008873AE">
        <w:rPr>
          <w:i/>
        </w:rPr>
        <w:t>Access</w:t>
      </w:r>
    </w:p>
    <w:p w:rsidR="008873AE" w:rsidRDefault="008873AE" w:rsidP="00B60CF9">
      <w:pPr>
        <w:pStyle w:val="BodyLevel1singleparanonumber"/>
        <w:ind w:left="720"/>
        <w:contextualSpacing/>
        <w:sectPr w:rsidR="008873AE" w:rsidSect="00F6784C">
          <w:footerReference w:type="default" r:id="rId9"/>
          <w:headerReference w:type="first" r:id="rId10"/>
          <w:footerReference w:type="first" r:id="rId11"/>
          <w:type w:val="continuous"/>
          <w:pgSz w:w="11906" w:h="16838" w:code="9"/>
          <w:pgMar w:top="1134" w:right="991" w:bottom="1134" w:left="993" w:header="567" w:footer="510" w:gutter="0"/>
          <w:cols w:space="1202"/>
          <w:titlePg/>
          <w:docGrid w:linePitch="360"/>
        </w:sectPr>
      </w:pPr>
      <w:r w:rsidRPr="008873AE">
        <w:rPr>
          <w:b/>
        </w:rPr>
        <w:t>National Heavy Vehicle Regulator</w:t>
      </w:r>
    </w:p>
    <w:p w:rsidR="008873AE" w:rsidRPr="008873AE" w:rsidRDefault="008873AE" w:rsidP="008873AE">
      <w:pPr>
        <w:pStyle w:val="BodyLevel1singleparanonumber"/>
        <w:ind w:left="0"/>
        <w:rPr>
          <w:b/>
        </w:rPr>
      </w:pPr>
      <w:r w:rsidRPr="008873AE">
        <w:rPr>
          <w:b/>
        </w:rPr>
        <w:lastRenderedPageBreak/>
        <w:t>Schedule 1: Table of Amended Routes</w:t>
      </w:r>
    </w:p>
    <w:tbl>
      <w:tblPr>
        <w:tblStyle w:val="TableGrid"/>
        <w:tblW w:w="15026" w:type="dxa"/>
        <w:tblInd w:w="-176" w:type="dxa"/>
        <w:tblLook w:val="04A0" w:firstRow="1" w:lastRow="0" w:firstColumn="1" w:lastColumn="0" w:noHBand="0" w:noVBand="1"/>
        <w:tblCaption w:val="Schedule 1: Table of Amended Routes"/>
        <w:tblDescription w:val="Table"/>
      </w:tblPr>
      <w:tblGrid>
        <w:gridCol w:w="1273"/>
        <w:gridCol w:w="1705"/>
        <w:gridCol w:w="1521"/>
        <w:gridCol w:w="4987"/>
        <w:gridCol w:w="5540"/>
      </w:tblGrid>
      <w:tr w:rsidR="00F15018" w:rsidTr="00642E1D">
        <w:trPr>
          <w:trHeight w:val="84"/>
          <w:tblHeader/>
        </w:trPr>
        <w:tc>
          <w:tcPr>
            <w:tcW w:w="1273" w:type="dxa"/>
          </w:tcPr>
          <w:p w:rsidR="00B47601" w:rsidRPr="003B16A4" w:rsidRDefault="00960855" w:rsidP="00AE6179">
            <w:pPr>
              <w:pStyle w:val="BodyLevel1singleparanonumber"/>
              <w:spacing w:after="0"/>
              <w:ind w:left="0" w:right="-108"/>
              <w:rPr>
                <w:rFonts w:asciiTheme="minorHAnsi" w:hAnsiTheme="minorHAnsi"/>
                <w:b/>
                <w:sz w:val="22"/>
                <w:lang w:val="en-AU"/>
              </w:rPr>
            </w:pPr>
            <w:r w:rsidRPr="003B16A4">
              <w:rPr>
                <w:rFonts w:asciiTheme="minorHAnsi" w:hAnsiTheme="minorHAnsi"/>
                <w:b/>
                <w:sz w:val="22"/>
                <w:lang w:val="en-AU"/>
              </w:rPr>
              <w:t xml:space="preserve">COLUMN 1 </w:t>
            </w:r>
            <w:r w:rsidR="00AE6179" w:rsidRPr="003B16A4">
              <w:rPr>
                <w:rFonts w:asciiTheme="minorHAnsi" w:hAnsiTheme="minorHAnsi"/>
                <w:b/>
                <w:sz w:val="22"/>
                <w:lang w:val="en-AU"/>
              </w:rPr>
              <w:t>Authorising</w:t>
            </w:r>
            <w:r w:rsidR="00F15018" w:rsidRPr="003B16A4">
              <w:rPr>
                <w:rFonts w:asciiTheme="minorHAnsi" w:hAnsiTheme="minorHAnsi"/>
                <w:b/>
                <w:sz w:val="22"/>
                <w:lang w:val="en-AU"/>
              </w:rPr>
              <w:t xml:space="preserve"> </w:t>
            </w:r>
            <w:r w:rsidR="00B47601" w:rsidRPr="003B16A4">
              <w:rPr>
                <w:rFonts w:asciiTheme="minorHAnsi" w:hAnsiTheme="minorHAnsi"/>
                <w:b/>
                <w:sz w:val="22"/>
                <w:lang w:val="en-AU"/>
              </w:rPr>
              <w:t>Provision</w:t>
            </w:r>
          </w:p>
        </w:tc>
        <w:tc>
          <w:tcPr>
            <w:tcW w:w="1705" w:type="dxa"/>
          </w:tcPr>
          <w:p w:rsidR="00B47601" w:rsidRPr="003B16A4" w:rsidRDefault="00960855" w:rsidP="00AE6179">
            <w:pPr>
              <w:pStyle w:val="BodyLevel1singleparanonumber"/>
              <w:tabs>
                <w:tab w:val="clear" w:pos="1380"/>
              </w:tabs>
              <w:spacing w:after="0"/>
              <w:ind w:left="0" w:right="-108"/>
              <w:rPr>
                <w:rFonts w:asciiTheme="minorHAnsi" w:hAnsiTheme="minorHAnsi"/>
                <w:b/>
                <w:sz w:val="22"/>
                <w:lang w:val="en-AU"/>
              </w:rPr>
            </w:pPr>
            <w:r w:rsidRPr="003B16A4">
              <w:rPr>
                <w:rFonts w:asciiTheme="minorHAnsi" w:hAnsiTheme="minorHAnsi"/>
                <w:b/>
                <w:sz w:val="22"/>
                <w:lang w:val="en-AU"/>
              </w:rPr>
              <w:t>COLUMN 2 Network</w:t>
            </w:r>
          </w:p>
        </w:tc>
        <w:tc>
          <w:tcPr>
            <w:tcW w:w="1521" w:type="dxa"/>
          </w:tcPr>
          <w:p w:rsidR="00B47601" w:rsidRPr="003B16A4" w:rsidRDefault="00960855" w:rsidP="00AE6179">
            <w:pPr>
              <w:pStyle w:val="BodyLevel1singleparanonumber"/>
              <w:spacing w:after="0"/>
              <w:ind w:left="0" w:right="-108"/>
              <w:rPr>
                <w:rFonts w:asciiTheme="minorHAnsi" w:hAnsiTheme="minorHAnsi"/>
                <w:b/>
                <w:sz w:val="22"/>
                <w:lang w:val="en-AU"/>
              </w:rPr>
            </w:pPr>
            <w:r w:rsidRPr="003B16A4">
              <w:rPr>
                <w:rFonts w:asciiTheme="minorHAnsi" w:hAnsiTheme="minorHAnsi"/>
                <w:b/>
                <w:sz w:val="22"/>
                <w:lang w:val="en-AU"/>
              </w:rPr>
              <w:t xml:space="preserve">COLUMN 3 </w:t>
            </w:r>
            <w:r w:rsidR="00B47601" w:rsidRPr="003B16A4">
              <w:rPr>
                <w:rFonts w:asciiTheme="minorHAnsi" w:hAnsiTheme="minorHAnsi"/>
                <w:b/>
                <w:sz w:val="22"/>
                <w:lang w:val="en-AU"/>
              </w:rPr>
              <w:t>Locality</w:t>
            </w:r>
          </w:p>
        </w:tc>
        <w:tc>
          <w:tcPr>
            <w:tcW w:w="4987" w:type="dxa"/>
          </w:tcPr>
          <w:p w:rsidR="00960855" w:rsidRPr="003B16A4" w:rsidRDefault="00960855" w:rsidP="00AE6179">
            <w:pPr>
              <w:pStyle w:val="BodyLevel1singleparanonumber"/>
              <w:spacing w:after="0"/>
              <w:ind w:left="0" w:right="-108"/>
              <w:rPr>
                <w:rFonts w:asciiTheme="minorHAnsi" w:hAnsiTheme="minorHAnsi"/>
                <w:b/>
                <w:sz w:val="22"/>
                <w:lang w:val="en-AU"/>
              </w:rPr>
            </w:pPr>
            <w:r w:rsidRPr="003B16A4">
              <w:rPr>
                <w:rFonts w:asciiTheme="minorHAnsi" w:hAnsiTheme="minorHAnsi"/>
                <w:b/>
                <w:sz w:val="22"/>
                <w:lang w:val="en-AU"/>
              </w:rPr>
              <w:t>COLUMN 4</w:t>
            </w:r>
          </w:p>
          <w:p w:rsidR="00B47601" w:rsidRPr="003B16A4" w:rsidRDefault="00B47601" w:rsidP="00AE6179">
            <w:pPr>
              <w:pStyle w:val="BodyLevel1singleparanonumber"/>
              <w:spacing w:after="0"/>
              <w:ind w:left="0"/>
              <w:rPr>
                <w:rFonts w:asciiTheme="minorHAnsi" w:hAnsiTheme="minorHAnsi"/>
                <w:b/>
                <w:sz w:val="22"/>
                <w:lang w:val="en-AU"/>
              </w:rPr>
            </w:pPr>
            <w:r w:rsidRPr="003B16A4">
              <w:rPr>
                <w:rFonts w:asciiTheme="minorHAnsi" w:hAnsiTheme="minorHAnsi"/>
                <w:b/>
                <w:sz w:val="22"/>
                <w:lang w:val="en-AU"/>
              </w:rPr>
              <w:t>Changes to Route</w:t>
            </w:r>
          </w:p>
        </w:tc>
        <w:tc>
          <w:tcPr>
            <w:tcW w:w="5540" w:type="dxa"/>
          </w:tcPr>
          <w:p w:rsidR="00960855" w:rsidRDefault="00960855" w:rsidP="00AE6179">
            <w:pPr>
              <w:pStyle w:val="BodyLevel1singleparanonumber"/>
              <w:spacing w:after="0"/>
              <w:ind w:left="0"/>
              <w:rPr>
                <w:rFonts w:asciiTheme="minorHAnsi" w:hAnsiTheme="minorHAnsi"/>
                <w:b/>
                <w:sz w:val="22"/>
              </w:rPr>
            </w:pPr>
            <w:r>
              <w:rPr>
                <w:rFonts w:asciiTheme="minorHAnsi" w:hAnsiTheme="minorHAnsi"/>
                <w:b/>
                <w:sz w:val="22"/>
              </w:rPr>
              <w:t>COLUMN 5</w:t>
            </w:r>
          </w:p>
          <w:p w:rsidR="00B47601" w:rsidRPr="00C05AB7" w:rsidRDefault="00F15018" w:rsidP="00AE6179">
            <w:pPr>
              <w:pStyle w:val="BodyLevel1singleparanonumber"/>
              <w:spacing w:after="0"/>
              <w:ind w:left="0" w:right="-108"/>
              <w:rPr>
                <w:rFonts w:asciiTheme="minorHAnsi" w:hAnsiTheme="minorHAnsi"/>
                <w:b/>
                <w:sz w:val="22"/>
              </w:rPr>
            </w:pPr>
            <w:r>
              <w:rPr>
                <w:rFonts w:asciiTheme="minorHAnsi" w:hAnsiTheme="minorHAnsi"/>
                <w:b/>
                <w:sz w:val="22"/>
              </w:rPr>
              <w:t xml:space="preserve">Road Manager </w:t>
            </w:r>
            <w:r w:rsidR="00B47601" w:rsidRPr="00C05AB7">
              <w:rPr>
                <w:rFonts w:asciiTheme="minorHAnsi" w:hAnsiTheme="minorHAnsi"/>
                <w:b/>
                <w:sz w:val="22"/>
              </w:rPr>
              <w:t>Reasons for Change</w:t>
            </w:r>
          </w:p>
        </w:tc>
      </w:tr>
      <w:tr w:rsidR="00F15018" w:rsidTr="00642E1D">
        <w:trPr>
          <w:trHeight w:val="84"/>
        </w:trPr>
        <w:tc>
          <w:tcPr>
            <w:tcW w:w="1273" w:type="dxa"/>
            <w:vAlign w:val="center"/>
          </w:tcPr>
          <w:p w:rsidR="00B47601" w:rsidRPr="003B16A4" w:rsidRDefault="00EC45F1" w:rsidP="00667238">
            <w:pPr>
              <w:contextualSpacing/>
              <w:rPr>
                <w:color w:val="000000"/>
                <w:sz w:val="20"/>
                <w:szCs w:val="20"/>
              </w:rPr>
            </w:pPr>
            <w:r w:rsidRPr="003B16A4">
              <w:rPr>
                <w:color w:val="000000"/>
                <w:sz w:val="20"/>
                <w:szCs w:val="20"/>
              </w:rPr>
              <w:t>s174 HVNL</w:t>
            </w:r>
          </w:p>
        </w:tc>
        <w:tc>
          <w:tcPr>
            <w:tcW w:w="1705" w:type="dxa"/>
            <w:vAlign w:val="center"/>
          </w:tcPr>
          <w:p w:rsidR="00434B76" w:rsidRDefault="00434B76" w:rsidP="00434B76">
            <w:pPr>
              <w:contextualSpacing/>
              <w:jc w:val="right"/>
              <w:rPr>
                <w:color w:val="000000"/>
                <w:sz w:val="20"/>
                <w:szCs w:val="20"/>
              </w:rPr>
            </w:pPr>
            <w:r>
              <w:rPr>
                <w:color w:val="000000"/>
                <w:sz w:val="20"/>
                <w:szCs w:val="20"/>
              </w:rPr>
              <w:t>Queensland</w:t>
            </w:r>
          </w:p>
          <w:p w:rsidR="00B47601" w:rsidRPr="003B16A4" w:rsidRDefault="00434B76" w:rsidP="00434B76">
            <w:pPr>
              <w:contextualSpacing/>
              <w:jc w:val="right"/>
              <w:rPr>
                <w:color w:val="000000"/>
                <w:sz w:val="20"/>
                <w:szCs w:val="20"/>
              </w:rPr>
            </w:pPr>
            <w:r w:rsidRPr="00E95ED6">
              <w:rPr>
                <w:color w:val="000000"/>
                <w:sz w:val="20"/>
                <w:szCs w:val="20"/>
              </w:rPr>
              <w:t>25/26m B-Double</w:t>
            </w:r>
          </w:p>
        </w:tc>
        <w:tc>
          <w:tcPr>
            <w:tcW w:w="1521" w:type="dxa"/>
            <w:vAlign w:val="center"/>
          </w:tcPr>
          <w:p w:rsidR="00B47601" w:rsidRPr="003B16A4" w:rsidRDefault="00250737" w:rsidP="00842C1D">
            <w:pPr>
              <w:pStyle w:val="BodyLevel1singleparanonumber"/>
              <w:spacing w:before="0" w:after="0" w:line="240" w:lineRule="auto"/>
              <w:ind w:left="0"/>
              <w:rPr>
                <w:rFonts w:asciiTheme="minorHAnsi" w:hAnsiTheme="minorHAnsi" w:cs="Arial"/>
                <w:color w:val="231F20"/>
                <w:sz w:val="20"/>
                <w:szCs w:val="20"/>
                <w:lang w:val="en-AU"/>
              </w:rPr>
            </w:pPr>
            <w:r w:rsidRPr="00434B76">
              <w:rPr>
                <w:rFonts w:asciiTheme="minorHAnsi" w:eastAsiaTheme="minorHAnsi" w:hAnsiTheme="minorHAnsi"/>
                <w:spacing w:val="0"/>
                <w:sz w:val="20"/>
                <w:szCs w:val="20"/>
                <w:lang w:val="en-AU"/>
              </w:rPr>
              <w:t>Berserker</w:t>
            </w:r>
          </w:p>
        </w:tc>
        <w:tc>
          <w:tcPr>
            <w:tcW w:w="4987" w:type="dxa"/>
            <w:vAlign w:val="center"/>
          </w:tcPr>
          <w:p w:rsidR="00250737" w:rsidRDefault="00250737" w:rsidP="00906231">
            <w:pPr>
              <w:pStyle w:val="BodyLevel1singleparanonumber"/>
              <w:spacing w:after="0"/>
              <w:ind w:left="0"/>
              <w:rPr>
                <w:rFonts w:asciiTheme="minorHAnsi" w:eastAsiaTheme="minorHAnsi" w:hAnsiTheme="minorHAnsi"/>
                <w:spacing w:val="0"/>
                <w:sz w:val="20"/>
                <w:szCs w:val="20"/>
                <w:lang w:val="en-AU"/>
              </w:rPr>
            </w:pPr>
            <w:r w:rsidRPr="00250737">
              <w:rPr>
                <w:rFonts w:asciiTheme="minorHAnsi" w:eastAsiaTheme="minorHAnsi" w:hAnsiTheme="minorHAnsi"/>
                <w:spacing w:val="0"/>
                <w:sz w:val="20"/>
                <w:szCs w:val="20"/>
                <w:lang w:val="en-AU"/>
              </w:rPr>
              <w:t>Remove the following road</w:t>
            </w:r>
            <w:r>
              <w:rPr>
                <w:rFonts w:asciiTheme="minorHAnsi" w:eastAsiaTheme="minorHAnsi" w:hAnsiTheme="minorHAnsi"/>
                <w:spacing w:val="0"/>
                <w:sz w:val="20"/>
                <w:szCs w:val="20"/>
                <w:lang w:val="en-AU"/>
              </w:rPr>
              <w:t>s</w:t>
            </w:r>
            <w:r w:rsidRPr="00250737">
              <w:rPr>
                <w:rFonts w:asciiTheme="minorHAnsi" w:eastAsiaTheme="minorHAnsi" w:hAnsiTheme="minorHAnsi"/>
                <w:spacing w:val="0"/>
                <w:sz w:val="20"/>
                <w:szCs w:val="20"/>
                <w:lang w:val="en-AU"/>
              </w:rPr>
              <w:t>:</w:t>
            </w:r>
          </w:p>
          <w:p w:rsidR="00906231" w:rsidRDefault="005C305C" w:rsidP="00906231">
            <w:pPr>
              <w:pStyle w:val="BodyLevel1singleparanonumber"/>
              <w:spacing w:after="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 xml:space="preserve">Musgrave Street </w:t>
            </w:r>
            <w:r w:rsidR="00434B76">
              <w:rPr>
                <w:rFonts w:asciiTheme="minorHAnsi" w:eastAsiaTheme="minorHAnsi" w:hAnsiTheme="minorHAnsi"/>
                <w:spacing w:val="0"/>
                <w:sz w:val="20"/>
                <w:szCs w:val="20"/>
                <w:lang w:val="en-AU"/>
              </w:rPr>
              <w:t>(from Painswick Street to Bridge Street)</w:t>
            </w:r>
          </w:p>
          <w:p w:rsidR="00434B76" w:rsidRDefault="005C305C" w:rsidP="00906231">
            <w:pPr>
              <w:pStyle w:val="BodyLevel1singleparanonumber"/>
              <w:spacing w:after="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 xml:space="preserve">High Street </w:t>
            </w:r>
            <w:r w:rsidR="00434B76">
              <w:rPr>
                <w:rFonts w:asciiTheme="minorHAnsi" w:eastAsiaTheme="minorHAnsi" w:hAnsiTheme="minorHAnsi"/>
                <w:spacing w:val="0"/>
                <w:sz w:val="20"/>
                <w:szCs w:val="20"/>
                <w:lang w:val="en-AU"/>
              </w:rPr>
              <w:t xml:space="preserve">(from </w:t>
            </w:r>
            <w:r w:rsidR="002E1EFA">
              <w:rPr>
                <w:rFonts w:asciiTheme="minorHAnsi" w:eastAsiaTheme="minorHAnsi" w:hAnsiTheme="minorHAnsi"/>
                <w:spacing w:val="0"/>
                <w:sz w:val="20"/>
                <w:szCs w:val="20"/>
                <w:lang w:val="en-AU"/>
              </w:rPr>
              <w:t xml:space="preserve">Moores </w:t>
            </w:r>
            <w:r w:rsidR="00434B76">
              <w:rPr>
                <w:rFonts w:asciiTheme="minorHAnsi" w:eastAsiaTheme="minorHAnsi" w:hAnsiTheme="minorHAnsi"/>
                <w:spacing w:val="0"/>
                <w:sz w:val="20"/>
                <w:szCs w:val="20"/>
                <w:lang w:val="en-AU"/>
              </w:rPr>
              <w:t>Creek Road to Musgrave Street)</w:t>
            </w:r>
          </w:p>
          <w:p w:rsidR="00434B76" w:rsidRPr="003B16A4" w:rsidRDefault="00434B76" w:rsidP="005C305C">
            <w:pPr>
              <w:pStyle w:val="BodyLevel1singleparanonumber"/>
              <w:spacing w:after="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Aquatic Place</w:t>
            </w:r>
          </w:p>
        </w:tc>
        <w:tc>
          <w:tcPr>
            <w:tcW w:w="5540" w:type="dxa"/>
            <w:vAlign w:val="center"/>
          </w:tcPr>
          <w:p w:rsidR="00B47601" w:rsidRDefault="00434B76" w:rsidP="002E1EFA">
            <w:pPr>
              <w:pStyle w:val="BodyLevel1singleparanonumber"/>
              <w:spacing w:after="120"/>
              <w:ind w:left="0"/>
              <w:jc w:val="both"/>
              <w:rPr>
                <w:rFonts w:asciiTheme="minorHAnsi" w:eastAsiaTheme="minorHAnsi" w:hAnsiTheme="minorHAnsi"/>
                <w:spacing w:val="0"/>
                <w:sz w:val="20"/>
                <w:szCs w:val="20"/>
                <w:lang w:val="en-AU"/>
              </w:rPr>
            </w:pPr>
            <w:r w:rsidRPr="00434B76">
              <w:rPr>
                <w:rFonts w:asciiTheme="minorHAnsi" w:eastAsiaTheme="minorHAnsi" w:hAnsiTheme="minorHAnsi"/>
                <w:spacing w:val="0"/>
                <w:sz w:val="20"/>
                <w:szCs w:val="20"/>
                <w:lang w:val="en-AU"/>
              </w:rPr>
              <w:t>The recent intersection</w:t>
            </w:r>
            <w:r w:rsidR="002E1EFA">
              <w:rPr>
                <w:rFonts w:asciiTheme="minorHAnsi" w:eastAsiaTheme="minorHAnsi" w:hAnsiTheme="minorHAnsi"/>
                <w:spacing w:val="0"/>
                <w:sz w:val="20"/>
                <w:szCs w:val="20"/>
                <w:lang w:val="en-AU"/>
              </w:rPr>
              <w:t xml:space="preserve"> </w:t>
            </w:r>
            <w:r w:rsidRPr="00434B76">
              <w:rPr>
                <w:rFonts w:asciiTheme="minorHAnsi" w:eastAsiaTheme="minorHAnsi" w:hAnsiTheme="minorHAnsi"/>
                <w:spacing w:val="0"/>
                <w:sz w:val="20"/>
                <w:szCs w:val="20"/>
                <w:lang w:val="en-AU"/>
              </w:rPr>
              <w:t xml:space="preserve">upgrade provides a safer route for 25/26m long </w:t>
            </w:r>
            <w:r w:rsidR="001A4939">
              <w:rPr>
                <w:rFonts w:asciiTheme="minorHAnsi" w:eastAsiaTheme="minorHAnsi" w:hAnsiTheme="minorHAnsi"/>
                <w:spacing w:val="0"/>
                <w:sz w:val="20"/>
                <w:szCs w:val="20"/>
                <w:lang w:val="en-AU"/>
              </w:rPr>
              <w:t>B</w:t>
            </w:r>
            <w:r w:rsidRPr="00434B76">
              <w:rPr>
                <w:rFonts w:asciiTheme="minorHAnsi" w:eastAsiaTheme="minorHAnsi" w:hAnsiTheme="minorHAnsi"/>
                <w:spacing w:val="0"/>
                <w:sz w:val="20"/>
                <w:szCs w:val="20"/>
                <w:lang w:val="en-AU"/>
              </w:rPr>
              <w:t>-</w:t>
            </w:r>
            <w:r w:rsidR="001A4939">
              <w:rPr>
                <w:rFonts w:asciiTheme="minorHAnsi" w:eastAsiaTheme="minorHAnsi" w:hAnsiTheme="minorHAnsi"/>
                <w:spacing w:val="0"/>
                <w:sz w:val="20"/>
                <w:szCs w:val="20"/>
                <w:lang w:val="en-AU"/>
              </w:rPr>
              <w:t>D</w:t>
            </w:r>
            <w:r w:rsidRPr="00434B76">
              <w:rPr>
                <w:rFonts w:asciiTheme="minorHAnsi" w:eastAsiaTheme="minorHAnsi" w:hAnsiTheme="minorHAnsi"/>
                <w:spacing w:val="0"/>
                <w:sz w:val="20"/>
                <w:szCs w:val="20"/>
                <w:lang w:val="en-AU"/>
              </w:rPr>
              <w:t>oubles as well as provide congestion relief to other road users on the relevant parts of High Street and Musgrave street</w:t>
            </w:r>
            <w:r w:rsidR="002E1EFA">
              <w:rPr>
                <w:rFonts w:asciiTheme="minorHAnsi" w:eastAsiaTheme="minorHAnsi" w:hAnsiTheme="minorHAnsi"/>
                <w:spacing w:val="0"/>
                <w:sz w:val="20"/>
                <w:szCs w:val="20"/>
                <w:lang w:val="en-AU"/>
              </w:rPr>
              <w:t>.</w:t>
            </w:r>
          </w:p>
          <w:p w:rsidR="002E1EFA" w:rsidRPr="00C05AB7" w:rsidRDefault="002E1EFA" w:rsidP="002E1EFA">
            <w:pPr>
              <w:pStyle w:val="BodyLevel1singleparanonumber"/>
              <w:spacing w:after="120"/>
              <w:ind w:left="0"/>
              <w:jc w:val="both"/>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 xml:space="preserve">A Heavy Vehicle route 200m (Bruce Highway intersection with High Street) from the intersection at Bruce Highway (Moores Creek Road) intersection with Yaamba Road has been constructed as an alternative and is now the official B-Double Route. </w:t>
            </w:r>
          </w:p>
        </w:tc>
      </w:tr>
      <w:tr w:rsidR="0042530A" w:rsidTr="00642E1D">
        <w:tc>
          <w:tcPr>
            <w:tcW w:w="1273" w:type="dxa"/>
            <w:vAlign w:val="center"/>
          </w:tcPr>
          <w:p w:rsidR="0042530A" w:rsidRPr="003B16A4" w:rsidRDefault="0042530A" w:rsidP="00667238">
            <w:pPr>
              <w:contextualSpacing/>
              <w:rPr>
                <w:color w:val="000000"/>
                <w:sz w:val="20"/>
                <w:szCs w:val="20"/>
              </w:rPr>
            </w:pPr>
            <w:r w:rsidRPr="003B16A4">
              <w:rPr>
                <w:color w:val="000000"/>
                <w:sz w:val="20"/>
                <w:szCs w:val="20"/>
              </w:rPr>
              <w:t>s174 HVNL</w:t>
            </w:r>
          </w:p>
        </w:tc>
        <w:tc>
          <w:tcPr>
            <w:tcW w:w="1705" w:type="dxa"/>
            <w:vAlign w:val="center"/>
          </w:tcPr>
          <w:p w:rsidR="00A41CAA" w:rsidRDefault="001A4939" w:rsidP="0042530A">
            <w:pPr>
              <w:contextualSpacing/>
              <w:jc w:val="right"/>
              <w:rPr>
                <w:color w:val="000000"/>
                <w:sz w:val="20"/>
                <w:szCs w:val="20"/>
              </w:rPr>
            </w:pPr>
            <w:r>
              <w:rPr>
                <w:color w:val="000000"/>
                <w:sz w:val="20"/>
                <w:szCs w:val="20"/>
              </w:rPr>
              <w:t>South Australia</w:t>
            </w:r>
          </w:p>
          <w:p w:rsidR="001A4939" w:rsidRPr="003B16A4" w:rsidRDefault="001A4939" w:rsidP="001A4939">
            <w:pPr>
              <w:contextualSpacing/>
              <w:jc w:val="right"/>
              <w:rPr>
                <w:color w:val="000000"/>
                <w:sz w:val="20"/>
                <w:szCs w:val="20"/>
              </w:rPr>
            </w:pPr>
            <w:r>
              <w:rPr>
                <w:color w:val="000000"/>
                <w:sz w:val="20"/>
                <w:szCs w:val="20"/>
              </w:rPr>
              <w:t>B-Double Commodity Network</w:t>
            </w:r>
          </w:p>
        </w:tc>
        <w:tc>
          <w:tcPr>
            <w:tcW w:w="1521" w:type="dxa"/>
            <w:vAlign w:val="center"/>
          </w:tcPr>
          <w:p w:rsidR="0042530A" w:rsidRPr="003B16A4" w:rsidRDefault="00337E9A" w:rsidP="00722D39">
            <w:pPr>
              <w:pStyle w:val="BodyLevel1singleparanonumber"/>
              <w:spacing w:before="0" w:after="0" w:line="240" w:lineRule="auto"/>
              <w:ind w:left="0"/>
              <w:rPr>
                <w:rFonts w:asciiTheme="minorHAnsi" w:hAnsiTheme="minorHAnsi" w:cs="Arial"/>
                <w:color w:val="231F20"/>
                <w:sz w:val="20"/>
                <w:szCs w:val="20"/>
                <w:lang w:val="en-AU"/>
              </w:rPr>
            </w:pPr>
            <w:r w:rsidRPr="00337E9A">
              <w:rPr>
                <w:rFonts w:asciiTheme="minorHAnsi" w:hAnsiTheme="minorHAnsi" w:cs="Arial"/>
                <w:color w:val="231F20"/>
                <w:sz w:val="20"/>
                <w:szCs w:val="20"/>
                <w:lang w:val="en-AU"/>
              </w:rPr>
              <w:t>Goyder Regional Council</w:t>
            </w:r>
            <w:r w:rsidR="005C305C">
              <w:rPr>
                <w:rFonts w:asciiTheme="minorHAnsi" w:hAnsiTheme="minorHAnsi" w:cs="Arial"/>
                <w:color w:val="231F20"/>
                <w:sz w:val="20"/>
                <w:szCs w:val="20"/>
                <w:lang w:val="en-AU"/>
              </w:rPr>
              <w:t xml:space="preserve"> area</w:t>
            </w:r>
          </w:p>
        </w:tc>
        <w:tc>
          <w:tcPr>
            <w:tcW w:w="4987" w:type="dxa"/>
            <w:vAlign w:val="center"/>
          </w:tcPr>
          <w:p w:rsidR="00250737" w:rsidRDefault="00250737" w:rsidP="00250737">
            <w:pPr>
              <w:pStyle w:val="Default"/>
              <w:rPr>
                <w:sz w:val="20"/>
                <w:szCs w:val="20"/>
              </w:rPr>
            </w:pPr>
            <w:r>
              <w:rPr>
                <w:sz w:val="20"/>
                <w:szCs w:val="20"/>
              </w:rPr>
              <w:t xml:space="preserve">Remove the following roads: </w:t>
            </w:r>
          </w:p>
          <w:p w:rsidR="0042530A" w:rsidRDefault="001A4939" w:rsidP="001A4939">
            <w:pPr>
              <w:pStyle w:val="BodyLevel1singleparanonumber"/>
              <w:spacing w:after="0"/>
              <w:ind w:left="0"/>
              <w:rPr>
                <w:rFonts w:asciiTheme="minorHAnsi" w:eastAsiaTheme="minorHAnsi" w:hAnsiTheme="minorHAnsi"/>
                <w:spacing w:val="0"/>
                <w:sz w:val="20"/>
                <w:szCs w:val="20"/>
                <w:lang w:val="en-AU"/>
              </w:rPr>
            </w:pPr>
            <w:r w:rsidRPr="001A4939">
              <w:rPr>
                <w:rFonts w:asciiTheme="minorHAnsi" w:eastAsiaTheme="minorHAnsi" w:hAnsiTheme="minorHAnsi"/>
                <w:spacing w:val="0"/>
                <w:sz w:val="20"/>
                <w:szCs w:val="20"/>
                <w:lang w:val="en-AU"/>
              </w:rPr>
              <w:t>Andrews R</w:t>
            </w:r>
            <w:r>
              <w:rPr>
                <w:rFonts w:asciiTheme="minorHAnsi" w:eastAsiaTheme="minorHAnsi" w:hAnsiTheme="minorHAnsi"/>
                <w:spacing w:val="0"/>
                <w:sz w:val="20"/>
                <w:szCs w:val="20"/>
                <w:lang w:val="en-AU"/>
              </w:rPr>
              <w:t>oa</w:t>
            </w:r>
            <w:r w:rsidRPr="001A4939">
              <w:rPr>
                <w:rFonts w:asciiTheme="minorHAnsi" w:eastAsiaTheme="minorHAnsi" w:hAnsiTheme="minorHAnsi"/>
                <w:spacing w:val="0"/>
                <w:sz w:val="20"/>
                <w:szCs w:val="20"/>
                <w:lang w:val="en-AU"/>
              </w:rPr>
              <w:t xml:space="preserve">d </w:t>
            </w:r>
            <w:r>
              <w:rPr>
                <w:rFonts w:asciiTheme="minorHAnsi" w:eastAsiaTheme="minorHAnsi" w:hAnsiTheme="minorHAnsi"/>
                <w:spacing w:val="0"/>
                <w:sz w:val="20"/>
                <w:szCs w:val="20"/>
                <w:lang w:val="en-AU"/>
              </w:rPr>
              <w:t>(</w:t>
            </w:r>
            <w:r w:rsidRPr="001A4939">
              <w:rPr>
                <w:rFonts w:asciiTheme="minorHAnsi" w:eastAsiaTheme="minorHAnsi" w:hAnsiTheme="minorHAnsi"/>
                <w:spacing w:val="0"/>
                <w:sz w:val="20"/>
                <w:szCs w:val="20"/>
                <w:lang w:val="en-AU"/>
              </w:rPr>
              <w:t>Pipeline R</w:t>
            </w:r>
            <w:r>
              <w:rPr>
                <w:rFonts w:asciiTheme="minorHAnsi" w:eastAsiaTheme="minorHAnsi" w:hAnsiTheme="minorHAnsi"/>
                <w:spacing w:val="0"/>
                <w:sz w:val="20"/>
                <w:szCs w:val="20"/>
                <w:lang w:val="en-AU"/>
              </w:rPr>
              <w:t>oa</w:t>
            </w:r>
            <w:r w:rsidRPr="001A4939">
              <w:rPr>
                <w:rFonts w:asciiTheme="minorHAnsi" w:eastAsiaTheme="minorHAnsi" w:hAnsiTheme="minorHAnsi"/>
                <w:spacing w:val="0"/>
                <w:sz w:val="20"/>
                <w:szCs w:val="20"/>
                <w:lang w:val="en-AU"/>
              </w:rPr>
              <w:t>d to McMahon R</w:t>
            </w:r>
            <w:r>
              <w:rPr>
                <w:rFonts w:asciiTheme="minorHAnsi" w:eastAsiaTheme="minorHAnsi" w:hAnsiTheme="minorHAnsi"/>
                <w:spacing w:val="0"/>
                <w:sz w:val="20"/>
                <w:szCs w:val="20"/>
                <w:lang w:val="en-AU"/>
              </w:rPr>
              <w:t>oa</w:t>
            </w:r>
            <w:r w:rsidRPr="001A4939">
              <w:rPr>
                <w:rFonts w:asciiTheme="minorHAnsi" w:eastAsiaTheme="minorHAnsi" w:hAnsiTheme="minorHAnsi"/>
                <w:spacing w:val="0"/>
                <w:sz w:val="20"/>
                <w:szCs w:val="20"/>
                <w:lang w:val="en-AU"/>
              </w:rPr>
              <w:t>d</w:t>
            </w:r>
            <w:r>
              <w:rPr>
                <w:rFonts w:asciiTheme="minorHAnsi" w:eastAsiaTheme="minorHAnsi" w:hAnsiTheme="minorHAnsi"/>
                <w:spacing w:val="0"/>
                <w:sz w:val="20"/>
                <w:szCs w:val="20"/>
                <w:lang w:val="en-AU"/>
              </w:rPr>
              <w:t>)</w:t>
            </w:r>
          </w:p>
          <w:p w:rsidR="001A4939" w:rsidRDefault="001A4939" w:rsidP="001A4939">
            <w:pPr>
              <w:pStyle w:val="BodyLevel1singleparanonumber"/>
              <w:spacing w:after="0"/>
              <w:ind w:left="0"/>
              <w:rPr>
                <w:rFonts w:asciiTheme="minorHAnsi" w:eastAsiaTheme="minorHAnsi" w:hAnsiTheme="minorHAnsi"/>
                <w:spacing w:val="0"/>
                <w:sz w:val="20"/>
                <w:szCs w:val="20"/>
                <w:lang w:val="en-AU"/>
              </w:rPr>
            </w:pPr>
            <w:r w:rsidRPr="001A4939">
              <w:rPr>
                <w:rFonts w:asciiTheme="minorHAnsi" w:eastAsiaTheme="minorHAnsi" w:hAnsiTheme="minorHAnsi"/>
                <w:spacing w:val="0"/>
                <w:sz w:val="20"/>
                <w:szCs w:val="20"/>
                <w:lang w:val="en-AU"/>
              </w:rPr>
              <w:t>Booborowie R</w:t>
            </w:r>
            <w:r>
              <w:rPr>
                <w:rFonts w:asciiTheme="minorHAnsi" w:eastAsiaTheme="minorHAnsi" w:hAnsiTheme="minorHAnsi"/>
                <w:spacing w:val="0"/>
                <w:sz w:val="20"/>
                <w:szCs w:val="20"/>
                <w:lang w:val="en-AU"/>
              </w:rPr>
              <w:t>oa</w:t>
            </w:r>
            <w:r w:rsidRPr="001A4939">
              <w:rPr>
                <w:rFonts w:asciiTheme="minorHAnsi" w:eastAsiaTheme="minorHAnsi" w:hAnsiTheme="minorHAnsi"/>
                <w:spacing w:val="0"/>
                <w:sz w:val="20"/>
                <w:szCs w:val="20"/>
                <w:lang w:val="en-AU"/>
              </w:rPr>
              <w:t>d</w:t>
            </w:r>
            <w:r>
              <w:rPr>
                <w:rFonts w:asciiTheme="minorHAnsi" w:eastAsiaTheme="minorHAnsi" w:hAnsiTheme="minorHAnsi"/>
                <w:spacing w:val="0"/>
                <w:sz w:val="20"/>
                <w:szCs w:val="20"/>
                <w:lang w:val="en-AU"/>
              </w:rPr>
              <w:t xml:space="preserve"> (</w:t>
            </w:r>
            <w:r w:rsidRPr="001A4939">
              <w:rPr>
                <w:rFonts w:asciiTheme="minorHAnsi" w:eastAsiaTheme="minorHAnsi" w:hAnsiTheme="minorHAnsi"/>
                <w:spacing w:val="0"/>
                <w:sz w:val="20"/>
                <w:szCs w:val="20"/>
                <w:lang w:val="en-AU"/>
              </w:rPr>
              <w:t xml:space="preserve"> North T</w:t>
            </w:r>
            <w:r>
              <w:rPr>
                <w:rFonts w:asciiTheme="minorHAnsi" w:eastAsiaTheme="minorHAnsi" w:hAnsiTheme="minorHAnsi"/>
                <w:spacing w:val="0"/>
                <w:sz w:val="20"/>
                <w:szCs w:val="20"/>
                <w:lang w:val="en-AU"/>
              </w:rPr>
              <w:t>erra</w:t>
            </w:r>
            <w:r w:rsidRPr="001A4939">
              <w:rPr>
                <w:rFonts w:asciiTheme="minorHAnsi" w:eastAsiaTheme="minorHAnsi" w:hAnsiTheme="minorHAnsi"/>
                <w:spacing w:val="0"/>
                <w:sz w:val="20"/>
                <w:szCs w:val="20"/>
                <w:lang w:val="en-AU"/>
              </w:rPr>
              <w:t>ce to Somme Brae R</w:t>
            </w:r>
            <w:r>
              <w:rPr>
                <w:rFonts w:asciiTheme="minorHAnsi" w:eastAsiaTheme="minorHAnsi" w:hAnsiTheme="minorHAnsi"/>
                <w:spacing w:val="0"/>
                <w:sz w:val="20"/>
                <w:szCs w:val="20"/>
                <w:lang w:val="en-AU"/>
              </w:rPr>
              <w:t>oad)</w:t>
            </w:r>
          </w:p>
          <w:p w:rsidR="001A4939" w:rsidRPr="003B16A4" w:rsidRDefault="001A4939" w:rsidP="001A4939">
            <w:pPr>
              <w:pStyle w:val="BodyLevel1singleparanonumber"/>
              <w:spacing w:after="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Julia Road (</w:t>
            </w:r>
            <w:r w:rsidRPr="001A4939">
              <w:rPr>
                <w:rFonts w:asciiTheme="minorHAnsi" w:eastAsiaTheme="minorHAnsi" w:hAnsiTheme="minorHAnsi"/>
                <w:spacing w:val="0"/>
                <w:sz w:val="20"/>
                <w:szCs w:val="20"/>
                <w:lang w:val="en-AU"/>
              </w:rPr>
              <w:t xml:space="preserve"> Nash R</w:t>
            </w:r>
            <w:r>
              <w:rPr>
                <w:rFonts w:asciiTheme="minorHAnsi" w:eastAsiaTheme="minorHAnsi" w:hAnsiTheme="minorHAnsi"/>
                <w:spacing w:val="0"/>
                <w:sz w:val="20"/>
                <w:szCs w:val="20"/>
                <w:lang w:val="en-AU"/>
              </w:rPr>
              <w:t>oad to Emmaus Road)</w:t>
            </w:r>
          </w:p>
        </w:tc>
        <w:tc>
          <w:tcPr>
            <w:tcW w:w="5540" w:type="dxa"/>
            <w:vAlign w:val="center"/>
          </w:tcPr>
          <w:p w:rsidR="00A41CAA" w:rsidRDefault="001A4939" w:rsidP="00A41CAA">
            <w:pPr>
              <w:pStyle w:val="BodyLevel1singleparanonumber"/>
              <w:spacing w:after="120"/>
              <w:ind w:left="0"/>
              <w:rPr>
                <w:rFonts w:asciiTheme="minorHAnsi" w:eastAsiaTheme="minorHAnsi" w:hAnsiTheme="minorHAnsi"/>
                <w:spacing w:val="0"/>
                <w:sz w:val="20"/>
                <w:szCs w:val="20"/>
                <w:lang w:val="en-AU"/>
              </w:rPr>
            </w:pPr>
            <w:r w:rsidRPr="001A4939">
              <w:rPr>
                <w:rFonts w:asciiTheme="minorHAnsi" w:eastAsiaTheme="minorHAnsi" w:hAnsiTheme="minorHAnsi"/>
                <w:spacing w:val="0"/>
                <w:sz w:val="20"/>
                <w:szCs w:val="20"/>
                <w:lang w:val="en-AU"/>
              </w:rPr>
              <w:t xml:space="preserve">Andrews Road </w:t>
            </w:r>
            <w:r>
              <w:rPr>
                <w:rFonts w:asciiTheme="minorHAnsi" w:eastAsiaTheme="minorHAnsi" w:hAnsiTheme="minorHAnsi"/>
                <w:spacing w:val="0"/>
                <w:sz w:val="20"/>
                <w:szCs w:val="20"/>
                <w:lang w:val="en-AU"/>
              </w:rPr>
              <w:t xml:space="preserve"> – Bridge Load Limit 42.5t</w:t>
            </w:r>
          </w:p>
          <w:p w:rsidR="001A4939" w:rsidRDefault="001A4939" w:rsidP="00A41CAA">
            <w:pPr>
              <w:pStyle w:val="BodyLevel1singleparanonumber"/>
              <w:spacing w:after="120"/>
              <w:ind w:left="0"/>
              <w:rPr>
                <w:rFonts w:asciiTheme="minorHAnsi" w:eastAsiaTheme="minorHAnsi" w:hAnsiTheme="minorHAnsi"/>
                <w:spacing w:val="0"/>
                <w:sz w:val="20"/>
                <w:szCs w:val="20"/>
                <w:lang w:val="en-AU"/>
              </w:rPr>
            </w:pPr>
            <w:r w:rsidRPr="001A4939">
              <w:rPr>
                <w:rFonts w:asciiTheme="minorHAnsi" w:eastAsiaTheme="minorHAnsi" w:hAnsiTheme="minorHAnsi"/>
                <w:spacing w:val="0"/>
                <w:sz w:val="20"/>
                <w:szCs w:val="20"/>
                <w:lang w:val="en-AU"/>
              </w:rPr>
              <w:t>Booborowie Road</w:t>
            </w:r>
            <w:r>
              <w:rPr>
                <w:rFonts w:asciiTheme="minorHAnsi" w:eastAsiaTheme="minorHAnsi" w:hAnsiTheme="minorHAnsi"/>
                <w:spacing w:val="0"/>
                <w:sz w:val="20"/>
                <w:szCs w:val="20"/>
                <w:lang w:val="en-AU"/>
              </w:rPr>
              <w:t xml:space="preserve">  – Bridge Load Limit 19t</w:t>
            </w:r>
          </w:p>
          <w:p w:rsidR="001A4939" w:rsidRDefault="001A4939" w:rsidP="00A41CAA">
            <w:pPr>
              <w:pStyle w:val="BodyLevel1singleparanonumber"/>
              <w:spacing w:after="12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Julia Road  – Bridge Load Limit 10.5t</w:t>
            </w:r>
          </w:p>
          <w:p w:rsidR="001A4939" w:rsidRDefault="001A4939" w:rsidP="00A41CAA">
            <w:pPr>
              <w:pStyle w:val="BodyLevel1singleparanonumber"/>
              <w:spacing w:after="12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 xml:space="preserve">Use of this vehicle would result in </w:t>
            </w:r>
          </w:p>
          <w:p w:rsidR="001A4939" w:rsidRPr="001A4939" w:rsidRDefault="001A4939" w:rsidP="001A4939">
            <w:pPr>
              <w:pStyle w:val="BodyLevel1singleparanonumber"/>
              <w:spacing w:after="12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 xml:space="preserve">(a) </w:t>
            </w:r>
            <w:r w:rsidRPr="001A4939">
              <w:rPr>
                <w:rFonts w:asciiTheme="minorHAnsi" w:eastAsiaTheme="minorHAnsi" w:hAnsiTheme="minorHAnsi"/>
                <w:spacing w:val="0"/>
                <w:sz w:val="20"/>
                <w:szCs w:val="20"/>
                <w:lang w:val="en-AU"/>
              </w:rPr>
              <w:t>d</w:t>
            </w:r>
            <w:r>
              <w:rPr>
                <w:rFonts w:asciiTheme="minorHAnsi" w:eastAsiaTheme="minorHAnsi" w:hAnsiTheme="minorHAnsi"/>
                <w:spacing w:val="0"/>
                <w:sz w:val="20"/>
                <w:szCs w:val="20"/>
                <w:lang w:val="en-AU"/>
              </w:rPr>
              <w:t>amage to road infrastructure; and</w:t>
            </w:r>
          </w:p>
          <w:p w:rsidR="001A4939" w:rsidRDefault="001A4939" w:rsidP="001A4939">
            <w:pPr>
              <w:pStyle w:val="BodyLevel1singleparanonumber"/>
              <w:spacing w:after="12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 xml:space="preserve">(b) </w:t>
            </w:r>
            <w:proofErr w:type="gramStart"/>
            <w:r w:rsidRPr="001A4939">
              <w:rPr>
                <w:rFonts w:asciiTheme="minorHAnsi" w:eastAsiaTheme="minorHAnsi" w:hAnsiTheme="minorHAnsi"/>
                <w:spacing w:val="0"/>
                <w:sz w:val="20"/>
                <w:szCs w:val="20"/>
                <w:lang w:val="en-AU"/>
              </w:rPr>
              <w:t>pose</w:t>
            </w:r>
            <w:proofErr w:type="gramEnd"/>
            <w:r>
              <w:rPr>
                <w:rFonts w:asciiTheme="minorHAnsi" w:eastAsiaTheme="minorHAnsi" w:hAnsiTheme="minorHAnsi"/>
                <w:spacing w:val="0"/>
                <w:sz w:val="20"/>
                <w:szCs w:val="20"/>
                <w:lang w:val="en-AU"/>
              </w:rPr>
              <w:t xml:space="preserve"> </w:t>
            </w:r>
            <w:r w:rsidRPr="001A4939">
              <w:rPr>
                <w:rFonts w:asciiTheme="minorHAnsi" w:eastAsiaTheme="minorHAnsi" w:hAnsiTheme="minorHAnsi"/>
                <w:spacing w:val="0"/>
                <w:sz w:val="20"/>
                <w:szCs w:val="20"/>
                <w:lang w:val="en-AU"/>
              </w:rPr>
              <w:t>significant risk to public safety arising from heavy vehicle use that is incompatible with road infrastructure or traffic conditions</w:t>
            </w:r>
            <w:r>
              <w:rPr>
                <w:rFonts w:asciiTheme="minorHAnsi" w:eastAsiaTheme="minorHAnsi" w:hAnsiTheme="minorHAnsi"/>
                <w:spacing w:val="0"/>
                <w:sz w:val="20"/>
                <w:szCs w:val="20"/>
                <w:lang w:val="en-AU"/>
              </w:rPr>
              <w:t>.</w:t>
            </w:r>
          </w:p>
          <w:p w:rsidR="001A4939" w:rsidRPr="00C05AB7" w:rsidRDefault="001A4939" w:rsidP="001A4939">
            <w:pPr>
              <w:pStyle w:val="BodyLevel1singleparanonumber"/>
              <w:spacing w:after="120"/>
              <w:ind w:left="0"/>
              <w:jc w:val="both"/>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A</w:t>
            </w:r>
            <w:r w:rsidRPr="001A4939">
              <w:rPr>
                <w:rFonts w:asciiTheme="minorHAnsi" w:eastAsiaTheme="minorHAnsi" w:hAnsiTheme="minorHAnsi"/>
                <w:spacing w:val="0"/>
                <w:sz w:val="20"/>
                <w:szCs w:val="20"/>
                <w:lang w:val="en-AU"/>
              </w:rPr>
              <w:t xml:space="preserve">ssessment reports </w:t>
            </w:r>
            <w:r>
              <w:rPr>
                <w:rFonts w:asciiTheme="minorHAnsi" w:eastAsiaTheme="minorHAnsi" w:hAnsiTheme="minorHAnsi"/>
                <w:spacing w:val="0"/>
                <w:sz w:val="20"/>
                <w:szCs w:val="20"/>
                <w:lang w:val="en-AU"/>
              </w:rPr>
              <w:t xml:space="preserve">states </w:t>
            </w:r>
            <w:r w:rsidRPr="001A4939">
              <w:rPr>
                <w:rFonts w:asciiTheme="minorHAnsi" w:eastAsiaTheme="minorHAnsi" w:hAnsiTheme="minorHAnsi"/>
                <w:spacing w:val="0"/>
                <w:sz w:val="20"/>
                <w:szCs w:val="20"/>
                <w:lang w:val="en-AU"/>
              </w:rPr>
              <w:t>the structures do not meet the required load rating for the specified vehicles and load restrictions have been recommended for each of the three bridges. Additionally the existing barriers do not meet the requirements for the necessary restraint levels required for the specified vehicles.</w:t>
            </w:r>
          </w:p>
        </w:tc>
      </w:tr>
      <w:tr w:rsidR="00C303E7" w:rsidTr="00642E1D">
        <w:tc>
          <w:tcPr>
            <w:tcW w:w="1273" w:type="dxa"/>
            <w:vAlign w:val="center"/>
          </w:tcPr>
          <w:p w:rsidR="00C303E7" w:rsidRPr="003B16A4" w:rsidRDefault="00C303E7" w:rsidP="00250737">
            <w:pPr>
              <w:contextualSpacing/>
              <w:rPr>
                <w:color w:val="000000"/>
                <w:sz w:val="20"/>
                <w:szCs w:val="20"/>
              </w:rPr>
            </w:pPr>
            <w:r w:rsidRPr="003B16A4">
              <w:rPr>
                <w:color w:val="000000"/>
                <w:sz w:val="20"/>
                <w:szCs w:val="20"/>
              </w:rPr>
              <w:t>s174 HVNL</w:t>
            </w:r>
          </w:p>
        </w:tc>
        <w:tc>
          <w:tcPr>
            <w:tcW w:w="1705" w:type="dxa"/>
            <w:vAlign w:val="center"/>
          </w:tcPr>
          <w:p w:rsidR="00C303E7" w:rsidRDefault="00C303E7" w:rsidP="0042530A">
            <w:pPr>
              <w:contextualSpacing/>
              <w:jc w:val="right"/>
              <w:rPr>
                <w:color w:val="000000"/>
                <w:sz w:val="20"/>
                <w:szCs w:val="20"/>
              </w:rPr>
            </w:pPr>
            <w:r>
              <w:rPr>
                <w:color w:val="000000"/>
                <w:sz w:val="20"/>
                <w:szCs w:val="20"/>
              </w:rPr>
              <w:t>New South Wales</w:t>
            </w:r>
          </w:p>
          <w:p w:rsidR="00C303E7" w:rsidRDefault="00C303E7" w:rsidP="0042530A">
            <w:pPr>
              <w:contextualSpacing/>
              <w:jc w:val="right"/>
              <w:rPr>
                <w:color w:val="000000"/>
                <w:sz w:val="20"/>
                <w:szCs w:val="20"/>
              </w:rPr>
            </w:pPr>
            <w:r>
              <w:rPr>
                <w:color w:val="000000"/>
                <w:sz w:val="20"/>
                <w:szCs w:val="20"/>
              </w:rPr>
              <w:t>19m B-Double (over 50 tonnes)</w:t>
            </w:r>
          </w:p>
        </w:tc>
        <w:tc>
          <w:tcPr>
            <w:tcW w:w="1521" w:type="dxa"/>
            <w:vAlign w:val="center"/>
          </w:tcPr>
          <w:p w:rsidR="00C303E7" w:rsidRPr="00337E9A" w:rsidRDefault="005C305C" w:rsidP="00722D39">
            <w:pPr>
              <w:pStyle w:val="BodyLevel1singleparanonumber"/>
              <w:spacing w:before="0" w:after="0" w:line="240" w:lineRule="auto"/>
              <w:ind w:left="0"/>
              <w:rPr>
                <w:rFonts w:asciiTheme="minorHAnsi" w:hAnsiTheme="minorHAnsi" w:cs="Arial"/>
                <w:color w:val="231F20"/>
                <w:sz w:val="20"/>
                <w:szCs w:val="20"/>
                <w:lang w:val="en-AU"/>
              </w:rPr>
            </w:pPr>
            <w:r>
              <w:rPr>
                <w:rFonts w:asciiTheme="minorHAnsi" w:eastAsiaTheme="minorHAnsi" w:hAnsiTheme="minorHAnsi"/>
                <w:spacing w:val="0"/>
                <w:sz w:val="20"/>
                <w:szCs w:val="20"/>
                <w:lang w:val="en-AU"/>
              </w:rPr>
              <w:t>Saint Andrews</w:t>
            </w:r>
          </w:p>
        </w:tc>
        <w:tc>
          <w:tcPr>
            <w:tcW w:w="4987" w:type="dxa"/>
            <w:vAlign w:val="center"/>
          </w:tcPr>
          <w:p w:rsidR="00250737" w:rsidRDefault="00250737" w:rsidP="001A4939">
            <w:pPr>
              <w:pStyle w:val="BodyLevel1singleparanonumber"/>
              <w:spacing w:after="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Amend travel condition for the following roads:</w:t>
            </w:r>
          </w:p>
          <w:p w:rsidR="00250737" w:rsidRDefault="00250737" w:rsidP="001A4939">
            <w:pPr>
              <w:pStyle w:val="BodyLevel1singleparanonumber"/>
              <w:spacing w:after="0"/>
              <w:ind w:left="0"/>
              <w:rPr>
                <w:rFonts w:asciiTheme="minorHAnsi" w:eastAsiaTheme="minorHAnsi" w:hAnsiTheme="minorHAnsi"/>
                <w:spacing w:val="0"/>
                <w:sz w:val="20"/>
                <w:szCs w:val="20"/>
                <w:lang w:val="en-AU"/>
              </w:rPr>
            </w:pPr>
            <w:r w:rsidRPr="00250737">
              <w:rPr>
                <w:rFonts w:asciiTheme="minorHAnsi" w:eastAsiaTheme="minorHAnsi" w:hAnsiTheme="minorHAnsi"/>
                <w:spacing w:val="0"/>
                <w:sz w:val="20"/>
                <w:szCs w:val="20"/>
                <w:lang w:val="en-AU"/>
              </w:rPr>
              <w:t>Stranraer Dr</w:t>
            </w:r>
            <w:r w:rsidR="005C305C">
              <w:rPr>
                <w:rFonts w:asciiTheme="minorHAnsi" w:eastAsiaTheme="minorHAnsi" w:hAnsiTheme="minorHAnsi"/>
                <w:spacing w:val="0"/>
                <w:sz w:val="20"/>
                <w:szCs w:val="20"/>
                <w:lang w:val="en-AU"/>
              </w:rPr>
              <w:t>ive</w:t>
            </w:r>
          </w:p>
          <w:p w:rsidR="00C303E7" w:rsidRDefault="00C303E7" w:rsidP="005C305C">
            <w:pPr>
              <w:pStyle w:val="BodyLevel1singleparanonumber"/>
              <w:spacing w:after="0"/>
              <w:ind w:left="0"/>
              <w:rPr>
                <w:rFonts w:asciiTheme="minorHAnsi" w:eastAsiaTheme="minorHAnsi" w:hAnsiTheme="minorHAnsi"/>
                <w:spacing w:val="0"/>
                <w:sz w:val="20"/>
                <w:szCs w:val="20"/>
                <w:lang w:val="en-AU"/>
              </w:rPr>
            </w:pPr>
            <w:r w:rsidRPr="00C303E7">
              <w:rPr>
                <w:rFonts w:asciiTheme="minorHAnsi" w:eastAsiaTheme="minorHAnsi" w:hAnsiTheme="minorHAnsi"/>
                <w:spacing w:val="0"/>
                <w:sz w:val="20"/>
                <w:szCs w:val="20"/>
                <w:lang w:val="en-AU"/>
              </w:rPr>
              <w:t>Aberf</w:t>
            </w:r>
            <w:r>
              <w:rPr>
                <w:rFonts w:asciiTheme="minorHAnsi" w:eastAsiaTheme="minorHAnsi" w:hAnsiTheme="minorHAnsi"/>
                <w:spacing w:val="0"/>
                <w:sz w:val="20"/>
                <w:szCs w:val="20"/>
                <w:lang w:val="en-AU"/>
              </w:rPr>
              <w:t>eldy Crescent</w:t>
            </w:r>
          </w:p>
          <w:p w:rsidR="00642E1D" w:rsidRDefault="00642E1D" w:rsidP="005C305C">
            <w:pPr>
              <w:pStyle w:val="BodyLevel1singleparanonumber"/>
              <w:spacing w:after="0"/>
              <w:ind w:left="0"/>
              <w:rPr>
                <w:rFonts w:asciiTheme="minorHAnsi" w:eastAsiaTheme="minorHAnsi" w:hAnsiTheme="minorHAnsi"/>
                <w:spacing w:val="0"/>
                <w:sz w:val="20"/>
                <w:szCs w:val="20"/>
                <w:lang w:val="en-AU"/>
              </w:rPr>
            </w:pPr>
          </w:p>
          <w:p w:rsidR="00642E1D" w:rsidRPr="001A4939" w:rsidRDefault="00642E1D" w:rsidP="005C305C">
            <w:pPr>
              <w:pStyle w:val="BodyLevel1singleparanonumber"/>
              <w:spacing w:after="0"/>
              <w:ind w:left="0"/>
              <w:rPr>
                <w:rFonts w:asciiTheme="minorHAnsi" w:eastAsiaTheme="minorHAnsi" w:hAnsiTheme="minorHAnsi"/>
                <w:spacing w:val="0"/>
                <w:sz w:val="20"/>
                <w:szCs w:val="20"/>
                <w:lang w:val="en-AU"/>
              </w:rPr>
            </w:pPr>
            <w:bookmarkStart w:id="2" w:name="_GoBack"/>
            <w:bookmarkEnd w:id="2"/>
          </w:p>
        </w:tc>
        <w:tc>
          <w:tcPr>
            <w:tcW w:w="5540" w:type="dxa"/>
            <w:vAlign w:val="center"/>
          </w:tcPr>
          <w:p w:rsidR="00250737" w:rsidRPr="001A4939" w:rsidRDefault="00250737" w:rsidP="00A41CAA">
            <w:pPr>
              <w:pStyle w:val="BodyLevel1singleparanonumber"/>
              <w:spacing w:after="12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 xml:space="preserve">Travel is now permitted between 6AM – 9PM. Travel hours are required to mitigate heavy vehicle intrusion in residential area. </w:t>
            </w:r>
          </w:p>
        </w:tc>
      </w:tr>
      <w:tr w:rsidR="005C305C" w:rsidTr="00642E1D">
        <w:tc>
          <w:tcPr>
            <w:tcW w:w="1273" w:type="dxa"/>
            <w:vAlign w:val="center"/>
          </w:tcPr>
          <w:p w:rsidR="005C305C" w:rsidRPr="003B16A4" w:rsidRDefault="005C305C" w:rsidP="00250737">
            <w:pPr>
              <w:contextualSpacing/>
              <w:rPr>
                <w:color w:val="000000"/>
                <w:sz w:val="20"/>
                <w:szCs w:val="20"/>
              </w:rPr>
            </w:pPr>
            <w:r w:rsidRPr="003B16A4">
              <w:rPr>
                <w:color w:val="000000"/>
                <w:sz w:val="20"/>
                <w:szCs w:val="20"/>
              </w:rPr>
              <w:lastRenderedPageBreak/>
              <w:t>s174 HVNL</w:t>
            </w:r>
          </w:p>
        </w:tc>
        <w:tc>
          <w:tcPr>
            <w:tcW w:w="1705" w:type="dxa"/>
            <w:vAlign w:val="center"/>
          </w:tcPr>
          <w:p w:rsidR="005C305C" w:rsidRDefault="005C305C" w:rsidP="005C305C">
            <w:pPr>
              <w:contextualSpacing/>
              <w:jc w:val="right"/>
              <w:rPr>
                <w:color w:val="000000"/>
                <w:sz w:val="20"/>
                <w:szCs w:val="20"/>
              </w:rPr>
            </w:pPr>
            <w:r>
              <w:rPr>
                <w:color w:val="000000"/>
                <w:sz w:val="20"/>
                <w:szCs w:val="20"/>
              </w:rPr>
              <w:t>New South Wales</w:t>
            </w:r>
          </w:p>
          <w:p w:rsidR="005C305C" w:rsidRDefault="005C305C" w:rsidP="005C305C">
            <w:pPr>
              <w:contextualSpacing/>
              <w:jc w:val="right"/>
              <w:rPr>
                <w:color w:val="000000"/>
                <w:sz w:val="20"/>
                <w:szCs w:val="20"/>
              </w:rPr>
            </w:pPr>
            <w:r>
              <w:rPr>
                <w:color w:val="000000"/>
                <w:sz w:val="20"/>
                <w:szCs w:val="20"/>
              </w:rPr>
              <w:t>19m B-Double (over 50 tonnes)</w:t>
            </w:r>
          </w:p>
        </w:tc>
        <w:tc>
          <w:tcPr>
            <w:tcW w:w="1521" w:type="dxa"/>
            <w:vAlign w:val="center"/>
          </w:tcPr>
          <w:p w:rsidR="005C305C" w:rsidRDefault="005C305C" w:rsidP="00722D39">
            <w:pPr>
              <w:pStyle w:val="BodyLevel1singleparanonumber"/>
              <w:spacing w:before="0" w:after="0" w:line="240" w:lineRule="auto"/>
              <w:ind w:left="0"/>
              <w:rPr>
                <w:rFonts w:asciiTheme="minorHAnsi" w:hAnsiTheme="minorHAnsi" w:cs="Arial"/>
                <w:color w:val="231F20"/>
                <w:sz w:val="20"/>
                <w:szCs w:val="20"/>
                <w:lang w:val="en-AU"/>
              </w:rPr>
            </w:pPr>
            <w:r>
              <w:rPr>
                <w:rFonts w:asciiTheme="minorHAnsi" w:hAnsiTheme="minorHAnsi" w:cs="Arial"/>
                <w:color w:val="231F20"/>
                <w:sz w:val="20"/>
                <w:szCs w:val="20"/>
                <w:lang w:val="en-AU"/>
              </w:rPr>
              <w:t xml:space="preserve">Campbelltown </w:t>
            </w:r>
          </w:p>
        </w:tc>
        <w:tc>
          <w:tcPr>
            <w:tcW w:w="4987" w:type="dxa"/>
            <w:vAlign w:val="center"/>
          </w:tcPr>
          <w:p w:rsidR="005C305C" w:rsidRDefault="005C305C" w:rsidP="005C305C">
            <w:pPr>
              <w:pStyle w:val="BodyLevel1singleparanonumber"/>
              <w:spacing w:after="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Amend travel condition for the following roads:</w:t>
            </w:r>
          </w:p>
          <w:p w:rsidR="005C305C" w:rsidRDefault="005C305C" w:rsidP="001A4939">
            <w:pPr>
              <w:pStyle w:val="BodyLevel1singleparanonumber"/>
              <w:spacing w:after="0"/>
              <w:ind w:left="0"/>
              <w:rPr>
                <w:rFonts w:asciiTheme="minorHAnsi" w:hAnsiTheme="minorHAnsi" w:cs="Arial"/>
                <w:color w:val="231F20"/>
                <w:sz w:val="20"/>
                <w:szCs w:val="20"/>
                <w:lang w:val="en-AU"/>
              </w:rPr>
            </w:pPr>
            <w:r>
              <w:rPr>
                <w:rFonts w:asciiTheme="minorHAnsi" w:hAnsiTheme="minorHAnsi" w:cs="Arial"/>
                <w:color w:val="231F20"/>
                <w:sz w:val="20"/>
                <w:szCs w:val="20"/>
                <w:lang w:val="en-AU"/>
              </w:rPr>
              <w:t>Broughton Street</w:t>
            </w:r>
          </w:p>
          <w:p w:rsidR="005C305C" w:rsidRDefault="005C305C" w:rsidP="001A4939">
            <w:pPr>
              <w:pStyle w:val="BodyLevel1singleparanonumber"/>
              <w:spacing w:after="0"/>
              <w:ind w:left="0"/>
              <w:rPr>
                <w:rFonts w:asciiTheme="minorHAnsi" w:eastAsiaTheme="minorHAnsi" w:hAnsiTheme="minorHAnsi"/>
                <w:spacing w:val="0"/>
                <w:sz w:val="20"/>
                <w:szCs w:val="20"/>
                <w:lang w:val="en-AU"/>
              </w:rPr>
            </w:pPr>
            <w:r>
              <w:rPr>
                <w:rFonts w:asciiTheme="minorHAnsi" w:hAnsiTheme="minorHAnsi" w:cs="Arial"/>
                <w:color w:val="231F20"/>
                <w:sz w:val="20"/>
                <w:szCs w:val="20"/>
                <w:lang w:val="en-AU"/>
              </w:rPr>
              <w:t>Queen Street</w:t>
            </w:r>
          </w:p>
        </w:tc>
        <w:tc>
          <w:tcPr>
            <w:tcW w:w="5540" w:type="dxa"/>
            <w:vAlign w:val="center"/>
          </w:tcPr>
          <w:p w:rsidR="005C305C" w:rsidRDefault="005C305C" w:rsidP="005C305C">
            <w:pPr>
              <w:pStyle w:val="BodyLevel1singleparanonumber"/>
              <w:spacing w:after="12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Travel is now permitted between 7PM – 7AM. Travel hours are required to mitigate traffic congestion during peak business hours within CBD area.</w:t>
            </w:r>
          </w:p>
        </w:tc>
      </w:tr>
      <w:tr w:rsidR="005C305C" w:rsidTr="00642E1D">
        <w:tc>
          <w:tcPr>
            <w:tcW w:w="1273" w:type="dxa"/>
            <w:vAlign w:val="center"/>
          </w:tcPr>
          <w:p w:rsidR="005C305C" w:rsidRPr="003B16A4" w:rsidRDefault="005C305C" w:rsidP="005C305C">
            <w:pPr>
              <w:contextualSpacing/>
              <w:rPr>
                <w:color w:val="000000"/>
                <w:sz w:val="20"/>
                <w:szCs w:val="20"/>
              </w:rPr>
            </w:pPr>
            <w:r w:rsidRPr="003B16A4">
              <w:rPr>
                <w:color w:val="000000"/>
                <w:sz w:val="20"/>
                <w:szCs w:val="20"/>
              </w:rPr>
              <w:t>s174 HVNL</w:t>
            </w:r>
          </w:p>
        </w:tc>
        <w:tc>
          <w:tcPr>
            <w:tcW w:w="1705" w:type="dxa"/>
            <w:vAlign w:val="center"/>
          </w:tcPr>
          <w:p w:rsidR="005C305C" w:rsidRDefault="005C305C" w:rsidP="005C305C">
            <w:pPr>
              <w:contextualSpacing/>
              <w:jc w:val="right"/>
              <w:rPr>
                <w:color w:val="000000"/>
                <w:sz w:val="20"/>
                <w:szCs w:val="20"/>
              </w:rPr>
            </w:pPr>
            <w:r>
              <w:rPr>
                <w:color w:val="000000"/>
                <w:sz w:val="20"/>
                <w:szCs w:val="20"/>
              </w:rPr>
              <w:t>New South Wales</w:t>
            </w:r>
          </w:p>
          <w:p w:rsidR="005C305C" w:rsidRDefault="005C305C" w:rsidP="005C305C">
            <w:pPr>
              <w:contextualSpacing/>
              <w:jc w:val="right"/>
              <w:rPr>
                <w:color w:val="000000"/>
                <w:sz w:val="20"/>
                <w:szCs w:val="20"/>
              </w:rPr>
            </w:pPr>
            <w:r>
              <w:rPr>
                <w:color w:val="000000"/>
                <w:sz w:val="20"/>
                <w:szCs w:val="20"/>
              </w:rPr>
              <w:t>19m B-Double (over 50 tonnes)</w:t>
            </w:r>
          </w:p>
        </w:tc>
        <w:tc>
          <w:tcPr>
            <w:tcW w:w="1521" w:type="dxa"/>
            <w:vAlign w:val="center"/>
          </w:tcPr>
          <w:p w:rsidR="005C305C" w:rsidRDefault="005C305C" w:rsidP="00722D39">
            <w:pPr>
              <w:pStyle w:val="BodyLevel1singleparanonumber"/>
              <w:spacing w:before="0" w:after="0" w:line="240" w:lineRule="auto"/>
              <w:ind w:left="0"/>
              <w:rPr>
                <w:rFonts w:asciiTheme="minorHAnsi" w:hAnsiTheme="minorHAnsi" w:cs="Arial"/>
                <w:color w:val="231F20"/>
                <w:sz w:val="20"/>
                <w:szCs w:val="20"/>
                <w:lang w:val="en-AU"/>
              </w:rPr>
            </w:pPr>
            <w:r>
              <w:rPr>
                <w:rFonts w:asciiTheme="minorHAnsi" w:hAnsiTheme="minorHAnsi" w:cs="Arial"/>
                <w:color w:val="231F20"/>
                <w:sz w:val="20"/>
                <w:szCs w:val="20"/>
                <w:lang w:val="en-AU"/>
              </w:rPr>
              <w:t>Eagle Vale</w:t>
            </w:r>
          </w:p>
        </w:tc>
        <w:tc>
          <w:tcPr>
            <w:tcW w:w="4987" w:type="dxa"/>
            <w:vAlign w:val="center"/>
          </w:tcPr>
          <w:p w:rsidR="005C305C" w:rsidRDefault="005C305C" w:rsidP="005C305C">
            <w:pPr>
              <w:pStyle w:val="BodyLevel1singleparanonumber"/>
              <w:spacing w:after="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Amend travel condition for the following roads:</w:t>
            </w:r>
          </w:p>
          <w:p w:rsidR="005C305C" w:rsidRDefault="005C305C" w:rsidP="005C305C">
            <w:pPr>
              <w:pStyle w:val="BodyLevel1singleparanonumber"/>
              <w:spacing w:after="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Raby Road</w:t>
            </w:r>
          </w:p>
          <w:p w:rsidR="005C305C" w:rsidRDefault="005C305C" w:rsidP="005C305C">
            <w:pPr>
              <w:pStyle w:val="BodyLevel1singleparanonumber"/>
              <w:spacing w:after="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Eagle Vale Drive</w:t>
            </w:r>
          </w:p>
          <w:p w:rsidR="005C305C" w:rsidRDefault="005C305C" w:rsidP="005C305C">
            <w:pPr>
              <w:pStyle w:val="BodyLevel1singleparanonumber"/>
              <w:spacing w:after="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Gould Road</w:t>
            </w:r>
          </w:p>
          <w:p w:rsidR="00D64ACA" w:rsidRDefault="00D64ACA" w:rsidP="005C305C">
            <w:pPr>
              <w:pStyle w:val="BodyLevel1singleparanonumber"/>
              <w:spacing w:after="0"/>
              <w:ind w:left="0"/>
              <w:rPr>
                <w:rFonts w:asciiTheme="minorHAnsi" w:eastAsiaTheme="minorHAnsi" w:hAnsiTheme="minorHAnsi"/>
                <w:spacing w:val="0"/>
                <w:sz w:val="20"/>
                <w:szCs w:val="20"/>
                <w:lang w:val="en-AU"/>
              </w:rPr>
            </w:pPr>
          </w:p>
          <w:p w:rsidR="00D64ACA" w:rsidRDefault="00D64ACA" w:rsidP="005C305C">
            <w:pPr>
              <w:pStyle w:val="BodyLevel1singleparanonumber"/>
              <w:spacing w:after="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Add travel condition for the following roads:</w:t>
            </w:r>
          </w:p>
          <w:p w:rsidR="00D64ACA" w:rsidRDefault="00D64ACA" w:rsidP="005C305C">
            <w:pPr>
              <w:pStyle w:val="BodyLevel1singleparanonumber"/>
              <w:spacing w:after="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Emerald Drive</w:t>
            </w:r>
          </w:p>
          <w:p w:rsidR="00D64ACA" w:rsidRDefault="00D64ACA" w:rsidP="005C305C">
            <w:pPr>
              <w:pStyle w:val="BodyLevel1singleparanonumber"/>
              <w:spacing w:after="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Feldspar Road</w:t>
            </w:r>
          </w:p>
        </w:tc>
        <w:tc>
          <w:tcPr>
            <w:tcW w:w="5540" w:type="dxa"/>
            <w:vAlign w:val="center"/>
          </w:tcPr>
          <w:p w:rsidR="005C305C" w:rsidRDefault="005C305C" w:rsidP="00917CEA">
            <w:pPr>
              <w:pStyle w:val="BodyLevel1singleparanonumber"/>
              <w:spacing w:after="12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 xml:space="preserve">Travel is now permitted between 7PM – 7AM. </w:t>
            </w:r>
            <w:r w:rsidR="00917CEA">
              <w:rPr>
                <w:rFonts w:asciiTheme="minorHAnsi" w:eastAsiaTheme="minorHAnsi" w:hAnsiTheme="minorHAnsi"/>
                <w:spacing w:val="0"/>
                <w:sz w:val="20"/>
                <w:szCs w:val="20"/>
                <w:lang w:val="en-AU"/>
              </w:rPr>
              <w:t>This change in t</w:t>
            </w:r>
            <w:r>
              <w:rPr>
                <w:rFonts w:asciiTheme="minorHAnsi" w:eastAsiaTheme="minorHAnsi" w:hAnsiTheme="minorHAnsi"/>
                <w:spacing w:val="0"/>
                <w:sz w:val="20"/>
                <w:szCs w:val="20"/>
                <w:lang w:val="en-AU"/>
              </w:rPr>
              <w:t xml:space="preserve">ravel hours </w:t>
            </w:r>
            <w:r w:rsidR="00917CEA">
              <w:rPr>
                <w:rFonts w:asciiTheme="minorHAnsi" w:eastAsiaTheme="minorHAnsi" w:hAnsiTheme="minorHAnsi"/>
                <w:spacing w:val="0"/>
                <w:sz w:val="20"/>
                <w:szCs w:val="20"/>
                <w:lang w:val="en-AU"/>
              </w:rPr>
              <w:t>is</w:t>
            </w:r>
            <w:r>
              <w:rPr>
                <w:rFonts w:asciiTheme="minorHAnsi" w:eastAsiaTheme="minorHAnsi" w:hAnsiTheme="minorHAnsi"/>
                <w:spacing w:val="0"/>
                <w:sz w:val="20"/>
                <w:szCs w:val="20"/>
                <w:lang w:val="en-AU"/>
              </w:rPr>
              <w:t xml:space="preserve"> required to mitigate pedestrian </w:t>
            </w:r>
            <w:r w:rsidR="00917CEA">
              <w:rPr>
                <w:rFonts w:asciiTheme="minorHAnsi" w:eastAsiaTheme="minorHAnsi" w:hAnsiTheme="minorHAnsi"/>
                <w:spacing w:val="0"/>
                <w:sz w:val="20"/>
                <w:szCs w:val="20"/>
                <w:lang w:val="en-AU"/>
              </w:rPr>
              <w:t>conflict</w:t>
            </w:r>
            <w:r>
              <w:rPr>
                <w:rFonts w:asciiTheme="minorHAnsi" w:eastAsiaTheme="minorHAnsi" w:hAnsiTheme="minorHAnsi"/>
                <w:spacing w:val="0"/>
                <w:sz w:val="20"/>
                <w:szCs w:val="20"/>
                <w:lang w:val="en-AU"/>
              </w:rPr>
              <w:t xml:space="preserve"> </w:t>
            </w:r>
            <w:r w:rsidR="00917CEA">
              <w:rPr>
                <w:rFonts w:asciiTheme="minorHAnsi" w:eastAsiaTheme="minorHAnsi" w:hAnsiTheme="minorHAnsi"/>
                <w:spacing w:val="0"/>
                <w:sz w:val="20"/>
                <w:szCs w:val="20"/>
                <w:lang w:val="en-AU"/>
              </w:rPr>
              <w:t xml:space="preserve">surrounding </w:t>
            </w:r>
            <w:r>
              <w:rPr>
                <w:rFonts w:asciiTheme="minorHAnsi" w:eastAsiaTheme="minorHAnsi" w:hAnsiTheme="minorHAnsi"/>
                <w:spacing w:val="0"/>
                <w:sz w:val="20"/>
                <w:szCs w:val="20"/>
                <w:lang w:val="en-AU"/>
              </w:rPr>
              <w:t xml:space="preserve">shopping centre precinct outside peak hours. </w:t>
            </w:r>
          </w:p>
        </w:tc>
      </w:tr>
      <w:tr w:rsidR="00E93560" w:rsidTr="00642E1D">
        <w:tc>
          <w:tcPr>
            <w:tcW w:w="1273" w:type="dxa"/>
            <w:vAlign w:val="center"/>
          </w:tcPr>
          <w:p w:rsidR="00E93560" w:rsidRPr="003B16A4" w:rsidRDefault="00E93560" w:rsidP="00E93560">
            <w:pPr>
              <w:contextualSpacing/>
              <w:rPr>
                <w:color w:val="000000"/>
                <w:sz w:val="20"/>
                <w:szCs w:val="20"/>
              </w:rPr>
            </w:pPr>
            <w:r w:rsidRPr="003B16A4">
              <w:rPr>
                <w:color w:val="000000"/>
                <w:sz w:val="20"/>
                <w:szCs w:val="20"/>
              </w:rPr>
              <w:t>s174 HVNL</w:t>
            </w:r>
          </w:p>
        </w:tc>
        <w:tc>
          <w:tcPr>
            <w:tcW w:w="1705" w:type="dxa"/>
            <w:vAlign w:val="center"/>
          </w:tcPr>
          <w:p w:rsidR="00E93560" w:rsidRDefault="00E93560" w:rsidP="00E93560">
            <w:pPr>
              <w:contextualSpacing/>
              <w:jc w:val="right"/>
              <w:rPr>
                <w:color w:val="000000"/>
                <w:sz w:val="20"/>
                <w:szCs w:val="20"/>
              </w:rPr>
            </w:pPr>
            <w:r>
              <w:rPr>
                <w:color w:val="000000"/>
                <w:sz w:val="20"/>
                <w:szCs w:val="20"/>
              </w:rPr>
              <w:t>New South Wales</w:t>
            </w:r>
          </w:p>
          <w:p w:rsidR="00E93560" w:rsidRDefault="00E93560" w:rsidP="00E93560">
            <w:pPr>
              <w:contextualSpacing/>
              <w:jc w:val="right"/>
              <w:rPr>
                <w:color w:val="000000"/>
                <w:sz w:val="20"/>
                <w:szCs w:val="20"/>
              </w:rPr>
            </w:pPr>
            <w:r>
              <w:rPr>
                <w:color w:val="000000"/>
                <w:sz w:val="20"/>
                <w:szCs w:val="20"/>
              </w:rPr>
              <w:t>19m B-Double (over 50 tonnes)</w:t>
            </w:r>
          </w:p>
        </w:tc>
        <w:tc>
          <w:tcPr>
            <w:tcW w:w="1521" w:type="dxa"/>
            <w:vAlign w:val="center"/>
          </w:tcPr>
          <w:p w:rsidR="00E93560" w:rsidRDefault="00D64ACA" w:rsidP="00722D39">
            <w:pPr>
              <w:pStyle w:val="BodyLevel1singleparanonumber"/>
              <w:spacing w:before="0" w:after="0" w:line="240" w:lineRule="auto"/>
              <w:ind w:left="0"/>
              <w:rPr>
                <w:rFonts w:asciiTheme="minorHAnsi" w:hAnsiTheme="minorHAnsi" w:cs="Arial"/>
                <w:color w:val="231F20"/>
                <w:sz w:val="20"/>
                <w:szCs w:val="20"/>
                <w:lang w:val="en-AU"/>
              </w:rPr>
            </w:pPr>
            <w:r w:rsidRPr="00D64ACA">
              <w:rPr>
                <w:rFonts w:asciiTheme="minorHAnsi" w:hAnsiTheme="minorHAnsi" w:cs="Arial"/>
                <w:color w:val="231F20"/>
                <w:sz w:val="20"/>
                <w:szCs w:val="20"/>
                <w:lang w:val="en-AU"/>
              </w:rPr>
              <w:t>Rosemeadow</w:t>
            </w:r>
          </w:p>
        </w:tc>
        <w:tc>
          <w:tcPr>
            <w:tcW w:w="4987" w:type="dxa"/>
            <w:vAlign w:val="center"/>
          </w:tcPr>
          <w:p w:rsidR="00D64ACA" w:rsidRDefault="00D64ACA" w:rsidP="00D64ACA">
            <w:pPr>
              <w:pStyle w:val="BodyLevel1singleparanonumber"/>
              <w:spacing w:after="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Amend travel condition for the following roads:</w:t>
            </w:r>
          </w:p>
          <w:p w:rsidR="00D64ACA" w:rsidRDefault="00D64ACA" w:rsidP="005C305C">
            <w:pPr>
              <w:pStyle w:val="BodyLevel1singleparanonumber"/>
              <w:spacing w:after="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Fitzgibbon Lane</w:t>
            </w:r>
          </w:p>
          <w:p w:rsidR="00E93560" w:rsidRDefault="00D64ACA" w:rsidP="005C305C">
            <w:pPr>
              <w:pStyle w:val="BodyLevel1singleparanonumber"/>
              <w:spacing w:after="0"/>
              <w:ind w:left="0"/>
              <w:rPr>
                <w:rFonts w:asciiTheme="minorHAnsi" w:eastAsiaTheme="minorHAnsi" w:hAnsiTheme="minorHAnsi"/>
                <w:spacing w:val="0"/>
                <w:sz w:val="20"/>
                <w:szCs w:val="20"/>
                <w:lang w:val="en-AU"/>
              </w:rPr>
            </w:pPr>
            <w:r w:rsidRPr="00D64ACA">
              <w:rPr>
                <w:rFonts w:asciiTheme="minorHAnsi" w:eastAsiaTheme="minorHAnsi" w:hAnsiTheme="minorHAnsi"/>
                <w:spacing w:val="0"/>
                <w:sz w:val="20"/>
                <w:szCs w:val="20"/>
                <w:lang w:val="en-AU"/>
              </w:rPr>
              <w:t>Thomas Rose Drive</w:t>
            </w:r>
          </w:p>
          <w:p w:rsidR="00D64ACA" w:rsidRDefault="00D64ACA" w:rsidP="005C305C">
            <w:pPr>
              <w:pStyle w:val="BodyLevel1singleparanonumber"/>
              <w:spacing w:after="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Copperfield Drive</w:t>
            </w:r>
          </w:p>
          <w:p w:rsidR="00D64ACA" w:rsidRDefault="00D64ACA" w:rsidP="005C305C">
            <w:pPr>
              <w:pStyle w:val="BodyLevel1singleparanonumber"/>
              <w:spacing w:after="0"/>
              <w:ind w:left="0"/>
              <w:rPr>
                <w:rFonts w:asciiTheme="minorHAnsi" w:eastAsiaTheme="minorHAnsi" w:hAnsiTheme="minorHAnsi"/>
                <w:spacing w:val="0"/>
                <w:sz w:val="20"/>
                <w:szCs w:val="20"/>
                <w:lang w:val="en-AU"/>
              </w:rPr>
            </w:pPr>
          </w:p>
          <w:p w:rsidR="003F14D4" w:rsidRDefault="003F14D4" w:rsidP="003F14D4">
            <w:pPr>
              <w:pStyle w:val="Default"/>
              <w:rPr>
                <w:sz w:val="20"/>
                <w:szCs w:val="20"/>
              </w:rPr>
            </w:pPr>
            <w:r>
              <w:rPr>
                <w:sz w:val="20"/>
                <w:szCs w:val="20"/>
              </w:rPr>
              <w:t xml:space="preserve">Remove the following roads: </w:t>
            </w:r>
          </w:p>
          <w:p w:rsidR="00D64ACA" w:rsidRDefault="003F14D4" w:rsidP="005C305C">
            <w:pPr>
              <w:pStyle w:val="BodyLevel1singleparanonumber"/>
              <w:spacing w:after="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 xml:space="preserve">Thomas Rose Drive (from No.3 Thomas Rose Drive to Copperfield Drive) </w:t>
            </w:r>
          </w:p>
          <w:p w:rsidR="003F14D4" w:rsidRDefault="003F14D4" w:rsidP="003F14D4">
            <w:pPr>
              <w:pStyle w:val="BodyLevel1singleparanonumber"/>
              <w:spacing w:after="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Copperfield Drive (from Thomas Rose Drive to Fitzgibbon Lane)</w:t>
            </w:r>
          </w:p>
          <w:p w:rsidR="003F14D4" w:rsidRDefault="003F14D4" w:rsidP="003F14D4">
            <w:pPr>
              <w:pStyle w:val="BodyLevel1singleparanonumber"/>
              <w:spacing w:after="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Fitzgibbon Lane (from Copperfield Drive to Thomas Rose Drive)</w:t>
            </w:r>
          </w:p>
        </w:tc>
        <w:tc>
          <w:tcPr>
            <w:tcW w:w="5540" w:type="dxa"/>
            <w:vAlign w:val="center"/>
          </w:tcPr>
          <w:p w:rsidR="00E93560" w:rsidRDefault="00D64ACA" w:rsidP="00917CEA">
            <w:pPr>
              <w:pStyle w:val="BodyLevel1singleparanonumber"/>
              <w:spacing w:after="120"/>
              <w:ind w:left="0"/>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 xml:space="preserve">Travel is now permitted between 7PM – 7AM. </w:t>
            </w:r>
            <w:r w:rsidR="00917CEA">
              <w:rPr>
                <w:rFonts w:asciiTheme="minorHAnsi" w:eastAsiaTheme="minorHAnsi" w:hAnsiTheme="minorHAnsi"/>
                <w:spacing w:val="0"/>
                <w:sz w:val="20"/>
                <w:szCs w:val="20"/>
                <w:lang w:val="en-AU"/>
              </w:rPr>
              <w:t xml:space="preserve">This change in travel hours is </w:t>
            </w:r>
            <w:r>
              <w:rPr>
                <w:rFonts w:asciiTheme="minorHAnsi" w:eastAsiaTheme="minorHAnsi" w:hAnsiTheme="minorHAnsi"/>
                <w:spacing w:val="0"/>
                <w:sz w:val="20"/>
                <w:szCs w:val="20"/>
                <w:lang w:val="en-AU"/>
              </w:rPr>
              <w:t xml:space="preserve">required to mitigate pedestrian safety surrounding local shopping centre and Ambarvale High School zone area. </w:t>
            </w:r>
          </w:p>
        </w:tc>
      </w:tr>
    </w:tbl>
    <w:p w:rsidR="003E49E7" w:rsidRPr="00C05AB7" w:rsidRDefault="005C305C" w:rsidP="00C05AB7">
      <w:pPr>
        <w:pStyle w:val="BodyLevel1singleparanonumber"/>
        <w:ind w:left="0"/>
        <w:rPr>
          <w:sz w:val="2"/>
        </w:rPr>
      </w:pPr>
      <w:r>
        <w:rPr>
          <w:sz w:val="2"/>
        </w:rPr>
        <w:tab/>
      </w:r>
      <w:r>
        <w:rPr>
          <w:sz w:val="2"/>
        </w:rPr>
        <w:tab/>
      </w:r>
    </w:p>
    <w:sectPr w:rsidR="003E49E7" w:rsidRPr="00C05AB7" w:rsidSect="00C05AB7">
      <w:pgSz w:w="16838" w:h="11906" w:orient="landscape" w:code="9"/>
      <w:pgMar w:top="993" w:right="1134" w:bottom="1276" w:left="1134" w:header="567" w:footer="366" w:gutter="0"/>
      <w:cols w:space="120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560" w:rsidRPr="00345C83" w:rsidRDefault="00E93560" w:rsidP="00345C83">
      <w:r>
        <w:separator/>
      </w:r>
    </w:p>
  </w:endnote>
  <w:endnote w:type="continuationSeparator" w:id="0">
    <w:p w:rsidR="00E93560" w:rsidRPr="00345C83" w:rsidRDefault="00E93560" w:rsidP="0034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560" w:rsidRDefault="00E93560" w:rsidP="008873AE">
    <w:pPr>
      <w:pStyle w:val="Footer"/>
      <w:jc w:val="right"/>
    </w:pPr>
    <w:r>
      <w:t>Heavy Vehicle Stated Maps – Amendment Notice 2018 (No.3)</w:t>
    </w:r>
  </w:p>
  <w:p w:rsidR="00E93560" w:rsidRPr="00345C83" w:rsidRDefault="00642E1D" w:rsidP="008873AE">
    <w:pPr>
      <w:pStyle w:val="Footer"/>
      <w:jc w:val="right"/>
    </w:pPr>
    <w:sdt>
      <w:sdtPr>
        <w:id w:val="234204282"/>
        <w:docPartObj>
          <w:docPartGallery w:val="Page Numbers (Bottom of Page)"/>
          <w:docPartUnique/>
        </w:docPartObj>
      </w:sdtPr>
      <w:sdtEndPr/>
      <w:sdtContent>
        <w:sdt>
          <w:sdtPr>
            <w:id w:val="501325421"/>
            <w:docPartObj>
              <w:docPartGallery w:val="Page Numbers (Top of Page)"/>
              <w:docPartUnique/>
            </w:docPartObj>
          </w:sdtPr>
          <w:sdtEndPr/>
          <w:sdtContent>
            <w:r w:rsidR="00E93560">
              <w:t xml:space="preserve">Page </w:t>
            </w:r>
            <w:r w:rsidR="00E93560">
              <w:rPr>
                <w:b/>
                <w:bCs/>
                <w:sz w:val="24"/>
                <w:szCs w:val="24"/>
              </w:rPr>
              <w:fldChar w:fldCharType="begin"/>
            </w:r>
            <w:r w:rsidR="00E93560">
              <w:rPr>
                <w:b/>
                <w:bCs/>
              </w:rPr>
              <w:instrText xml:space="preserve"> PAGE </w:instrText>
            </w:r>
            <w:r w:rsidR="00E93560">
              <w:rPr>
                <w:b/>
                <w:bCs/>
                <w:sz w:val="24"/>
                <w:szCs w:val="24"/>
              </w:rPr>
              <w:fldChar w:fldCharType="separate"/>
            </w:r>
            <w:r>
              <w:rPr>
                <w:b/>
                <w:bCs/>
                <w:noProof/>
              </w:rPr>
              <w:t>3</w:t>
            </w:r>
            <w:r w:rsidR="00E93560">
              <w:rPr>
                <w:b/>
                <w:bCs/>
                <w:sz w:val="24"/>
                <w:szCs w:val="24"/>
              </w:rPr>
              <w:fldChar w:fldCharType="end"/>
            </w:r>
            <w:r w:rsidR="00E93560">
              <w:t xml:space="preserve"> of </w:t>
            </w:r>
            <w:r w:rsidR="00E93560">
              <w:rPr>
                <w:b/>
                <w:bCs/>
                <w:sz w:val="24"/>
                <w:szCs w:val="24"/>
              </w:rPr>
              <w:fldChar w:fldCharType="begin"/>
            </w:r>
            <w:r w:rsidR="00E93560">
              <w:rPr>
                <w:b/>
                <w:bCs/>
              </w:rPr>
              <w:instrText xml:space="preserve"> NUMPAGES  </w:instrText>
            </w:r>
            <w:r w:rsidR="00E93560">
              <w:rPr>
                <w:b/>
                <w:bCs/>
                <w:sz w:val="24"/>
                <w:szCs w:val="24"/>
              </w:rPr>
              <w:fldChar w:fldCharType="separate"/>
            </w:r>
            <w:r>
              <w:rPr>
                <w:b/>
                <w:bCs/>
                <w:noProof/>
              </w:rPr>
              <w:t>3</w:t>
            </w:r>
            <w:r w:rsidR="00E93560">
              <w:rPr>
                <w:b/>
                <w:bCs/>
                <w:sz w:val="24"/>
                <w:szCs w:val="24"/>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560" w:rsidRDefault="00E93560">
    <w:pPr>
      <w:pStyle w:val="Footer"/>
      <w:jc w:val="right"/>
    </w:pPr>
  </w:p>
  <w:p w:rsidR="00E93560" w:rsidRDefault="00E93560">
    <w:pPr>
      <w:pStyle w:val="Footer"/>
      <w:jc w:val="right"/>
    </w:pPr>
    <w:r>
      <w:t>Heavy Vehicle Stated Maps – Amendment Notice 2018 (No.3)</w:t>
    </w:r>
  </w:p>
  <w:p w:rsidR="00E93560" w:rsidRDefault="00642E1D">
    <w:pPr>
      <w:pStyle w:val="Footer"/>
      <w:jc w:val="right"/>
    </w:pPr>
    <w:sdt>
      <w:sdtPr>
        <w:id w:val="-2144573032"/>
        <w:docPartObj>
          <w:docPartGallery w:val="Page Numbers (Bottom of Page)"/>
          <w:docPartUnique/>
        </w:docPartObj>
      </w:sdtPr>
      <w:sdtEndPr/>
      <w:sdtContent>
        <w:sdt>
          <w:sdtPr>
            <w:id w:val="860082579"/>
            <w:docPartObj>
              <w:docPartGallery w:val="Page Numbers (Top of Page)"/>
              <w:docPartUnique/>
            </w:docPartObj>
          </w:sdtPr>
          <w:sdtEndPr/>
          <w:sdtContent>
            <w:r w:rsidR="00E93560">
              <w:t xml:space="preserve">Page </w:t>
            </w:r>
            <w:r w:rsidR="00E93560">
              <w:rPr>
                <w:b/>
                <w:bCs/>
                <w:sz w:val="24"/>
                <w:szCs w:val="24"/>
              </w:rPr>
              <w:fldChar w:fldCharType="begin"/>
            </w:r>
            <w:r w:rsidR="00E93560">
              <w:rPr>
                <w:b/>
                <w:bCs/>
              </w:rPr>
              <w:instrText xml:space="preserve"> PAGE </w:instrText>
            </w:r>
            <w:r w:rsidR="00E93560">
              <w:rPr>
                <w:b/>
                <w:bCs/>
                <w:sz w:val="24"/>
                <w:szCs w:val="24"/>
              </w:rPr>
              <w:fldChar w:fldCharType="separate"/>
            </w:r>
            <w:r>
              <w:rPr>
                <w:b/>
                <w:bCs/>
                <w:noProof/>
              </w:rPr>
              <w:t>1</w:t>
            </w:r>
            <w:r w:rsidR="00E93560">
              <w:rPr>
                <w:b/>
                <w:bCs/>
                <w:sz w:val="24"/>
                <w:szCs w:val="24"/>
              </w:rPr>
              <w:fldChar w:fldCharType="end"/>
            </w:r>
            <w:r w:rsidR="00E93560">
              <w:t xml:space="preserve"> of </w:t>
            </w:r>
            <w:r w:rsidR="00E93560">
              <w:rPr>
                <w:b/>
                <w:bCs/>
                <w:sz w:val="24"/>
                <w:szCs w:val="24"/>
              </w:rPr>
              <w:fldChar w:fldCharType="begin"/>
            </w:r>
            <w:r w:rsidR="00E93560">
              <w:rPr>
                <w:b/>
                <w:bCs/>
              </w:rPr>
              <w:instrText xml:space="preserve"> NUMPAGES  </w:instrText>
            </w:r>
            <w:r w:rsidR="00E93560">
              <w:rPr>
                <w:b/>
                <w:bCs/>
                <w:sz w:val="24"/>
                <w:szCs w:val="24"/>
              </w:rPr>
              <w:fldChar w:fldCharType="separate"/>
            </w:r>
            <w:r>
              <w:rPr>
                <w:b/>
                <w:bCs/>
                <w:noProof/>
              </w:rPr>
              <w:t>3</w:t>
            </w:r>
            <w:r w:rsidR="00E93560">
              <w:rPr>
                <w:b/>
                <w:bCs/>
                <w:sz w:val="24"/>
                <w:szCs w:val="24"/>
              </w:rPr>
              <w:fldChar w:fldCharType="end"/>
            </w:r>
          </w:sdtContent>
        </w:sdt>
      </w:sdtContent>
    </w:sdt>
  </w:p>
  <w:p w:rsidR="00E93560" w:rsidRDefault="00E93560" w:rsidP="00345C8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560" w:rsidRPr="00345C83" w:rsidRDefault="00E93560" w:rsidP="00345C83">
      <w:r>
        <w:separator/>
      </w:r>
    </w:p>
  </w:footnote>
  <w:footnote w:type="continuationSeparator" w:id="0">
    <w:p w:rsidR="00E93560" w:rsidRPr="00345C83" w:rsidRDefault="00E93560" w:rsidP="00345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5" w:type="dxa"/>
      <w:tblInd w:w="80" w:type="dxa"/>
      <w:tblLayout w:type="fixed"/>
      <w:tblLook w:val="01E0" w:firstRow="1" w:lastRow="1" w:firstColumn="1" w:lastColumn="1" w:noHBand="0" w:noVBand="0"/>
    </w:tblPr>
    <w:tblGrid>
      <w:gridCol w:w="1263"/>
      <w:gridCol w:w="4434"/>
      <w:gridCol w:w="3978"/>
    </w:tblGrid>
    <w:tr w:rsidR="0045034B" w:rsidTr="00100833">
      <w:trPr>
        <w:trHeight w:val="984"/>
      </w:trPr>
      <w:tc>
        <w:tcPr>
          <w:tcW w:w="1263" w:type="dxa"/>
          <w:tcBorders>
            <w:top w:val="single" w:sz="4" w:space="0" w:color="auto"/>
            <w:left w:val="nil"/>
            <w:bottom w:val="single" w:sz="4" w:space="0" w:color="auto"/>
            <w:right w:val="nil"/>
          </w:tcBorders>
          <w:hideMark/>
        </w:tcPr>
        <w:p w:rsidR="0045034B" w:rsidRDefault="0045034B" w:rsidP="00100833">
          <w:pPr>
            <w:spacing w:before="60"/>
            <w:ind w:left="-51"/>
            <w:rPr>
              <w:rFonts w:ascii="Arial" w:hAnsi="Arial"/>
              <w:sz w:val="12"/>
            </w:rPr>
          </w:pPr>
          <w:bookmarkStart w:id="0" w:name="OLE_LINK2"/>
          <w:r>
            <w:rPr>
              <w:rFonts w:ascii="Arial" w:hAnsi="Arial"/>
              <w:noProof/>
              <w:sz w:val="12"/>
              <w:lang w:eastAsia="en-AU"/>
            </w:rPr>
            <w:drawing>
              <wp:inline distT="0" distB="0" distL="0" distR="0" wp14:anchorId="3EE636FD" wp14:editId="20D84CC6">
                <wp:extent cx="707390" cy="540385"/>
                <wp:effectExtent l="0" t="0" r="0" b="0"/>
                <wp:docPr id="2" name="Picture 2" title="Commonwealth Coat of Arms"/>
                <wp:cNvGraphicFramePr/>
                <a:graphic xmlns:a="http://schemas.openxmlformats.org/drawingml/2006/main">
                  <a:graphicData uri="http://schemas.openxmlformats.org/drawingml/2006/picture">
                    <pic:pic xmlns:pic="http://schemas.openxmlformats.org/drawingml/2006/picture">
                      <pic:nvPicPr>
                        <pic:cNvPr id="1" name="Picture 1" title="Commonwealth Coat of Arm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hideMark/>
        </w:tcPr>
        <w:p w:rsidR="0045034B" w:rsidRDefault="0045034B" w:rsidP="00100833">
          <w:pPr>
            <w:spacing w:before="60" w:line="460" w:lineRule="exact"/>
            <w:rPr>
              <w:rFonts w:ascii="Arial" w:hAnsi="Arial" w:cs="Arial"/>
              <w:b/>
              <w:spacing w:val="-2"/>
              <w:sz w:val="44"/>
              <w:szCs w:val="44"/>
            </w:rPr>
          </w:pPr>
          <w:r>
            <w:rPr>
              <w:rFonts w:ascii="Arial" w:hAnsi="Arial" w:cs="Arial"/>
              <w:b/>
              <w:spacing w:val="-2"/>
              <w:sz w:val="44"/>
              <w:szCs w:val="44"/>
            </w:rPr>
            <w:t>Commonwealth</w:t>
          </w:r>
          <w:r>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cBorders>
          <w:hideMark/>
        </w:tcPr>
        <w:p w:rsidR="0045034B" w:rsidRDefault="0045034B" w:rsidP="00100833">
          <w:pPr>
            <w:spacing w:before="180" w:line="800" w:lineRule="exact"/>
            <w:jc w:val="right"/>
            <w:rPr>
              <w:rFonts w:ascii="Arial" w:hAnsi="Arial" w:cs="Arial"/>
              <w:b/>
              <w:sz w:val="100"/>
              <w:szCs w:val="100"/>
            </w:rPr>
          </w:pPr>
          <w:r>
            <w:rPr>
              <w:rFonts w:ascii="Arial" w:hAnsi="Arial" w:cs="Arial"/>
              <w:b/>
              <w:sz w:val="100"/>
              <w:szCs w:val="100"/>
            </w:rPr>
            <w:t>Gazette</w:t>
          </w:r>
        </w:p>
      </w:tc>
    </w:tr>
    <w:tr w:rsidR="0045034B" w:rsidTr="00100833">
      <w:trPr>
        <w:trHeight w:val="340"/>
      </w:trPr>
      <w:tc>
        <w:tcPr>
          <w:tcW w:w="5698" w:type="dxa"/>
          <w:gridSpan w:val="2"/>
          <w:tcBorders>
            <w:top w:val="single" w:sz="4" w:space="0" w:color="auto"/>
            <w:left w:val="nil"/>
            <w:bottom w:val="single" w:sz="4" w:space="0" w:color="auto"/>
            <w:right w:val="nil"/>
          </w:tcBorders>
          <w:vAlign w:val="bottom"/>
          <w:hideMark/>
        </w:tcPr>
        <w:p w:rsidR="0045034B" w:rsidRDefault="0045034B" w:rsidP="00100833">
          <w:pPr>
            <w:ind w:left="-51"/>
            <w:rPr>
              <w:rFonts w:ascii="Arial" w:hAnsi="Arial" w:cs="Arial"/>
              <w:sz w:val="14"/>
              <w:szCs w:val="14"/>
            </w:rPr>
          </w:pPr>
          <w:bookmarkStart w:id="1" w:name="GazNo"/>
          <w:bookmarkEnd w:id="1"/>
          <w:r>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hideMark/>
        </w:tcPr>
        <w:p w:rsidR="0045034B" w:rsidRDefault="0045034B" w:rsidP="00100833">
          <w:pPr>
            <w:jc w:val="right"/>
            <w:rPr>
              <w:rFonts w:ascii="Arial" w:hAnsi="Arial" w:cs="Arial"/>
              <w:b/>
            </w:rPr>
          </w:pPr>
          <w:r>
            <w:rPr>
              <w:rFonts w:ascii="Arial" w:hAnsi="Arial" w:cs="Arial"/>
              <w:b/>
            </w:rPr>
            <w:t>GOVERNMENT NOTICES</w:t>
          </w:r>
        </w:p>
      </w:tc>
    </w:tr>
    <w:bookmarkEnd w:id="0"/>
  </w:tbl>
  <w:p w:rsidR="0045034B" w:rsidRDefault="004503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0EB9"/>
    <w:multiLevelType w:val="hybridMultilevel"/>
    <w:tmpl w:val="C6321996"/>
    <w:lvl w:ilvl="0" w:tplc="991A1292">
      <w:start w:val="1"/>
      <w:numFmt w:val="decimal"/>
      <w:pStyle w:val="Notesnumbered-QldSI"/>
      <w:lvlText w:val="%1"/>
      <w:lvlJc w:val="left"/>
      <w:pPr>
        <w:ind w:left="1930" w:hanging="360"/>
      </w:pPr>
      <w:rPr>
        <w:rFonts w:asciiTheme="minorHAnsi" w:eastAsia="Times New Roman" w:hAnsiTheme="minorHAnsi" w:hint="default"/>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1">
    <w:nsid w:val="0B4762A2"/>
    <w:multiLevelType w:val="multilevel"/>
    <w:tmpl w:val="93D02E7C"/>
    <w:lvl w:ilvl="0">
      <w:start w:val="1"/>
      <w:numFmt w:val="none"/>
      <w:pStyle w:val="Body"/>
      <w:suff w:val="nothing"/>
      <w:lvlText w:val=""/>
      <w:lvlJc w:val="left"/>
      <w:pPr>
        <w:ind w:left="0" w:firstLine="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b w:val="0"/>
        <w:i w:val="0"/>
      </w:rPr>
    </w:lvl>
    <w:lvl w:ilvl="3">
      <w:start w:val="1"/>
      <w:numFmt w:val="lowerRoman"/>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2">
    <w:nsid w:val="13072959"/>
    <w:multiLevelType w:val="hybridMultilevel"/>
    <w:tmpl w:val="D1AC4E84"/>
    <w:lvl w:ilvl="0" w:tplc="0C090017">
      <w:start w:val="1"/>
      <w:numFmt w:val="lowerLetter"/>
      <w:lvlText w:val="%1)"/>
      <w:lvlJc w:val="left"/>
      <w:pPr>
        <w:ind w:left="2098" w:hanging="360"/>
      </w:pPr>
      <w:rPr>
        <w:rFonts w:hint="default"/>
      </w:rPr>
    </w:lvl>
    <w:lvl w:ilvl="1" w:tplc="0C090019" w:tentative="1">
      <w:start w:val="1"/>
      <w:numFmt w:val="lowerLetter"/>
      <w:lvlText w:val="%2."/>
      <w:lvlJc w:val="left"/>
      <w:pPr>
        <w:ind w:left="2818" w:hanging="360"/>
      </w:pPr>
    </w:lvl>
    <w:lvl w:ilvl="2" w:tplc="0C09001B" w:tentative="1">
      <w:start w:val="1"/>
      <w:numFmt w:val="lowerRoman"/>
      <w:lvlText w:val="%3."/>
      <w:lvlJc w:val="right"/>
      <w:pPr>
        <w:ind w:left="3538" w:hanging="180"/>
      </w:pPr>
    </w:lvl>
    <w:lvl w:ilvl="3" w:tplc="0C09000F" w:tentative="1">
      <w:start w:val="1"/>
      <w:numFmt w:val="decimal"/>
      <w:lvlText w:val="%4."/>
      <w:lvlJc w:val="left"/>
      <w:pPr>
        <w:ind w:left="4258" w:hanging="360"/>
      </w:pPr>
    </w:lvl>
    <w:lvl w:ilvl="4" w:tplc="0C090019" w:tentative="1">
      <w:start w:val="1"/>
      <w:numFmt w:val="lowerLetter"/>
      <w:lvlText w:val="%5."/>
      <w:lvlJc w:val="left"/>
      <w:pPr>
        <w:ind w:left="4978" w:hanging="360"/>
      </w:pPr>
    </w:lvl>
    <w:lvl w:ilvl="5" w:tplc="0C09001B" w:tentative="1">
      <w:start w:val="1"/>
      <w:numFmt w:val="lowerRoman"/>
      <w:lvlText w:val="%6."/>
      <w:lvlJc w:val="right"/>
      <w:pPr>
        <w:ind w:left="5698" w:hanging="180"/>
      </w:pPr>
    </w:lvl>
    <w:lvl w:ilvl="6" w:tplc="0C09000F" w:tentative="1">
      <w:start w:val="1"/>
      <w:numFmt w:val="decimal"/>
      <w:lvlText w:val="%7."/>
      <w:lvlJc w:val="left"/>
      <w:pPr>
        <w:ind w:left="6418" w:hanging="360"/>
      </w:pPr>
    </w:lvl>
    <w:lvl w:ilvl="7" w:tplc="0C090019" w:tentative="1">
      <w:start w:val="1"/>
      <w:numFmt w:val="lowerLetter"/>
      <w:lvlText w:val="%8."/>
      <w:lvlJc w:val="left"/>
      <w:pPr>
        <w:ind w:left="7138" w:hanging="360"/>
      </w:pPr>
    </w:lvl>
    <w:lvl w:ilvl="8" w:tplc="0C09001B" w:tentative="1">
      <w:start w:val="1"/>
      <w:numFmt w:val="lowerRoman"/>
      <w:lvlText w:val="%9."/>
      <w:lvlJc w:val="right"/>
      <w:pPr>
        <w:ind w:left="7858" w:hanging="180"/>
      </w:pPr>
    </w:lvl>
  </w:abstractNum>
  <w:abstractNum w:abstractNumId="3">
    <w:nsid w:val="24CF5CD4"/>
    <w:multiLevelType w:val="hybridMultilevel"/>
    <w:tmpl w:val="F3EEA6CA"/>
    <w:lvl w:ilvl="0" w:tplc="0C090017">
      <w:start w:val="1"/>
      <w:numFmt w:val="lowerLetter"/>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4">
    <w:nsid w:val="30171DD1"/>
    <w:multiLevelType w:val="hybridMultilevel"/>
    <w:tmpl w:val="A6CC62CE"/>
    <w:lvl w:ilvl="0" w:tplc="80D26156">
      <w:start w:val="1"/>
      <w:numFmt w:val="decimal"/>
      <w:pStyle w:val="Sectionheading-QldSI"/>
      <w:lvlText w:val="%1"/>
      <w:lvlJc w:val="left"/>
      <w:pPr>
        <w:ind w:left="910" w:hanging="781"/>
      </w:pPr>
      <w:rPr>
        <w:rFonts w:ascii="Arial" w:eastAsia="Arial" w:hAnsi="Arial" w:hint="default"/>
        <w:b/>
        <w:bCs/>
        <w:w w:val="102"/>
        <w:sz w:val="23"/>
        <w:szCs w:val="23"/>
      </w:rPr>
    </w:lvl>
    <w:lvl w:ilvl="1" w:tplc="6BFE4604">
      <w:start w:val="1"/>
      <w:numFmt w:val="decimal"/>
      <w:pStyle w:val="Bodylevel11subheading-QldSI"/>
      <w:lvlText w:val="(%2)"/>
      <w:lvlJc w:val="left"/>
      <w:pPr>
        <w:ind w:left="1378" w:hanging="52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44CA6EC">
      <w:start w:val="1"/>
      <w:numFmt w:val="lowerLetter"/>
      <w:pStyle w:val="Bodylevel2asubheading-QldSI"/>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B7E193E">
      <w:start w:val="1"/>
      <w:numFmt w:val="lowerRoman"/>
      <w:pStyle w:val="Bodylevel3isubheading-QldSI"/>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5">
    <w:nsid w:val="396F1950"/>
    <w:multiLevelType w:val="hybridMultilevel"/>
    <w:tmpl w:val="2CA03EF2"/>
    <w:lvl w:ilvl="0" w:tplc="DFA69420">
      <w:start w:val="1"/>
      <w:numFmt w:val="decimal"/>
      <w:lvlText w:val="%1"/>
      <w:lvlJc w:val="left"/>
      <w:pPr>
        <w:ind w:left="910" w:hanging="781"/>
      </w:pPr>
      <w:rPr>
        <w:rFonts w:ascii="Arial" w:eastAsia="Arial" w:hAnsi="Arial" w:hint="default"/>
        <w:b/>
        <w:bCs/>
        <w:w w:val="102"/>
        <w:sz w:val="23"/>
        <w:szCs w:val="23"/>
      </w:rPr>
    </w:lvl>
    <w:lvl w:ilvl="1" w:tplc="24A2CDD6">
      <w:start w:val="1"/>
      <w:numFmt w:val="decimal"/>
      <w:lvlText w:val="(%2)"/>
      <w:lvlJc w:val="left"/>
      <w:pPr>
        <w:ind w:left="1378" w:hanging="521"/>
      </w:pPr>
      <w:rPr>
        <w:rFonts w:ascii="Times New Roman" w:eastAsia="Times New Roman" w:hAnsi="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rPr>
        <w:rFonts w:hint="default"/>
      </w:rPr>
    </w:lvl>
    <w:lvl w:ilvl="6" w:tplc="582279E4">
      <w:start w:val="1"/>
      <w:numFmt w:val="bullet"/>
      <w:lvlText w:val="•"/>
      <w:lvlJc w:val="left"/>
      <w:pPr>
        <w:ind w:left="3010" w:hanging="576"/>
      </w:pPr>
      <w:rPr>
        <w:rFonts w:hint="default"/>
      </w:rPr>
    </w:lvl>
    <w:lvl w:ilvl="7" w:tplc="A9D83E62">
      <w:start w:val="1"/>
      <w:numFmt w:val="bullet"/>
      <w:lvlText w:val="•"/>
      <w:lvlJc w:val="left"/>
      <w:pPr>
        <w:ind w:left="3010" w:hanging="576"/>
      </w:pPr>
      <w:rPr>
        <w:rFonts w:hint="default"/>
      </w:rPr>
    </w:lvl>
    <w:lvl w:ilvl="8" w:tplc="8A52006E">
      <w:start w:val="1"/>
      <w:numFmt w:val="bullet"/>
      <w:lvlText w:val="•"/>
      <w:lvlJc w:val="left"/>
      <w:pPr>
        <w:ind w:left="4488" w:hanging="576"/>
      </w:pPr>
      <w:rPr>
        <w:rFonts w:hint="default"/>
      </w:rPr>
    </w:lvl>
  </w:abstractNum>
  <w:abstractNum w:abstractNumId="6">
    <w:nsid w:val="554E56E4"/>
    <w:multiLevelType w:val="hybridMultilevel"/>
    <w:tmpl w:val="CEEE19A6"/>
    <w:lvl w:ilvl="0" w:tplc="5762ACCE">
      <w:start w:val="1"/>
      <w:numFmt w:val="lowerLetter"/>
      <w:pStyle w:val="Definitionsuba-QldSI"/>
      <w:lvlText w:val="(%1)"/>
      <w:lvlJc w:val="left"/>
      <w:pPr>
        <w:ind w:left="1930" w:hanging="55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7">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hint="default"/>
        <w:w w:val="99"/>
        <w:sz w:val="20"/>
        <w:szCs w:val="20"/>
      </w:rPr>
    </w:lvl>
    <w:lvl w:ilvl="1" w:tplc="48E4D61A">
      <w:start w:val="1"/>
      <w:numFmt w:val="bullet"/>
      <w:lvlText w:val="•"/>
      <w:lvlJc w:val="left"/>
      <w:pPr>
        <w:ind w:left="2482" w:hanging="360"/>
      </w:pPr>
      <w:rPr>
        <w:rFonts w:hint="default"/>
      </w:rPr>
    </w:lvl>
    <w:lvl w:ilvl="2" w:tplc="36024930">
      <w:start w:val="1"/>
      <w:numFmt w:val="bullet"/>
      <w:lvlText w:val="•"/>
      <w:lvlJc w:val="left"/>
      <w:pPr>
        <w:ind w:left="3033" w:hanging="360"/>
      </w:pPr>
      <w:rPr>
        <w:rFonts w:hint="default"/>
      </w:rPr>
    </w:lvl>
    <w:lvl w:ilvl="3" w:tplc="3D24DBCA">
      <w:start w:val="1"/>
      <w:numFmt w:val="bullet"/>
      <w:lvlText w:val="•"/>
      <w:lvlJc w:val="left"/>
      <w:pPr>
        <w:ind w:left="3584" w:hanging="360"/>
      </w:pPr>
      <w:rPr>
        <w:rFonts w:hint="default"/>
      </w:rPr>
    </w:lvl>
    <w:lvl w:ilvl="4" w:tplc="863AC4D6">
      <w:start w:val="1"/>
      <w:numFmt w:val="bullet"/>
      <w:lvlText w:val="•"/>
      <w:lvlJc w:val="left"/>
      <w:pPr>
        <w:ind w:left="4136" w:hanging="360"/>
      </w:pPr>
      <w:rPr>
        <w:rFonts w:hint="default"/>
      </w:rPr>
    </w:lvl>
    <w:lvl w:ilvl="5" w:tplc="BF06E352">
      <w:start w:val="1"/>
      <w:numFmt w:val="bullet"/>
      <w:lvlText w:val="•"/>
      <w:lvlJc w:val="left"/>
      <w:pPr>
        <w:ind w:left="4687" w:hanging="360"/>
      </w:pPr>
      <w:rPr>
        <w:rFonts w:hint="default"/>
      </w:rPr>
    </w:lvl>
    <w:lvl w:ilvl="6" w:tplc="75C0ADDE">
      <w:start w:val="1"/>
      <w:numFmt w:val="bullet"/>
      <w:lvlText w:val="•"/>
      <w:lvlJc w:val="left"/>
      <w:pPr>
        <w:ind w:left="5238" w:hanging="360"/>
      </w:pPr>
      <w:rPr>
        <w:rFonts w:hint="default"/>
      </w:rPr>
    </w:lvl>
    <w:lvl w:ilvl="7" w:tplc="D41CAC00">
      <w:start w:val="1"/>
      <w:numFmt w:val="bullet"/>
      <w:lvlText w:val="•"/>
      <w:lvlJc w:val="left"/>
      <w:pPr>
        <w:ind w:left="5790" w:hanging="360"/>
      </w:pPr>
      <w:rPr>
        <w:rFonts w:hint="default"/>
      </w:rPr>
    </w:lvl>
    <w:lvl w:ilvl="8" w:tplc="E7E4A8AC">
      <w:start w:val="1"/>
      <w:numFmt w:val="bullet"/>
      <w:lvlText w:val="•"/>
      <w:lvlJc w:val="left"/>
      <w:pPr>
        <w:ind w:left="6341" w:hanging="360"/>
      </w:pPr>
      <w:rPr>
        <w:rFonts w:hint="default"/>
      </w:rPr>
    </w:lvl>
  </w:abstractNum>
  <w:abstractNum w:abstractNumId="8">
    <w:nsid w:val="773E5892"/>
    <w:multiLevelType w:val="hybridMultilevel"/>
    <w:tmpl w:val="4EE89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2"/>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E5"/>
    <w:rsid w:val="00012517"/>
    <w:rsid w:val="0001776A"/>
    <w:rsid w:val="00020654"/>
    <w:rsid w:val="00051F78"/>
    <w:rsid w:val="0009071E"/>
    <w:rsid w:val="000B21F6"/>
    <w:rsid w:val="000B4A0C"/>
    <w:rsid w:val="000E1F2B"/>
    <w:rsid w:val="000F379A"/>
    <w:rsid w:val="00111469"/>
    <w:rsid w:val="00145684"/>
    <w:rsid w:val="001816D2"/>
    <w:rsid w:val="001826ED"/>
    <w:rsid w:val="001838B6"/>
    <w:rsid w:val="00190512"/>
    <w:rsid w:val="0019680F"/>
    <w:rsid w:val="00197BA1"/>
    <w:rsid w:val="001A4939"/>
    <w:rsid w:val="001C2AAD"/>
    <w:rsid w:val="001D14EF"/>
    <w:rsid w:val="001F6661"/>
    <w:rsid w:val="001F6E54"/>
    <w:rsid w:val="001F7E59"/>
    <w:rsid w:val="00211F6C"/>
    <w:rsid w:val="00241ABC"/>
    <w:rsid w:val="00250737"/>
    <w:rsid w:val="002557A0"/>
    <w:rsid w:val="00280BCD"/>
    <w:rsid w:val="0029096F"/>
    <w:rsid w:val="00290A92"/>
    <w:rsid w:val="002B1756"/>
    <w:rsid w:val="002E1EFA"/>
    <w:rsid w:val="002F350C"/>
    <w:rsid w:val="0033475A"/>
    <w:rsid w:val="00337E9A"/>
    <w:rsid w:val="00345C83"/>
    <w:rsid w:val="00353166"/>
    <w:rsid w:val="00361383"/>
    <w:rsid w:val="0037566D"/>
    <w:rsid w:val="003A31AD"/>
    <w:rsid w:val="003A707F"/>
    <w:rsid w:val="003B0EC1"/>
    <w:rsid w:val="003B16A4"/>
    <w:rsid w:val="003B573B"/>
    <w:rsid w:val="003B7BCB"/>
    <w:rsid w:val="003C6562"/>
    <w:rsid w:val="003D72FF"/>
    <w:rsid w:val="003E2DB6"/>
    <w:rsid w:val="003E49E7"/>
    <w:rsid w:val="003F0A44"/>
    <w:rsid w:val="003F14D4"/>
    <w:rsid w:val="003F2CBD"/>
    <w:rsid w:val="003F4CAE"/>
    <w:rsid w:val="00424B97"/>
    <w:rsid w:val="0042530A"/>
    <w:rsid w:val="00425973"/>
    <w:rsid w:val="00432FA7"/>
    <w:rsid w:val="00434B76"/>
    <w:rsid w:val="00444E13"/>
    <w:rsid w:val="0044686C"/>
    <w:rsid w:val="0045034B"/>
    <w:rsid w:val="00490C06"/>
    <w:rsid w:val="004B2753"/>
    <w:rsid w:val="004B2E34"/>
    <w:rsid w:val="004C30B2"/>
    <w:rsid w:val="004E7D7E"/>
    <w:rsid w:val="0050712B"/>
    <w:rsid w:val="00515F0E"/>
    <w:rsid w:val="00520873"/>
    <w:rsid w:val="00523D63"/>
    <w:rsid w:val="005247BC"/>
    <w:rsid w:val="00532F16"/>
    <w:rsid w:val="00534C5F"/>
    <w:rsid w:val="00541973"/>
    <w:rsid w:val="005601C5"/>
    <w:rsid w:val="00573D44"/>
    <w:rsid w:val="00586E6B"/>
    <w:rsid w:val="00586F76"/>
    <w:rsid w:val="005A3610"/>
    <w:rsid w:val="005B206B"/>
    <w:rsid w:val="005B22AC"/>
    <w:rsid w:val="005C305C"/>
    <w:rsid w:val="005D4516"/>
    <w:rsid w:val="005F13B1"/>
    <w:rsid w:val="00620597"/>
    <w:rsid w:val="006219B1"/>
    <w:rsid w:val="00627BB7"/>
    <w:rsid w:val="00634BAA"/>
    <w:rsid w:val="0063648F"/>
    <w:rsid w:val="00636F9D"/>
    <w:rsid w:val="00642E1D"/>
    <w:rsid w:val="00667238"/>
    <w:rsid w:val="00685FCD"/>
    <w:rsid w:val="00686DB0"/>
    <w:rsid w:val="006876A3"/>
    <w:rsid w:val="00691D40"/>
    <w:rsid w:val="006943FE"/>
    <w:rsid w:val="006D0564"/>
    <w:rsid w:val="006D3EFC"/>
    <w:rsid w:val="00722D39"/>
    <w:rsid w:val="007413C3"/>
    <w:rsid w:val="0074334A"/>
    <w:rsid w:val="00772515"/>
    <w:rsid w:val="007727E8"/>
    <w:rsid w:val="007B142A"/>
    <w:rsid w:val="007B4877"/>
    <w:rsid w:val="007C511B"/>
    <w:rsid w:val="007C60EC"/>
    <w:rsid w:val="007F4488"/>
    <w:rsid w:val="007F59C3"/>
    <w:rsid w:val="00836E1A"/>
    <w:rsid w:val="00840A06"/>
    <w:rsid w:val="00840D00"/>
    <w:rsid w:val="00840DD5"/>
    <w:rsid w:val="00842C1D"/>
    <w:rsid w:val="008439B7"/>
    <w:rsid w:val="00843B8E"/>
    <w:rsid w:val="00844782"/>
    <w:rsid w:val="00866CCF"/>
    <w:rsid w:val="0087253F"/>
    <w:rsid w:val="00886BD2"/>
    <w:rsid w:val="008873AE"/>
    <w:rsid w:val="008C4152"/>
    <w:rsid w:val="008D387E"/>
    <w:rsid w:val="008E4F6C"/>
    <w:rsid w:val="008F5696"/>
    <w:rsid w:val="008F6176"/>
    <w:rsid w:val="00906231"/>
    <w:rsid w:val="009109C5"/>
    <w:rsid w:val="00914161"/>
    <w:rsid w:val="00917CEA"/>
    <w:rsid w:val="00924B2F"/>
    <w:rsid w:val="009539C7"/>
    <w:rsid w:val="00960855"/>
    <w:rsid w:val="009809EB"/>
    <w:rsid w:val="009851F3"/>
    <w:rsid w:val="00994A2D"/>
    <w:rsid w:val="009A599B"/>
    <w:rsid w:val="00A00F21"/>
    <w:rsid w:val="00A04C05"/>
    <w:rsid w:val="00A21D25"/>
    <w:rsid w:val="00A244D7"/>
    <w:rsid w:val="00A26B31"/>
    <w:rsid w:val="00A36791"/>
    <w:rsid w:val="00A41CAA"/>
    <w:rsid w:val="00A441D8"/>
    <w:rsid w:val="00A46F73"/>
    <w:rsid w:val="00A62999"/>
    <w:rsid w:val="00A67CE6"/>
    <w:rsid w:val="00A710B5"/>
    <w:rsid w:val="00A759C8"/>
    <w:rsid w:val="00A87784"/>
    <w:rsid w:val="00A943A9"/>
    <w:rsid w:val="00AC12EF"/>
    <w:rsid w:val="00AE6179"/>
    <w:rsid w:val="00B03047"/>
    <w:rsid w:val="00B13C84"/>
    <w:rsid w:val="00B408FC"/>
    <w:rsid w:val="00B47601"/>
    <w:rsid w:val="00B51EA5"/>
    <w:rsid w:val="00B5547F"/>
    <w:rsid w:val="00B60CF9"/>
    <w:rsid w:val="00B84226"/>
    <w:rsid w:val="00BB7C0F"/>
    <w:rsid w:val="00BD6ABE"/>
    <w:rsid w:val="00BD70DE"/>
    <w:rsid w:val="00C05AB7"/>
    <w:rsid w:val="00C22634"/>
    <w:rsid w:val="00C303E7"/>
    <w:rsid w:val="00C316F9"/>
    <w:rsid w:val="00C34A04"/>
    <w:rsid w:val="00C458DF"/>
    <w:rsid w:val="00C5393F"/>
    <w:rsid w:val="00C55962"/>
    <w:rsid w:val="00C621FF"/>
    <w:rsid w:val="00C63C4E"/>
    <w:rsid w:val="00C72973"/>
    <w:rsid w:val="00C72C30"/>
    <w:rsid w:val="00C914AD"/>
    <w:rsid w:val="00C96F9B"/>
    <w:rsid w:val="00CA37F5"/>
    <w:rsid w:val="00CA6E75"/>
    <w:rsid w:val="00CB536A"/>
    <w:rsid w:val="00CE2FE6"/>
    <w:rsid w:val="00D01FF3"/>
    <w:rsid w:val="00D20362"/>
    <w:rsid w:val="00D229E5"/>
    <w:rsid w:val="00D332E8"/>
    <w:rsid w:val="00D61840"/>
    <w:rsid w:val="00D621FF"/>
    <w:rsid w:val="00D64ACA"/>
    <w:rsid w:val="00D66549"/>
    <w:rsid w:val="00D77A88"/>
    <w:rsid w:val="00D9386C"/>
    <w:rsid w:val="00DA094A"/>
    <w:rsid w:val="00DA277E"/>
    <w:rsid w:val="00DA5BE7"/>
    <w:rsid w:val="00DC18FA"/>
    <w:rsid w:val="00DE2398"/>
    <w:rsid w:val="00DF5399"/>
    <w:rsid w:val="00E02F0A"/>
    <w:rsid w:val="00E06CB5"/>
    <w:rsid w:val="00E164C1"/>
    <w:rsid w:val="00E16934"/>
    <w:rsid w:val="00E258AC"/>
    <w:rsid w:val="00E72DA7"/>
    <w:rsid w:val="00E819EA"/>
    <w:rsid w:val="00E822D2"/>
    <w:rsid w:val="00E84D9F"/>
    <w:rsid w:val="00E8512A"/>
    <w:rsid w:val="00E93560"/>
    <w:rsid w:val="00E95ED6"/>
    <w:rsid w:val="00EA5DD0"/>
    <w:rsid w:val="00EB2933"/>
    <w:rsid w:val="00EC20DE"/>
    <w:rsid w:val="00EC45F1"/>
    <w:rsid w:val="00ED27C8"/>
    <w:rsid w:val="00ED6E67"/>
    <w:rsid w:val="00F15018"/>
    <w:rsid w:val="00F40885"/>
    <w:rsid w:val="00F604D3"/>
    <w:rsid w:val="00F6784C"/>
    <w:rsid w:val="00F95FFF"/>
    <w:rsid w:val="00FB09E7"/>
    <w:rsid w:val="00FB1C04"/>
    <w:rsid w:val="00FB719E"/>
    <w:rsid w:val="00FF4FE5"/>
    <w:rsid w:val="00FF7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lsdException w:name="heading 2" w:locked="0"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1" w:qFormat="1"/>
    <w:lsdException w:name="toc 2" w:locked="0" w:uiPriority="1" w:qFormat="1"/>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Title" w:semiHidden="0" w:uiPriority="10" w:unhideWhenUsed="0"/>
    <w:lsdException w:name="Default Paragraph Font" w:locked="0" w:uiPriority="1"/>
    <w:lsdException w:name="Body Text" w:uiPriority="1" w:qFormat="1"/>
    <w:lsdException w:name="Subtitle" w:semiHidden="0" w:uiPriority="11" w:unhideWhenUsed="0"/>
    <w:lsdException w:name="Date"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locked="0" w:uiPriority="37"/>
    <w:lsdException w:name="TOC Heading" w:locked="0" w:uiPriority="39" w:qFormat="1"/>
  </w:latentStyles>
  <w:style w:type="paragraph" w:default="1" w:styleId="Normal">
    <w:name w:val="Normal"/>
    <w:qFormat/>
    <w:rsid w:val="00EA5DD0"/>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lock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qFormat/>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DA5BE7"/>
    <w:pPr>
      <w:numPr>
        <w:ilvl w:val="2"/>
        <w:numId w:val="7"/>
      </w:numPr>
      <w:tabs>
        <w:tab w:val="left" w:pos="1932"/>
      </w:tabs>
      <w:spacing w:before="103"/>
    </w:pPr>
    <w:rPr>
      <w:rFonts w:ascii="Calibri" w:hAnsi="Calibri"/>
      <w:spacing w:val="-1"/>
    </w:rPr>
  </w:style>
  <w:style w:type="character" w:customStyle="1" w:styleId="Bodylevel2asubheading-QldSIChar">
    <w:name w:val="Body level 2(a) subheading - Qld SI Char"/>
    <w:basedOn w:val="BodyTextChar"/>
    <w:link w:val="Bodylevel2asubheading-QldSI"/>
    <w:uiPriority w:val="1"/>
    <w:rsid w:val="00DA5BE7"/>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uiPriority w:val="1"/>
    <w:qFormat/>
    <w:rsid w:val="00DA5BE7"/>
    <w:pPr>
      <w:numPr>
        <w:ilvl w:val="3"/>
        <w:numId w:val="7"/>
      </w:numPr>
      <w:tabs>
        <w:tab w:val="left" w:pos="2436"/>
      </w:tabs>
      <w:spacing w:before="117" w:line="226" w:lineRule="auto"/>
      <w:ind w:right="111"/>
    </w:pPr>
    <w:rPr>
      <w:rFonts w:ascii="Calibri" w:hAnsi="Calibri"/>
      <w:spacing w:val="-1"/>
    </w:rPr>
  </w:style>
  <w:style w:type="character" w:customStyle="1" w:styleId="Bodylevel3isubheading-QldSIChar">
    <w:name w:val="Body level 3(i) subheading - Qld SI Char"/>
    <w:basedOn w:val="BodyTextChar"/>
    <w:link w:val="Bodylevel3isubheading-QldSI"/>
    <w:uiPriority w:val="1"/>
    <w:rsid w:val="00DA5BE7"/>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DA5BE7"/>
    <w:pPr>
      <w:widowControl w:val="0"/>
      <w:numPr>
        <w:numId w:val="4"/>
      </w:numPr>
      <w:tabs>
        <w:tab w:val="left" w:pos="1931"/>
      </w:tabs>
      <w:spacing w:before="111" w:after="0" w:line="244" w:lineRule="auto"/>
      <w:ind w:right="111"/>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DA5BE7"/>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locked/>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DA5BE7"/>
    <w:pPr>
      <w:widowControl w:val="0"/>
      <w:spacing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DA5BE7"/>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locked/>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locked/>
    <w:rsid w:val="00051F78"/>
    <w:rPr>
      <w:color w:val="808080"/>
    </w:rPr>
  </w:style>
  <w:style w:type="paragraph" w:styleId="ListParagraph">
    <w:name w:val="List Paragraph"/>
    <w:basedOn w:val="Normal"/>
    <w:uiPriority w:val="34"/>
    <w:locked/>
    <w:rsid w:val="00BB7C0F"/>
    <w:pPr>
      <w:ind w:left="720"/>
      <w:contextualSpacing/>
    </w:pPr>
  </w:style>
  <w:style w:type="character" w:styleId="CommentReference">
    <w:name w:val="annotation reference"/>
    <w:basedOn w:val="DefaultParagraphFont"/>
    <w:uiPriority w:val="99"/>
    <w:semiHidden/>
    <w:unhideWhenUsed/>
    <w:rsid w:val="008F5696"/>
    <w:rPr>
      <w:sz w:val="16"/>
      <w:szCs w:val="16"/>
    </w:rPr>
  </w:style>
  <w:style w:type="paragraph" w:customStyle="1" w:styleId="Gazetteheader1Cwth">
    <w:name w:val="Gazette header 1 (Cwth)"/>
    <w:basedOn w:val="Normal"/>
    <w:link w:val="Gazetteheader1CwthChar"/>
    <w:qFormat/>
    <w:rsid w:val="00345C83"/>
    <w:pPr>
      <w:spacing w:before="60" w:after="0" w:line="460" w:lineRule="exact"/>
    </w:pPr>
    <w:rPr>
      <w:rFonts w:ascii="Arial" w:hAnsi="Arial" w:cs="Arial"/>
      <w:b/>
      <w:spacing w:val="-2"/>
      <w:sz w:val="44"/>
      <w:szCs w:val="44"/>
    </w:rPr>
  </w:style>
  <w:style w:type="paragraph" w:customStyle="1" w:styleId="Gazetteheader2Cwth">
    <w:name w:val="Gazette header 2 (Cwth)"/>
    <w:basedOn w:val="Normal"/>
    <w:link w:val="Gazetteheader2CwthChar"/>
    <w:qFormat/>
    <w:rsid w:val="00345C83"/>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345C83"/>
    <w:rPr>
      <w:rFonts w:ascii="Arial" w:hAnsi="Arial" w:cs="Arial"/>
      <w:b/>
      <w:spacing w:val="-2"/>
      <w:sz w:val="44"/>
      <w:szCs w:val="44"/>
    </w:rPr>
  </w:style>
  <w:style w:type="paragraph" w:customStyle="1" w:styleId="Gazetteheader3Cwth">
    <w:name w:val="Gazette header 3 (Cwth)"/>
    <w:basedOn w:val="Normal"/>
    <w:link w:val="Gazetteheader3CwthChar"/>
    <w:qFormat/>
    <w:rsid w:val="00345C83"/>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345C83"/>
    <w:rPr>
      <w:rFonts w:ascii="Arial" w:hAnsi="Arial" w:cs="Arial"/>
      <w:b/>
      <w:sz w:val="100"/>
      <w:szCs w:val="100"/>
    </w:rPr>
  </w:style>
  <w:style w:type="paragraph" w:customStyle="1" w:styleId="Gazetteheader4Cwth">
    <w:name w:val="Gazette header 4 (Cwth)"/>
    <w:basedOn w:val="Normal"/>
    <w:link w:val="Gazetteheader4CwthChar"/>
    <w:qFormat/>
    <w:rsid w:val="00345C83"/>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345C83"/>
    <w:rPr>
      <w:rFonts w:ascii="Arial" w:hAnsi="Arial" w:cs="Arial"/>
      <w:sz w:val="14"/>
      <w:szCs w:val="14"/>
    </w:rPr>
  </w:style>
  <w:style w:type="character" w:customStyle="1" w:styleId="Gazetteheader4CwthChar">
    <w:name w:val="Gazette header 4 (Cwth) Char"/>
    <w:basedOn w:val="DefaultParagraphFont"/>
    <w:link w:val="Gazetteheader4Cwth"/>
    <w:rsid w:val="00345C83"/>
    <w:rPr>
      <w:rFonts w:ascii="Arial" w:hAnsi="Arial" w:cs="Arial"/>
      <w:b/>
      <w:sz w:val="24"/>
      <w:szCs w:val="24"/>
    </w:rPr>
  </w:style>
  <w:style w:type="paragraph" w:customStyle="1" w:styleId="GazetteheadercrestCwth">
    <w:name w:val="Gazette header crest (Cwth)"/>
    <w:basedOn w:val="Normal"/>
    <w:link w:val="GazetteheadercrestCwthChar"/>
    <w:qFormat/>
    <w:rsid w:val="00345C83"/>
    <w:pPr>
      <w:spacing w:before="60" w:after="0"/>
      <w:ind w:left="-51"/>
    </w:pPr>
    <w:rPr>
      <w:rFonts w:ascii="Arial" w:hAnsi="Arial"/>
      <w:noProof/>
      <w:sz w:val="12"/>
      <w:lang w:eastAsia="en-AU"/>
    </w:rPr>
  </w:style>
  <w:style w:type="character" w:customStyle="1" w:styleId="GazetteheadercrestCwthChar">
    <w:name w:val="Gazette header crest (Cwth) Char"/>
    <w:basedOn w:val="DefaultParagraphFont"/>
    <w:link w:val="GazetteheadercrestCwth"/>
    <w:rsid w:val="00345C83"/>
    <w:rPr>
      <w:rFonts w:ascii="Arial" w:hAnsi="Arial"/>
      <w:noProof/>
      <w:sz w:val="12"/>
      <w:lang w:eastAsia="en-AU"/>
    </w:rPr>
  </w:style>
  <w:style w:type="table" w:styleId="TableGrid">
    <w:name w:val="Table Grid"/>
    <w:basedOn w:val="TableNormal"/>
    <w:uiPriority w:val="59"/>
    <w:locked/>
    <w:rsid w:val="00541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30B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621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45684"/>
    <w:rPr>
      <w:b/>
      <w:bCs/>
    </w:rPr>
  </w:style>
  <w:style w:type="character" w:customStyle="1" w:styleId="CommentSubjectChar">
    <w:name w:val="Comment Subject Char"/>
    <w:basedOn w:val="CommentTextChar"/>
    <w:link w:val="CommentSubject"/>
    <w:uiPriority w:val="99"/>
    <w:semiHidden/>
    <w:rsid w:val="0014568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lsdException w:name="heading 2" w:locked="0"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1" w:qFormat="1"/>
    <w:lsdException w:name="toc 2" w:locked="0" w:uiPriority="1" w:qFormat="1"/>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Title" w:semiHidden="0" w:uiPriority="10" w:unhideWhenUsed="0"/>
    <w:lsdException w:name="Default Paragraph Font" w:locked="0" w:uiPriority="1"/>
    <w:lsdException w:name="Body Text" w:uiPriority="1" w:qFormat="1"/>
    <w:lsdException w:name="Subtitle" w:semiHidden="0" w:uiPriority="11" w:unhideWhenUsed="0"/>
    <w:lsdException w:name="Date"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locked="0" w:uiPriority="37"/>
    <w:lsdException w:name="TOC Heading" w:locked="0" w:uiPriority="39" w:qFormat="1"/>
  </w:latentStyles>
  <w:style w:type="paragraph" w:default="1" w:styleId="Normal">
    <w:name w:val="Normal"/>
    <w:qFormat/>
    <w:rsid w:val="00EA5DD0"/>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lock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qFormat/>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DA5BE7"/>
    <w:pPr>
      <w:numPr>
        <w:ilvl w:val="2"/>
        <w:numId w:val="7"/>
      </w:numPr>
      <w:tabs>
        <w:tab w:val="left" w:pos="1932"/>
      </w:tabs>
      <w:spacing w:before="103"/>
    </w:pPr>
    <w:rPr>
      <w:rFonts w:ascii="Calibri" w:hAnsi="Calibri"/>
      <w:spacing w:val="-1"/>
    </w:rPr>
  </w:style>
  <w:style w:type="character" w:customStyle="1" w:styleId="Bodylevel2asubheading-QldSIChar">
    <w:name w:val="Body level 2(a) subheading - Qld SI Char"/>
    <w:basedOn w:val="BodyTextChar"/>
    <w:link w:val="Bodylevel2asubheading-QldSI"/>
    <w:uiPriority w:val="1"/>
    <w:rsid w:val="00DA5BE7"/>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uiPriority w:val="1"/>
    <w:qFormat/>
    <w:rsid w:val="00DA5BE7"/>
    <w:pPr>
      <w:numPr>
        <w:ilvl w:val="3"/>
        <w:numId w:val="7"/>
      </w:numPr>
      <w:tabs>
        <w:tab w:val="left" w:pos="2436"/>
      </w:tabs>
      <w:spacing w:before="117" w:line="226" w:lineRule="auto"/>
      <w:ind w:right="111"/>
    </w:pPr>
    <w:rPr>
      <w:rFonts w:ascii="Calibri" w:hAnsi="Calibri"/>
      <w:spacing w:val="-1"/>
    </w:rPr>
  </w:style>
  <w:style w:type="character" w:customStyle="1" w:styleId="Bodylevel3isubheading-QldSIChar">
    <w:name w:val="Body level 3(i) subheading - Qld SI Char"/>
    <w:basedOn w:val="BodyTextChar"/>
    <w:link w:val="Bodylevel3isubheading-QldSI"/>
    <w:uiPriority w:val="1"/>
    <w:rsid w:val="00DA5BE7"/>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DA5BE7"/>
    <w:pPr>
      <w:widowControl w:val="0"/>
      <w:numPr>
        <w:numId w:val="4"/>
      </w:numPr>
      <w:tabs>
        <w:tab w:val="left" w:pos="1931"/>
      </w:tabs>
      <w:spacing w:before="111" w:after="0" w:line="244" w:lineRule="auto"/>
      <w:ind w:right="111"/>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DA5BE7"/>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locked/>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DA5BE7"/>
    <w:pPr>
      <w:widowControl w:val="0"/>
      <w:spacing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DA5BE7"/>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locked/>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locked/>
    <w:rsid w:val="00051F78"/>
    <w:rPr>
      <w:color w:val="808080"/>
    </w:rPr>
  </w:style>
  <w:style w:type="paragraph" w:styleId="ListParagraph">
    <w:name w:val="List Paragraph"/>
    <w:basedOn w:val="Normal"/>
    <w:uiPriority w:val="34"/>
    <w:locked/>
    <w:rsid w:val="00BB7C0F"/>
    <w:pPr>
      <w:ind w:left="720"/>
      <w:contextualSpacing/>
    </w:pPr>
  </w:style>
  <w:style w:type="character" w:styleId="CommentReference">
    <w:name w:val="annotation reference"/>
    <w:basedOn w:val="DefaultParagraphFont"/>
    <w:uiPriority w:val="99"/>
    <w:semiHidden/>
    <w:unhideWhenUsed/>
    <w:rsid w:val="008F5696"/>
    <w:rPr>
      <w:sz w:val="16"/>
      <w:szCs w:val="16"/>
    </w:rPr>
  </w:style>
  <w:style w:type="paragraph" w:customStyle="1" w:styleId="Gazetteheader1Cwth">
    <w:name w:val="Gazette header 1 (Cwth)"/>
    <w:basedOn w:val="Normal"/>
    <w:link w:val="Gazetteheader1CwthChar"/>
    <w:qFormat/>
    <w:rsid w:val="00345C83"/>
    <w:pPr>
      <w:spacing w:before="60" w:after="0" w:line="460" w:lineRule="exact"/>
    </w:pPr>
    <w:rPr>
      <w:rFonts w:ascii="Arial" w:hAnsi="Arial" w:cs="Arial"/>
      <w:b/>
      <w:spacing w:val="-2"/>
      <w:sz w:val="44"/>
      <w:szCs w:val="44"/>
    </w:rPr>
  </w:style>
  <w:style w:type="paragraph" w:customStyle="1" w:styleId="Gazetteheader2Cwth">
    <w:name w:val="Gazette header 2 (Cwth)"/>
    <w:basedOn w:val="Normal"/>
    <w:link w:val="Gazetteheader2CwthChar"/>
    <w:qFormat/>
    <w:rsid w:val="00345C83"/>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345C83"/>
    <w:rPr>
      <w:rFonts w:ascii="Arial" w:hAnsi="Arial" w:cs="Arial"/>
      <w:b/>
      <w:spacing w:val="-2"/>
      <w:sz w:val="44"/>
      <w:szCs w:val="44"/>
    </w:rPr>
  </w:style>
  <w:style w:type="paragraph" w:customStyle="1" w:styleId="Gazetteheader3Cwth">
    <w:name w:val="Gazette header 3 (Cwth)"/>
    <w:basedOn w:val="Normal"/>
    <w:link w:val="Gazetteheader3CwthChar"/>
    <w:qFormat/>
    <w:rsid w:val="00345C83"/>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345C83"/>
    <w:rPr>
      <w:rFonts w:ascii="Arial" w:hAnsi="Arial" w:cs="Arial"/>
      <w:b/>
      <w:sz w:val="100"/>
      <w:szCs w:val="100"/>
    </w:rPr>
  </w:style>
  <w:style w:type="paragraph" w:customStyle="1" w:styleId="Gazetteheader4Cwth">
    <w:name w:val="Gazette header 4 (Cwth)"/>
    <w:basedOn w:val="Normal"/>
    <w:link w:val="Gazetteheader4CwthChar"/>
    <w:qFormat/>
    <w:rsid w:val="00345C83"/>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345C83"/>
    <w:rPr>
      <w:rFonts w:ascii="Arial" w:hAnsi="Arial" w:cs="Arial"/>
      <w:sz w:val="14"/>
      <w:szCs w:val="14"/>
    </w:rPr>
  </w:style>
  <w:style w:type="character" w:customStyle="1" w:styleId="Gazetteheader4CwthChar">
    <w:name w:val="Gazette header 4 (Cwth) Char"/>
    <w:basedOn w:val="DefaultParagraphFont"/>
    <w:link w:val="Gazetteheader4Cwth"/>
    <w:rsid w:val="00345C83"/>
    <w:rPr>
      <w:rFonts w:ascii="Arial" w:hAnsi="Arial" w:cs="Arial"/>
      <w:b/>
      <w:sz w:val="24"/>
      <w:szCs w:val="24"/>
    </w:rPr>
  </w:style>
  <w:style w:type="paragraph" w:customStyle="1" w:styleId="GazetteheadercrestCwth">
    <w:name w:val="Gazette header crest (Cwth)"/>
    <w:basedOn w:val="Normal"/>
    <w:link w:val="GazetteheadercrestCwthChar"/>
    <w:qFormat/>
    <w:rsid w:val="00345C83"/>
    <w:pPr>
      <w:spacing w:before="60" w:after="0"/>
      <w:ind w:left="-51"/>
    </w:pPr>
    <w:rPr>
      <w:rFonts w:ascii="Arial" w:hAnsi="Arial"/>
      <w:noProof/>
      <w:sz w:val="12"/>
      <w:lang w:eastAsia="en-AU"/>
    </w:rPr>
  </w:style>
  <w:style w:type="character" w:customStyle="1" w:styleId="GazetteheadercrestCwthChar">
    <w:name w:val="Gazette header crest (Cwth) Char"/>
    <w:basedOn w:val="DefaultParagraphFont"/>
    <w:link w:val="GazetteheadercrestCwth"/>
    <w:rsid w:val="00345C83"/>
    <w:rPr>
      <w:rFonts w:ascii="Arial" w:hAnsi="Arial"/>
      <w:noProof/>
      <w:sz w:val="12"/>
      <w:lang w:eastAsia="en-AU"/>
    </w:rPr>
  </w:style>
  <w:style w:type="table" w:styleId="TableGrid">
    <w:name w:val="Table Grid"/>
    <w:basedOn w:val="TableNormal"/>
    <w:uiPriority w:val="59"/>
    <w:locked/>
    <w:rsid w:val="00541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30B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621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45684"/>
    <w:rPr>
      <w:b/>
      <w:bCs/>
    </w:rPr>
  </w:style>
  <w:style w:type="character" w:customStyle="1" w:styleId="CommentSubjectChar">
    <w:name w:val="Comment Subject Char"/>
    <w:basedOn w:val="CommentTextChar"/>
    <w:link w:val="CommentSubject"/>
    <w:uiPriority w:val="99"/>
    <w:semiHidden/>
    <w:rsid w:val="001456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2968">
      <w:bodyDiv w:val="1"/>
      <w:marLeft w:val="0"/>
      <w:marRight w:val="0"/>
      <w:marTop w:val="0"/>
      <w:marBottom w:val="0"/>
      <w:divBdr>
        <w:top w:val="none" w:sz="0" w:space="0" w:color="auto"/>
        <w:left w:val="none" w:sz="0" w:space="0" w:color="auto"/>
        <w:bottom w:val="none" w:sz="0" w:space="0" w:color="auto"/>
        <w:right w:val="none" w:sz="0" w:space="0" w:color="auto"/>
      </w:divBdr>
    </w:div>
    <w:div w:id="217210127">
      <w:bodyDiv w:val="1"/>
      <w:marLeft w:val="0"/>
      <w:marRight w:val="0"/>
      <w:marTop w:val="0"/>
      <w:marBottom w:val="0"/>
      <w:divBdr>
        <w:top w:val="none" w:sz="0" w:space="0" w:color="auto"/>
        <w:left w:val="none" w:sz="0" w:space="0" w:color="auto"/>
        <w:bottom w:val="none" w:sz="0" w:space="0" w:color="auto"/>
        <w:right w:val="none" w:sz="0" w:space="0" w:color="auto"/>
      </w:divBdr>
    </w:div>
    <w:div w:id="551772934">
      <w:bodyDiv w:val="1"/>
      <w:marLeft w:val="0"/>
      <w:marRight w:val="0"/>
      <w:marTop w:val="0"/>
      <w:marBottom w:val="0"/>
      <w:divBdr>
        <w:top w:val="none" w:sz="0" w:space="0" w:color="auto"/>
        <w:left w:val="none" w:sz="0" w:space="0" w:color="auto"/>
        <w:bottom w:val="none" w:sz="0" w:space="0" w:color="auto"/>
        <w:right w:val="none" w:sz="0" w:space="0" w:color="auto"/>
      </w:divBdr>
    </w:div>
    <w:div w:id="824466823">
      <w:bodyDiv w:val="1"/>
      <w:marLeft w:val="0"/>
      <w:marRight w:val="0"/>
      <w:marTop w:val="0"/>
      <w:marBottom w:val="0"/>
      <w:divBdr>
        <w:top w:val="none" w:sz="0" w:space="0" w:color="auto"/>
        <w:left w:val="none" w:sz="0" w:space="0" w:color="auto"/>
        <w:bottom w:val="none" w:sz="0" w:space="0" w:color="auto"/>
        <w:right w:val="none" w:sz="0" w:space="0" w:color="auto"/>
      </w:divBdr>
    </w:div>
    <w:div w:id="935022211">
      <w:bodyDiv w:val="1"/>
      <w:marLeft w:val="0"/>
      <w:marRight w:val="0"/>
      <w:marTop w:val="0"/>
      <w:marBottom w:val="0"/>
      <w:divBdr>
        <w:top w:val="none" w:sz="0" w:space="0" w:color="auto"/>
        <w:left w:val="none" w:sz="0" w:space="0" w:color="auto"/>
        <w:bottom w:val="none" w:sz="0" w:space="0" w:color="auto"/>
        <w:right w:val="none" w:sz="0" w:space="0" w:color="auto"/>
      </w:divBdr>
    </w:div>
    <w:div w:id="1003750881">
      <w:bodyDiv w:val="1"/>
      <w:marLeft w:val="0"/>
      <w:marRight w:val="0"/>
      <w:marTop w:val="0"/>
      <w:marBottom w:val="0"/>
      <w:divBdr>
        <w:top w:val="none" w:sz="0" w:space="0" w:color="auto"/>
        <w:left w:val="none" w:sz="0" w:space="0" w:color="auto"/>
        <w:bottom w:val="none" w:sz="0" w:space="0" w:color="auto"/>
        <w:right w:val="none" w:sz="0" w:space="0" w:color="auto"/>
      </w:divBdr>
    </w:div>
    <w:div w:id="1410925517">
      <w:bodyDiv w:val="1"/>
      <w:marLeft w:val="0"/>
      <w:marRight w:val="0"/>
      <w:marTop w:val="0"/>
      <w:marBottom w:val="0"/>
      <w:divBdr>
        <w:top w:val="none" w:sz="0" w:space="0" w:color="auto"/>
        <w:left w:val="none" w:sz="0" w:space="0" w:color="auto"/>
        <w:bottom w:val="none" w:sz="0" w:space="0" w:color="auto"/>
        <w:right w:val="none" w:sz="0" w:space="0" w:color="auto"/>
      </w:divBdr>
    </w:div>
    <w:div w:id="202678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rotili\AppData\Local\Microsoft\Windows\Temporary%20Internet%20Files\Content.Outlook\LB9WWRB6\Suspension%20Notice%20Cancellation%20Notice%20Template%20v%201.0%2020151022%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784F-25B3-436C-8994-0F68BF1A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Suspension Notice Cancellation Notice Template v 1.0 20151022 (2).dotx</Template>
  <TotalTime>750</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Rotili</dc:creator>
  <cp:lastModifiedBy>Rob Crapnell</cp:lastModifiedBy>
  <cp:revision>36</cp:revision>
  <cp:lastPrinted>2018-07-16T02:36:00Z</cp:lastPrinted>
  <dcterms:created xsi:type="dcterms:W3CDTF">2018-03-21T06:08:00Z</dcterms:created>
  <dcterms:modified xsi:type="dcterms:W3CDTF">2018-07-24T05:25:00Z</dcterms:modified>
</cp:coreProperties>
</file>