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3D1" w:rsidRPr="004B303B" w:rsidRDefault="00FD33D1" w:rsidP="00FD33D1">
      <w:pPr>
        <w:jc w:val="center"/>
        <w:rPr>
          <w:rFonts w:cs="Times New Roman"/>
        </w:rPr>
      </w:pPr>
      <w:r w:rsidRPr="004B303B">
        <w:rPr>
          <w:noProof/>
          <w:lang w:eastAsia="en-AU"/>
        </w:rPr>
        <w:drawing>
          <wp:inline distT="0" distB="0" distL="0" distR="0">
            <wp:extent cx="1371600" cy="1133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FD33D1" w:rsidRPr="004B303B" w:rsidRDefault="00FD33D1" w:rsidP="00FD33D1">
      <w:pPr>
        <w:jc w:val="center"/>
        <w:rPr>
          <w:rFonts w:cs="Arial"/>
          <w:spacing w:val="-5"/>
          <w:sz w:val="36"/>
          <w:szCs w:val="36"/>
        </w:rPr>
      </w:pPr>
      <w:r w:rsidRPr="004B303B">
        <w:rPr>
          <w:rFonts w:cs="Arial"/>
          <w:spacing w:val="-5"/>
          <w:sz w:val="36"/>
          <w:szCs w:val="36"/>
        </w:rPr>
        <w:t xml:space="preserve">Specialist Medical </w:t>
      </w:r>
      <w:r w:rsidRPr="004B303B">
        <w:rPr>
          <w:rFonts w:cs="Arial"/>
          <w:spacing w:val="-15"/>
          <w:sz w:val="36"/>
          <w:szCs w:val="36"/>
        </w:rPr>
        <w:t>Re</w:t>
      </w:r>
      <w:r w:rsidRPr="004B303B">
        <w:rPr>
          <w:rFonts w:cs="Arial"/>
          <w:spacing w:val="-5"/>
          <w:sz w:val="36"/>
          <w:szCs w:val="36"/>
        </w:rPr>
        <w:t>view Council</w:t>
      </w:r>
    </w:p>
    <w:p w:rsidR="00FD33D1" w:rsidRPr="004B303B" w:rsidRDefault="00FD33D1" w:rsidP="00FD33D1">
      <w:pPr>
        <w:pStyle w:val="Heading7"/>
        <w:rPr>
          <w:rFonts w:asciiTheme="minorHAnsi" w:hAnsiTheme="minorHAnsi"/>
          <w:sz w:val="28"/>
          <w:szCs w:val="28"/>
        </w:rPr>
      </w:pPr>
      <w:r w:rsidRPr="004B303B">
        <w:rPr>
          <w:rFonts w:asciiTheme="minorHAnsi" w:hAnsiTheme="minorHAnsi"/>
          <w:sz w:val="28"/>
          <w:szCs w:val="28"/>
        </w:rPr>
        <w:t>Declarations</w:t>
      </w:r>
    </w:p>
    <w:p w:rsidR="00FD33D1" w:rsidRPr="004B303B" w:rsidRDefault="00FD33D1" w:rsidP="00FD33D1">
      <w:pPr>
        <w:pStyle w:val="BodyText"/>
        <w:jc w:val="center"/>
        <w:rPr>
          <w:rFonts w:asciiTheme="minorHAnsi" w:hAnsiTheme="minorHAnsi"/>
          <w:i/>
          <w:sz w:val="24"/>
          <w:szCs w:val="24"/>
        </w:rPr>
      </w:pPr>
      <w:r w:rsidRPr="004B303B">
        <w:rPr>
          <w:rFonts w:asciiTheme="minorHAnsi" w:hAnsiTheme="minorHAnsi"/>
          <w:i/>
          <w:sz w:val="24"/>
          <w:szCs w:val="24"/>
        </w:rPr>
        <w:t>Section 196W</w:t>
      </w:r>
      <w:r w:rsidRPr="004B303B">
        <w:rPr>
          <w:rFonts w:asciiTheme="minorHAnsi" w:hAnsiTheme="minorHAnsi"/>
          <w:i/>
          <w:sz w:val="24"/>
          <w:szCs w:val="24"/>
        </w:rPr>
        <w:br/>
        <w:t>Veterans’ Entitlements Act 1986</w:t>
      </w:r>
    </w:p>
    <w:p w:rsidR="00281AF5" w:rsidRPr="004B303B" w:rsidRDefault="00281AF5" w:rsidP="003D1541">
      <w:pPr>
        <w:spacing w:after="0"/>
        <w:ind w:right="1701"/>
        <w:jc w:val="center"/>
        <w:rPr>
          <w:rFonts w:cs="Arial"/>
        </w:rPr>
      </w:pPr>
    </w:p>
    <w:p w:rsidR="000D01F1" w:rsidRPr="000D01F1" w:rsidRDefault="000D01F1" w:rsidP="000D01F1">
      <w:pPr>
        <w:spacing w:after="0"/>
        <w:ind w:left="1701" w:right="1701"/>
        <w:jc w:val="center"/>
        <w:rPr>
          <w:rFonts w:cs="Arial"/>
          <w:b/>
          <w:sz w:val="24"/>
          <w:szCs w:val="24"/>
        </w:rPr>
      </w:pPr>
      <w:r>
        <w:rPr>
          <w:rFonts w:cs="Arial"/>
          <w:b/>
          <w:sz w:val="24"/>
          <w:szCs w:val="24"/>
        </w:rPr>
        <w:t>Re:</w:t>
      </w:r>
      <w:r w:rsidRPr="000D01F1">
        <w:rPr>
          <w:rFonts w:cs="Arial"/>
          <w:b/>
          <w:sz w:val="24"/>
          <w:szCs w:val="24"/>
        </w:rPr>
        <w:t xml:space="preserve"> Statements of Principles Nos. 55 and 56 of 2014 </w:t>
      </w:r>
    </w:p>
    <w:p w:rsidR="00281AF5" w:rsidRPr="004B303B" w:rsidRDefault="000D01F1" w:rsidP="000D01F1">
      <w:pPr>
        <w:spacing w:after="0"/>
        <w:ind w:left="1701" w:right="1701"/>
        <w:jc w:val="center"/>
        <w:rPr>
          <w:rFonts w:cs="Arial"/>
          <w:b/>
          <w:sz w:val="24"/>
          <w:szCs w:val="24"/>
        </w:rPr>
      </w:pPr>
      <w:r w:rsidRPr="000D01F1">
        <w:rPr>
          <w:rFonts w:cs="Arial"/>
          <w:b/>
          <w:sz w:val="24"/>
          <w:szCs w:val="24"/>
        </w:rPr>
        <w:t>in respect of Chronic Multisymptom Illness</w:t>
      </w:r>
    </w:p>
    <w:p w:rsidR="00374792" w:rsidRPr="004B303B" w:rsidRDefault="00374792" w:rsidP="00281AF5">
      <w:pPr>
        <w:spacing w:after="0"/>
        <w:ind w:right="1701"/>
        <w:jc w:val="center"/>
        <w:rPr>
          <w:rFonts w:cs="Arial"/>
          <w:b/>
          <w:sz w:val="24"/>
          <w:szCs w:val="24"/>
        </w:rPr>
      </w:pPr>
    </w:p>
    <w:p w:rsidR="00FD33D1" w:rsidRDefault="00FD33D1" w:rsidP="00FD33D1">
      <w:pPr>
        <w:ind w:left="1701" w:right="1701"/>
        <w:jc w:val="center"/>
        <w:rPr>
          <w:rFonts w:cs="Arial"/>
          <w:sz w:val="24"/>
          <w:szCs w:val="24"/>
        </w:rPr>
      </w:pPr>
      <w:r w:rsidRPr="004B303B">
        <w:rPr>
          <w:rFonts w:cs="Arial"/>
          <w:sz w:val="24"/>
          <w:szCs w:val="24"/>
        </w:rPr>
        <w:t xml:space="preserve">Request for Review Declaration No. </w:t>
      </w:r>
      <w:r w:rsidR="000D01F1">
        <w:rPr>
          <w:rFonts w:cs="Arial"/>
          <w:sz w:val="24"/>
          <w:szCs w:val="24"/>
        </w:rPr>
        <w:t>33</w:t>
      </w:r>
    </w:p>
    <w:p w:rsidR="0048770D" w:rsidRPr="004B303B" w:rsidRDefault="0048770D" w:rsidP="00FD33D1">
      <w:pPr>
        <w:ind w:left="1701" w:right="1701"/>
        <w:jc w:val="center"/>
        <w:rPr>
          <w:rFonts w:cs="Arial"/>
          <w:sz w:val="24"/>
          <w:szCs w:val="24"/>
        </w:rPr>
      </w:pPr>
    </w:p>
    <w:p w:rsidR="000D01F1" w:rsidRPr="000D01F1" w:rsidRDefault="000D01F1" w:rsidP="000D01F1">
      <w:pPr>
        <w:rPr>
          <w:rFonts w:eastAsia="Times New Roman" w:cs="Times New Roman"/>
          <w:sz w:val="24"/>
          <w:szCs w:val="24"/>
        </w:rPr>
      </w:pPr>
      <w:bookmarkStart w:id="0" w:name="_Ref384985709"/>
      <w:r w:rsidRPr="000D01F1">
        <w:rPr>
          <w:rFonts w:eastAsia="Times New Roman" w:cs="Times New Roman"/>
          <w:sz w:val="24"/>
          <w:szCs w:val="24"/>
        </w:rPr>
        <w:t>In relation to the Repatriation Medical Authority (the RMA) Statements of Principles Nos. 55 and 56 of 2014 concerning chronic multisymptom illness made under subsections 196B of the Veterans' Entitlements Act 1986 (the VEA), the Council under subsection 196W(5) of the VEA:</w:t>
      </w:r>
    </w:p>
    <w:p w:rsidR="000D01F1" w:rsidRPr="000D01F1" w:rsidRDefault="000D01F1" w:rsidP="00386A47">
      <w:pPr>
        <w:ind w:left="360"/>
        <w:rPr>
          <w:rFonts w:eastAsia="Times New Roman" w:cs="Times New Roman"/>
          <w:sz w:val="24"/>
          <w:szCs w:val="24"/>
        </w:rPr>
      </w:pPr>
      <w:r w:rsidRPr="000D01F1">
        <w:rPr>
          <w:rFonts w:eastAsia="Times New Roman" w:cs="Times New Roman"/>
          <w:sz w:val="24"/>
          <w:szCs w:val="24"/>
        </w:rPr>
        <w:t>DECLARES that there is insufficient sound medical-scientific evidence on which the RMA could have relied to amend the Statements of Principles to include the following factor(s):</w:t>
      </w:r>
    </w:p>
    <w:p w:rsidR="000D01F1" w:rsidRDefault="000D01F1" w:rsidP="00386A47">
      <w:pPr>
        <w:pStyle w:val="ListParagraph"/>
        <w:numPr>
          <w:ilvl w:val="0"/>
          <w:numId w:val="7"/>
        </w:numPr>
        <w:ind w:left="720"/>
        <w:rPr>
          <w:rFonts w:eastAsia="Times New Roman" w:cs="Times New Roman"/>
          <w:sz w:val="24"/>
          <w:szCs w:val="24"/>
        </w:rPr>
      </w:pPr>
      <w:r w:rsidRPr="000D01F1">
        <w:rPr>
          <w:rFonts w:eastAsia="Times New Roman" w:cs="Times New Roman"/>
          <w:sz w:val="24"/>
          <w:szCs w:val="24"/>
        </w:rPr>
        <w:t>depleted uranium;</w:t>
      </w:r>
    </w:p>
    <w:p w:rsidR="000D01F1" w:rsidRDefault="000D01F1" w:rsidP="00386A47">
      <w:pPr>
        <w:pStyle w:val="ListParagraph"/>
        <w:numPr>
          <w:ilvl w:val="0"/>
          <w:numId w:val="7"/>
        </w:numPr>
        <w:ind w:left="720"/>
        <w:rPr>
          <w:rFonts w:eastAsia="Times New Roman" w:cs="Times New Roman"/>
          <w:sz w:val="24"/>
          <w:szCs w:val="24"/>
        </w:rPr>
      </w:pPr>
      <w:r w:rsidRPr="000D01F1">
        <w:rPr>
          <w:rFonts w:eastAsia="Times New Roman" w:cs="Times New Roman"/>
          <w:sz w:val="24"/>
          <w:szCs w:val="24"/>
        </w:rPr>
        <w:t>oil well smoke;</w:t>
      </w:r>
    </w:p>
    <w:p w:rsidR="000D01F1" w:rsidRDefault="000D01F1" w:rsidP="00386A47">
      <w:pPr>
        <w:pStyle w:val="ListParagraph"/>
        <w:numPr>
          <w:ilvl w:val="0"/>
          <w:numId w:val="7"/>
        </w:numPr>
        <w:ind w:left="720"/>
        <w:rPr>
          <w:rFonts w:eastAsia="Times New Roman" w:cs="Times New Roman"/>
          <w:sz w:val="24"/>
          <w:szCs w:val="24"/>
        </w:rPr>
      </w:pPr>
      <w:r w:rsidRPr="000D01F1">
        <w:rPr>
          <w:rFonts w:eastAsia="Times New Roman" w:cs="Times New Roman"/>
          <w:sz w:val="24"/>
          <w:szCs w:val="24"/>
        </w:rPr>
        <w:t>medical countermeasures (such as pyridostigmine bromide, and vaccinations for anthrax, plague, pertussis);</w:t>
      </w:r>
    </w:p>
    <w:p w:rsidR="000D01F1" w:rsidRDefault="000D01F1" w:rsidP="00386A47">
      <w:pPr>
        <w:pStyle w:val="ListParagraph"/>
        <w:numPr>
          <w:ilvl w:val="0"/>
          <w:numId w:val="7"/>
        </w:numPr>
        <w:ind w:left="720"/>
        <w:rPr>
          <w:rFonts w:eastAsia="Times New Roman" w:cs="Times New Roman"/>
          <w:sz w:val="24"/>
          <w:szCs w:val="24"/>
        </w:rPr>
      </w:pPr>
      <w:r w:rsidRPr="000D01F1">
        <w:rPr>
          <w:rFonts w:eastAsia="Times New Roman" w:cs="Times New Roman"/>
          <w:sz w:val="24"/>
          <w:szCs w:val="24"/>
        </w:rPr>
        <w:t>contaminated food and water;</w:t>
      </w:r>
    </w:p>
    <w:p w:rsidR="000D01F1" w:rsidRDefault="000D01F1" w:rsidP="00386A47">
      <w:pPr>
        <w:pStyle w:val="ListParagraph"/>
        <w:numPr>
          <w:ilvl w:val="0"/>
          <w:numId w:val="7"/>
        </w:numPr>
        <w:ind w:left="720"/>
        <w:rPr>
          <w:rFonts w:eastAsia="Times New Roman" w:cs="Times New Roman"/>
          <w:sz w:val="24"/>
          <w:szCs w:val="24"/>
        </w:rPr>
      </w:pPr>
      <w:r w:rsidRPr="000D01F1">
        <w:rPr>
          <w:rFonts w:eastAsia="Times New Roman" w:cs="Times New Roman"/>
          <w:sz w:val="24"/>
          <w:szCs w:val="24"/>
        </w:rPr>
        <w:t xml:space="preserve">chemical and biological weapons; and </w:t>
      </w:r>
    </w:p>
    <w:p w:rsidR="009912AC" w:rsidRDefault="000D01F1" w:rsidP="00386A47">
      <w:pPr>
        <w:pStyle w:val="ListParagraph"/>
        <w:numPr>
          <w:ilvl w:val="0"/>
          <w:numId w:val="7"/>
        </w:numPr>
        <w:ind w:left="720"/>
        <w:rPr>
          <w:rFonts w:eastAsia="Times New Roman" w:cs="Times New Roman"/>
          <w:sz w:val="24"/>
          <w:szCs w:val="24"/>
        </w:rPr>
      </w:pPr>
      <w:r w:rsidRPr="000D01F1">
        <w:rPr>
          <w:rFonts w:eastAsia="Times New Roman" w:cs="Times New Roman"/>
          <w:sz w:val="24"/>
          <w:szCs w:val="24"/>
        </w:rPr>
        <w:t>pesticide exposure (including N,N-diethyl-m-toluamide (DEET)).</w:t>
      </w:r>
    </w:p>
    <w:p w:rsidR="002942BF" w:rsidRDefault="002942BF" w:rsidP="002942BF">
      <w:pPr>
        <w:rPr>
          <w:rFonts w:eastAsia="Times New Roman" w:cs="Times New Roman"/>
          <w:sz w:val="24"/>
          <w:szCs w:val="24"/>
        </w:rPr>
      </w:pPr>
    </w:p>
    <w:p w:rsidR="002942BF" w:rsidRDefault="002942BF" w:rsidP="002942BF">
      <w:pPr>
        <w:rPr>
          <w:rFonts w:eastAsia="Times New Roman" w:cs="Times New Roman"/>
          <w:sz w:val="24"/>
          <w:szCs w:val="24"/>
        </w:rPr>
      </w:pPr>
    </w:p>
    <w:p w:rsidR="002942BF" w:rsidRDefault="002942BF" w:rsidP="002942BF">
      <w:pPr>
        <w:rPr>
          <w:rFonts w:eastAsia="Times New Roman" w:cs="Times New Roman"/>
          <w:sz w:val="24"/>
          <w:szCs w:val="24"/>
        </w:rPr>
      </w:pPr>
    </w:p>
    <w:p w:rsidR="002942BF" w:rsidRPr="002942BF" w:rsidRDefault="002942BF" w:rsidP="002942BF">
      <w:pPr>
        <w:rPr>
          <w:rFonts w:eastAsia="Times New Roman" w:cs="Times New Roman"/>
          <w:sz w:val="24"/>
          <w:szCs w:val="24"/>
        </w:rPr>
      </w:pPr>
    </w:p>
    <w:tbl>
      <w:tblPr>
        <w:tblW w:w="4950" w:type="pct"/>
        <w:tblLayout w:type="fixed"/>
        <w:tblLook w:val="04A0" w:firstRow="1" w:lastRow="0" w:firstColumn="1" w:lastColumn="0" w:noHBand="0" w:noVBand="1"/>
      </w:tblPr>
      <w:tblGrid>
        <w:gridCol w:w="2865"/>
        <w:gridCol w:w="2808"/>
        <w:gridCol w:w="3263"/>
      </w:tblGrid>
      <w:tr w:rsidR="009912AC" w:rsidRPr="004B303B" w:rsidTr="00F467BE">
        <w:trPr>
          <w:trHeight w:val="80"/>
        </w:trPr>
        <w:tc>
          <w:tcPr>
            <w:tcW w:w="1603" w:type="pct"/>
            <w:shd w:val="clear" w:color="auto" w:fill="auto"/>
          </w:tcPr>
          <w:p w:rsidR="009912AC" w:rsidRPr="004B303B" w:rsidRDefault="00E80002" w:rsidP="00EC3BA2">
            <w:pPr>
              <w:pStyle w:val="NumberLevel1"/>
              <w:numPr>
                <w:ilvl w:val="0"/>
                <w:numId w:val="0"/>
              </w:numPr>
              <w:ind w:right="327"/>
              <w:rPr>
                <w:rFonts w:asciiTheme="minorHAnsi" w:hAnsiTheme="minorHAnsi"/>
                <w:sz w:val="24"/>
                <w:szCs w:val="24"/>
              </w:rPr>
            </w:pPr>
            <w:r>
              <w:rPr>
                <w:rFonts w:cs="Arial"/>
                <w:noProof/>
                <w:szCs w:val="24"/>
                <w:lang w:eastAsia="en-AU"/>
              </w:rPr>
              <w:lastRenderedPageBreak/>
              <w:drawing>
                <wp:inline distT="0" distB="0" distL="0" distR="0">
                  <wp:extent cx="1476375" cy="438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p>
        </w:tc>
        <w:tc>
          <w:tcPr>
            <w:tcW w:w="1571" w:type="pct"/>
            <w:shd w:val="clear" w:color="auto" w:fill="auto"/>
          </w:tcPr>
          <w:p w:rsidR="009912AC" w:rsidRPr="004B303B" w:rsidRDefault="00722040" w:rsidP="00EC3BA2">
            <w:pPr>
              <w:pStyle w:val="NumberLevel1"/>
              <w:numPr>
                <w:ilvl w:val="0"/>
                <w:numId w:val="0"/>
              </w:numPr>
              <w:ind w:right="327"/>
              <w:rPr>
                <w:rFonts w:asciiTheme="minorHAnsi" w:hAnsiTheme="minorHAnsi"/>
                <w:sz w:val="24"/>
                <w:szCs w:val="24"/>
              </w:rPr>
            </w:pPr>
            <w:r w:rsidRPr="00722040">
              <w:rPr>
                <w:rFonts w:asciiTheme="minorHAnsi" w:hAnsiTheme="minorHAnsi"/>
                <w:noProof/>
                <w:sz w:val="24"/>
                <w:szCs w:val="24"/>
                <w:lang w:eastAsia="en-AU"/>
              </w:rPr>
              <w:drawing>
                <wp:inline distT="0" distB="0" distL="0" distR="0">
                  <wp:extent cx="1076325" cy="52988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7985" cy="535623"/>
                          </a:xfrm>
                          <a:prstGeom prst="rect">
                            <a:avLst/>
                          </a:prstGeom>
                          <a:noFill/>
                          <a:ln>
                            <a:noFill/>
                          </a:ln>
                        </pic:spPr>
                      </pic:pic>
                    </a:graphicData>
                  </a:graphic>
                </wp:inline>
              </w:drawing>
            </w:r>
          </w:p>
        </w:tc>
        <w:tc>
          <w:tcPr>
            <w:tcW w:w="1826" w:type="pct"/>
            <w:shd w:val="clear" w:color="auto" w:fill="auto"/>
          </w:tcPr>
          <w:p w:rsidR="009912AC" w:rsidRPr="004B303B" w:rsidRDefault="005D2A82" w:rsidP="00EC3BA2">
            <w:pPr>
              <w:pStyle w:val="NumberLevel1"/>
              <w:numPr>
                <w:ilvl w:val="0"/>
                <w:numId w:val="0"/>
              </w:numPr>
              <w:ind w:right="327"/>
              <w:rPr>
                <w:rFonts w:asciiTheme="minorHAnsi" w:hAnsiTheme="minorHAnsi"/>
                <w:sz w:val="24"/>
                <w:szCs w:val="24"/>
              </w:rPr>
            </w:pPr>
            <w:r>
              <w:object w:dxaOrig="11595"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29.25pt" o:ole="">
                  <v:imagedata r:id="rId11" o:title=""/>
                </v:shape>
                <o:OLEObject Type="Embed" ProgID="PBrush" ShapeID="_x0000_i1025" DrawAspect="Content" ObjectID="_1595061197" r:id="rId12"/>
              </w:object>
            </w:r>
          </w:p>
        </w:tc>
      </w:tr>
      <w:tr w:rsidR="009912AC" w:rsidRPr="004B303B" w:rsidTr="00F467BE">
        <w:tc>
          <w:tcPr>
            <w:tcW w:w="1603" w:type="pct"/>
            <w:shd w:val="clear" w:color="auto" w:fill="auto"/>
          </w:tcPr>
          <w:p w:rsidR="009912AC" w:rsidRPr="004B303B" w:rsidRDefault="009912AC" w:rsidP="00554F1A">
            <w:pPr>
              <w:spacing w:after="0" w:line="240" w:lineRule="auto"/>
              <w:jc w:val="center"/>
              <w:rPr>
                <w:rFonts w:cs="Arial"/>
                <w:sz w:val="24"/>
                <w:szCs w:val="24"/>
              </w:rPr>
            </w:pPr>
            <w:r>
              <w:rPr>
                <w:rFonts w:cs="Arial"/>
                <w:sz w:val="24"/>
                <w:szCs w:val="24"/>
              </w:rPr>
              <w:t>David Newman</w:t>
            </w:r>
          </w:p>
          <w:p w:rsidR="009912AC" w:rsidRPr="004B303B" w:rsidRDefault="009912AC" w:rsidP="00554F1A">
            <w:pPr>
              <w:spacing w:after="0" w:line="240" w:lineRule="auto"/>
              <w:jc w:val="center"/>
              <w:rPr>
                <w:rFonts w:cs="Arial"/>
                <w:sz w:val="24"/>
                <w:szCs w:val="24"/>
              </w:rPr>
            </w:pPr>
            <w:r w:rsidRPr="004B303B">
              <w:rPr>
                <w:rFonts w:cs="Arial"/>
                <w:sz w:val="24"/>
                <w:szCs w:val="24"/>
              </w:rPr>
              <w:t>Presiding Councillor</w:t>
            </w:r>
          </w:p>
        </w:tc>
        <w:tc>
          <w:tcPr>
            <w:tcW w:w="1571" w:type="pct"/>
            <w:shd w:val="clear" w:color="auto" w:fill="auto"/>
          </w:tcPr>
          <w:p w:rsidR="009912AC" w:rsidRPr="004B303B" w:rsidRDefault="009912AC" w:rsidP="00554F1A">
            <w:pPr>
              <w:spacing w:after="0" w:line="240" w:lineRule="auto"/>
              <w:jc w:val="center"/>
              <w:rPr>
                <w:rFonts w:cs="Arial"/>
                <w:sz w:val="24"/>
                <w:szCs w:val="24"/>
              </w:rPr>
            </w:pPr>
            <w:r>
              <w:rPr>
                <w:rFonts w:cs="Arial"/>
                <w:sz w:val="24"/>
                <w:szCs w:val="24"/>
              </w:rPr>
              <w:t>Bradley Ng</w:t>
            </w:r>
          </w:p>
          <w:p w:rsidR="009912AC" w:rsidRPr="004B303B" w:rsidRDefault="009912AC" w:rsidP="00554F1A">
            <w:pPr>
              <w:spacing w:after="0" w:line="240" w:lineRule="auto"/>
              <w:jc w:val="center"/>
              <w:rPr>
                <w:rFonts w:cs="Arial"/>
                <w:sz w:val="24"/>
                <w:szCs w:val="24"/>
              </w:rPr>
            </w:pPr>
            <w:r w:rsidRPr="004B303B">
              <w:rPr>
                <w:rFonts w:cs="Arial"/>
                <w:sz w:val="24"/>
                <w:szCs w:val="24"/>
              </w:rPr>
              <w:t>Councillor</w:t>
            </w:r>
          </w:p>
        </w:tc>
        <w:tc>
          <w:tcPr>
            <w:tcW w:w="1826" w:type="pct"/>
            <w:shd w:val="clear" w:color="auto" w:fill="auto"/>
          </w:tcPr>
          <w:p w:rsidR="009912AC" w:rsidRPr="004B303B" w:rsidRDefault="009912AC" w:rsidP="00554F1A">
            <w:pPr>
              <w:spacing w:after="0" w:line="240" w:lineRule="auto"/>
              <w:jc w:val="center"/>
              <w:rPr>
                <w:rFonts w:cs="Arial"/>
                <w:sz w:val="24"/>
                <w:szCs w:val="24"/>
              </w:rPr>
            </w:pPr>
            <w:r>
              <w:rPr>
                <w:rFonts w:cs="Arial"/>
                <w:sz w:val="24"/>
                <w:szCs w:val="24"/>
              </w:rPr>
              <w:t>Andrew Grulich</w:t>
            </w:r>
          </w:p>
          <w:p w:rsidR="009912AC" w:rsidRPr="004B303B" w:rsidRDefault="009912AC" w:rsidP="00554F1A">
            <w:pPr>
              <w:spacing w:after="0" w:line="240" w:lineRule="auto"/>
              <w:jc w:val="center"/>
              <w:rPr>
                <w:rFonts w:cs="Arial"/>
                <w:sz w:val="24"/>
                <w:szCs w:val="24"/>
              </w:rPr>
            </w:pPr>
            <w:r w:rsidRPr="004B303B">
              <w:rPr>
                <w:rFonts w:cs="Arial"/>
                <w:sz w:val="24"/>
                <w:szCs w:val="24"/>
              </w:rPr>
              <w:t>Councillor</w:t>
            </w:r>
          </w:p>
        </w:tc>
      </w:tr>
      <w:tr w:rsidR="009912AC" w:rsidRPr="004B303B" w:rsidTr="00F467BE">
        <w:tc>
          <w:tcPr>
            <w:tcW w:w="1603" w:type="pct"/>
            <w:shd w:val="clear" w:color="auto" w:fill="auto"/>
          </w:tcPr>
          <w:p w:rsidR="009912AC" w:rsidRDefault="00E80002" w:rsidP="00554F1A">
            <w:pPr>
              <w:spacing w:after="0" w:line="240" w:lineRule="auto"/>
              <w:jc w:val="center"/>
              <w:rPr>
                <w:rFonts w:cs="Arial"/>
                <w:sz w:val="24"/>
                <w:szCs w:val="24"/>
              </w:rPr>
            </w:pPr>
            <w:r>
              <w:object w:dxaOrig="7125" w:dyaOrig="2160">
                <v:shape id="_x0000_i1026" type="#_x0000_t75" style="width:117pt;height:35.25pt" o:ole="">
                  <v:imagedata r:id="rId13" o:title=""/>
                </v:shape>
                <o:OLEObject Type="Embed" ProgID="PBrush" ShapeID="_x0000_i1026" DrawAspect="Content" ObjectID="_1595061198" r:id="rId14"/>
              </w:object>
            </w:r>
          </w:p>
        </w:tc>
        <w:tc>
          <w:tcPr>
            <w:tcW w:w="1571" w:type="pct"/>
            <w:shd w:val="clear" w:color="auto" w:fill="auto"/>
          </w:tcPr>
          <w:p w:rsidR="009912AC" w:rsidRDefault="002942BF" w:rsidP="00554F1A">
            <w:pPr>
              <w:spacing w:after="0" w:line="240" w:lineRule="auto"/>
              <w:jc w:val="center"/>
              <w:rPr>
                <w:rFonts w:cs="Arial"/>
                <w:sz w:val="24"/>
                <w:szCs w:val="24"/>
              </w:rPr>
            </w:pPr>
            <w:r>
              <w:rPr>
                <w:noProof/>
                <w:lang w:eastAsia="en-AU"/>
              </w:rPr>
              <w:drawing>
                <wp:inline distT="0" distB="0" distL="0" distR="0" wp14:anchorId="3F715BBF" wp14:editId="7AD98381">
                  <wp:extent cx="1095375" cy="6381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638175"/>
                          </a:xfrm>
                          <a:prstGeom prst="rect">
                            <a:avLst/>
                          </a:prstGeom>
                          <a:noFill/>
                          <a:ln>
                            <a:noFill/>
                          </a:ln>
                        </pic:spPr>
                      </pic:pic>
                    </a:graphicData>
                  </a:graphic>
                </wp:inline>
              </w:drawing>
            </w:r>
          </w:p>
        </w:tc>
        <w:tc>
          <w:tcPr>
            <w:tcW w:w="1826" w:type="pct"/>
            <w:shd w:val="clear" w:color="auto" w:fill="auto"/>
          </w:tcPr>
          <w:p w:rsidR="009912AC" w:rsidRDefault="009912AC" w:rsidP="00554F1A">
            <w:pPr>
              <w:spacing w:after="0" w:line="240" w:lineRule="auto"/>
              <w:jc w:val="center"/>
              <w:rPr>
                <w:rFonts w:cs="Arial"/>
                <w:sz w:val="24"/>
                <w:szCs w:val="24"/>
              </w:rPr>
            </w:pPr>
          </w:p>
          <w:p w:rsidR="009912AC" w:rsidRDefault="009912AC" w:rsidP="00554F1A">
            <w:pPr>
              <w:spacing w:after="0" w:line="240" w:lineRule="auto"/>
              <w:jc w:val="center"/>
              <w:rPr>
                <w:rFonts w:cs="Arial"/>
                <w:sz w:val="24"/>
                <w:szCs w:val="24"/>
              </w:rPr>
            </w:pPr>
          </w:p>
          <w:p w:rsidR="009912AC" w:rsidRDefault="009912AC" w:rsidP="00554F1A">
            <w:pPr>
              <w:spacing w:after="0" w:line="240" w:lineRule="auto"/>
              <w:jc w:val="center"/>
              <w:rPr>
                <w:rFonts w:cs="Arial"/>
                <w:sz w:val="24"/>
                <w:szCs w:val="24"/>
              </w:rPr>
            </w:pPr>
          </w:p>
          <w:p w:rsidR="009912AC" w:rsidRDefault="009912AC" w:rsidP="00554F1A">
            <w:pPr>
              <w:spacing w:after="0" w:line="240" w:lineRule="auto"/>
              <w:jc w:val="center"/>
              <w:rPr>
                <w:rFonts w:cs="Arial"/>
                <w:sz w:val="24"/>
                <w:szCs w:val="24"/>
              </w:rPr>
            </w:pPr>
          </w:p>
        </w:tc>
      </w:tr>
      <w:tr w:rsidR="009912AC" w:rsidRPr="004B303B" w:rsidTr="00F467BE">
        <w:tc>
          <w:tcPr>
            <w:tcW w:w="1603" w:type="pct"/>
            <w:shd w:val="clear" w:color="auto" w:fill="auto"/>
          </w:tcPr>
          <w:p w:rsidR="009912AC" w:rsidRDefault="009912AC" w:rsidP="009912AC">
            <w:pPr>
              <w:spacing w:after="0" w:line="240" w:lineRule="auto"/>
              <w:jc w:val="center"/>
              <w:rPr>
                <w:rFonts w:cs="Arial"/>
                <w:sz w:val="24"/>
                <w:szCs w:val="24"/>
              </w:rPr>
            </w:pPr>
            <w:r w:rsidRPr="009912AC">
              <w:rPr>
                <w:rFonts w:cs="Arial"/>
                <w:sz w:val="24"/>
                <w:szCs w:val="24"/>
              </w:rPr>
              <w:t>Dino Pisaniello</w:t>
            </w:r>
          </w:p>
          <w:p w:rsidR="009912AC" w:rsidRPr="004B303B" w:rsidRDefault="009912AC" w:rsidP="009912AC">
            <w:pPr>
              <w:spacing w:after="0" w:line="240" w:lineRule="auto"/>
              <w:jc w:val="center"/>
              <w:rPr>
                <w:rFonts w:cs="Arial"/>
                <w:sz w:val="24"/>
                <w:szCs w:val="24"/>
              </w:rPr>
            </w:pPr>
            <w:r>
              <w:rPr>
                <w:rFonts w:cs="Arial"/>
                <w:sz w:val="24"/>
                <w:szCs w:val="24"/>
              </w:rPr>
              <w:t>Councillor</w:t>
            </w:r>
          </w:p>
        </w:tc>
        <w:tc>
          <w:tcPr>
            <w:tcW w:w="1571" w:type="pct"/>
            <w:shd w:val="clear" w:color="auto" w:fill="auto"/>
          </w:tcPr>
          <w:p w:rsidR="009912AC" w:rsidRDefault="009912AC" w:rsidP="009912AC">
            <w:pPr>
              <w:spacing w:after="0" w:line="240" w:lineRule="auto"/>
              <w:jc w:val="center"/>
              <w:rPr>
                <w:rFonts w:cs="Arial"/>
                <w:sz w:val="24"/>
                <w:szCs w:val="24"/>
              </w:rPr>
            </w:pPr>
            <w:r>
              <w:rPr>
                <w:rFonts w:cs="Arial"/>
                <w:sz w:val="24"/>
                <w:szCs w:val="24"/>
              </w:rPr>
              <w:t>John Waterston</w:t>
            </w:r>
          </w:p>
          <w:p w:rsidR="009912AC" w:rsidRPr="004B303B" w:rsidRDefault="009912AC" w:rsidP="009912AC">
            <w:pPr>
              <w:spacing w:after="0" w:line="240" w:lineRule="auto"/>
              <w:jc w:val="center"/>
              <w:rPr>
                <w:rFonts w:cs="Arial"/>
                <w:sz w:val="24"/>
                <w:szCs w:val="24"/>
              </w:rPr>
            </w:pPr>
            <w:r>
              <w:rPr>
                <w:rFonts w:cs="Arial"/>
                <w:sz w:val="24"/>
                <w:szCs w:val="24"/>
              </w:rPr>
              <w:t>Councillor</w:t>
            </w:r>
          </w:p>
        </w:tc>
        <w:tc>
          <w:tcPr>
            <w:tcW w:w="1826" w:type="pct"/>
            <w:shd w:val="clear" w:color="auto" w:fill="auto"/>
          </w:tcPr>
          <w:p w:rsidR="009912AC" w:rsidRDefault="009912AC" w:rsidP="009912AC">
            <w:pPr>
              <w:spacing w:after="0" w:line="240" w:lineRule="auto"/>
              <w:jc w:val="center"/>
              <w:rPr>
                <w:rFonts w:cs="Arial"/>
                <w:sz w:val="24"/>
                <w:szCs w:val="24"/>
              </w:rPr>
            </w:pPr>
          </w:p>
          <w:p w:rsidR="009912AC" w:rsidRDefault="009912AC" w:rsidP="009912AC">
            <w:pPr>
              <w:spacing w:after="0" w:line="240" w:lineRule="auto"/>
              <w:jc w:val="center"/>
              <w:rPr>
                <w:rFonts w:cs="Arial"/>
                <w:sz w:val="24"/>
                <w:szCs w:val="24"/>
              </w:rPr>
            </w:pPr>
          </w:p>
          <w:p w:rsidR="009912AC" w:rsidRDefault="009912AC" w:rsidP="009912AC">
            <w:pPr>
              <w:spacing w:after="0" w:line="240" w:lineRule="auto"/>
              <w:jc w:val="center"/>
              <w:rPr>
                <w:rFonts w:cs="Arial"/>
                <w:sz w:val="24"/>
                <w:szCs w:val="24"/>
              </w:rPr>
            </w:pPr>
          </w:p>
        </w:tc>
      </w:tr>
      <w:bookmarkEnd w:id="0"/>
    </w:tbl>
    <w:p w:rsidR="00FD33D1" w:rsidRPr="004B303B" w:rsidRDefault="00FD33D1" w:rsidP="00FD33D1">
      <w:pPr>
        <w:rPr>
          <w:sz w:val="24"/>
          <w:szCs w:val="24"/>
        </w:rPr>
      </w:pPr>
    </w:p>
    <w:tbl>
      <w:tblPr>
        <w:tblW w:w="0" w:type="auto"/>
        <w:tblLook w:val="04A0" w:firstRow="1" w:lastRow="0" w:firstColumn="1" w:lastColumn="0" w:noHBand="0" w:noVBand="1"/>
      </w:tblPr>
      <w:tblGrid>
        <w:gridCol w:w="4786"/>
        <w:gridCol w:w="687"/>
        <w:gridCol w:w="3547"/>
        <w:gridCol w:w="6"/>
      </w:tblGrid>
      <w:tr w:rsidR="000D6A8F" w:rsidRPr="004B303B" w:rsidTr="00D82A64">
        <w:trPr>
          <w:gridBefore w:val="1"/>
          <w:wBefore w:w="4786" w:type="dxa"/>
        </w:trPr>
        <w:tc>
          <w:tcPr>
            <w:tcW w:w="4240" w:type="dxa"/>
            <w:gridSpan w:val="3"/>
            <w:shd w:val="clear" w:color="auto" w:fill="auto"/>
          </w:tcPr>
          <w:p w:rsidR="000D6A8F" w:rsidRPr="004B303B" w:rsidRDefault="000D6A8F" w:rsidP="00D82A64">
            <w:pPr>
              <w:rPr>
                <w:rFonts w:cs="Arial"/>
                <w:sz w:val="24"/>
                <w:szCs w:val="24"/>
              </w:rPr>
            </w:pPr>
          </w:p>
        </w:tc>
      </w:tr>
      <w:tr w:rsidR="009912AC" w:rsidRPr="004B303B" w:rsidTr="00D82A64">
        <w:trPr>
          <w:gridBefore w:val="1"/>
          <w:wBefore w:w="4786" w:type="dxa"/>
        </w:trPr>
        <w:tc>
          <w:tcPr>
            <w:tcW w:w="4240" w:type="dxa"/>
            <w:gridSpan w:val="3"/>
            <w:shd w:val="clear" w:color="auto" w:fill="auto"/>
          </w:tcPr>
          <w:p w:rsidR="009912AC" w:rsidRPr="004B303B" w:rsidRDefault="009912AC" w:rsidP="009912AC">
            <w:pPr>
              <w:spacing w:line="240" w:lineRule="auto"/>
              <w:jc w:val="center"/>
              <w:rPr>
                <w:rFonts w:cs="Arial"/>
                <w:sz w:val="24"/>
                <w:szCs w:val="24"/>
              </w:rPr>
            </w:pPr>
          </w:p>
        </w:tc>
      </w:tr>
      <w:tr w:rsidR="00D82A64" w:rsidRPr="004B303B" w:rsidTr="00F467BE">
        <w:trPr>
          <w:gridAfter w:val="1"/>
          <w:wAfter w:w="6" w:type="dxa"/>
          <w:trHeight w:val="2684"/>
        </w:trPr>
        <w:tc>
          <w:tcPr>
            <w:tcW w:w="5473" w:type="dxa"/>
            <w:gridSpan w:val="2"/>
            <w:shd w:val="clear" w:color="auto" w:fill="auto"/>
          </w:tcPr>
          <w:tbl>
            <w:tblPr>
              <w:tblW w:w="3861" w:type="dxa"/>
              <w:tblInd w:w="108" w:type="dxa"/>
              <w:tblLook w:val="01E0" w:firstRow="1" w:lastRow="1" w:firstColumn="1" w:lastColumn="1" w:noHBand="0" w:noVBand="0"/>
            </w:tblPr>
            <w:tblGrid>
              <w:gridCol w:w="3595"/>
              <w:gridCol w:w="266"/>
            </w:tblGrid>
            <w:tr w:rsidR="00D82A64" w:rsidRPr="004B303B" w:rsidTr="006F3422">
              <w:tc>
                <w:tcPr>
                  <w:tcW w:w="4656" w:type="pct"/>
                  <w:shd w:val="clear" w:color="auto" w:fill="auto"/>
                </w:tcPr>
                <w:p w:rsidR="00D82A64" w:rsidRDefault="00D82A64" w:rsidP="006F3422">
                  <w:pPr>
                    <w:spacing w:after="0" w:line="240" w:lineRule="auto"/>
                    <w:rPr>
                      <w:rFonts w:cs="Arial"/>
                      <w:sz w:val="24"/>
                      <w:szCs w:val="24"/>
                    </w:rPr>
                  </w:pPr>
                  <w:r w:rsidRPr="004B303B">
                    <w:rPr>
                      <w:rFonts w:cs="Arial"/>
                      <w:sz w:val="24"/>
                      <w:szCs w:val="24"/>
                    </w:rPr>
                    <w:t>The Common Seal of the</w:t>
                  </w:r>
                  <w:r w:rsidRPr="004B303B">
                    <w:rPr>
                      <w:rFonts w:cs="Arial"/>
                      <w:sz w:val="24"/>
                      <w:szCs w:val="24"/>
                    </w:rPr>
                    <w:tab/>
                    <w:t>)</w:t>
                  </w:r>
                  <w:r w:rsidRPr="004B303B">
                    <w:rPr>
                      <w:rFonts w:cs="Arial"/>
                      <w:sz w:val="24"/>
                      <w:szCs w:val="24"/>
                    </w:rPr>
                    <w:br/>
                    <w:t>Specialist Medical Re</w:t>
                  </w:r>
                  <w:r>
                    <w:rPr>
                      <w:rFonts w:cs="Arial"/>
                      <w:sz w:val="24"/>
                      <w:szCs w:val="24"/>
                    </w:rPr>
                    <w:t>view</w:t>
                  </w:r>
                  <w:r>
                    <w:rPr>
                      <w:rFonts w:cs="Arial"/>
                      <w:sz w:val="24"/>
                      <w:szCs w:val="24"/>
                    </w:rPr>
                    <w:tab/>
                    <w:t>) Council was affixed by             )</w:t>
                  </w:r>
                </w:p>
                <w:p w:rsidR="00D82A64" w:rsidRPr="004B303B" w:rsidRDefault="00D82A64" w:rsidP="006F3422">
                  <w:pPr>
                    <w:spacing w:after="0" w:line="240" w:lineRule="auto"/>
                    <w:rPr>
                      <w:rFonts w:cs="Arial"/>
                      <w:sz w:val="24"/>
                      <w:szCs w:val="24"/>
                    </w:rPr>
                  </w:pPr>
                  <w:r w:rsidRPr="004B303B">
                    <w:rPr>
                      <w:rFonts w:cs="Arial"/>
                      <w:sz w:val="24"/>
                      <w:szCs w:val="24"/>
                    </w:rPr>
                    <w:t>authority of the Council in</w:t>
                  </w:r>
                  <w:r w:rsidRPr="004B303B">
                    <w:rPr>
                      <w:rFonts w:cs="Arial"/>
                      <w:sz w:val="24"/>
                      <w:szCs w:val="24"/>
                    </w:rPr>
                    <w:tab/>
                    <w:t>)</w:t>
                  </w:r>
                </w:p>
                <w:p w:rsidR="00D82A64" w:rsidRPr="004B303B" w:rsidRDefault="00D82A64" w:rsidP="006F3422">
                  <w:pPr>
                    <w:spacing w:after="0" w:line="240" w:lineRule="auto"/>
                    <w:rPr>
                      <w:rFonts w:cs="Arial"/>
                      <w:sz w:val="24"/>
                      <w:szCs w:val="24"/>
                    </w:rPr>
                  </w:pPr>
                  <w:r w:rsidRPr="004B303B">
                    <w:rPr>
                      <w:rFonts w:cs="Arial"/>
                      <w:sz w:val="24"/>
                      <w:szCs w:val="24"/>
                    </w:rPr>
                    <w:t>the presence of:</w:t>
                  </w:r>
                  <w:r w:rsidRPr="004B303B">
                    <w:rPr>
                      <w:rFonts w:cs="Arial"/>
                      <w:sz w:val="24"/>
                      <w:szCs w:val="24"/>
                    </w:rPr>
                    <w:tab/>
                  </w:r>
                  <w:r w:rsidRPr="004B303B">
                    <w:rPr>
                      <w:rFonts w:cs="Arial"/>
                      <w:sz w:val="24"/>
                      <w:szCs w:val="24"/>
                    </w:rPr>
                    <w:tab/>
                    <w:t>)</w:t>
                  </w:r>
                </w:p>
                <w:p w:rsidR="00D82A64" w:rsidRPr="004B303B" w:rsidRDefault="00D82A64" w:rsidP="006F3422">
                  <w:pPr>
                    <w:spacing w:line="240" w:lineRule="auto"/>
                    <w:rPr>
                      <w:rFonts w:cs="Arial"/>
                      <w:sz w:val="24"/>
                      <w:szCs w:val="24"/>
                    </w:rPr>
                  </w:pPr>
                </w:p>
              </w:tc>
              <w:tc>
                <w:tcPr>
                  <w:tcW w:w="344" w:type="pct"/>
                  <w:shd w:val="clear" w:color="auto" w:fill="auto"/>
                </w:tcPr>
                <w:p w:rsidR="00D82A64" w:rsidRPr="004B303B" w:rsidRDefault="00D82A64" w:rsidP="006F3422">
                  <w:pPr>
                    <w:rPr>
                      <w:rFonts w:cs="Arial"/>
                      <w:sz w:val="24"/>
                      <w:szCs w:val="24"/>
                    </w:rPr>
                  </w:pPr>
                </w:p>
                <w:p w:rsidR="00D82A64" w:rsidRPr="004B303B" w:rsidRDefault="00D82A64" w:rsidP="006F3422">
                  <w:pPr>
                    <w:rPr>
                      <w:rFonts w:cs="Arial"/>
                      <w:sz w:val="24"/>
                      <w:szCs w:val="24"/>
                    </w:rPr>
                  </w:pPr>
                </w:p>
              </w:tc>
            </w:tr>
          </w:tbl>
          <w:p w:rsidR="00D82A64" w:rsidRPr="004B303B" w:rsidRDefault="00D82A64" w:rsidP="006F3422">
            <w:pPr>
              <w:rPr>
                <w:sz w:val="24"/>
                <w:szCs w:val="24"/>
              </w:rPr>
            </w:pPr>
          </w:p>
        </w:tc>
        <w:tc>
          <w:tcPr>
            <w:tcW w:w="3547" w:type="dxa"/>
            <w:shd w:val="clear" w:color="auto" w:fill="auto"/>
          </w:tcPr>
          <w:p w:rsidR="00D82A64" w:rsidRPr="004B303B" w:rsidRDefault="00D82A64" w:rsidP="006F3422">
            <w:pPr>
              <w:rPr>
                <w:sz w:val="24"/>
                <w:szCs w:val="24"/>
              </w:rPr>
            </w:pPr>
            <w:r w:rsidRPr="003400B4">
              <w:rPr>
                <w:noProof/>
                <w:sz w:val="24"/>
                <w:szCs w:val="24"/>
                <w:lang w:eastAsia="en-AU"/>
              </w:rPr>
              <w:drawing>
                <wp:inline distT="0" distB="0" distL="0" distR="0" wp14:anchorId="11705EA4" wp14:editId="1EEB7260">
                  <wp:extent cx="2114550" cy="1724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1724025"/>
                          </a:xfrm>
                          <a:prstGeom prst="rect">
                            <a:avLst/>
                          </a:prstGeom>
                          <a:noFill/>
                          <a:ln>
                            <a:noFill/>
                          </a:ln>
                        </pic:spPr>
                      </pic:pic>
                    </a:graphicData>
                  </a:graphic>
                </wp:inline>
              </w:drawing>
            </w:r>
          </w:p>
        </w:tc>
      </w:tr>
    </w:tbl>
    <w:p w:rsidR="00D82A64" w:rsidRPr="004B303B" w:rsidRDefault="00D82A64" w:rsidP="00D82A64">
      <w:pPr>
        <w:rPr>
          <w:rFonts w:ascii="Arial" w:hAnsi="Arial" w:cs="Arial"/>
          <w:sz w:val="24"/>
          <w:szCs w:val="24"/>
        </w:rPr>
      </w:pPr>
      <w:bookmarkStart w:id="1" w:name="_GoBack"/>
      <w:bookmarkEnd w:id="1"/>
    </w:p>
    <w:tbl>
      <w:tblPr>
        <w:tblW w:w="0" w:type="auto"/>
        <w:tblInd w:w="4786" w:type="dxa"/>
        <w:tblLook w:val="04A0" w:firstRow="1" w:lastRow="0" w:firstColumn="1" w:lastColumn="0" w:noHBand="0" w:noVBand="1"/>
      </w:tblPr>
      <w:tblGrid>
        <w:gridCol w:w="4240"/>
      </w:tblGrid>
      <w:tr w:rsidR="00D82A64" w:rsidRPr="004B303B" w:rsidTr="00F467BE">
        <w:tc>
          <w:tcPr>
            <w:tcW w:w="5404" w:type="dxa"/>
            <w:shd w:val="clear" w:color="auto" w:fill="auto"/>
          </w:tcPr>
          <w:p w:rsidR="00D82A64" w:rsidRPr="004B303B" w:rsidRDefault="00D82A64" w:rsidP="006F3422">
            <w:pPr>
              <w:spacing w:after="0"/>
              <w:rPr>
                <w:rFonts w:ascii="Arial" w:hAnsi="Arial" w:cs="Arial"/>
                <w:sz w:val="24"/>
                <w:szCs w:val="24"/>
              </w:rPr>
            </w:pPr>
          </w:p>
        </w:tc>
      </w:tr>
      <w:tr w:rsidR="00D82A64" w:rsidRPr="004B303B" w:rsidTr="00F467BE">
        <w:tc>
          <w:tcPr>
            <w:tcW w:w="5404" w:type="dxa"/>
            <w:shd w:val="clear" w:color="auto" w:fill="auto"/>
          </w:tcPr>
          <w:p w:rsidR="00D82A64" w:rsidRPr="004B303B" w:rsidRDefault="00D82A64" w:rsidP="006F3422">
            <w:pPr>
              <w:spacing w:after="0" w:line="240" w:lineRule="auto"/>
              <w:rPr>
                <w:rFonts w:cs="Arial"/>
                <w:sz w:val="24"/>
                <w:szCs w:val="24"/>
              </w:rPr>
            </w:pPr>
            <w:r w:rsidRPr="003400B4">
              <w:rPr>
                <w:rFonts w:cs="Arial"/>
                <w:noProof/>
                <w:sz w:val="24"/>
                <w:szCs w:val="24"/>
                <w:lang w:eastAsia="en-AU"/>
              </w:rPr>
              <w:drawing>
                <wp:inline distT="0" distB="0" distL="0" distR="0" wp14:anchorId="498F9A93" wp14:editId="2529E11B">
                  <wp:extent cx="1552575" cy="714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2575" cy="714375"/>
                          </a:xfrm>
                          <a:prstGeom prst="rect">
                            <a:avLst/>
                          </a:prstGeom>
                          <a:noFill/>
                          <a:ln>
                            <a:noFill/>
                          </a:ln>
                        </pic:spPr>
                      </pic:pic>
                    </a:graphicData>
                  </a:graphic>
                </wp:inline>
              </w:drawing>
            </w:r>
          </w:p>
        </w:tc>
      </w:tr>
      <w:tr w:rsidR="00D82A64" w:rsidRPr="004B303B" w:rsidTr="00F467BE">
        <w:tc>
          <w:tcPr>
            <w:tcW w:w="5404" w:type="dxa"/>
            <w:shd w:val="clear" w:color="auto" w:fill="auto"/>
          </w:tcPr>
          <w:p w:rsidR="00D82A64" w:rsidRDefault="00D82A64" w:rsidP="006F3422">
            <w:pPr>
              <w:spacing w:after="0" w:line="240" w:lineRule="auto"/>
              <w:rPr>
                <w:rFonts w:cs="Arial"/>
                <w:sz w:val="24"/>
                <w:szCs w:val="24"/>
              </w:rPr>
            </w:pPr>
            <w:r w:rsidRPr="004B303B">
              <w:rPr>
                <w:rFonts w:cs="Arial"/>
                <w:sz w:val="24"/>
                <w:szCs w:val="24"/>
              </w:rPr>
              <w:t>Jan Bowman</w:t>
            </w:r>
          </w:p>
          <w:p w:rsidR="00D82A64" w:rsidRDefault="00D82A64" w:rsidP="006F3422">
            <w:pPr>
              <w:spacing w:after="0" w:line="240" w:lineRule="auto"/>
              <w:rPr>
                <w:rFonts w:cs="Arial"/>
                <w:sz w:val="24"/>
                <w:szCs w:val="24"/>
              </w:rPr>
            </w:pPr>
            <w:r w:rsidRPr="004B303B">
              <w:rPr>
                <w:rFonts w:cs="Arial"/>
                <w:sz w:val="24"/>
                <w:szCs w:val="24"/>
              </w:rPr>
              <w:t>Registrar, SMRC</w:t>
            </w:r>
          </w:p>
          <w:p w:rsidR="00D82A64" w:rsidRDefault="00D82A64" w:rsidP="006F3422">
            <w:pPr>
              <w:spacing w:after="0" w:line="240" w:lineRule="auto"/>
              <w:rPr>
                <w:rFonts w:cs="Arial"/>
                <w:sz w:val="24"/>
                <w:szCs w:val="24"/>
              </w:rPr>
            </w:pPr>
          </w:p>
          <w:p w:rsidR="00D82A64" w:rsidRPr="004B303B" w:rsidRDefault="00D82A64" w:rsidP="006F3422">
            <w:pPr>
              <w:spacing w:after="0" w:line="240" w:lineRule="auto"/>
              <w:rPr>
                <w:rFonts w:cs="Arial"/>
                <w:sz w:val="24"/>
                <w:szCs w:val="24"/>
              </w:rPr>
            </w:pPr>
            <w:r w:rsidRPr="004B303B">
              <w:rPr>
                <w:rFonts w:cs="Arial"/>
                <w:sz w:val="24"/>
                <w:szCs w:val="24"/>
              </w:rPr>
              <w:t xml:space="preserve">Dated this </w:t>
            </w:r>
            <w:r w:rsidR="00F467BE">
              <w:rPr>
                <w:rFonts w:cs="Arial"/>
                <w:b/>
                <w:i/>
                <w:sz w:val="24"/>
                <w:szCs w:val="24"/>
              </w:rPr>
              <w:t>sixth</w:t>
            </w:r>
            <w:r w:rsidRPr="004B303B">
              <w:rPr>
                <w:rFonts w:cs="Arial"/>
                <w:b/>
                <w:i/>
                <w:sz w:val="24"/>
                <w:szCs w:val="24"/>
              </w:rPr>
              <w:t xml:space="preserve"> </w:t>
            </w:r>
            <w:r w:rsidRPr="004B303B">
              <w:rPr>
                <w:rFonts w:cs="Arial"/>
                <w:sz w:val="24"/>
                <w:szCs w:val="24"/>
              </w:rPr>
              <w:t xml:space="preserve">day of </w:t>
            </w:r>
            <w:r>
              <w:rPr>
                <w:rFonts w:cs="Arial"/>
                <w:b/>
                <w:i/>
                <w:sz w:val="24"/>
                <w:szCs w:val="24"/>
              </w:rPr>
              <w:t>August  2018</w:t>
            </w:r>
          </w:p>
        </w:tc>
      </w:tr>
    </w:tbl>
    <w:p w:rsidR="004B2753" w:rsidRPr="004B303B" w:rsidRDefault="004B2753" w:rsidP="00424B97">
      <w:pPr>
        <w:rPr>
          <w:sz w:val="24"/>
          <w:szCs w:val="24"/>
        </w:rPr>
      </w:pPr>
    </w:p>
    <w:sectPr w:rsidR="004B2753" w:rsidRPr="004B303B" w:rsidSect="009912AC">
      <w:footerReference w:type="default" r:id="rId18"/>
      <w:headerReference w:type="first" r:id="rId19"/>
      <w:type w:val="continuous"/>
      <w:pgSz w:w="11906" w:h="16838" w:code="9"/>
      <w:pgMar w:top="1440" w:right="1440" w:bottom="1440" w:left="1440"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tima">
    <w:panose1 w:val="00000000000000000000"/>
    <w:charset w:val="00"/>
    <w:family w:val="swiss"/>
    <w:notTrueType/>
    <w:pitch w:val="variable"/>
    <w:sig w:usb0="00000003" w:usb1="00000000" w:usb2="00000000" w:usb3="00000000" w:csb0="00000001" w:csb1="00000000"/>
  </w:font>
  <w:font w:name="Frit-Qat">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E22" w:rsidRPr="00F36730" w:rsidRDefault="00191E22" w:rsidP="00191E22">
    <w:pPr>
      <w:pStyle w:val="Footer"/>
      <w:jc w:val="both"/>
      <w:rPr>
        <w:rFonts w:ascii="Arial" w:hAnsi="Arial" w:cs="Arial"/>
        <w:sz w:val="16"/>
        <w:szCs w:val="16"/>
      </w:rPr>
    </w:pPr>
    <w:r w:rsidRPr="00F36730">
      <w:rPr>
        <w:rFonts w:ascii="Arial" w:hAnsi="Arial" w:cs="Arial"/>
        <w:sz w:val="16"/>
        <w:szCs w:val="16"/>
      </w:rPr>
      <w:t>The Council’s Reasons for Decision in relation to this Declaration can be obtained from its website at www.smrc.gov.au, or on request by writing to the Specialist Medical Review Council Secretariat, PO Box 965, Brisbane, QLD, 4001</w:t>
    </w:r>
    <w:r w:rsidR="00D82A64">
      <w:rPr>
        <w:rFonts w:ascii="Arial" w:hAnsi="Arial" w:cs="Arial"/>
        <w:sz w:val="16"/>
        <w:szCs w:val="16"/>
      </w:rPr>
      <w:t xml:space="preserve"> or by telephoning  (07) 3223 842</w:t>
    </w:r>
    <w:r w:rsidRPr="00F36730">
      <w:rPr>
        <w:rFonts w:ascii="Arial" w:hAnsi="Arial" w:cs="Arial"/>
        <w:sz w:val="16"/>
        <w:szCs w:val="16"/>
      </w:rPr>
      <w:t>0.</w:t>
    </w:r>
  </w:p>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80358"/>
    <w:multiLevelType w:val="hybridMultilevel"/>
    <w:tmpl w:val="D1509D6A"/>
    <w:lvl w:ilvl="0" w:tplc="F4A4EE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B83CDE"/>
    <w:multiLevelType w:val="hybridMultilevel"/>
    <w:tmpl w:val="B328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FB3395"/>
    <w:multiLevelType w:val="multilevel"/>
    <w:tmpl w:val="7FF43AA0"/>
    <w:lvl w:ilvl="0">
      <w:start w:val="1"/>
      <w:numFmt w:val="decimal"/>
      <w:pStyle w:val="NumberLevel1"/>
      <w:lvlText w:val="%1."/>
      <w:lvlJc w:val="left"/>
      <w:pPr>
        <w:tabs>
          <w:tab w:val="num" w:pos="0"/>
        </w:tabs>
        <w:ind w:left="0" w:hanging="850"/>
      </w:pPr>
      <w:rPr>
        <w:rFonts w:ascii="Arial" w:hAnsi="Arial" w:cs="Arial"/>
        <w:b w:val="0"/>
      </w:rPr>
    </w:lvl>
    <w:lvl w:ilvl="1">
      <w:start w:val="1"/>
      <w:numFmt w:val="decimal"/>
      <w:pStyle w:val="NumberLevel2"/>
      <w:lvlText w:val="%1.%2."/>
      <w:lvlJc w:val="left"/>
      <w:pPr>
        <w:tabs>
          <w:tab w:val="num" w:pos="0"/>
        </w:tabs>
        <w:ind w:left="0" w:hanging="850"/>
      </w:pPr>
      <w:rPr>
        <w:rFonts w:ascii="Arial" w:hAnsi="Arial" w:cs="Arial"/>
        <w:b w:val="0"/>
      </w:rPr>
    </w:lvl>
    <w:lvl w:ilvl="2">
      <w:start w:val="1"/>
      <w:numFmt w:val="decimal"/>
      <w:pStyle w:val="NumberLevel3"/>
      <w:lvlText w:val="%1.%2.%3."/>
      <w:lvlJc w:val="left"/>
      <w:pPr>
        <w:tabs>
          <w:tab w:val="num" w:pos="0"/>
        </w:tabs>
        <w:ind w:left="0" w:hanging="850"/>
      </w:pPr>
      <w:rPr>
        <w:rFonts w:ascii="Arial" w:hAnsi="Arial" w:cs="Arial"/>
        <w:b w:val="0"/>
      </w:rPr>
    </w:lvl>
    <w:lvl w:ilvl="3">
      <w:start w:val="1"/>
      <w:numFmt w:val="lowerLetter"/>
      <w:pStyle w:val="NumberLevel4"/>
      <w:lvlText w:val="%4."/>
      <w:lvlJc w:val="left"/>
      <w:pPr>
        <w:tabs>
          <w:tab w:val="num" w:pos="425"/>
        </w:tabs>
        <w:ind w:left="425" w:hanging="425"/>
      </w:pPr>
      <w:rPr>
        <w:rFonts w:ascii="Arial" w:hAnsi="Arial" w:cs="Arial"/>
        <w:b w:val="0"/>
      </w:rPr>
    </w:lvl>
    <w:lvl w:ilvl="4">
      <w:start w:val="1"/>
      <w:numFmt w:val="bullet"/>
      <w:lvlRestart w:val="0"/>
      <w:pStyle w:val="NumberLevel5"/>
      <w:lvlText w:val="–"/>
      <w:lvlJc w:val="left"/>
      <w:pPr>
        <w:tabs>
          <w:tab w:val="num" w:pos="850"/>
        </w:tabs>
        <w:ind w:left="850" w:hanging="425"/>
      </w:pPr>
      <w:rPr>
        <w:rFonts w:ascii="Arial" w:hAnsi="Arial" w:cs="Arial"/>
        <w:b w:val="0"/>
      </w:rPr>
    </w:lvl>
    <w:lvl w:ilvl="5">
      <w:start w:val="1"/>
      <w:numFmt w:val="bullet"/>
      <w:lvlRestart w:val="0"/>
      <w:pStyle w:val="NumberLevel6"/>
      <w:lvlText w:val="–"/>
      <w:lvlJc w:val="left"/>
      <w:pPr>
        <w:tabs>
          <w:tab w:val="num" w:pos="1276"/>
        </w:tabs>
        <w:ind w:left="1276" w:hanging="426"/>
      </w:pPr>
      <w:rPr>
        <w:rFonts w:ascii="Arial" w:hAnsi="Arial" w:cs="Arial"/>
        <w:b w:val="0"/>
      </w:rPr>
    </w:lvl>
    <w:lvl w:ilvl="6">
      <w:start w:val="1"/>
      <w:numFmt w:val="bullet"/>
      <w:lvlRestart w:val="0"/>
      <w:pStyle w:val="NumberLevel7"/>
      <w:lvlText w:val="–"/>
      <w:lvlJc w:val="left"/>
      <w:pPr>
        <w:tabs>
          <w:tab w:val="num" w:pos="1701"/>
        </w:tabs>
        <w:ind w:left="1701" w:hanging="425"/>
      </w:pPr>
      <w:rPr>
        <w:rFonts w:ascii="Arial" w:hAnsi="Arial" w:cs="Arial"/>
        <w:b w:val="0"/>
      </w:rPr>
    </w:lvl>
    <w:lvl w:ilvl="7">
      <w:start w:val="1"/>
      <w:numFmt w:val="bullet"/>
      <w:lvlRestart w:val="0"/>
      <w:pStyle w:val="NumberLevel8"/>
      <w:lvlText w:val="–"/>
      <w:lvlJc w:val="left"/>
      <w:pPr>
        <w:tabs>
          <w:tab w:val="num" w:pos="2126"/>
        </w:tabs>
        <w:ind w:left="2126" w:hanging="425"/>
      </w:pPr>
      <w:rPr>
        <w:rFonts w:ascii="Arial" w:hAnsi="Arial" w:cs="Arial"/>
        <w:b w:val="0"/>
      </w:rPr>
    </w:lvl>
    <w:lvl w:ilvl="8">
      <w:start w:val="1"/>
      <w:numFmt w:val="bullet"/>
      <w:lvlRestart w:val="0"/>
      <w:pStyle w:val="NumberLevel9"/>
      <w:lvlText w:val="–"/>
      <w:lvlJc w:val="left"/>
      <w:pPr>
        <w:tabs>
          <w:tab w:val="num" w:pos="2551"/>
        </w:tabs>
        <w:ind w:left="2551" w:hanging="425"/>
      </w:pPr>
      <w:rPr>
        <w:rFonts w:ascii="Arial" w:hAnsi="Arial" w:cs="Arial"/>
        <w:b w:val="0"/>
      </w:rPr>
    </w:lvl>
  </w:abstractNum>
  <w:abstractNum w:abstractNumId="3" w15:restartNumberingAfterBreak="0">
    <w:nsid w:val="36190B71"/>
    <w:multiLevelType w:val="hybridMultilevel"/>
    <w:tmpl w:val="707A91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2135ADF"/>
    <w:multiLevelType w:val="hybridMultilevel"/>
    <w:tmpl w:val="350424DE"/>
    <w:lvl w:ilvl="0" w:tplc="F558B176">
      <w:start w:val="1"/>
      <w:numFmt w:val="decimal"/>
      <w:lvlText w:val="%1."/>
      <w:lvlJc w:val="left"/>
      <w:pPr>
        <w:tabs>
          <w:tab w:val="num" w:pos="720"/>
        </w:tabs>
        <w:ind w:left="720" w:hanging="720"/>
      </w:pPr>
      <w:rPr>
        <w:rFonts w:ascii="Arial" w:hAnsi="Arial" w:hint="default"/>
        <w:sz w:val="22"/>
        <w:szCs w:val="22"/>
      </w:rPr>
    </w:lvl>
    <w:lvl w:ilvl="1" w:tplc="F558B176">
      <w:start w:val="1"/>
      <w:numFmt w:val="decimal"/>
      <w:lvlText w:val="%2."/>
      <w:lvlJc w:val="left"/>
      <w:pPr>
        <w:tabs>
          <w:tab w:val="num" w:pos="360"/>
        </w:tabs>
        <w:ind w:left="360" w:hanging="360"/>
      </w:pPr>
      <w:rPr>
        <w:rFonts w:hint="default"/>
        <w:sz w:val="22"/>
        <w:szCs w:val="22"/>
      </w:rPr>
    </w:lvl>
    <w:lvl w:ilvl="2" w:tplc="0C09001B">
      <w:start w:val="1"/>
      <w:numFmt w:val="bullet"/>
      <w:lvlText w:val=""/>
      <w:lvlJc w:val="left"/>
      <w:pPr>
        <w:tabs>
          <w:tab w:val="num" w:pos="576"/>
        </w:tabs>
        <w:ind w:left="576" w:hanging="576"/>
      </w:pPr>
      <w:rPr>
        <w:rFonts w:ascii="Symbol" w:hAnsi="Symbol" w:hint="default"/>
        <w:color w:val="auto"/>
        <w:sz w:val="16"/>
        <w:szCs w:val="22"/>
      </w:rPr>
    </w:lvl>
    <w:lvl w:ilvl="3" w:tplc="0C09000F">
      <w:start w:val="1"/>
      <w:numFmt w:val="decimal"/>
      <w:lvlText w:val="(%4)"/>
      <w:lvlJc w:val="left"/>
      <w:pPr>
        <w:tabs>
          <w:tab w:val="num" w:pos="2520"/>
        </w:tabs>
        <w:ind w:left="2520" w:hanging="36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64F96D6B"/>
    <w:multiLevelType w:val="hybridMultilevel"/>
    <w:tmpl w:val="EE026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740E95"/>
    <w:multiLevelType w:val="multilevel"/>
    <w:tmpl w:val="0DE0C660"/>
    <w:lvl w:ilvl="0">
      <w:start w:val="1"/>
      <w:numFmt w:val="decimal"/>
      <w:pStyle w:val="Number1"/>
      <w:lvlText w:val="%1."/>
      <w:lvlJc w:val="left"/>
      <w:pPr>
        <w:tabs>
          <w:tab w:val="num" w:pos="567"/>
        </w:tabs>
        <w:ind w:left="0" w:firstLine="0"/>
      </w:pPr>
    </w:lvl>
    <w:lvl w:ilvl="1">
      <w:start w:val="1"/>
      <w:numFmt w:val="lowerRoman"/>
      <w:pStyle w:val="Numbera"/>
      <w:lvlText w:val="(%2)"/>
      <w:lvlJc w:val="left"/>
      <w:pPr>
        <w:tabs>
          <w:tab w:val="num" w:pos="1287"/>
        </w:tabs>
        <w:ind w:left="992" w:hanging="425"/>
      </w:pPr>
    </w:lvl>
    <w:lvl w:ilvl="2">
      <w:start w:val="1"/>
      <w:numFmt w:val="lowerRoman"/>
      <w:pStyle w:val="Numberi"/>
      <w:lvlText w:val="(%3)"/>
      <w:lvlJc w:val="left"/>
      <w:pPr>
        <w:tabs>
          <w:tab w:val="num" w:pos="1712"/>
        </w:tabs>
        <w:ind w:left="1417" w:hanging="425"/>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6"/>
  </w:num>
  <w:num w:numId="2">
    <w:abstractNumId w:val="2"/>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0"/>
  <w:defaultTabStop w:val="720"/>
  <w:characterSpacingControl w:val="doNotCompress"/>
  <w:hdrShapeDefaults>
    <o:shapedefaults v:ext="edit" spidmax="3277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D01F1"/>
    <w:rsid w:val="000D6A8F"/>
    <w:rsid w:val="000E1F2B"/>
    <w:rsid w:val="00122364"/>
    <w:rsid w:val="00132181"/>
    <w:rsid w:val="00191E22"/>
    <w:rsid w:val="001B5C2C"/>
    <w:rsid w:val="001C2AAD"/>
    <w:rsid w:val="001F6E54"/>
    <w:rsid w:val="00223803"/>
    <w:rsid w:val="00280BCD"/>
    <w:rsid w:val="00281AF5"/>
    <w:rsid w:val="002942BF"/>
    <w:rsid w:val="003537C3"/>
    <w:rsid w:val="00374792"/>
    <w:rsid w:val="00381FB6"/>
    <w:rsid w:val="00384A70"/>
    <w:rsid w:val="00386A47"/>
    <w:rsid w:val="003A707F"/>
    <w:rsid w:val="003B0EC1"/>
    <w:rsid w:val="003B573B"/>
    <w:rsid w:val="003D1541"/>
    <w:rsid w:val="003F2CBD"/>
    <w:rsid w:val="00424B97"/>
    <w:rsid w:val="0048770D"/>
    <w:rsid w:val="00491AF1"/>
    <w:rsid w:val="004B2753"/>
    <w:rsid w:val="004B303B"/>
    <w:rsid w:val="004B724B"/>
    <w:rsid w:val="00520873"/>
    <w:rsid w:val="00554F1A"/>
    <w:rsid w:val="00573BDA"/>
    <w:rsid w:val="00573D44"/>
    <w:rsid w:val="005D2A82"/>
    <w:rsid w:val="005F1335"/>
    <w:rsid w:val="0060313B"/>
    <w:rsid w:val="00722040"/>
    <w:rsid w:val="00840A06"/>
    <w:rsid w:val="008439B7"/>
    <w:rsid w:val="0087253F"/>
    <w:rsid w:val="008E4F6C"/>
    <w:rsid w:val="00940452"/>
    <w:rsid w:val="009539C7"/>
    <w:rsid w:val="009912AC"/>
    <w:rsid w:val="009D796A"/>
    <w:rsid w:val="00A00F21"/>
    <w:rsid w:val="00AE031F"/>
    <w:rsid w:val="00B84226"/>
    <w:rsid w:val="00C434CD"/>
    <w:rsid w:val="00C63C4E"/>
    <w:rsid w:val="00C72C30"/>
    <w:rsid w:val="00D16C50"/>
    <w:rsid w:val="00D229E5"/>
    <w:rsid w:val="00D77A88"/>
    <w:rsid w:val="00D82A64"/>
    <w:rsid w:val="00DA559F"/>
    <w:rsid w:val="00DC30D1"/>
    <w:rsid w:val="00E32EBF"/>
    <w:rsid w:val="00E80002"/>
    <w:rsid w:val="00EB253B"/>
    <w:rsid w:val="00F40885"/>
    <w:rsid w:val="00F467BE"/>
    <w:rsid w:val="00FB39A9"/>
    <w:rsid w:val="00FD3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72"/>
    <o:shapelayout v:ext="edit">
      <o:idmap v:ext="edit" data="1"/>
    </o:shapelayout>
  </w:shapeDefaults>
  <w:decimalSymbol w:val="."/>
  <w:listSeparator w:val=","/>
  <w15:docId w15:val="{BB838229-BCD5-46AC-9D2A-D5D0783A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FD33D1"/>
    <w:pPr>
      <w:keepNext/>
      <w:keepLines/>
      <w:widowControl w:val="0"/>
      <w:numPr>
        <w:ilvl w:val="3"/>
        <w:numId w:val="1"/>
      </w:numPr>
      <w:spacing w:before="160" w:after="60" w:line="240" w:lineRule="atLeast"/>
      <w:outlineLvl w:val="3"/>
    </w:pPr>
    <w:rPr>
      <w:rFonts w:ascii="Optima" w:eastAsia="Times New Roman" w:hAnsi="Optima" w:cs="Times New Roman"/>
      <w:b/>
      <w:sz w:val="20"/>
      <w:szCs w:val="20"/>
    </w:rPr>
  </w:style>
  <w:style w:type="paragraph" w:styleId="Heading5">
    <w:name w:val="heading 5"/>
    <w:basedOn w:val="Normal"/>
    <w:next w:val="Normal"/>
    <w:link w:val="Heading5Char"/>
    <w:qFormat/>
    <w:rsid w:val="00FD33D1"/>
    <w:pPr>
      <w:keepNext/>
      <w:numPr>
        <w:ilvl w:val="4"/>
        <w:numId w:val="1"/>
      </w:numPr>
      <w:spacing w:after="0" w:line="240" w:lineRule="auto"/>
      <w:jc w:val="both"/>
      <w:outlineLvl w:val="4"/>
    </w:pPr>
    <w:rPr>
      <w:rFonts w:ascii="Times New Roman" w:eastAsia="Times New Roman" w:hAnsi="Times New Roman" w:cs="Times New Roman"/>
      <w:b/>
      <w:sz w:val="24"/>
      <w:szCs w:val="20"/>
      <w:lang w:val="en-US"/>
    </w:rPr>
  </w:style>
  <w:style w:type="paragraph" w:styleId="Heading6">
    <w:name w:val="heading 6"/>
    <w:basedOn w:val="Normal"/>
    <w:next w:val="Normal"/>
    <w:link w:val="Heading6Char"/>
    <w:qFormat/>
    <w:rsid w:val="00FD33D1"/>
    <w:pPr>
      <w:keepNext/>
      <w:widowControl w:val="0"/>
      <w:numPr>
        <w:ilvl w:val="5"/>
        <w:numId w:val="1"/>
      </w:numPr>
      <w:spacing w:after="0" w:line="240" w:lineRule="auto"/>
      <w:jc w:val="center"/>
      <w:outlineLvl w:val="5"/>
    </w:pPr>
    <w:rPr>
      <w:rFonts w:ascii="Times New Roman" w:eastAsia="Times New Roman" w:hAnsi="Times New Roman" w:cs="Times New Roman"/>
      <w:sz w:val="32"/>
      <w:szCs w:val="20"/>
    </w:rPr>
  </w:style>
  <w:style w:type="paragraph" w:styleId="Heading7">
    <w:name w:val="heading 7"/>
    <w:basedOn w:val="Normal"/>
    <w:next w:val="Normal"/>
    <w:link w:val="Heading7Char"/>
    <w:qFormat/>
    <w:rsid w:val="00FD33D1"/>
    <w:pPr>
      <w:keepNext/>
      <w:widowControl w:val="0"/>
      <w:numPr>
        <w:ilvl w:val="6"/>
        <w:numId w:val="1"/>
      </w:numPr>
      <w:spacing w:after="0" w:line="240" w:lineRule="auto"/>
      <w:jc w:val="center"/>
      <w:outlineLvl w:val="6"/>
    </w:pPr>
    <w:rPr>
      <w:rFonts w:ascii="Frit-Qat" w:eastAsia="Times New Roman" w:hAnsi="Frit-Qat" w:cs="Times New Roman"/>
      <w:b/>
      <w:sz w:val="24"/>
      <w:szCs w:val="20"/>
    </w:rPr>
  </w:style>
  <w:style w:type="paragraph" w:styleId="Heading8">
    <w:name w:val="heading 8"/>
    <w:basedOn w:val="Normal"/>
    <w:next w:val="Normal"/>
    <w:link w:val="Heading8Char"/>
    <w:qFormat/>
    <w:rsid w:val="00FD33D1"/>
    <w:pPr>
      <w:keepNext/>
      <w:numPr>
        <w:ilvl w:val="7"/>
        <w:numId w:val="1"/>
      </w:numPr>
      <w:spacing w:after="0" w:line="240" w:lineRule="auto"/>
      <w:outlineLvl w:val="7"/>
    </w:pPr>
    <w:rPr>
      <w:rFonts w:ascii="Times New Roman" w:eastAsia="Times New Roman" w:hAnsi="Times New Roman" w:cs="Times New Roman"/>
      <w:b/>
      <w:sz w:val="20"/>
      <w:szCs w:val="20"/>
      <w:lang w:val="en-US"/>
    </w:rPr>
  </w:style>
  <w:style w:type="paragraph" w:styleId="Heading9">
    <w:name w:val="heading 9"/>
    <w:basedOn w:val="Normal"/>
    <w:next w:val="Normal"/>
    <w:link w:val="Heading9Char"/>
    <w:qFormat/>
    <w:rsid w:val="00FD33D1"/>
    <w:pPr>
      <w:keepNext/>
      <w:numPr>
        <w:ilvl w:val="8"/>
        <w:numId w:val="1"/>
      </w:numPr>
      <w:spacing w:after="0" w:line="240" w:lineRule="auto"/>
      <w:outlineLvl w:val="8"/>
    </w:pPr>
    <w:rPr>
      <w:rFonts w:ascii="Times New Roman" w:eastAsia="Times New Roman" w:hAnsi="Times New Roman" w:cs="Times New Roman"/>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4Char">
    <w:name w:val="Heading 4 Char"/>
    <w:basedOn w:val="DefaultParagraphFont"/>
    <w:link w:val="Heading4"/>
    <w:rsid w:val="00FD33D1"/>
    <w:rPr>
      <w:rFonts w:ascii="Optima" w:eastAsia="Times New Roman" w:hAnsi="Optima" w:cs="Times New Roman"/>
      <w:b/>
      <w:sz w:val="20"/>
      <w:szCs w:val="20"/>
    </w:rPr>
  </w:style>
  <w:style w:type="character" w:customStyle="1" w:styleId="Heading5Char">
    <w:name w:val="Heading 5 Char"/>
    <w:basedOn w:val="DefaultParagraphFont"/>
    <w:link w:val="Heading5"/>
    <w:rsid w:val="00FD33D1"/>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rsid w:val="00FD33D1"/>
    <w:rPr>
      <w:rFonts w:ascii="Times New Roman" w:eastAsia="Times New Roman" w:hAnsi="Times New Roman" w:cs="Times New Roman"/>
      <w:sz w:val="32"/>
      <w:szCs w:val="20"/>
    </w:rPr>
  </w:style>
  <w:style w:type="character" w:customStyle="1" w:styleId="Heading7Char">
    <w:name w:val="Heading 7 Char"/>
    <w:basedOn w:val="DefaultParagraphFont"/>
    <w:link w:val="Heading7"/>
    <w:rsid w:val="00FD33D1"/>
    <w:rPr>
      <w:rFonts w:ascii="Frit-Qat" w:eastAsia="Times New Roman" w:hAnsi="Frit-Qat" w:cs="Times New Roman"/>
      <w:b/>
      <w:sz w:val="24"/>
      <w:szCs w:val="20"/>
    </w:rPr>
  </w:style>
  <w:style w:type="character" w:customStyle="1" w:styleId="Heading8Char">
    <w:name w:val="Heading 8 Char"/>
    <w:basedOn w:val="DefaultParagraphFont"/>
    <w:link w:val="Heading8"/>
    <w:rsid w:val="00FD33D1"/>
    <w:rPr>
      <w:rFonts w:ascii="Times New Roman" w:eastAsia="Times New Roman" w:hAnsi="Times New Roman" w:cs="Times New Roman"/>
      <w:b/>
      <w:sz w:val="20"/>
      <w:szCs w:val="20"/>
      <w:lang w:val="en-US"/>
    </w:rPr>
  </w:style>
  <w:style w:type="character" w:customStyle="1" w:styleId="Heading9Char">
    <w:name w:val="Heading 9 Char"/>
    <w:basedOn w:val="DefaultParagraphFont"/>
    <w:link w:val="Heading9"/>
    <w:rsid w:val="00FD33D1"/>
    <w:rPr>
      <w:rFonts w:ascii="Times New Roman" w:eastAsia="Times New Roman" w:hAnsi="Times New Roman" w:cs="Times New Roman"/>
      <w:i/>
      <w:sz w:val="20"/>
      <w:szCs w:val="20"/>
      <w:lang w:val="en-US"/>
    </w:rPr>
  </w:style>
  <w:style w:type="paragraph" w:customStyle="1" w:styleId="Number1">
    <w:name w:val="Number 1"/>
    <w:basedOn w:val="Normal"/>
    <w:rsid w:val="00FD33D1"/>
    <w:pPr>
      <w:numPr>
        <w:numId w:val="1"/>
      </w:numPr>
      <w:spacing w:before="120" w:after="120" w:line="300" w:lineRule="atLeast"/>
      <w:jc w:val="both"/>
    </w:pPr>
    <w:rPr>
      <w:rFonts w:ascii="Times" w:eastAsia="Times New Roman" w:hAnsi="Times" w:cs="Times New Roman"/>
      <w:color w:val="000000"/>
      <w:sz w:val="24"/>
      <w:szCs w:val="20"/>
    </w:rPr>
  </w:style>
  <w:style w:type="paragraph" w:customStyle="1" w:styleId="Numbera">
    <w:name w:val="Number(a)"/>
    <w:basedOn w:val="Normal"/>
    <w:rsid w:val="00FD33D1"/>
    <w:pPr>
      <w:numPr>
        <w:ilvl w:val="1"/>
        <w:numId w:val="1"/>
      </w:numPr>
      <w:spacing w:before="80" w:after="80" w:line="280" w:lineRule="atLeast"/>
      <w:jc w:val="both"/>
    </w:pPr>
    <w:rPr>
      <w:rFonts w:ascii="Times" w:eastAsia="Times New Roman" w:hAnsi="Times" w:cs="Times New Roman"/>
      <w:color w:val="000000"/>
      <w:sz w:val="24"/>
      <w:szCs w:val="20"/>
    </w:rPr>
  </w:style>
  <w:style w:type="paragraph" w:customStyle="1" w:styleId="Numberi">
    <w:name w:val="Number(i)"/>
    <w:basedOn w:val="Normal"/>
    <w:rsid w:val="00FD33D1"/>
    <w:pPr>
      <w:numPr>
        <w:ilvl w:val="2"/>
        <w:numId w:val="1"/>
      </w:numPr>
      <w:spacing w:before="80" w:after="80" w:line="280" w:lineRule="atLeast"/>
      <w:jc w:val="both"/>
    </w:pPr>
    <w:rPr>
      <w:rFonts w:ascii="Times" w:eastAsia="Times New Roman" w:hAnsi="Times" w:cs="Times New Roman"/>
      <w:color w:val="000000"/>
      <w:sz w:val="24"/>
      <w:szCs w:val="20"/>
    </w:rPr>
  </w:style>
  <w:style w:type="paragraph" w:styleId="BodyText">
    <w:name w:val="Body Text"/>
    <w:basedOn w:val="Normal"/>
    <w:link w:val="BodyTextChar"/>
    <w:rsid w:val="00FD33D1"/>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D33D1"/>
    <w:rPr>
      <w:rFonts w:ascii="Times New Roman" w:eastAsia="Times New Roman" w:hAnsi="Times New Roman" w:cs="Times New Roman"/>
      <w:sz w:val="20"/>
      <w:szCs w:val="20"/>
    </w:rPr>
  </w:style>
  <w:style w:type="paragraph" w:customStyle="1" w:styleId="NumberLevel1">
    <w:name w:val="Number Level 1"/>
    <w:basedOn w:val="Normal"/>
    <w:link w:val="NumberLevel1Char1"/>
    <w:rsid w:val="00FD33D1"/>
    <w:pPr>
      <w:numPr>
        <w:numId w:val="2"/>
      </w:numPr>
      <w:spacing w:before="140" w:after="140" w:line="280" w:lineRule="atLeast"/>
    </w:pPr>
    <w:rPr>
      <w:rFonts w:ascii="Arial" w:eastAsia="Times New Roman" w:hAnsi="Arial" w:cs="Times New Roman"/>
      <w:sz w:val="21"/>
      <w:szCs w:val="20"/>
    </w:rPr>
  </w:style>
  <w:style w:type="paragraph" w:customStyle="1" w:styleId="NumberLevel2">
    <w:name w:val="Number Level 2"/>
    <w:basedOn w:val="Normal"/>
    <w:rsid w:val="00FD33D1"/>
    <w:pPr>
      <w:numPr>
        <w:ilvl w:val="1"/>
        <w:numId w:val="2"/>
      </w:numPr>
      <w:spacing w:before="140" w:after="140" w:line="280" w:lineRule="atLeast"/>
    </w:pPr>
    <w:rPr>
      <w:rFonts w:ascii="Arial" w:eastAsia="Times New Roman" w:hAnsi="Arial" w:cs="Times New Roman"/>
      <w:sz w:val="21"/>
      <w:szCs w:val="20"/>
    </w:rPr>
  </w:style>
  <w:style w:type="paragraph" w:customStyle="1" w:styleId="NumberLevel3">
    <w:name w:val="Number Level 3"/>
    <w:basedOn w:val="Normal"/>
    <w:rsid w:val="00FD33D1"/>
    <w:pPr>
      <w:numPr>
        <w:ilvl w:val="2"/>
        <w:numId w:val="2"/>
      </w:numPr>
      <w:spacing w:before="140" w:after="140" w:line="280" w:lineRule="atLeast"/>
    </w:pPr>
    <w:rPr>
      <w:rFonts w:ascii="Arial" w:eastAsia="Times New Roman" w:hAnsi="Arial" w:cs="Times New Roman"/>
      <w:sz w:val="21"/>
      <w:szCs w:val="20"/>
    </w:rPr>
  </w:style>
  <w:style w:type="paragraph" w:customStyle="1" w:styleId="NumberLevel4">
    <w:name w:val="Number Level 4"/>
    <w:basedOn w:val="Normal"/>
    <w:rsid w:val="00FD33D1"/>
    <w:pPr>
      <w:numPr>
        <w:ilvl w:val="3"/>
        <w:numId w:val="2"/>
      </w:numPr>
      <w:spacing w:after="140" w:line="280" w:lineRule="atLeast"/>
    </w:pPr>
    <w:rPr>
      <w:rFonts w:ascii="Arial" w:eastAsia="Times New Roman" w:hAnsi="Arial" w:cs="Times New Roman"/>
      <w:sz w:val="21"/>
      <w:szCs w:val="20"/>
    </w:rPr>
  </w:style>
  <w:style w:type="paragraph" w:customStyle="1" w:styleId="NumberLevel5">
    <w:name w:val="Number Level 5"/>
    <w:basedOn w:val="Normal"/>
    <w:semiHidden/>
    <w:rsid w:val="00FD33D1"/>
    <w:pPr>
      <w:numPr>
        <w:ilvl w:val="4"/>
        <w:numId w:val="2"/>
      </w:numPr>
      <w:spacing w:after="140" w:line="280" w:lineRule="atLeast"/>
    </w:pPr>
    <w:rPr>
      <w:rFonts w:ascii="Arial" w:eastAsia="Times New Roman" w:hAnsi="Arial" w:cs="Times New Roman"/>
      <w:sz w:val="21"/>
      <w:szCs w:val="20"/>
    </w:rPr>
  </w:style>
  <w:style w:type="paragraph" w:customStyle="1" w:styleId="NumberLevel6">
    <w:name w:val="Number Level 6"/>
    <w:basedOn w:val="NumberLevel5"/>
    <w:semiHidden/>
    <w:rsid w:val="00FD33D1"/>
    <w:pPr>
      <w:numPr>
        <w:ilvl w:val="5"/>
      </w:numPr>
      <w:tabs>
        <w:tab w:val="clear" w:pos="1276"/>
        <w:tab w:val="num" w:pos="360"/>
        <w:tab w:val="num" w:pos="576"/>
        <w:tab w:val="num" w:pos="720"/>
      </w:tabs>
      <w:ind w:left="576" w:hanging="576"/>
    </w:pPr>
  </w:style>
  <w:style w:type="paragraph" w:customStyle="1" w:styleId="NumberLevel7">
    <w:name w:val="Number Level 7"/>
    <w:basedOn w:val="NumberLevel6"/>
    <w:semiHidden/>
    <w:rsid w:val="00FD33D1"/>
    <w:pPr>
      <w:numPr>
        <w:ilvl w:val="6"/>
      </w:numPr>
      <w:tabs>
        <w:tab w:val="clear" w:pos="1701"/>
        <w:tab w:val="num" w:pos="360"/>
        <w:tab w:val="num" w:pos="576"/>
      </w:tabs>
      <w:ind w:left="576" w:hanging="576"/>
    </w:pPr>
  </w:style>
  <w:style w:type="paragraph" w:customStyle="1" w:styleId="NumberLevel8">
    <w:name w:val="Number Level 8"/>
    <w:basedOn w:val="NumberLevel7"/>
    <w:semiHidden/>
    <w:rsid w:val="00FD33D1"/>
    <w:pPr>
      <w:numPr>
        <w:ilvl w:val="7"/>
      </w:numPr>
      <w:tabs>
        <w:tab w:val="clear" w:pos="2126"/>
        <w:tab w:val="num" w:pos="360"/>
        <w:tab w:val="num" w:pos="576"/>
      </w:tabs>
      <w:ind w:left="576" w:hanging="576"/>
    </w:pPr>
  </w:style>
  <w:style w:type="paragraph" w:customStyle="1" w:styleId="NumberLevel9">
    <w:name w:val="Number Level 9"/>
    <w:basedOn w:val="NumberLevel8"/>
    <w:semiHidden/>
    <w:rsid w:val="00FD33D1"/>
    <w:pPr>
      <w:numPr>
        <w:ilvl w:val="8"/>
      </w:numPr>
      <w:tabs>
        <w:tab w:val="clear" w:pos="2551"/>
        <w:tab w:val="num" w:pos="360"/>
        <w:tab w:val="num" w:pos="576"/>
      </w:tabs>
      <w:ind w:left="576" w:hanging="576"/>
    </w:pPr>
  </w:style>
  <w:style w:type="character" w:customStyle="1" w:styleId="NumberLevel1Char1">
    <w:name w:val="Number Level 1 Char1"/>
    <w:link w:val="NumberLevel1"/>
    <w:rsid w:val="00FD33D1"/>
    <w:rPr>
      <w:rFonts w:ascii="Arial" w:eastAsia="Times New Roman" w:hAnsi="Arial" w:cs="Times New Roman"/>
      <w:sz w:val="21"/>
      <w:szCs w:val="20"/>
    </w:rPr>
  </w:style>
  <w:style w:type="paragraph" w:styleId="ListParagraph">
    <w:name w:val="List Paragraph"/>
    <w:basedOn w:val="Normal"/>
    <w:uiPriority w:val="34"/>
    <w:qFormat/>
    <w:rsid w:val="000D0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4622A-49F2-4EF3-8D8A-EDACFA13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Bowman, Jan</cp:lastModifiedBy>
  <cp:revision>13</cp:revision>
  <cp:lastPrinted>2018-08-06T01:43:00Z</cp:lastPrinted>
  <dcterms:created xsi:type="dcterms:W3CDTF">2018-07-13T00:14:00Z</dcterms:created>
  <dcterms:modified xsi:type="dcterms:W3CDTF">2018-08-06T01:47:00Z</dcterms:modified>
</cp:coreProperties>
</file>