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5F" w:rsidRPr="0025655F" w:rsidRDefault="0025655F" w:rsidP="00B929EC">
      <w:pPr>
        <w:contextualSpacing/>
        <w:jc w:val="both"/>
        <w:rPr>
          <w:b/>
          <w:sz w:val="28"/>
          <w:szCs w:val="28"/>
        </w:rPr>
      </w:pPr>
      <w:r w:rsidRPr="0025655F">
        <w:rPr>
          <w:b/>
          <w:sz w:val="28"/>
          <w:szCs w:val="28"/>
        </w:rPr>
        <w:t>HEAVY VEHICLE NATIONAL LAW</w:t>
      </w:r>
    </w:p>
    <w:p w:rsidR="0025655F" w:rsidRPr="0025655F" w:rsidRDefault="00B929EC" w:rsidP="00B929EC">
      <w:pPr>
        <w:contextualSpacing/>
        <w:jc w:val="both"/>
        <w:rPr>
          <w:b/>
          <w:sz w:val="28"/>
          <w:szCs w:val="28"/>
        </w:rPr>
      </w:pPr>
      <w:r w:rsidRPr="0025655F">
        <w:rPr>
          <w:b/>
          <w:sz w:val="28"/>
          <w:szCs w:val="28"/>
        </w:rPr>
        <w:t>N</w:t>
      </w:r>
      <w:r>
        <w:rPr>
          <w:b/>
          <w:sz w:val="28"/>
          <w:szCs w:val="28"/>
        </w:rPr>
        <w:t>ational Heavy Vehicle Standards</w:t>
      </w:r>
      <w:r w:rsidRPr="0025655F">
        <w:rPr>
          <w:b/>
          <w:sz w:val="28"/>
          <w:szCs w:val="28"/>
        </w:rPr>
        <w:t xml:space="preserve"> (D</w:t>
      </w:r>
      <w:r>
        <w:rPr>
          <w:b/>
          <w:sz w:val="28"/>
          <w:szCs w:val="28"/>
        </w:rPr>
        <w:t>etainee Transport Vehicle</w:t>
      </w:r>
      <w:r w:rsidRPr="0025655F">
        <w:rPr>
          <w:b/>
          <w:sz w:val="28"/>
          <w:szCs w:val="28"/>
        </w:rPr>
        <w:t>) E</w:t>
      </w:r>
      <w:r>
        <w:rPr>
          <w:b/>
          <w:sz w:val="28"/>
          <w:szCs w:val="28"/>
        </w:rPr>
        <w:t xml:space="preserve">xemption Notice </w:t>
      </w:r>
      <w:r w:rsidRPr="0025655F">
        <w:rPr>
          <w:b/>
          <w:sz w:val="28"/>
          <w:szCs w:val="28"/>
        </w:rPr>
        <w:t>2018 (N</w:t>
      </w:r>
      <w:r>
        <w:rPr>
          <w:b/>
          <w:sz w:val="28"/>
          <w:szCs w:val="28"/>
        </w:rPr>
        <w:t>o</w:t>
      </w:r>
      <w:r w:rsidRPr="0025655F">
        <w:rPr>
          <w:b/>
          <w:sz w:val="28"/>
          <w:szCs w:val="28"/>
        </w:rPr>
        <w:t>.1)</w:t>
      </w:r>
    </w:p>
    <w:p w:rsidR="0025655F" w:rsidRPr="0025655F" w:rsidRDefault="0025655F" w:rsidP="00B929EC">
      <w:pPr>
        <w:pStyle w:val="ListParagraph"/>
        <w:numPr>
          <w:ilvl w:val="0"/>
          <w:numId w:val="1"/>
        </w:numPr>
        <w:jc w:val="both"/>
        <w:rPr>
          <w:b/>
        </w:rPr>
      </w:pPr>
      <w:r w:rsidRPr="0025655F">
        <w:rPr>
          <w:b/>
        </w:rPr>
        <w:t>Purpose</w:t>
      </w:r>
    </w:p>
    <w:p w:rsidR="0025655F" w:rsidRDefault="0025655F" w:rsidP="00B929EC">
      <w:pPr>
        <w:pStyle w:val="ListParagraph"/>
        <w:ind w:left="1080"/>
        <w:jc w:val="both"/>
      </w:pPr>
      <w:r>
        <w:t>The purpose of this notice is to exempt heavy vehicles built or modified for transporting detainees from certain prescribed heavy vehicle standards.</w:t>
      </w:r>
    </w:p>
    <w:p w:rsidR="00486585" w:rsidRDefault="00486585" w:rsidP="00B929EC">
      <w:pPr>
        <w:pStyle w:val="ListParagraph"/>
        <w:ind w:left="1080"/>
        <w:jc w:val="both"/>
      </w:pPr>
    </w:p>
    <w:p w:rsidR="0025655F" w:rsidRPr="0025655F" w:rsidRDefault="0025655F" w:rsidP="00B929EC">
      <w:pPr>
        <w:pStyle w:val="ListParagraph"/>
        <w:numPr>
          <w:ilvl w:val="0"/>
          <w:numId w:val="1"/>
        </w:numPr>
        <w:jc w:val="both"/>
        <w:rPr>
          <w:b/>
        </w:rPr>
      </w:pPr>
      <w:r w:rsidRPr="0025655F">
        <w:rPr>
          <w:b/>
        </w:rPr>
        <w:t>Authorising Provision</w:t>
      </w:r>
    </w:p>
    <w:p w:rsidR="0025655F" w:rsidRDefault="0025655F" w:rsidP="00B929EC">
      <w:pPr>
        <w:pStyle w:val="ListParagraph"/>
        <w:ind w:left="1080"/>
        <w:jc w:val="both"/>
      </w:pPr>
      <w:r>
        <w:t>This notice is made under section</w:t>
      </w:r>
      <w:r w:rsidRPr="00486585">
        <w:t xml:space="preserve"> 61 of the Heavy Vehicle National Law (HVNL) </w:t>
      </w:r>
      <w:r>
        <w:t>as in force in each participating jurisdiction.</w:t>
      </w:r>
    </w:p>
    <w:p w:rsidR="00486585" w:rsidRDefault="00486585" w:rsidP="00B929EC">
      <w:pPr>
        <w:pStyle w:val="ListParagraph"/>
        <w:ind w:left="1080"/>
        <w:jc w:val="both"/>
      </w:pPr>
    </w:p>
    <w:p w:rsidR="0025655F" w:rsidRPr="0025655F" w:rsidRDefault="0025655F" w:rsidP="00B929EC">
      <w:pPr>
        <w:pStyle w:val="ListParagraph"/>
        <w:numPr>
          <w:ilvl w:val="0"/>
          <w:numId w:val="1"/>
        </w:numPr>
        <w:jc w:val="both"/>
        <w:rPr>
          <w:b/>
        </w:rPr>
      </w:pPr>
      <w:r w:rsidRPr="0025655F">
        <w:rPr>
          <w:b/>
        </w:rPr>
        <w:t>Commencement</w:t>
      </w:r>
    </w:p>
    <w:p w:rsidR="0025655F" w:rsidRDefault="005C3257" w:rsidP="00B929EC">
      <w:pPr>
        <w:pStyle w:val="ListParagraph"/>
        <w:ind w:left="1080"/>
        <w:jc w:val="both"/>
      </w:pPr>
      <w:r>
        <w:t>This notice commences on the date of its publication</w:t>
      </w:r>
      <w:r w:rsidR="0025655F">
        <w:t>.</w:t>
      </w:r>
    </w:p>
    <w:p w:rsidR="00486585" w:rsidRDefault="00486585" w:rsidP="00B929EC">
      <w:pPr>
        <w:pStyle w:val="ListParagraph"/>
        <w:ind w:left="1080"/>
        <w:jc w:val="both"/>
      </w:pPr>
    </w:p>
    <w:p w:rsidR="0025655F" w:rsidRPr="0025655F" w:rsidRDefault="0025655F" w:rsidP="00B929EC">
      <w:pPr>
        <w:pStyle w:val="ListParagraph"/>
        <w:numPr>
          <w:ilvl w:val="0"/>
          <w:numId w:val="1"/>
        </w:numPr>
        <w:jc w:val="both"/>
        <w:rPr>
          <w:b/>
        </w:rPr>
      </w:pPr>
      <w:r w:rsidRPr="0025655F">
        <w:rPr>
          <w:b/>
        </w:rPr>
        <w:t>Expiry</w:t>
      </w:r>
    </w:p>
    <w:p w:rsidR="0025655F" w:rsidRDefault="0025655F" w:rsidP="00B929EC">
      <w:pPr>
        <w:pStyle w:val="ListParagraph"/>
        <w:ind w:left="1080"/>
        <w:jc w:val="both"/>
      </w:pPr>
      <w:r>
        <w:t>This notice expires</w:t>
      </w:r>
      <w:r w:rsidR="005C3257">
        <w:t xml:space="preserve"> five years after its publication</w:t>
      </w:r>
      <w:r>
        <w:t xml:space="preserve">. </w:t>
      </w:r>
    </w:p>
    <w:p w:rsidR="00486585" w:rsidRDefault="00486585" w:rsidP="00B929EC">
      <w:pPr>
        <w:pStyle w:val="ListParagraph"/>
        <w:ind w:left="1080"/>
        <w:jc w:val="both"/>
      </w:pPr>
    </w:p>
    <w:p w:rsidR="0025655F" w:rsidRPr="0025655F" w:rsidRDefault="0025655F" w:rsidP="00B929EC">
      <w:pPr>
        <w:pStyle w:val="ListParagraph"/>
        <w:numPr>
          <w:ilvl w:val="0"/>
          <w:numId w:val="1"/>
        </w:numPr>
        <w:jc w:val="both"/>
        <w:rPr>
          <w:b/>
        </w:rPr>
      </w:pPr>
      <w:r w:rsidRPr="0025655F">
        <w:rPr>
          <w:b/>
        </w:rPr>
        <w:t>Title</w:t>
      </w:r>
    </w:p>
    <w:p w:rsidR="0025655F" w:rsidRDefault="0025655F" w:rsidP="00B929EC">
      <w:pPr>
        <w:pStyle w:val="ListParagraph"/>
        <w:ind w:left="1080"/>
        <w:jc w:val="both"/>
      </w:pPr>
      <w:r>
        <w:t>This notice may be cited as the National Heavy Vehicle Standards (Detainee Transport Vehicl</w:t>
      </w:r>
      <w:r w:rsidR="00B929EC">
        <w:t>e) Exemption Notice 2018</w:t>
      </w:r>
      <w:r>
        <w:t>.</w:t>
      </w:r>
    </w:p>
    <w:p w:rsidR="00486585" w:rsidRDefault="00486585" w:rsidP="00B929EC">
      <w:pPr>
        <w:pStyle w:val="ListParagraph"/>
        <w:ind w:left="1080"/>
        <w:jc w:val="both"/>
      </w:pPr>
    </w:p>
    <w:p w:rsidR="0025655F" w:rsidRDefault="0025655F" w:rsidP="00B929EC">
      <w:pPr>
        <w:pStyle w:val="ListParagraph"/>
        <w:numPr>
          <w:ilvl w:val="0"/>
          <w:numId w:val="1"/>
        </w:numPr>
        <w:jc w:val="both"/>
        <w:rPr>
          <w:b/>
        </w:rPr>
      </w:pPr>
      <w:r w:rsidRPr="0025655F">
        <w:rPr>
          <w:b/>
        </w:rPr>
        <w:t>Definitions</w:t>
      </w:r>
    </w:p>
    <w:p w:rsidR="0025655F" w:rsidRPr="0025655F" w:rsidRDefault="0025655F" w:rsidP="00B929EC">
      <w:pPr>
        <w:pStyle w:val="ListParagraph"/>
        <w:jc w:val="both"/>
        <w:rPr>
          <w:b/>
        </w:rPr>
      </w:pPr>
    </w:p>
    <w:p w:rsidR="0025655F" w:rsidRDefault="0025655F" w:rsidP="00B929EC">
      <w:pPr>
        <w:pStyle w:val="ListParagraph"/>
        <w:numPr>
          <w:ilvl w:val="0"/>
          <w:numId w:val="2"/>
        </w:numPr>
        <w:jc w:val="both"/>
      </w:pPr>
      <w:r>
        <w:t>Unless otherwise stated, words and expressions used in this notice have the same meanings as those defined in the HVNL.</w:t>
      </w:r>
    </w:p>
    <w:p w:rsidR="00486585" w:rsidRDefault="00486585" w:rsidP="00B929EC">
      <w:pPr>
        <w:pStyle w:val="ListParagraph"/>
        <w:ind w:left="1080"/>
        <w:jc w:val="both"/>
      </w:pPr>
    </w:p>
    <w:p w:rsidR="0025655F" w:rsidRDefault="0025655F" w:rsidP="00B929EC">
      <w:pPr>
        <w:pStyle w:val="ListParagraph"/>
        <w:numPr>
          <w:ilvl w:val="0"/>
          <w:numId w:val="2"/>
        </w:numPr>
        <w:jc w:val="both"/>
      </w:pPr>
      <w:r>
        <w:t>In this notice—</w:t>
      </w:r>
    </w:p>
    <w:p w:rsidR="0025655F" w:rsidRDefault="0025655F" w:rsidP="00B929EC">
      <w:pPr>
        <w:ind w:left="1440"/>
        <w:contextualSpacing/>
        <w:jc w:val="both"/>
      </w:pPr>
      <w:r w:rsidRPr="0025655F">
        <w:rPr>
          <w:b/>
        </w:rPr>
        <w:t xml:space="preserve">Detainee </w:t>
      </w:r>
      <w:r>
        <w:t xml:space="preserve">means a person who is detained by, or is in the custody of, an agency or department of the Commonwealth Government, or an Australian State or Territory Government. This includes persons defined as detainees, prisoners and inmates under various Commonwealth, State and Territory laws.  </w:t>
      </w:r>
    </w:p>
    <w:p w:rsidR="00EC4133" w:rsidRPr="00EC4133" w:rsidRDefault="008343BF" w:rsidP="00B929EC">
      <w:pPr>
        <w:ind w:left="1440"/>
        <w:contextualSpacing/>
        <w:jc w:val="both"/>
      </w:pPr>
      <w:r>
        <w:rPr>
          <w:b/>
        </w:rPr>
        <w:t xml:space="preserve">Detainee </w:t>
      </w:r>
      <w:r w:rsidR="00F33430">
        <w:rPr>
          <w:b/>
        </w:rPr>
        <w:t xml:space="preserve">seating </w:t>
      </w:r>
      <w:r>
        <w:rPr>
          <w:b/>
        </w:rPr>
        <w:t>compartment</w:t>
      </w:r>
      <w:r w:rsidR="00B929EC">
        <w:t xml:space="preserve"> means a compartment of a</w:t>
      </w:r>
      <w:r>
        <w:t xml:space="preserve"> </w:t>
      </w:r>
      <w:r w:rsidR="00062179">
        <w:t xml:space="preserve">detainee </w:t>
      </w:r>
      <w:r w:rsidR="00EC4133">
        <w:t>transport vehicle</w:t>
      </w:r>
      <w:r>
        <w:t xml:space="preserve"> that contains a seating position </w:t>
      </w:r>
      <w:r w:rsidR="00621FCB">
        <w:t>designed for the transport of a detainee</w:t>
      </w:r>
      <w:r>
        <w:t>.</w:t>
      </w:r>
    </w:p>
    <w:p w:rsidR="0025655F" w:rsidRDefault="00EC4133" w:rsidP="00B929EC">
      <w:pPr>
        <w:ind w:left="720" w:firstLine="720"/>
        <w:contextualSpacing/>
        <w:jc w:val="both"/>
      </w:pPr>
      <w:r>
        <w:rPr>
          <w:b/>
        </w:rPr>
        <w:t xml:space="preserve">Detainee transport vehicle </w:t>
      </w:r>
      <w:r w:rsidR="0025655F">
        <w:t>means a heavy vehicle:</w:t>
      </w:r>
    </w:p>
    <w:p w:rsidR="0025655F" w:rsidRDefault="006944F8" w:rsidP="00B929EC">
      <w:pPr>
        <w:pStyle w:val="ListParagraph"/>
        <w:numPr>
          <w:ilvl w:val="0"/>
          <w:numId w:val="3"/>
        </w:numPr>
        <w:jc w:val="both"/>
      </w:pPr>
      <w:r>
        <w:t>Designed and constructed</w:t>
      </w:r>
      <w:r w:rsidR="0025655F">
        <w:t xml:space="preserve"> for the purpose of transport of detainees; and</w:t>
      </w:r>
    </w:p>
    <w:p w:rsidR="005C3257" w:rsidRDefault="0025655F" w:rsidP="00B929EC">
      <w:pPr>
        <w:pStyle w:val="ListParagraph"/>
        <w:numPr>
          <w:ilvl w:val="0"/>
          <w:numId w:val="3"/>
        </w:numPr>
        <w:jc w:val="both"/>
      </w:pPr>
      <w:proofErr w:type="gramStart"/>
      <w:r>
        <w:t>is</w:t>
      </w:r>
      <w:proofErr w:type="gramEnd"/>
      <w:r>
        <w:t xml:space="preserve"> operated </w:t>
      </w:r>
      <w:r w:rsidR="006944F8">
        <w:t xml:space="preserve">or contracted </w:t>
      </w:r>
      <w:r>
        <w:t>by an agency or department of the Commonwealth Government, or an Australian State or Territory Government, that is authorised by law to detain and transport detainees.</w:t>
      </w:r>
    </w:p>
    <w:p w:rsidR="00B929EC" w:rsidRDefault="00B929EC" w:rsidP="00B929EC">
      <w:pPr>
        <w:pStyle w:val="ListParagraph"/>
        <w:ind w:left="1800"/>
        <w:jc w:val="both"/>
      </w:pPr>
    </w:p>
    <w:p w:rsidR="0025655F" w:rsidRDefault="0025655F" w:rsidP="00B929EC">
      <w:pPr>
        <w:pStyle w:val="ListParagraph"/>
        <w:numPr>
          <w:ilvl w:val="0"/>
          <w:numId w:val="1"/>
        </w:numPr>
        <w:jc w:val="both"/>
        <w:rPr>
          <w:b/>
        </w:rPr>
      </w:pPr>
      <w:r w:rsidRPr="0025655F">
        <w:rPr>
          <w:b/>
        </w:rPr>
        <w:lastRenderedPageBreak/>
        <w:t>Application</w:t>
      </w:r>
    </w:p>
    <w:p w:rsidR="00486585" w:rsidRPr="0025655F" w:rsidRDefault="00486585" w:rsidP="00B929EC">
      <w:pPr>
        <w:pStyle w:val="ListParagraph"/>
        <w:jc w:val="both"/>
        <w:rPr>
          <w:b/>
        </w:rPr>
      </w:pPr>
    </w:p>
    <w:p w:rsidR="0025655F" w:rsidRDefault="00EC4133" w:rsidP="00B929EC">
      <w:pPr>
        <w:pStyle w:val="ListParagraph"/>
        <w:ind w:left="1080"/>
        <w:jc w:val="both"/>
      </w:pPr>
      <w:r>
        <w:t>This notice applies to a detainee transport vehicle</w:t>
      </w:r>
      <w:r w:rsidR="0025655F">
        <w:t xml:space="preserve"> </w:t>
      </w:r>
      <w:r w:rsidR="0013571F">
        <w:t xml:space="preserve">operating </w:t>
      </w:r>
      <w:r w:rsidR="0025655F">
        <w:t>in participating jurisdictions.</w:t>
      </w:r>
    </w:p>
    <w:p w:rsidR="00486585" w:rsidRDefault="00486585" w:rsidP="00B929EC">
      <w:pPr>
        <w:pStyle w:val="ListParagraph"/>
        <w:ind w:left="1080"/>
        <w:jc w:val="both"/>
      </w:pPr>
    </w:p>
    <w:p w:rsidR="002B6C38" w:rsidRDefault="002B6C38" w:rsidP="00B929EC">
      <w:pPr>
        <w:pStyle w:val="ListParagraph"/>
        <w:numPr>
          <w:ilvl w:val="0"/>
          <w:numId w:val="1"/>
        </w:numPr>
        <w:jc w:val="both"/>
        <w:rPr>
          <w:b/>
        </w:rPr>
      </w:pPr>
      <w:r w:rsidRPr="002B6C38">
        <w:rPr>
          <w:b/>
        </w:rPr>
        <w:t>Exemption – Prescribed vehicle standards</w:t>
      </w:r>
      <w:r w:rsidR="00F33430">
        <w:rPr>
          <w:b/>
        </w:rPr>
        <w:t xml:space="preserve"> for detainee seating compartments</w:t>
      </w:r>
    </w:p>
    <w:p w:rsidR="00486585" w:rsidRPr="002B6C38" w:rsidRDefault="00486585" w:rsidP="00B929EC">
      <w:pPr>
        <w:pStyle w:val="ListParagraph"/>
        <w:jc w:val="both"/>
        <w:rPr>
          <w:b/>
        </w:rPr>
      </w:pPr>
    </w:p>
    <w:p w:rsidR="00F33430" w:rsidRDefault="00F33430" w:rsidP="00B929EC">
      <w:pPr>
        <w:pStyle w:val="ListParagraph"/>
        <w:numPr>
          <w:ilvl w:val="0"/>
          <w:numId w:val="7"/>
        </w:numPr>
        <w:jc w:val="both"/>
      </w:pPr>
      <w:r>
        <w:t xml:space="preserve">This </w:t>
      </w:r>
      <w:r w:rsidR="00D21423">
        <w:t>notice</w:t>
      </w:r>
      <w:r>
        <w:t xml:space="preserve"> provides vehicle standards exemptions and conditions that apply only to the detainee seating compartments of a </w:t>
      </w:r>
      <w:r w:rsidR="00062179">
        <w:t>d</w:t>
      </w:r>
      <w:r w:rsidR="00EC4133">
        <w:t>etainee transport vehicle</w:t>
      </w:r>
      <w:r>
        <w:t>.</w:t>
      </w:r>
    </w:p>
    <w:p w:rsidR="00F33430" w:rsidRDefault="00F33430" w:rsidP="00B929EC">
      <w:pPr>
        <w:pStyle w:val="ListParagraph"/>
        <w:ind w:left="1080"/>
        <w:jc w:val="both"/>
      </w:pPr>
    </w:p>
    <w:p w:rsidR="00F33430" w:rsidRDefault="00F33430" w:rsidP="00B929EC">
      <w:pPr>
        <w:pStyle w:val="ListParagraph"/>
        <w:numPr>
          <w:ilvl w:val="0"/>
          <w:numId w:val="7"/>
        </w:numPr>
        <w:jc w:val="both"/>
      </w:pPr>
      <w:r>
        <w:t xml:space="preserve">All other seating positions in the </w:t>
      </w:r>
      <w:r w:rsidR="00EC4133">
        <w:t>Detainee transport vehicle</w:t>
      </w:r>
      <w:r>
        <w:t xml:space="preserve"> that </w:t>
      </w:r>
      <w:r w:rsidR="00062179">
        <w:t>are</w:t>
      </w:r>
      <w:r>
        <w:t xml:space="preserve"> not contained in a detainee seating compartment must comply with relevant vehicle standards.</w:t>
      </w:r>
    </w:p>
    <w:p w:rsidR="00F33430" w:rsidRDefault="00F33430" w:rsidP="00B929EC">
      <w:pPr>
        <w:pStyle w:val="ListParagraph"/>
        <w:ind w:left="1080"/>
        <w:jc w:val="both"/>
      </w:pPr>
    </w:p>
    <w:p w:rsidR="002B6C38" w:rsidRDefault="002B6C38" w:rsidP="00B929EC">
      <w:pPr>
        <w:pStyle w:val="ListParagraph"/>
        <w:numPr>
          <w:ilvl w:val="0"/>
          <w:numId w:val="7"/>
        </w:numPr>
        <w:jc w:val="both"/>
      </w:pPr>
      <w:r>
        <w:t xml:space="preserve">Referring to Table 1, </w:t>
      </w:r>
      <w:r w:rsidR="00F33430">
        <w:t xml:space="preserve">any detainee seating compartment of </w:t>
      </w:r>
      <w:r>
        <w:t>a</w:t>
      </w:r>
      <w:r w:rsidR="00EC4133">
        <w:t xml:space="preserve"> detainee transport vehicle </w:t>
      </w:r>
      <w:r>
        <w:t>operating under this notice is exempt from the requirement in Column 2</w:t>
      </w:r>
      <w:r w:rsidR="00486585">
        <w:t>, of the Australian Design Rule in Column 1, providing it satisfies the requirement in Column 3.</w:t>
      </w:r>
    </w:p>
    <w:p w:rsidR="0025655F" w:rsidRPr="002B6C38" w:rsidRDefault="002B6C38" w:rsidP="00B929EC">
      <w:pPr>
        <w:ind w:firstLine="720"/>
        <w:contextualSpacing/>
        <w:jc w:val="both"/>
        <w:rPr>
          <w:b/>
        </w:rPr>
      </w:pPr>
      <w:r w:rsidRPr="002B6C38">
        <w:rPr>
          <w:b/>
        </w:rPr>
        <w:t>Table 1: Exemptions from prescribed vehicle standards</w:t>
      </w:r>
    </w:p>
    <w:tbl>
      <w:tblPr>
        <w:tblStyle w:val="TableGrid"/>
        <w:tblW w:w="9072" w:type="dxa"/>
        <w:tblInd w:w="392" w:type="dxa"/>
        <w:tblLook w:val="04A0" w:firstRow="1" w:lastRow="0" w:firstColumn="1" w:lastColumn="0" w:noHBand="0" w:noVBand="1"/>
        <w:tblCaption w:val="Table 1: Exemptions from prescribed vehicle standards"/>
        <w:tblDescription w:val="A table of specific exemptions from Autsralian Standards, and conditions of exemption."/>
      </w:tblPr>
      <w:tblGrid>
        <w:gridCol w:w="2126"/>
        <w:gridCol w:w="3361"/>
        <w:gridCol w:w="3585"/>
      </w:tblGrid>
      <w:tr w:rsidR="00F33430" w:rsidRPr="002B6C38" w:rsidTr="00F33430">
        <w:trPr>
          <w:trHeight w:val="498"/>
          <w:tblHeader/>
        </w:trPr>
        <w:tc>
          <w:tcPr>
            <w:tcW w:w="2126" w:type="dxa"/>
            <w:vAlign w:val="center"/>
          </w:tcPr>
          <w:p w:rsidR="00F33430" w:rsidRPr="002B6C38" w:rsidRDefault="00F33430" w:rsidP="00B929EC">
            <w:pPr>
              <w:contextualSpacing/>
              <w:jc w:val="center"/>
              <w:rPr>
                <w:b/>
                <w:sz w:val="20"/>
                <w:szCs w:val="20"/>
              </w:rPr>
            </w:pPr>
            <w:r w:rsidRPr="002B6C38">
              <w:rPr>
                <w:b/>
                <w:sz w:val="20"/>
                <w:szCs w:val="20"/>
              </w:rPr>
              <w:t>Column 1</w:t>
            </w:r>
          </w:p>
          <w:p w:rsidR="00F33430" w:rsidRPr="002B6C38" w:rsidRDefault="00F33430" w:rsidP="00B929EC">
            <w:pPr>
              <w:contextualSpacing/>
              <w:jc w:val="center"/>
              <w:rPr>
                <w:b/>
                <w:sz w:val="20"/>
                <w:szCs w:val="20"/>
              </w:rPr>
            </w:pPr>
            <w:r w:rsidRPr="002B6C38">
              <w:rPr>
                <w:b/>
                <w:sz w:val="20"/>
                <w:szCs w:val="20"/>
              </w:rPr>
              <w:t>Australian Design Rule</w:t>
            </w:r>
          </w:p>
        </w:tc>
        <w:tc>
          <w:tcPr>
            <w:tcW w:w="3361" w:type="dxa"/>
            <w:vAlign w:val="center"/>
          </w:tcPr>
          <w:p w:rsidR="00F33430" w:rsidRPr="002B6C38" w:rsidRDefault="00F33430" w:rsidP="00B929EC">
            <w:pPr>
              <w:contextualSpacing/>
              <w:jc w:val="center"/>
              <w:rPr>
                <w:b/>
                <w:sz w:val="20"/>
                <w:szCs w:val="20"/>
              </w:rPr>
            </w:pPr>
            <w:r w:rsidRPr="002B6C38">
              <w:rPr>
                <w:b/>
                <w:sz w:val="20"/>
                <w:szCs w:val="20"/>
              </w:rPr>
              <w:t>Column 2</w:t>
            </w:r>
          </w:p>
          <w:p w:rsidR="00F33430" w:rsidRPr="002B6C38" w:rsidRDefault="00F33430" w:rsidP="00B929EC">
            <w:pPr>
              <w:contextualSpacing/>
              <w:jc w:val="center"/>
              <w:rPr>
                <w:b/>
                <w:sz w:val="20"/>
                <w:szCs w:val="20"/>
              </w:rPr>
            </w:pPr>
            <w:r w:rsidRPr="002B6C38">
              <w:rPr>
                <w:b/>
                <w:sz w:val="20"/>
                <w:szCs w:val="20"/>
              </w:rPr>
              <w:t>Applicable requirement</w:t>
            </w:r>
          </w:p>
        </w:tc>
        <w:tc>
          <w:tcPr>
            <w:tcW w:w="3585" w:type="dxa"/>
            <w:vAlign w:val="center"/>
          </w:tcPr>
          <w:p w:rsidR="00F33430" w:rsidRPr="002B6C38" w:rsidRDefault="00F33430" w:rsidP="00B929EC">
            <w:pPr>
              <w:contextualSpacing/>
              <w:jc w:val="center"/>
              <w:rPr>
                <w:b/>
                <w:sz w:val="20"/>
                <w:szCs w:val="20"/>
              </w:rPr>
            </w:pPr>
            <w:r w:rsidRPr="002B6C38">
              <w:rPr>
                <w:b/>
                <w:sz w:val="20"/>
                <w:szCs w:val="20"/>
              </w:rPr>
              <w:t>Column 3</w:t>
            </w:r>
          </w:p>
          <w:p w:rsidR="00F33430" w:rsidRPr="002B6C38" w:rsidRDefault="00F33430" w:rsidP="00B929EC">
            <w:pPr>
              <w:contextualSpacing/>
              <w:jc w:val="center"/>
              <w:rPr>
                <w:b/>
                <w:sz w:val="20"/>
                <w:szCs w:val="20"/>
              </w:rPr>
            </w:pPr>
            <w:r w:rsidRPr="002B6C38">
              <w:rPr>
                <w:b/>
                <w:sz w:val="20"/>
                <w:szCs w:val="20"/>
              </w:rPr>
              <w:t>Condition of exemption</w:t>
            </w:r>
          </w:p>
        </w:tc>
      </w:tr>
      <w:tr w:rsidR="002B6C38" w:rsidRPr="002B6C38" w:rsidTr="00486585">
        <w:tc>
          <w:tcPr>
            <w:tcW w:w="2126" w:type="dxa"/>
            <w:vAlign w:val="center"/>
          </w:tcPr>
          <w:p w:rsidR="002B6C38" w:rsidRPr="002B6C38" w:rsidRDefault="002B6C38" w:rsidP="00B929EC">
            <w:pPr>
              <w:contextualSpacing/>
              <w:rPr>
                <w:sz w:val="20"/>
                <w:szCs w:val="20"/>
              </w:rPr>
            </w:pPr>
            <w:r w:rsidRPr="002B6C38">
              <w:rPr>
                <w:sz w:val="20"/>
                <w:szCs w:val="20"/>
              </w:rPr>
              <w:t>ADR 3/03 – Seats and Seat Anchorages</w:t>
            </w:r>
          </w:p>
        </w:tc>
        <w:tc>
          <w:tcPr>
            <w:tcW w:w="3361" w:type="dxa"/>
            <w:vAlign w:val="center"/>
          </w:tcPr>
          <w:p w:rsidR="002B6C38" w:rsidRPr="002B6C38" w:rsidRDefault="002B6C38" w:rsidP="00B929EC">
            <w:pPr>
              <w:contextualSpacing/>
              <w:rPr>
                <w:sz w:val="20"/>
                <w:szCs w:val="20"/>
              </w:rPr>
            </w:pPr>
            <w:r w:rsidRPr="002B6C38">
              <w:rPr>
                <w:sz w:val="20"/>
                <w:szCs w:val="20"/>
              </w:rPr>
              <w:t>All Sections – Seats and Seat Anchorage requirements</w:t>
            </w:r>
          </w:p>
        </w:tc>
        <w:tc>
          <w:tcPr>
            <w:tcW w:w="3585" w:type="dxa"/>
            <w:vAlign w:val="center"/>
          </w:tcPr>
          <w:p w:rsidR="002B6C38" w:rsidRPr="002B6C38" w:rsidRDefault="002B6C38" w:rsidP="00B929EC">
            <w:pPr>
              <w:contextualSpacing/>
              <w:rPr>
                <w:sz w:val="20"/>
                <w:szCs w:val="20"/>
              </w:rPr>
            </w:pPr>
            <w:r w:rsidRPr="002B6C38">
              <w:rPr>
                <w:sz w:val="20"/>
                <w:szCs w:val="20"/>
              </w:rPr>
              <w:t>Additional seats provided for detainees are installed in the vehicle must, as far as practicable, meet the requirements of VSB6 section K.</w:t>
            </w:r>
          </w:p>
        </w:tc>
      </w:tr>
      <w:tr w:rsidR="002B6C38" w:rsidRPr="002B6C38" w:rsidTr="00486585">
        <w:tc>
          <w:tcPr>
            <w:tcW w:w="2126" w:type="dxa"/>
            <w:vAlign w:val="center"/>
          </w:tcPr>
          <w:p w:rsidR="002B6C38" w:rsidRPr="002B6C38" w:rsidRDefault="002B6C38" w:rsidP="00B929EC">
            <w:pPr>
              <w:contextualSpacing/>
              <w:rPr>
                <w:sz w:val="20"/>
                <w:szCs w:val="20"/>
              </w:rPr>
            </w:pPr>
            <w:r w:rsidRPr="002B6C38">
              <w:rPr>
                <w:sz w:val="20"/>
                <w:szCs w:val="20"/>
              </w:rPr>
              <w:t>ADR 4/04 – Seatbelts</w:t>
            </w:r>
          </w:p>
        </w:tc>
        <w:tc>
          <w:tcPr>
            <w:tcW w:w="3361" w:type="dxa"/>
            <w:vAlign w:val="center"/>
          </w:tcPr>
          <w:p w:rsidR="002B6C38" w:rsidRPr="002B6C38" w:rsidRDefault="002B6C38" w:rsidP="00B929EC">
            <w:pPr>
              <w:contextualSpacing/>
              <w:rPr>
                <w:sz w:val="20"/>
                <w:szCs w:val="20"/>
              </w:rPr>
            </w:pPr>
            <w:r w:rsidRPr="002B6C38">
              <w:rPr>
                <w:sz w:val="20"/>
                <w:szCs w:val="20"/>
              </w:rPr>
              <w:t>All Sections – Seatbelt requirements</w:t>
            </w:r>
          </w:p>
        </w:tc>
        <w:tc>
          <w:tcPr>
            <w:tcW w:w="3585" w:type="dxa"/>
            <w:vAlign w:val="center"/>
          </w:tcPr>
          <w:p w:rsidR="002B6C38" w:rsidRPr="002B6C38" w:rsidRDefault="002B6C38" w:rsidP="00B929EC">
            <w:pPr>
              <w:contextualSpacing/>
              <w:rPr>
                <w:sz w:val="20"/>
                <w:szCs w:val="20"/>
              </w:rPr>
            </w:pPr>
            <w:r w:rsidRPr="002B6C38">
              <w:rPr>
                <w:sz w:val="20"/>
                <w:szCs w:val="20"/>
              </w:rPr>
              <w:t>If fitted, seatbelts provided for detainees must be installed in accordance with the standards specified by the relevant Corrective Service.</w:t>
            </w:r>
          </w:p>
        </w:tc>
      </w:tr>
      <w:tr w:rsidR="002B6C38" w:rsidRPr="002B6C38" w:rsidTr="00486585">
        <w:tc>
          <w:tcPr>
            <w:tcW w:w="2126" w:type="dxa"/>
            <w:vAlign w:val="center"/>
          </w:tcPr>
          <w:p w:rsidR="002B6C38" w:rsidRPr="002B6C38" w:rsidRDefault="002B6C38" w:rsidP="00B929EC">
            <w:pPr>
              <w:contextualSpacing/>
              <w:rPr>
                <w:sz w:val="20"/>
                <w:szCs w:val="20"/>
              </w:rPr>
            </w:pPr>
            <w:r w:rsidRPr="002B6C38">
              <w:rPr>
                <w:sz w:val="20"/>
                <w:szCs w:val="20"/>
              </w:rPr>
              <w:t>ADR 5/05 – Anchorages for Seatbelts</w:t>
            </w:r>
          </w:p>
        </w:tc>
        <w:tc>
          <w:tcPr>
            <w:tcW w:w="3361" w:type="dxa"/>
            <w:vAlign w:val="center"/>
          </w:tcPr>
          <w:p w:rsidR="002B6C38" w:rsidRPr="002B6C38" w:rsidRDefault="002B6C38" w:rsidP="00B929EC">
            <w:pPr>
              <w:contextualSpacing/>
              <w:rPr>
                <w:sz w:val="20"/>
                <w:szCs w:val="20"/>
              </w:rPr>
            </w:pPr>
            <w:r w:rsidRPr="002B6C38">
              <w:rPr>
                <w:sz w:val="20"/>
                <w:szCs w:val="20"/>
              </w:rPr>
              <w:t>All Sections – Seatbelt anchorage requirements</w:t>
            </w:r>
          </w:p>
        </w:tc>
        <w:tc>
          <w:tcPr>
            <w:tcW w:w="3585" w:type="dxa"/>
            <w:vAlign w:val="center"/>
          </w:tcPr>
          <w:p w:rsidR="002B6C38" w:rsidRPr="002B6C38" w:rsidRDefault="002B6C38" w:rsidP="00B929EC">
            <w:pPr>
              <w:contextualSpacing/>
              <w:rPr>
                <w:sz w:val="20"/>
                <w:szCs w:val="20"/>
              </w:rPr>
            </w:pPr>
            <w:r w:rsidRPr="002B6C38">
              <w:rPr>
                <w:sz w:val="20"/>
                <w:szCs w:val="20"/>
              </w:rPr>
              <w:t>If fitted, seatbelts provided for detainees must be in accordance with the standards specified by the relevant Corrective Service.</w:t>
            </w:r>
          </w:p>
        </w:tc>
      </w:tr>
      <w:tr w:rsidR="002B6C38" w:rsidRPr="002B6C38" w:rsidTr="00486585">
        <w:tc>
          <w:tcPr>
            <w:tcW w:w="2126" w:type="dxa"/>
            <w:vAlign w:val="center"/>
          </w:tcPr>
          <w:p w:rsidR="002B6C38" w:rsidRPr="002B6C38" w:rsidRDefault="002B6C38" w:rsidP="00B929EC">
            <w:pPr>
              <w:contextualSpacing/>
              <w:rPr>
                <w:sz w:val="20"/>
                <w:szCs w:val="20"/>
              </w:rPr>
            </w:pPr>
            <w:r w:rsidRPr="002B6C38">
              <w:rPr>
                <w:sz w:val="20"/>
                <w:szCs w:val="20"/>
              </w:rPr>
              <w:t>ADR 8/01 – Safety Glazing Material</w:t>
            </w:r>
          </w:p>
        </w:tc>
        <w:tc>
          <w:tcPr>
            <w:tcW w:w="3361" w:type="dxa"/>
            <w:vAlign w:val="center"/>
          </w:tcPr>
          <w:p w:rsidR="002B6C38" w:rsidRPr="002B6C38" w:rsidRDefault="002B6C38" w:rsidP="00B929EC">
            <w:pPr>
              <w:contextualSpacing/>
              <w:rPr>
                <w:sz w:val="20"/>
                <w:szCs w:val="20"/>
              </w:rPr>
            </w:pPr>
            <w:r w:rsidRPr="002B6C38">
              <w:rPr>
                <w:sz w:val="20"/>
                <w:szCs w:val="20"/>
              </w:rPr>
              <w:t>All Sections –Glazing Material requirements</w:t>
            </w:r>
          </w:p>
        </w:tc>
        <w:tc>
          <w:tcPr>
            <w:tcW w:w="3585" w:type="dxa"/>
            <w:vAlign w:val="center"/>
          </w:tcPr>
          <w:p w:rsidR="002B6C38" w:rsidRPr="002B6C38" w:rsidRDefault="002B6C38" w:rsidP="00B929EC">
            <w:pPr>
              <w:contextualSpacing/>
              <w:rPr>
                <w:sz w:val="20"/>
                <w:szCs w:val="20"/>
              </w:rPr>
            </w:pPr>
            <w:r w:rsidRPr="002B6C38">
              <w:rPr>
                <w:sz w:val="20"/>
                <w:szCs w:val="20"/>
              </w:rPr>
              <w:t>Any glazing is shatter resistant and designed to reduce the danger of bodily injury.</w:t>
            </w:r>
          </w:p>
        </w:tc>
      </w:tr>
      <w:tr w:rsidR="002B6C38" w:rsidRPr="002B6C38" w:rsidTr="00486585">
        <w:tc>
          <w:tcPr>
            <w:tcW w:w="2126" w:type="dxa"/>
            <w:vAlign w:val="center"/>
          </w:tcPr>
          <w:p w:rsidR="002B6C38" w:rsidRPr="002B6C38" w:rsidRDefault="002B6C38" w:rsidP="00B929EC">
            <w:pPr>
              <w:contextualSpacing/>
              <w:rPr>
                <w:sz w:val="20"/>
                <w:szCs w:val="20"/>
              </w:rPr>
            </w:pPr>
            <w:r w:rsidRPr="002B6C38">
              <w:rPr>
                <w:sz w:val="20"/>
                <w:szCs w:val="20"/>
              </w:rPr>
              <w:t>ADR 42/04 – General Safety Requirements</w:t>
            </w:r>
          </w:p>
        </w:tc>
        <w:tc>
          <w:tcPr>
            <w:tcW w:w="3361" w:type="dxa"/>
            <w:vAlign w:val="center"/>
          </w:tcPr>
          <w:p w:rsidR="002B6C38" w:rsidRPr="002B6C38" w:rsidRDefault="002B6C38" w:rsidP="00B929EC">
            <w:pPr>
              <w:contextualSpacing/>
              <w:rPr>
                <w:sz w:val="20"/>
                <w:szCs w:val="20"/>
              </w:rPr>
            </w:pPr>
            <w:r w:rsidRPr="002B6C38">
              <w:rPr>
                <w:sz w:val="20"/>
                <w:szCs w:val="20"/>
              </w:rPr>
              <w:t>Clause 19.2.1 – Omnibus ventilation</w:t>
            </w:r>
          </w:p>
        </w:tc>
        <w:tc>
          <w:tcPr>
            <w:tcW w:w="3585" w:type="dxa"/>
            <w:vAlign w:val="center"/>
          </w:tcPr>
          <w:p w:rsidR="002B6C38" w:rsidRPr="002B6C38" w:rsidRDefault="002B6C38" w:rsidP="00B929EC">
            <w:pPr>
              <w:contextualSpacing/>
              <w:rPr>
                <w:sz w:val="20"/>
                <w:szCs w:val="20"/>
              </w:rPr>
            </w:pPr>
            <w:r w:rsidRPr="002B6C38">
              <w:rPr>
                <w:sz w:val="20"/>
                <w:szCs w:val="20"/>
              </w:rPr>
              <w:t>Each compartment is fitted with ducted air conditioning.</w:t>
            </w:r>
          </w:p>
        </w:tc>
      </w:tr>
      <w:tr w:rsidR="002B6C38" w:rsidRPr="002B6C38" w:rsidTr="00486585">
        <w:tc>
          <w:tcPr>
            <w:tcW w:w="2126" w:type="dxa"/>
            <w:vAlign w:val="center"/>
          </w:tcPr>
          <w:p w:rsidR="002B6C38" w:rsidRPr="002B6C38" w:rsidRDefault="002B6C38" w:rsidP="00B929EC">
            <w:pPr>
              <w:contextualSpacing/>
              <w:rPr>
                <w:sz w:val="20"/>
                <w:szCs w:val="20"/>
              </w:rPr>
            </w:pPr>
            <w:r w:rsidRPr="002B6C38">
              <w:rPr>
                <w:sz w:val="20"/>
                <w:szCs w:val="20"/>
              </w:rPr>
              <w:t>ADR 44/02 – Specific Purpose Vehicle Requirements</w:t>
            </w:r>
          </w:p>
        </w:tc>
        <w:tc>
          <w:tcPr>
            <w:tcW w:w="3361" w:type="dxa"/>
            <w:vAlign w:val="center"/>
          </w:tcPr>
          <w:p w:rsidR="002B6C38" w:rsidRPr="002B6C38" w:rsidRDefault="002B6C38" w:rsidP="00B929EC">
            <w:pPr>
              <w:contextualSpacing/>
              <w:rPr>
                <w:sz w:val="20"/>
                <w:szCs w:val="20"/>
              </w:rPr>
            </w:pPr>
            <w:r w:rsidRPr="002B6C38">
              <w:rPr>
                <w:sz w:val="20"/>
                <w:szCs w:val="20"/>
              </w:rPr>
              <w:t>Clause 44.9 – Emergency exits for omnibuses</w:t>
            </w:r>
          </w:p>
        </w:tc>
        <w:tc>
          <w:tcPr>
            <w:tcW w:w="3585" w:type="dxa"/>
            <w:vAlign w:val="center"/>
          </w:tcPr>
          <w:p w:rsidR="002B6C38" w:rsidRPr="002B6C38" w:rsidRDefault="002B6C38" w:rsidP="00B929EC">
            <w:pPr>
              <w:contextualSpacing/>
              <w:rPr>
                <w:sz w:val="20"/>
                <w:szCs w:val="20"/>
              </w:rPr>
            </w:pPr>
            <w:r w:rsidRPr="002B6C38">
              <w:rPr>
                <w:sz w:val="20"/>
                <w:szCs w:val="20"/>
              </w:rPr>
              <w:t>Emergency exits or service doors are provided for each passenger section and these exits are in accordance with the standards specified by the relevant Corrective Service.</w:t>
            </w:r>
          </w:p>
        </w:tc>
      </w:tr>
      <w:tr w:rsidR="002B6C38" w:rsidRPr="002B6C38" w:rsidTr="00486585">
        <w:tc>
          <w:tcPr>
            <w:tcW w:w="2126" w:type="dxa"/>
            <w:vAlign w:val="center"/>
          </w:tcPr>
          <w:p w:rsidR="002B6C38" w:rsidRPr="002B6C38" w:rsidRDefault="002B6C38" w:rsidP="00B929EC">
            <w:pPr>
              <w:contextualSpacing/>
              <w:rPr>
                <w:sz w:val="20"/>
                <w:szCs w:val="20"/>
              </w:rPr>
            </w:pPr>
            <w:r w:rsidRPr="002B6C38">
              <w:rPr>
                <w:sz w:val="20"/>
                <w:szCs w:val="20"/>
              </w:rPr>
              <w:t>ADR 58/00 – Requirements for Omnibuses Designed for Hire and Reward</w:t>
            </w:r>
          </w:p>
        </w:tc>
        <w:tc>
          <w:tcPr>
            <w:tcW w:w="3361" w:type="dxa"/>
            <w:vAlign w:val="center"/>
          </w:tcPr>
          <w:p w:rsidR="002B6C38" w:rsidRPr="002B6C38" w:rsidRDefault="002B6C38" w:rsidP="00B929EC">
            <w:pPr>
              <w:contextualSpacing/>
              <w:rPr>
                <w:sz w:val="20"/>
                <w:szCs w:val="20"/>
              </w:rPr>
            </w:pPr>
            <w:r w:rsidRPr="002B6C38">
              <w:rPr>
                <w:sz w:val="20"/>
                <w:szCs w:val="20"/>
              </w:rPr>
              <w:t>Clause 58.4 – Aisle requirements</w:t>
            </w:r>
          </w:p>
          <w:p w:rsidR="002B6C38" w:rsidRPr="002B6C38" w:rsidRDefault="002B6C38" w:rsidP="00B929EC">
            <w:pPr>
              <w:contextualSpacing/>
              <w:rPr>
                <w:sz w:val="20"/>
                <w:szCs w:val="20"/>
              </w:rPr>
            </w:pPr>
            <w:r w:rsidRPr="002B6C38">
              <w:rPr>
                <w:sz w:val="20"/>
                <w:szCs w:val="20"/>
              </w:rPr>
              <w:t>Clause 58.5.1 – Access from left hand side and hand grips</w:t>
            </w:r>
          </w:p>
          <w:p w:rsidR="002B6C38" w:rsidRPr="002B6C38" w:rsidRDefault="002B6C38" w:rsidP="00B929EC">
            <w:pPr>
              <w:contextualSpacing/>
              <w:rPr>
                <w:sz w:val="20"/>
                <w:szCs w:val="20"/>
              </w:rPr>
            </w:pPr>
            <w:r w:rsidRPr="002B6C38">
              <w:rPr>
                <w:sz w:val="20"/>
                <w:szCs w:val="20"/>
              </w:rPr>
              <w:t>Clause 58.5.3 – Access from left hand side and minimum door width</w:t>
            </w:r>
          </w:p>
          <w:p w:rsidR="002B6C38" w:rsidRPr="002B6C38" w:rsidRDefault="002B6C38" w:rsidP="00B929EC">
            <w:pPr>
              <w:contextualSpacing/>
              <w:rPr>
                <w:sz w:val="20"/>
                <w:szCs w:val="20"/>
              </w:rPr>
            </w:pPr>
            <w:r w:rsidRPr="002B6C38">
              <w:rPr>
                <w:sz w:val="20"/>
                <w:szCs w:val="20"/>
              </w:rPr>
              <w:t>Clause 58.5.4 – Access from right hand side of vehicle</w:t>
            </w:r>
          </w:p>
          <w:p w:rsidR="002B6C38" w:rsidRPr="002B6C38" w:rsidRDefault="002B6C38" w:rsidP="00B929EC">
            <w:pPr>
              <w:contextualSpacing/>
              <w:rPr>
                <w:sz w:val="20"/>
                <w:szCs w:val="20"/>
              </w:rPr>
            </w:pPr>
            <w:r w:rsidRPr="002B6C38">
              <w:rPr>
                <w:sz w:val="20"/>
                <w:szCs w:val="20"/>
              </w:rPr>
              <w:t>Clause 58.7.2.3 – Maximum access step height to a single row of seats</w:t>
            </w:r>
          </w:p>
          <w:p w:rsidR="002B6C38" w:rsidRPr="002B6C38" w:rsidRDefault="002B6C38" w:rsidP="00B929EC">
            <w:pPr>
              <w:contextualSpacing/>
              <w:rPr>
                <w:sz w:val="20"/>
                <w:szCs w:val="20"/>
              </w:rPr>
            </w:pPr>
            <w:r w:rsidRPr="002B6C38">
              <w:rPr>
                <w:sz w:val="20"/>
                <w:szCs w:val="20"/>
              </w:rPr>
              <w:t>Clause 58.10 – Fitting of grab handles</w:t>
            </w:r>
          </w:p>
          <w:p w:rsidR="002B6C38" w:rsidRPr="002B6C38" w:rsidRDefault="002B6C38" w:rsidP="00B929EC">
            <w:pPr>
              <w:contextualSpacing/>
              <w:rPr>
                <w:sz w:val="20"/>
                <w:szCs w:val="20"/>
              </w:rPr>
            </w:pPr>
            <w:r w:rsidRPr="002B6C38">
              <w:rPr>
                <w:sz w:val="20"/>
                <w:szCs w:val="20"/>
              </w:rPr>
              <w:lastRenderedPageBreak/>
              <w:t>Clause 58</w:t>
            </w:r>
            <w:bookmarkStart w:id="0" w:name="_GoBack"/>
            <w:bookmarkEnd w:id="0"/>
            <w:r w:rsidRPr="002B6C38">
              <w:rPr>
                <w:sz w:val="20"/>
                <w:szCs w:val="20"/>
              </w:rPr>
              <w:t>.12 – Emergency exits</w:t>
            </w:r>
          </w:p>
          <w:p w:rsidR="002B6C38" w:rsidRPr="002B6C38" w:rsidRDefault="002B6C38" w:rsidP="00B929EC">
            <w:pPr>
              <w:contextualSpacing/>
              <w:rPr>
                <w:sz w:val="20"/>
                <w:szCs w:val="20"/>
              </w:rPr>
            </w:pPr>
            <w:r w:rsidRPr="002B6C38">
              <w:rPr>
                <w:sz w:val="20"/>
                <w:szCs w:val="20"/>
              </w:rPr>
              <w:t>Clause 58.13.9 – Upholstered seats</w:t>
            </w:r>
          </w:p>
          <w:p w:rsidR="002B6C38" w:rsidRPr="002B6C38" w:rsidRDefault="002B6C38" w:rsidP="00B929EC">
            <w:pPr>
              <w:contextualSpacing/>
              <w:rPr>
                <w:sz w:val="20"/>
                <w:szCs w:val="20"/>
              </w:rPr>
            </w:pPr>
            <w:r w:rsidRPr="002B6C38">
              <w:rPr>
                <w:sz w:val="20"/>
                <w:szCs w:val="20"/>
              </w:rPr>
              <w:t>Clause 58.15 – Interior doors</w:t>
            </w:r>
          </w:p>
          <w:p w:rsidR="002B6C38" w:rsidRPr="002B6C38" w:rsidRDefault="002B6C38" w:rsidP="00B929EC">
            <w:pPr>
              <w:contextualSpacing/>
              <w:rPr>
                <w:sz w:val="20"/>
                <w:szCs w:val="20"/>
              </w:rPr>
            </w:pPr>
            <w:r w:rsidRPr="002B6C38">
              <w:rPr>
                <w:sz w:val="20"/>
                <w:szCs w:val="20"/>
              </w:rPr>
              <w:t>Clause 58.23.7.1 – Fitting of fuel filler less than 900mm from an access opening</w:t>
            </w:r>
          </w:p>
        </w:tc>
        <w:tc>
          <w:tcPr>
            <w:tcW w:w="3585" w:type="dxa"/>
            <w:vAlign w:val="center"/>
          </w:tcPr>
          <w:p w:rsidR="002B6C38" w:rsidRPr="002B6C38" w:rsidRDefault="002B6C38" w:rsidP="00B929EC">
            <w:pPr>
              <w:contextualSpacing/>
              <w:rPr>
                <w:sz w:val="20"/>
                <w:szCs w:val="20"/>
              </w:rPr>
            </w:pPr>
            <w:r w:rsidRPr="002B6C38">
              <w:rPr>
                <w:sz w:val="20"/>
                <w:szCs w:val="20"/>
              </w:rPr>
              <w:lastRenderedPageBreak/>
              <w:t>Emergency exits are capable of being opened manually from the outside.</w:t>
            </w:r>
          </w:p>
          <w:p w:rsidR="002B6C38" w:rsidRPr="002B6C38" w:rsidRDefault="002B6C38" w:rsidP="00B929EC">
            <w:pPr>
              <w:contextualSpacing/>
              <w:rPr>
                <w:sz w:val="20"/>
                <w:szCs w:val="20"/>
              </w:rPr>
            </w:pPr>
          </w:p>
          <w:p w:rsidR="002B6C38" w:rsidRPr="002B6C38" w:rsidRDefault="002B6C38" w:rsidP="00B929EC">
            <w:pPr>
              <w:contextualSpacing/>
              <w:rPr>
                <w:sz w:val="20"/>
                <w:szCs w:val="20"/>
              </w:rPr>
            </w:pPr>
            <w:r w:rsidRPr="002B6C38">
              <w:rPr>
                <w:sz w:val="20"/>
                <w:szCs w:val="20"/>
              </w:rPr>
              <w:t>Each emergency exit must be at least 500mm x 550mm in size.</w:t>
            </w:r>
          </w:p>
          <w:p w:rsidR="002B6C38" w:rsidRPr="002B6C38" w:rsidRDefault="002B6C38" w:rsidP="00B929EC">
            <w:pPr>
              <w:contextualSpacing/>
              <w:rPr>
                <w:sz w:val="20"/>
                <w:szCs w:val="20"/>
              </w:rPr>
            </w:pPr>
          </w:p>
          <w:p w:rsidR="002B6C38" w:rsidRPr="002B6C38" w:rsidRDefault="002B6C38" w:rsidP="00B929EC">
            <w:pPr>
              <w:contextualSpacing/>
              <w:rPr>
                <w:sz w:val="20"/>
                <w:szCs w:val="20"/>
              </w:rPr>
            </w:pPr>
            <w:r w:rsidRPr="002B6C38">
              <w:rPr>
                <w:sz w:val="20"/>
                <w:szCs w:val="20"/>
              </w:rPr>
              <w:t xml:space="preserve">At least one emergency exit, accessible from the detainee section, must be provided on both sides or one side and rear of the vehicle. </w:t>
            </w:r>
          </w:p>
          <w:p w:rsidR="002B6C38" w:rsidRPr="002B6C38" w:rsidRDefault="002B6C38" w:rsidP="00B929EC">
            <w:pPr>
              <w:contextualSpacing/>
              <w:rPr>
                <w:sz w:val="20"/>
                <w:szCs w:val="20"/>
              </w:rPr>
            </w:pPr>
          </w:p>
          <w:p w:rsidR="002B6C38" w:rsidRPr="002B6C38" w:rsidRDefault="002B6C38" w:rsidP="00B929EC">
            <w:pPr>
              <w:contextualSpacing/>
              <w:rPr>
                <w:sz w:val="20"/>
                <w:szCs w:val="20"/>
              </w:rPr>
            </w:pPr>
          </w:p>
        </w:tc>
      </w:tr>
      <w:tr w:rsidR="005E6C0F" w:rsidRPr="002B6C38" w:rsidTr="00486585">
        <w:tc>
          <w:tcPr>
            <w:tcW w:w="2126" w:type="dxa"/>
            <w:vAlign w:val="center"/>
          </w:tcPr>
          <w:p w:rsidR="005E6C0F" w:rsidRPr="002B6C38" w:rsidRDefault="005E6C0F" w:rsidP="00B929EC">
            <w:pPr>
              <w:contextualSpacing/>
              <w:rPr>
                <w:sz w:val="20"/>
                <w:szCs w:val="20"/>
              </w:rPr>
            </w:pPr>
            <w:r>
              <w:rPr>
                <w:sz w:val="20"/>
                <w:szCs w:val="20"/>
              </w:rPr>
              <w:lastRenderedPageBreak/>
              <w:t>ADR 68/00 – Occupant Impact Protection in Buses</w:t>
            </w:r>
          </w:p>
        </w:tc>
        <w:tc>
          <w:tcPr>
            <w:tcW w:w="3361" w:type="dxa"/>
            <w:vAlign w:val="center"/>
          </w:tcPr>
          <w:p w:rsidR="005E6C0F" w:rsidRDefault="005E6C0F" w:rsidP="00B929EC">
            <w:pPr>
              <w:contextualSpacing/>
              <w:rPr>
                <w:sz w:val="20"/>
                <w:szCs w:val="20"/>
              </w:rPr>
            </w:pPr>
            <w:r>
              <w:rPr>
                <w:sz w:val="20"/>
                <w:szCs w:val="20"/>
              </w:rPr>
              <w:t>Clause 5.4 – Seatbelt Assemblies</w:t>
            </w:r>
          </w:p>
          <w:p w:rsidR="005E6C0F" w:rsidRDefault="005E6C0F" w:rsidP="00B929EC">
            <w:pPr>
              <w:contextualSpacing/>
              <w:rPr>
                <w:sz w:val="20"/>
                <w:szCs w:val="20"/>
              </w:rPr>
            </w:pPr>
            <w:r>
              <w:rPr>
                <w:sz w:val="20"/>
                <w:szCs w:val="20"/>
              </w:rPr>
              <w:t>Clause 5.5 – Seatbelt Anchorages</w:t>
            </w:r>
          </w:p>
          <w:p w:rsidR="005E6C0F" w:rsidRPr="002B6C38" w:rsidRDefault="005E6C0F" w:rsidP="00B929EC">
            <w:pPr>
              <w:contextualSpacing/>
              <w:rPr>
                <w:sz w:val="20"/>
                <w:szCs w:val="20"/>
              </w:rPr>
            </w:pPr>
            <w:r>
              <w:rPr>
                <w:sz w:val="20"/>
                <w:szCs w:val="20"/>
              </w:rPr>
              <w:t>Clause 5.6 – Provision for Child Restraints</w:t>
            </w:r>
          </w:p>
        </w:tc>
        <w:tc>
          <w:tcPr>
            <w:tcW w:w="3585" w:type="dxa"/>
            <w:vAlign w:val="center"/>
          </w:tcPr>
          <w:p w:rsidR="005E6C0F" w:rsidRDefault="005E6C0F" w:rsidP="00B929EC">
            <w:pPr>
              <w:contextualSpacing/>
              <w:rPr>
                <w:sz w:val="20"/>
                <w:szCs w:val="20"/>
              </w:rPr>
            </w:pPr>
            <w:r w:rsidRPr="002B6C38">
              <w:rPr>
                <w:sz w:val="20"/>
                <w:szCs w:val="20"/>
              </w:rPr>
              <w:t>If fitted, seatbelts for detainees must be installed in accordance with the standards specified by the relevant Corrective Service.</w:t>
            </w:r>
          </w:p>
          <w:p w:rsidR="005E6C0F" w:rsidRPr="002B6C38" w:rsidRDefault="005E6C0F" w:rsidP="00B929EC">
            <w:pPr>
              <w:contextualSpacing/>
              <w:rPr>
                <w:sz w:val="20"/>
                <w:szCs w:val="20"/>
              </w:rPr>
            </w:pPr>
          </w:p>
        </w:tc>
      </w:tr>
    </w:tbl>
    <w:p w:rsidR="00F33430" w:rsidRDefault="00F33430" w:rsidP="00B929EC">
      <w:pPr>
        <w:contextualSpacing/>
        <w:rPr>
          <w:b/>
        </w:rPr>
      </w:pPr>
    </w:p>
    <w:p w:rsidR="00F33430" w:rsidRDefault="00621FCB" w:rsidP="00B929EC">
      <w:pPr>
        <w:pStyle w:val="ListParagraph"/>
        <w:numPr>
          <w:ilvl w:val="0"/>
          <w:numId w:val="1"/>
        </w:numPr>
        <w:jc w:val="both"/>
        <w:rPr>
          <w:b/>
        </w:rPr>
      </w:pPr>
      <w:r>
        <w:rPr>
          <w:b/>
        </w:rPr>
        <w:t>Conditions – General</w:t>
      </w:r>
    </w:p>
    <w:p w:rsidR="00621FCB" w:rsidRPr="00621FCB" w:rsidRDefault="00621FCB" w:rsidP="00B929EC">
      <w:pPr>
        <w:pStyle w:val="ListParagraph"/>
        <w:jc w:val="both"/>
        <w:rPr>
          <w:b/>
        </w:rPr>
      </w:pPr>
    </w:p>
    <w:p w:rsidR="002B6C38" w:rsidRDefault="00F33430" w:rsidP="00B929EC">
      <w:pPr>
        <w:ind w:left="720"/>
        <w:contextualSpacing/>
        <w:jc w:val="both"/>
      </w:pPr>
      <w:r>
        <w:t xml:space="preserve">In addition to complying with the </w:t>
      </w:r>
      <w:r w:rsidR="00621FCB">
        <w:t xml:space="preserve">conditions relating to detainee seating compartments in s8 and s9 above, </w:t>
      </w:r>
      <w:r w:rsidR="00525F58">
        <w:t xml:space="preserve">if a </w:t>
      </w:r>
      <w:r w:rsidR="00E7606B">
        <w:t>d</w:t>
      </w:r>
      <w:r w:rsidR="00525F58">
        <w:t xml:space="preserve">etainee transport vehicle is disposed of to anyone other than </w:t>
      </w:r>
      <w:r w:rsidR="009F06BC">
        <w:t>an agency or department of the Commonwealth Government, or an Australian State or Territory Government</w:t>
      </w:r>
      <w:r w:rsidR="00525F58">
        <w:t>, the vehicle must be returned to a configuration that complies with all applicable ADRs.</w:t>
      </w:r>
      <w:r w:rsidR="00525F58" w:rsidDel="00525F58">
        <w:t xml:space="preserve"> </w:t>
      </w:r>
    </w:p>
    <w:p w:rsidR="00B929EC" w:rsidRDefault="00B929EC" w:rsidP="00B929EC">
      <w:pPr>
        <w:ind w:left="720"/>
        <w:contextualSpacing/>
        <w:jc w:val="both"/>
      </w:pPr>
    </w:p>
    <w:p w:rsidR="00B929EC" w:rsidRDefault="00B929EC" w:rsidP="00B929EC">
      <w:pPr>
        <w:ind w:left="720"/>
        <w:contextualSpacing/>
        <w:jc w:val="both"/>
      </w:pPr>
    </w:p>
    <w:p w:rsidR="00B929EC" w:rsidRPr="00B929EC" w:rsidRDefault="00B929EC" w:rsidP="00B929EC">
      <w:pPr>
        <w:ind w:left="720"/>
        <w:contextualSpacing/>
        <w:jc w:val="both"/>
        <w:rPr>
          <w:b/>
        </w:rPr>
      </w:pPr>
      <w:r w:rsidRPr="00B929EC">
        <w:rPr>
          <w:b/>
        </w:rPr>
        <w:t>Dated 3 December 2018</w:t>
      </w:r>
    </w:p>
    <w:p w:rsidR="00B929EC" w:rsidRDefault="00B929EC" w:rsidP="00B929EC">
      <w:pPr>
        <w:ind w:left="720"/>
        <w:contextualSpacing/>
        <w:jc w:val="both"/>
      </w:pPr>
    </w:p>
    <w:p w:rsidR="00B929EC" w:rsidRDefault="00B929EC" w:rsidP="00B929EC">
      <w:pPr>
        <w:ind w:left="720"/>
        <w:contextualSpacing/>
        <w:jc w:val="both"/>
      </w:pPr>
    </w:p>
    <w:p w:rsidR="00B929EC" w:rsidRDefault="00B929EC" w:rsidP="00B929EC">
      <w:pPr>
        <w:ind w:left="720"/>
        <w:contextualSpacing/>
        <w:jc w:val="both"/>
      </w:pPr>
      <w:r>
        <w:t>Geoff Casey</w:t>
      </w:r>
    </w:p>
    <w:p w:rsidR="00B929EC" w:rsidRPr="00B929EC" w:rsidRDefault="00B929EC" w:rsidP="00B929EC">
      <w:pPr>
        <w:ind w:left="720"/>
        <w:contextualSpacing/>
        <w:jc w:val="both"/>
        <w:rPr>
          <w:i/>
        </w:rPr>
      </w:pPr>
      <w:r w:rsidRPr="00B929EC">
        <w:rPr>
          <w:i/>
        </w:rPr>
        <w:t>Executive Director Productivity and Safety</w:t>
      </w:r>
    </w:p>
    <w:p w:rsidR="00B929EC" w:rsidRPr="00B929EC" w:rsidRDefault="00B929EC" w:rsidP="00B929EC">
      <w:pPr>
        <w:ind w:left="720"/>
        <w:contextualSpacing/>
        <w:jc w:val="both"/>
        <w:rPr>
          <w:b/>
        </w:rPr>
      </w:pPr>
      <w:r w:rsidRPr="00B929EC">
        <w:rPr>
          <w:b/>
        </w:rPr>
        <w:t>National Heavy Vehicle Regulator</w:t>
      </w:r>
    </w:p>
    <w:sectPr w:rsidR="00B929EC" w:rsidRPr="00B929EC" w:rsidSect="00B929EC">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4F8" w:rsidRDefault="006944F8" w:rsidP="00486585">
      <w:pPr>
        <w:spacing w:after="0" w:line="240" w:lineRule="auto"/>
      </w:pPr>
      <w:r>
        <w:separator/>
      </w:r>
    </w:p>
  </w:endnote>
  <w:endnote w:type="continuationSeparator" w:id="0">
    <w:p w:rsidR="006944F8" w:rsidRDefault="006944F8" w:rsidP="0048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F8" w:rsidRDefault="006944F8">
    <w:pPr>
      <w:pStyle w:val="Footer"/>
      <w:jc w:val="right"/>
    </w:pPr>
  </w:p>
  <w:p w:rsidR="006944F8" w:rsidRDefault="006944F8">
    <w:pPr>
      <w:pStyle w:val="Footer"/>
      <w:jc w:val="right"/>
    </w:pPr>
    <w:r>
      <w:t>National Heavy Vehicle Standards (Detainee Transport Vehicle) Exemption Notice 2018</w:t>
    </w:r>
    <w:r w:rsidR="00B929EC">
      <w:t xml:space="preserve"> (No.1)</w:t>
    </w:r>
  </w:p>
  <w:p w:rsidR="006944F8" w:rsidRDefault="00B929EC" w:rsidP="00486585">
    <w:pPr>
      <w:pStyle w:val="Footer"/>
      <w:jc w:val="right"/>
    </w:pPr>
    <w:sdt>
      <w:sdtPr>
        <w:id w:val="157507137"/>
        <w:docPartObj>
          <w:docPartGallery w:val="Page Numbers (Bottom of Page)"/>
          <w:docPartUnique/>
        </w:docPartObj>
      </w:sdtPr>
      <w:sdtEndPr/>
      <w:sdtContent>
        <w:sdt>
          <w:sdtPr>
            <w:id w:val="860082579"/>
            <w:docPartObj>
              <w:docPartGallery w:val="Page Numbers (Top of Page)"/>
              <w:docPartUnique/>
            </w:docPartObj>
          </w:sdtPr>
          <w:sdtEndPr/>
          <w:sdtContent>
            <w:r w:rsidR="006944F8">
              <w:t xml:space="preserve">Page </w:t>
            </w:r>
            <w:r w:rsidR="006944F8">
              <w:rPr>
                <w:b/>
                <w:bCs/>
                <w:sz w:val="24"/>
                <w:szCs w:val="24"/>
              </w:rPr>
              <w:fldChar w:fldCharType="begin"/>
            </w:r>
            <w:r w:rsidR="006944F8">
              <w:rPr>
                <w:b/>
                <w:bCs/>
              </w:rPr>
              <w:instrText xml:space="preserve"> PAGE </w:instrText>
            </w:r>
            <w:r w:rsidR="006944F8">
              <w:rPr>
                <w:b/>
                <w:bCs/>
                <w:sz w:val="24"/>
                <w:szCs w:val="24"/>
              </w:rPr>
              <w:fldChar w:fldCharType="separate"/>
            </w:r>
            <w:r>
              <w:rPr>
                <w:b/>
                <w:bCs/>
                <w:noProof/>
              </w:rPr>
              <w:t>2</w:t>
            </w:r>
            <w:r w:rsidR="006944F8">
              <w:rPr>
                <w:b/>
                <w:bCs/>
                <w:sz w:val="24"/>
                <w:szCs w:val="24"/>
              </w:rPr>
              <w:fldChar w:fldCharType="end"/>
            </w:r>
            <w:r w:rsidR="006944F8">
              <w:t xml:space="preserve"> of </w:t>
            </w:r>
            <w:r w:rsidR="006944F8">
              <w:rPr>
                <w:b/>
                <w:bCs/>
                <w:sz w:val="24"/>
                <w:szCs w:val="24"/>
              </w:rPr>
              <w:fldChar w:fldCharType="begin"/>
            </w:r>
            <w:r w:rsidR="006944F8">
              <w:rPr>
                <w:b/>
                <w:bCs/>
              </w:rPr>
              <w:instrText xml:space="preserve"> NUMPAGES  </w:instrText>
            </w:r>
            <w:r w:rsidR="006944F8">
              <w:rPr>
                <w:b/>
                <w:bCs/>
                <w:sz w:val="24"/>
                <w:szCs w:val="24"/>
              </w:rPr>
              <w:fldChar w:fldCharType="separate"/>
            </w:r>
            <w:r>
              <w:rPr>
                <w:b/>
                <w:bCs/>
                <w:noProof/>
              </w:rPr>
              <w:t>3</w:t>
            </w:r>
            <w:r w:rsidR="006944F8">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4F8" w:rsidRDefault="006944F8" w:rsidP="00486585">
      <w:pPr>
        <w:spacing w:after="0" w:line="240" w:lineRule="auto"/>
      </w:pPr>
      <w:r>
        <w:separator/>
      </w:r>
    </w:p>
  </w:footnote>
  <w:footnote w:type="continuationSeparator" w:id="0">
    <w:p w:rsidR="006944F8" w:rsidRDefault="006944F8" w:rsidP="00486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B929EC" w:rsidRPr="00CE796A" w:rsidTr="006B0B5B">
      <w:trPr>
        <w:trHeight w:val="984"/>
      </w:trPr>
      <w:tc>
        <w:tcPr>
          <w:tcW w:w="1263" w:type="dxa"/>
          <w:tcBorders>
            <w:top w:val="single" w:sz="4" w:space="0" w:color="auto"/>
            <w:left w:val="nil"/>
            <w:bottom w:val="single" w:sz="4" w:space="0" w:color="auto"/>
            <w:right w:val="nil"/>
            <w:tl2br w:val="nil"/>
            <w:tr2bl w:val="nil"/>
          </w:tcBorders>
          <w:shd w:val="clear" w:color="auto" w:fill="auto"/>
        </w:tcPr>
        <w:p w:rsidR="00B929EC" w:rsidRPr="00CE796A" w:rsidRDefault="00B929EC" w:rsidP="006B0B5B">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06B116E" wp14:editId="76886A85">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B929EC" w:rsidRPr="00CE796A" w:rsidRDefault="00B929EC" w:rsidP="006B0B5B">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B929EC" w:rsidRPr="00CE796A" w:rsidRDefault="00B929EC" w:rsidP="006B0B5B">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B929EC" w:rsidRPr="00CE796A" w:rsidTr="006B0B5B">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B929EC" w:rsidRPr="00CE796A" w:rsidRDefault="00B929EC" w:rsidP="006B0B5B">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B929EC" w:rsidRPr="00840A06" w:rsidRDefault="00B929EC" w:rsidP="006B0B5B">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B929EC" w:rsidRDefault="00B92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8B4"/>
    <w:multiLevelType w:val="hybridMultilevel"/>
    <w:tmpl w:val="86BA0ACE"/>
    <w:lvl w:ilvl="0" w:tplc="400089EC">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22F001F"/>
    <w:multiLevelType w:val="hybridMultilevel"/>
    <w:tmpl w:val="B9581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112D92"/>
    <w:multiLevelType w:val="hybridMultilevel"/>
    <w:tmpl w:val="D2F6A7D6"/>
    <w:lvl w:ilvl="0" w:tplc="400089EC">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232D38B8"/>
    <w:multiLevelType w:val="hybridMultilevel"/>
    <w:tmpl w:val="52BEC922"/>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5511283E"/>
    <w:multiLevelType w:val="hybridMultilevel"/>
    <w:tmpl w:val="285A9098"/>
    <w:lvl w:ilvl="0" w:tplc="400089EC">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576E637A"/>
    <w:multiLevelType w:val="hybridMultilevel"/>
    <w:tmpl w:val="1C16CFEC"/>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72FB4A38"/>
    <w:multiLevelType w:val="hybridMultilevel"/>
    <w:tmpl w:val="1C16CFEC"/>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71"/>
    <w:rsid w:val="000023B8"/>
    <w:rsid w:val="00012B71"/>
    <w:rsid w:val="00062179"/>
    <w:rsid w:val="0013571F"/>
    <w:rsid w:val="001C3878"/>
    <w:rsid w:val="0025655F"/>
    <w:rsid w:val="002B6C38"/>
    <w:rsid w:val="003332A8"/>
    <w:rsid w:val="00421F2C"/>
    <w:rsid w:val="00486585"/>
    <w:rsid w:val="00496A98"/>
    <w:rsid w:val="00525F58"/>
    <w:rsid w:val="005C3257"/>
    <w:rsid w:val="005E6C0F"/>
    <w:rsid w:val="006207DC"/>
    <w:rsid w:val="00621FCB"/>
    <w:rsid w:val="006944F8"/>
    <w:rsid w:val="007761D5"/>
    <w:rsid w:val="0080540A"/>
    <w:rsid w:val="00815E7F"/>
    <w:rsid w:val="008343BF"/>
    <w:rsid w:val="009F06BC"/>
    <w:rsid w:val="00B929EC"/>
    <w:rsid w:val="00D13869"/>
    <w:rsid w:val="00D21423"/>
    <w:rsid w:val="00D3513E"/>
    <w:rsid w:val="00E7606B"/>
    <w:rsid w:val="00EC4133"/>
    <w:rsid w:val="00F33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55F"/>
    <w:pPr>
      <w:ind w:left="720"/>
      <w:contextualSpacing/>
    </w:pPr>
  </w:style>
  <w:style w:type="table" w:styleId="TableGrid">
    <w:name w:val="Table Grid"/>
    <w:basedOn w:val="TableNormal"/>
    <w:uiPriority w:val="59"/>
    <w:rsid w:val="002B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585"/>
  </w:style>
  <w:style w:type="paragraph" w:styleId="Footer">
    <w:name w:val="footer"/>
    <w:basedOn w:val="Normal"/>
    <w:link w:val="FooterChar"/>
    <w:uiPriority w:val="99"/>
    <w:unhideWhenUsed/>
    <w:rsid w:val="00486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585"/>
  </w:style>
  <w:style w:type="character" w:styleId="CommentReference">
    <w:name w:val="annotation reference"/>
    <w:basedOn w:val="DefaultParagraphFont"/>
    <w:uiPriority w:val="99"/>
    <w:semiHidden/>
    <w:unhideWhenUsed/>
    <w:rsid w:val="008343BF"/>
    <w:rPr>
      <w:sz w:val="16"/>
      <w:szCs w:val="16"/>
    </w:rPr>
  </w:style>
  <w:style w:type="paragraph" w:styleId="CommentText">
    <w:name w:val="annotation text"/>
    <w:basedOn w:val="Normal"/>
    <w:link w:val="CommentTextChar"/>
    <w:uiPriority w:val="99"/>
    <w:semiHidden/>
    <w:unhideWhenUsed/>
    <w:rsid w:val="008343BF"/>
    <w:pPr>
      <w:spacing w:line="240" w:lineRule="auto"/>
    </w:pPr>
    <w:rPr>
      <w:sz w:val="20"/>
      <w:szCs w:val="20"/>
    </w:rPr>
  </w:style>
  <w:style w:type="character" w:customStyle="1" w:styleId="CommentTextChar">
    <w:name w:val="Comment Text Char"/>
    <w:basedOn w:val="DefaultParagraphFont"/>
    <w:link w:val="CommentText"/>
    <w:uiPriority w:val="99"/>
    <w:semiHidden/>
    <w:rsid w:val="008343BF"/>
    <w:rPr>
      <w:sz w:val="20"/>
      <w:szCs w:val="20"/>
    </w:rPr>
  </w:style>
  <w:style w:type="paragraph" w:styleId="CommentSubject">
    <w:name w:val="annotation subject"/>
    <w:basedOn w:val="CommentText"/>
    <w:next w:val="CommentText"/>
    <w:link w:val="CommentSubjectChar"/>
    <w:uiPriority w:val="99"/>
    <w:semiHidden/>
    <w:unhideWhenUsed/>
    <w:rsid w:val="008343BF"/>
    <w:rPr>
      <w:b/>
      <w:bCs/>
    </w:rPr>
  </w:style>
  <w:style w:type="character" w:customStyle="1" w:styleId="CommentSubjectChar">
    <w:name w:val="Comment Subject Char"/>
    <w:basedOn w:val="CommentTextChar"/>
    <w:link w:val="CommentSubject"/>
    <w:uiPriority w:val="99"/>
    <w:semiHidden/>
    <w:rsid w:val="008343BF"/>
    <w:rPr>
      <w:b/>
      <w:bCs/>
      <w:sz w:val="20"/>
      <w:szCs w:val="20"/>
    </w:rPr>
  </w:style>
  <w:style w:type="paragraph" w:styleId="BalloonText">
    <w:name w:val="Balloon Text"/>
    <w:basedOn w:val="Normal"/>
    <w:link w:val="BalloonTextChar"/>
    <w:uiPriority w:val="99"/>
    <w:semiHidden/>
    <w:unhideWhenUsed/>
    <w:rsid w:val="00834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55F"/>
    <w:pPr>
      <w:ind w:left="720"/>
      <w:contextualSpacing/>
    </w:pPr>
  </w:style>
  <w:style w:type="table" w:styleId="TableGrid">
    <w:name w:val="Table Grid"/>
    <w:basedOn w:val="TableNormal"/>
    <w:uiPriority w:val="59"/>
    <w:rsid w:val="002B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585"/>
  </w:style>
  <w:style w:type="paragraph" w:styleId="Footer">
    <w:name w:val="footer"/>
    <w:basedOn w:val="Normal"/>
    <w:link w:val="FooterChar"/>
    <w:uiPriority w:val="99"/>
    <w:unhideWhenUsed/>
    <w:rsid w:val="00486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585"/>
  </w:style>
  <w:style w:type="character" w:styleId="CommentReference">
    <w:name w:val="annotation reference"/>
    <w:basedOn w:val="DefaultParagraphFont"/>
    <w:uiPriority w:val="99"/>
    <w:semiHidden/>
    <w:unhideWhenUsed/>
    <w:rsid w:val="008343BF"/>
    <w:rPr>
      <w:sz w:val="16"/>
      <w:szCs w:val="16"/>
    </w:rPr>
  </w:style>
  <w:style w:type="paragraph" w:styleId="CommentText">
    <w:name w:val="annotation text"/>
    <w:basedOn w:val="Normal"/>
    <w:link w:val="CommentTextChar"/>
    <w:uiPriority w:val="99"/>
    <w:semiHidden/>
    <w:unhideWhenUsed/>
    <w:rsid w:val="008343BF"/>
    <w:pPr>
      <w:spacing w:line="240" w:lineRule="auto"/>
    </w:pPr>
    <w:rPr>
      <w:sz w:val="20"/>
      <w:szCs w:val="20"/>
    </w:rPr>
  </w:style>
  <w:style w:type="character" w:customStyle="1" w:styleId="CommentTextChar">
    <w:name w:val="Comment Text Char"/>
    <w:basedOn w:val="DefaultParagraphFont"/>
    <w:link w:val="CommentText"/>
    <w:uiPriority w:val="99"/>
    <w:semiHidden/>
    <w:rsid w:val="008343BF"/>
    <w:rPr>
      <w:sz w:val="20"/>
      <w:szCs w:val="20"/>
    </w:rPr>
  </w:style>
  <w:style w:type="paragraph" w:styleId="CommentSubject">
    <w:name w:val="annotation subject"/>
    <w:basedOn w:val="CommentText"/>
    <w:next w:val="CommentText"/>
    <w:link w:val="CommentSubjectChar"/>
    <w:uiPriority w:val="99"/>
    <w:semiHidden/>
    <w:unhideWhenUsed/>
    <w:rsid w:val="008343BF"/>
    <w:rPr>
      <w:b/>
      <w:bCs/>
    </w:rPr>
  </w:style>
  <w:style w:type="character" w:customStyle="1" w:styleId="CommentSubjectChar">
    <w:name w:val="Comment Subject Char"/>
    <w:basedOn w:val="CommentTextChar"/>
    <w:link w:val="CommentSubject"/>
    <w:uiPriority w:val="99"/>
    <w:semiHidden/>
    <w:rsid w:val="008343BF"/>
    <w:rPr>
      <w:b/>
      <w:bCs/>
      <w:sz w:val="20"/>
      <w:szCs w:val="20"/>
    </w:rPr>
  </w:style>
  <w:style w:type="paragraph" w:styleId="BalloonText">
    <w:name w:val="Balloon Text"/>
    <w:basedOn w:val="Normal"/>
    <w:link w:val="BalloonTextChar"/>
    <w:uiPriority w:val="99"/>
    <w:semiHidden/>
    <w:unhideWhenUsed/>
    <w:rsid w:val="00834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Crapnell</dc:creator>
  <cp:lastModifiedBy>Robert Crapnell</cp:lastModifiedBy>
  <cp:revision>4</cp:revision>
  <dcterms:created xsi:type="dcterms:W3CDTF">2018-10-23T22:28:00Z</dcterms:created>
  <dcterms:modified xsi:type="dcterms:W3CDTF">2018-12-06T01:36:00Z</dcterms:modified>
</cp:coreProperties>
</file>